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32"/>
          <w:szCs w:val="32"/>
          <w:b w:val="1"/>
          <w:bCs w:val="1"/>
          <w:color w:val="auto"/>
        </w:rPr>
        <w:t>FORM 8-A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1160" w:right="1640"/>
        <w:spacing w:after="0" w:line="246" w:lineRule="auto"/>
        <w:rPr>
          <w:sz w:val="20"/>
          <w:szCs w:val="20"/>
          <w:color w:val="auto"/>
        </w:rPr>
      </w:pPr>
      <w:r>
        <w:rPr>
          <w:rFonts w:ascii="Times New Roman" w:cs="Times New Roman" w:eastAsia="Times New Roman" w:hAnsi="Times New Roman"/>
          <w:sz w:val="22"/>
          <w:szCs w:val="22"/>
          <w:b w:val="1"/>
          <w:bCs w:val="1"/>
          <w:color w:val="auto"/>
        </w:rPr>
        <w:t>FOR REGISTRATION OF CERTAIN CLASSES OF SECURITIES PURSUANT TO SECTION 12(b) OR 12(g)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220345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ind w:right="-719"/>
        <w:spacing w:after="0"/>
        <w:rPr>
          <w:sz w:val="20"/>
          <w:szCs w:val="20"/>
          <w:color w:val="auto"/>
        </w:rPr>
      </w:pPr>
      <w:r>
        <w:rPr>
          <w:rFonts w:ascii="Times New Roman" w:cs="Times New Roman" w:eastAsia="Times New Roman" w:hAnsi="Times New Roman"/>
          <w:sz w:val="43"/>
          <w:szCs w:val="43"/>
          <w:b w:val="1"/>
          <w:bCs w:val="1"/>
          <w:color w:val="auto"/>
        </w:rPr>
        <w:t>COMCAST CORPORATION</w:t>
      </w:r>
    </w:p>
    <w:p>
      <w:pPr>
        <w:spacing w:after="0" w:line="58"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920" w:type="dxa"/>
        <w:tblCellMar>
          <w:top w:w="0" w:type="dxa"/>
          <w:left w:w="0" w:type="dxa"/>
          <w:bottom w:w="0" w:type="dxa"/>
          <w:right w:w="0" w:type="dxa"/>
        </w:tblCellMar>
      </w:tblPr>
      <w:tr>
        <w:trPr>
          <w:trHeight w:val="214"/>
        </w:trPr>
        <w:tc>
          <w:tcPr>
            <w:tcW w:w="4940" w:type="dxa"/>
            <w:vAlign w:val="bottom"/>
          </w:tcPr>
          <w:p>
            <w:pPr>
              <w:jc w:val="center"/>
              <w:ind w:right="1137"/>
              <w:spacing w:after="0"/>
              <w:rPr>
                <w:sz w:val="20"/>
                <w:szCs w:val="20"/>
                <w:color w:val="auto"/>
              </w:rPr>
            </w:pPr>
            <w:r>
              <w:rPr>
                <w:rFonts w:ascii="Times New Roman" w:cs="Times New Roman" w:eastAsia="Times New Roman" w:hAnsi="Times New Roman"/>
                <w:sz w:val="18"/>
                <w:szCs w:val="18"/>
                <w:b w:val="1"/>
                <w:bCs w:val="1"/>
                <w:color w:val="auto"/>
                <w:w w:val="97"/>
              </w:rPr>
              <w:t>PENNSYLVANIA</w:t>
            </w:r>
          </w:p>
        </w:tc>
        <w:tc>
          <w:tcPr>
            <w:tcW w:w="3720" w:type="dxa"/>
            <w:vAlign w:val="bottom"/>
          </w:tcPr>
          <w:p>
            <w:pPr>
              <w:jc w:val="center"/>
              <w:ind w:left="1159"/>
              <w:spacing w:after="0"/>
              <w:rPr>
                <w:sz w:val="20"/>
                <w:szCs w:val="20"/>
                <w:color w:val="auto"/>
              </w:rPr>
            </w:pPr>
            <w:r>
              <w:rPr>
                <w:rFonts w:ascii="Times New Roman" w:cs="Times New Roman" w:eastAsia="Times New Roman" w:hAnsi="Times New Roman"/>
                <w:sz w:val="18"/>
                <w:szCs w:val="18"/>
                <w:b w:val="1"/>
                <w:bCs w:val="1"/>
                <w:color w:val="auto"/>
              </w:rPr>
              <w:t>27-0000798</w:t>
            </w:r>
          </w:p>
        </w:tc>
      </w:tr>
      <w:tr>
        <w:trPr>
          <w:trHeight w:val="190"/>
        </w:trPr>
        <w:tc>
          <w:tcPr>
            <w:tcW w:w="4940" w:type="dxa"/>
            <w:vAlign w:val="bottom"/>
          </w:tcPr>
          <w:p>
            <w:pPr>
              <w:jc w:val="center"/>
              <w:ind w:right="1137"/>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3720" w:type="dxa"/>
            <w:vAlign w:val="bottom"/>
          </w:tcPr>
          <w:p>
            <w:pPr>
              <w:jc w:val="center"/>
              <w:ind w:left="1139"/>
              <w:spacing w:after="0"/>
              <w:rPr>
                <w:sz w:val="20"/>
                <w:szCs w:val="20"/>
                <w:color w:val="auto"/>
              </w:rPr>
            </w:pPr>
            <w:r>
              <w:rPr>
                <w:rFonts w:ascii="Times New Roman" w:cs="Times New Roman" w:eastAsia="Times New Roman" w:hAnsi="Times New Roman"/>
                <w:sz w:val="14"/>
                <w:szCs w:val="14"/>
                <w:b w:val="1"/>
                <w:bCs w:val="1"/>
                <w:color w:val="auto"/>
              </w:rPr>
              <w:t>(I.R.S. Employer Identification Number)</w:t>
            </w:r>
          </w:p>
        </w:tc>
      </w:tr>
      <w:tr>
        <w:trPr>
          <w:trHeight w:val="393"/>
        </w:trPr>
        <w:tc>
          <w:tcPr>
            <w:tcW w:w="4940" w:type="dxa"/>
            <w:vAlign w:val="bottom"/>
          </w:tcPr>
          <w:p>
            <w:pPr>
              <w:jc w:val="center"/>
              <w:ind w:right="1137"/>
              <w:spacing w:after="0"/>
              <w:rPr>
                <w:sz w:val="20"/>
                <w:szCs w:val="20"/>
                <w:color w:val="auto"/>
              </w:rPr>
            </w:pPr>
            <w:r>
              <w:rPr>
                <w:rFonts w:ascii="Times New Roman" w:cs="Times New Roman" w:eastAsia="Times New Roman" w:hAnsi="Times New Roman"/>
                <w:sz w:val="18"/>
                <w:szCs w:val="18"/>
                <w:b w:val="1"/>
                <w:bCs w:val="1"/>
                <w:color w:val="auto"/>
                <w:w w:val="99"/>
              </w:rPr>
              <w:t>One Comcast Center</w:t>
            </w:r>
          </w:p>
        </w:tc>
        <w:tc>
          <w:tcPr>
            <w:tcW w:w="3720" w:type="dxa"/>
            <w:vAlign w:val="bottom"/>
          </w:tcPr>
          <w:p>
            <w:pPr>
              <w:spacing w:after="0"/>
              <w:rPr>
                <w:sz w:val="24"/>
                <w:szCs w:val="24"/>
                <w:color w:val="auto"/>
              </w:rPr>
            </w:pPr>
          </w:p>
        </w:tc>
      </w:tr>
      <w:tr>
        <w:trPr>
          <w:trHeight w:val="227"/>
        </w:trPr>
        <w:tc>
          <w:tcPr>
            <w:tcW w:w="4940" w:type="dxa"/>
            <w:vAlign w:val="bottom"/>
          </w:tcPr>
          <w:p>
            <w:pPr>
              <w:jc w:val="center"/>
              <w:ind w:right="1137"/>
              <w:spacing w:after="0"/>
              <w:rPr>
                <w:sz w:val="20"/>
                <w:szCs w:val="20"/>
                <w:color w:val="auto"/>
              </w:rPr>
            </w:pPr>
            <w:r>
              <w:rPr>
                <w:rFonts w:ascii="Times New Roman" w:cs="Times New Roman" w:eastAsia="Times New Roman" w:hAnsi="Times New Roman"/>
                <w:sz w:val="18"/>
                <w:szCs w:val="18"/>
                <w:b w:val="1"/>
                <w:bCs w:val="1"/>
                <w:color w:val="auto"/>
                <w:w w:val="99"/>
              </w:rPr>
              <w:t>Philadelphia, Pennsylvania</w:t>
            </w:r>
          </w:p>
        </w:tc>
        <w:tc>
          <w:tcPr>
            <w:tcW w:w="3720" w:type="dxa"/>
            <w:vAlign w:val="bottom"/>
          </w:tcPr>
          <w:p>
            <w:pPr>
              <w:jc w:val="center"/>
              <w:ind w:left="1159"/>
              <w:spacing w:after="0"/>
              <w:rPr>
                <w:sz w:val="20"/>
                <w:szCs w:val="20"/>
                <w:color w:val="auto"/>
              </w:rPr>
            </w:pPr>
            <w:r>
              <w:rPr>
                <w:rFonts w:ascii="Times New Roman" w:cs="Times New Roman" w:eastAsia="Times New Roman" w:hAnsi="Times New Roman"/>
                <w:sz w:val="18"/>
                <w:szCs w:val="18"/>
                <w:b w:val="1"/>
                <w:bCs w:val="1"/>
                <w:color w:val="auto"/>
              </w:rPr>
              <w:t>19103-2838</w:t>
            </w:r>
          </w:p>
        </w:tc>
      </w:tr>
      <w:tr>
        <w:trPr>
          <w:trHeight w:val="190"/>
        </w:trPr>
        <w:tc>
          <w:tcPr>
            <w:tcW w:w="4940" w:type="dxa"/>
            <w:vAlign w:val="bottom"/>
          </w:tcPr>
          <w:p>
            <w:pPr>
              <w:jc w:val="center"/>
              <w:ind w:right="115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720" w:type="dxa"/>
            <w:vAlign w:val="bottom"/>
          </w:tcPr>
          <w:p>
            <w:pPr>
              <w:jc w:val="center"/>
              <w:ind w:left="1159"/>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212090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43"/>
          <w:szCs w:val="43"/>
          <w:b w:val="1"/>
          <w:bCs w:val="1"/>
          <w:color w:val="auto"/>
        </w:rPr>
        <w:t>COMCAST CABLE COMMUNICATIONS, LLC</w:t>
      </w:r>
    </w:p>
    <w:p>
      <w:pPr>
        <w:spacing w:after="0" w:line="58"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920" w:type="dxa"/>
        <w:tblCellMar>
          <w:top w:w="0" w:type="dxa"/>
          <w:left w:w="0" w:type="dxa"/>
          <w:bottom w:w="0" w:type="dxa"/>
          <w:right w:w="0" w:type="dxa"/>
        </w:tblCellMar>
      </w:tblPr>
      <w:tr>
        <w:trPr>
          <w:trHeight w:val="214"/>
        </w:trPr>
        <w:tc>
          <w:tcPr>
            <w:tcW w:w="4940" w:type="dxa"/>
            <w:vAlign w:val="bottom"/>
          </w:tcPr>
          <w:p>
            <w:pPr>
              <w:jc w:val="center"/>
              <w:ind w:right="1157"/>
              <w:spacing w:after="0"/>
              <w:rPr>
                <w:sz w:val="20"/>
                <w:szCs w:val="20"/>
                <w:color w:val="auto"/>
              </w:rPr>
            </w:pPr>
            <w:r>
              <w:rPr>
                <w:rFonts w:ascii="Times New Roman" w:cs="Times New Roman" w:eastAsia="Times New Roman" w:hAnsi="Times New Roman"/>
                <w:sz w:val="18"/>
                <w:szCs w:val="18"/>
                <w:b w:val="1"/>
                <w:bCs w:val="1"/>
                <w:color w:val="auto"/>
                <w:w w:val="96"/>
              </w:rPr>
              <w:t>DELAWARE</w:t>
            </w:r>
          </w:p>
        </w:tc>
        <w:tc>
          <w:tcPr>
            <w:tcW w:w="3720" w:type="dxa"/>
            <w:vAlign w:val="bottom"/>
          </w:tcPr>
          <w:p>
            <w:pPr>
              <w:jc w:val="center"/>
              <w:ind w:left="1159"/>
              <w:spacing w:after="0"/>
              <w:rPr>
                <w:sz w:val="20"/>
                <w:szCs w:val="20"/>
                <w:color w:val="auto"/>
              </w:rPr>
            </w:pPr>
            <w:r>
              <w:rPr>
                <w:rFonts w:ascii="Times New Roman" w:cs="Times New Roman" w:eastAsia="Times New Roman" w:hAnsi="Times New Roman"/>
                <w:sz w:val="18"/>
                <w:szCs w:val="18"/>
                <w:b w:val="1"/>
                <w:bCs w:val="1"/>
                <w:color w:val="auto"/>
              </w:rPr>
              <w:t>23-2175755</w:t>
            </w:r>
          </w:p>
        </w:tc>
      </w:tr>
      <w:tr>
        <w:trPr>
          <w:trHeight w:val="190"/>
        </w:trPr>
        <w:tc>
          <w:tcPr>
            <w:tcW w:w="4940" w:type="dxa"/>
            <w:vAlign w:val="bottom"/>
          </w:tcPr>
          <w:p>
            <w:pPr>
              <w:jc w:val="center"/>
              <w:ind w:right="1137"/>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3720" w:type="dxa"/>
            <w:vAlign w:val="bottom"/>
          </w:tcPr>
          <w:p>
            <w:pPr>
              <w:jc w:val="center"/>
              <w:ind w:left="1139"/>
              <w:spacing w:after="0"/>
              <w:rPr>
                <w:sz w:val="20"/>
                <w:szCs w:val="20"/>
                <w:color w:val="auto"/>
              </w:rPr>
            </w:pPr>
            <w:r>
              <w:rPr>
                <w:rFonts w:ascii="Times New Roman" w:cs="Times New Roman" w:eastAsia="Times New Roman" w:hAnsi="Times New Roman"/>
                <w:sz w:val="14"/>
                <w:szCs w:val="14"/>
                <w:b w:val="1"/>
                <w:bCs w:val="1"/>
                <w:color w:val="auto"/>
              </w:rPr>
              <w:t>(I.R.S. Employer Identification Number)</w:t>
            </w:r>
          </w:p>
        </w:tc>
      </w:tr>
      <w:tr>
        <w:trPr>
          <w:trHeight w:val="393"/>
        </w:trPr>
        <w:tc>
          <w:tcPr>
            <w:tcW w:w="4940" w:type="dxa"/>
            <w:vAlign w:val="bottom"/>
          </w:tcPr>
          <w:p>
            <w:pPr>
              <w:jc w:val="center"/>
              <w:ind w:right="1137"/>
              <w:spacing w:after="0"/>
              <w:rPr>
                <w:sz w:val="20"/>
                <w:szCs w:val="20"/>
                <w:color w:val="auto"/>
              </w:rPr>
            </w:pPr>
            <w:r>
              <w:rPr>
                <w:rFonts w:ascii="Times New Roman" w:cs="Times New Roman" w:eastAsia="Times New Roman" w:hAnsi="Times New Roman"/>
                <w:sz w:val="18"/>
                <w:szCs w:val="18"/>
                <w:b w:val="1"/>
                <w:bCs w:val="1"/>
                <w:color w:val="auto"/>
                <w:w w:val="99"/>
              </w:rPr>
              <w:t>One Comcast Center</w:t>
            </w:r>
          </w:p>
        </w:tc>
        <w:tc>
          <w:tcPr>
            <w:tcW w:w="3720" w:type="dxa"/>
            <w:vAlign w:val="bottom"/>
          </w:tcPr>
          <w:p>
            <w:pPr>
              <w:spacing w:after="0"/>
              <w:rPr>
                <w:sz w:val="24"/>
                <w:szCs w:val="24"/>
                <w:color w:val="auto"/>
              </w:rPr>
            </w:pPr>
          </w:p>
        </w:tc>
      </w:tr>
      <w:tr>
        <w:trPr>
          <w:trHeight w:val="227"/>
        </w:trPr>
        <w:tc>
          <w:tcPr>
            <w:tcW w:w="4940" w:type="dxa"/>
            <w:vAlign w:val="bottom"/>
          </w:tcPr>
          <w:p>
            <w:pPr>
              <w:jc w:val="center"/>
              <w:ind w:right="1137"/>
              <w:spacing w:after="0"/>
              <w:rPr>
                <w:sz w:val="20"/>
                <w:szCs w:val="20"/>
                <w:color w:val="auto"/>
              </w:rPr>
            </w:pPr>
            <w:r>
              <w:rPr>
                <w:rFonts w:ascii="Times New Roman" w:cs="Times New Roman" w:eastAsia="Times New Roman" w:hAnsi="Times New Roman"/>
                <w:sz w:val="18"/>
                <w:szCs w:val="18"/>
                <w:b w:val="1"/>
                <w:bCs w:val="1"/>
                <w:color w:val="auto"/>
                <w:w w:val="99"/>
              </w:rPr>
              <w:t>Philadelphia, Pennsylvania</w:t>
            </w:r>
          </w:p>
        </w:tc>
        <w:tc>
          <w:tcPr>
            <w:tcW w:w="3720" w:type="dxa"/>
            <w:vAlign w:val="bottom"/>
          </w:tcPr>
          <w:p>
            <w:pPr>
              <w:jc w:val="center"/>
              <w:ind w:left="1159"/>
              <w:spacing w:after="0"/>
              <w:rPr>
                <w:sz w:val="20"/>
                <w:szCs w:val="20"/>
                <w:color w:val="auto"/>
              </w:rPr>
            </w:pPr>
            <w:r>
              <w:rPr>
                <w:rFonts w:ascii="Times New Roman" w:cs="Times New Roman" w:eastAsia="Times New Roman" w:hAnsi="Times New Roman"/>
                <w:sz w:val="18"/>
                <w:szCs w:val="18"/>
                <w:b w:val="1"/>
                <w:bCs w:val="1"/>
                <w:color w:val="auto"/>
              </w:rPr>
              <w:t>19103-2838</w:t>
            </w:r>
          </w:p>
        </w:tc>
      </w:tr>
      <w:tr>
        <w:trPr>
          <w:trHeight w:val="190"/>
        </w:trPr>
        <w:tc>
          <w:tcPr>
            <w:tcW w:w="4940" w:type="dxa"/>
            <w:vAlign w:val="bottom"/>
          </w:tcPr>
          <w:p>
            <w:pPr>
              <w:jc w:val="center"/>
              <w:ind w:right="115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720" w:type="dxa"/>
            <w:vAlign w:val="bottom"/>
          </w:tcPr>
          <w:p>
            <w:pPr>
              <w:jc w:val="center"/>
              <w:ind w:left="1159"/>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212090</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43"/>
          <w:szCs w:val="43"/>
          <w:b w:val="1"/>
          <w:bCs w:val="1"/>
          <w:color w:val="auto"/>
        </w:rPr>
        <w:t>NBCUNIVERSAL MEDIA, LLC</w:t>
      </w:r>
    </w:p>
    <w:p>
      <w:pPr>
        <w:spacing w:after="0" w:line="58"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920" w:type="dxa"/>
        <w:tblCellMar>
          <w:top w:w="0" w:type="dxa"/>
          <w:left w:w="0" w:type="dxa"/>
          <w:bottom w:w="0" w:type="dxa"/>
          <w:right w:w="0" w:type="dxa"/>
        </w:tblCellMar>
      </w:tblPr>
      <w:tr>
        <w:trPr>
          <w:trHeight w:val="214"/>
        </w:trPr>
        <w:tc>
          <w:tcPr>
            <w:tcW w:w="4940" w:type="dxa"/>
            <w:vAlign w:val="bottom"/>
          </w:tcPr>
          <w:p>
            <w:pPr>
              <w:jc w:val="center"/>
              <w:ind w:right="1157"/>
              <w:spacing w:after="0"/>
              <w:rPr>
                <w:sz w:val="20"/>
                <w:szCs w:val="20"/>
                <w:color w:val="auto"/>
              </w:rPr>
            </w:pPr>
            <w:r>
              <w:rPr>
                <w:rFonts w:ascii="Times New Roman" w:cs="Times New Roman" w:eastAsia="Times New Roman" w:hAnsi="Times New Roman"/>
                <w:sz w:val="18"/>
                <w:szCs w:val="18"/>
                <w:b w:val="1"/>
                <w:bCs w:val="1"/>
                <w:color w:val="auto"/>
                <w:w w:val="96"/>
              </w:rPr>
              <w:t>DELAWARE</w:t>
            </w:r>
          </w:p>
        </w:tc>
        <w:tc>
          <w:tcPr>
            <w:tcW w:w="3720" w:type="dxa"/>
            <w:vAlign w:val="bottom"/>
          </w:tcPr>
          <w:p>
            <w:pPr>
              <w:jc w:val="center"/>
              <w:ind w:left="1159"/>
              <w:spacing w:after="0"/>
              <w:rPr>
                <w:sz w:val="20"/>
                <w:szCs w:val="20"/>
                <w:color w:val="auto"/>
              </w:rPr>
            </w:pPr>
            <w:r>
              <w:rPr>
                <w:rFonts w:ascii="Times New Roman" w:cs="Times New Roman" w:eastAsia="Times New Roman" w:hAnsi="Times New Roman"/>
                <w:sz w:val="18"/>
                <w:szCs w:val="18"/>
                <w:b w:val="1"/>
                <w:bCs w:val="1"/>
                <w:color w:val="auto"/>
              </w:rPr>
              <w:t>14-1682529</w:t>
            </w:r>
          </w:p>
        </w:tc>
      </w:tr>
      <w:tr>
        <w:trPr>
          <w:trHeight w:val="190"/>
        </w:trPr>
        <w:tc>
          <w:tcPr>
            <w:tcW w:w="4940" w:type="dxa"/>
            <w:vAlign w:val="bottom"/>
          </w:tcPr>
          <w:p>
            <w:pPr>
              <w:jc w:val="center"/>
              <w:ind w:right="1137"/>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3720" w:type="dxa"/>
            <w:vAlign w:val="bottom"/>
          </w:tcPr>
          <w:p>
            <w:pPr>
              <w:jc w:val="center"/>
              <w:ind w:left="1139"/>
              <w:spacing w:after="0"/>
              <w:rPr>
                <w:sz w:val="20"/>
                <w:szCs w:val="20"/>
                <w:color w:val="auto"/>
              </w:rPr>
            </w:pPr>
            <w:r>
              <w:rPr>
                <w:rFonts w:ascii="Times New Roman" w:cs="Times New Roman" w:eastAsia="Times New Roman" w:hAnsi="Times New Roman"/>
                <w:sz w:val="14"/>
                <w:szCs w:val="14"/>
                <w:b w:val="1"/>
                <w:bCs w:val="1"/>
                <w:color w:val="auto"/>
              </w:rPr>
              <w:t>(I.R.S. Employer Identification Number)</w:t>
            </w:r>
          </w:p>
        </w:tc>
      </w:tr>
      <w:tr>
        <w:trPr>
          <w:trHeight w:val="393"/>
        </w:trPr>
        <w:tc>
          <w:tcPr>
            <w:tcW w:w="4940" w:type="dxa"/>
            <w:vAlign w:val="bottom"/>
          </w:tcPr>
          <w:p>
            <w:pPr>
              <w:jc w:val="center"/>
              <w:ind w:right="1137"/>
              <w:spacing w:after="0"/>
              <w:rPr>
                <w:sz w:val="20"/>
                <w:szCs w:val="20"/>
                <w:color w:val="auto"/>
              </w:rPr>
            </w:pPr>
            <w:r>
              <w:rPr>
                <w:rFonts w:ascii="Times New Roman" w:cs="Times New Roman" w:eastAsia="Times New Roman" w:hAnsi="Times New Roman"/>
                <w:sz w:val="18"/>
                <w:szCs w:val="18"/>
                <w:b w:val="1"/>
                <w:bCs w:val="1"/>
                <w:color w:val="auto"/>
                <w:w w:val="99"/>
              </w:rPr>
              <w:t>30 Rockefeller Plaza</w:t>
            </w:r>
          </w:p>
        </w:tc>
        <w:tc>
          <w:tcPr>
            <w:tcW w:w="3720" w:type="dxa"/>
            <w:vAlign w:val="bottom"/>
          </w:tcPr>
          <w:p>
            <w:pPr>
              <w:spacing w:after="0"/>
              <w:rPr>
                <w:sz w:val="24"/>
                <w:szCs w:val="24"/>
                <w:color w:val="auto"/>
              </w:rPr>
            </w:pPr>
          </w:p>
        </w:tc>
      </w:tr>
      <w:tr>
        <w:trPr>
          <w:trHeight w:val="227"/>
        </w:trPr>
        <w:tc>
          <w:tcPr>
            <w:tcW w:w="4940" w:type="dxa"/>
            <w:vAlign w:val="bottom"/>
          </w:tcPr>
          <w:p>
            <w:pPr>
              <w:jc w:val="center"/>
              <w:ind w:right="1157"/>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3720" w:type="dxa"/>
            <w:vAlign w:val="bottom"/>
          </w:tcPr>
          <w:p>
            <w:pPr>
              <w:jc w:val="center"/>
              <w:ind w:left="1139"/>
              <w:spacing w:after="0"/>
              <w:rPr>
                <w:sz w:val="20"/>
                <w:szCs w:val="20"/>
                <w:color w:val="auto"/>
              </w:rPr>
            </w:pPr>
            <w:r>
              <w:rPr>
                <w:rFonts w:ascii="Times New Roman" w:cs="Times New Roman" w:eastAsia="Times New Roman" w:hAnsi="Times New Roman"/>
                <w:sz w:val="18"/>
                <w:szCs w:val="18"/>
                <w:b w:val="1"/>
                <w:bCs w:val="1"/>
                <w:color w:val="auto"/>
                <w:w w:val="98"/>
              </w:rPr>
              <w:t>10112-0015</w:t>
            </w:r>
          </w:p>
        </w:tc>
      </w:tr>
      <w:tr>
        <w:trPr>
          <w:trHeight w:val="190"/>
        </w:trPr>
        <w:tc>
          <w:tcPr>
            <w:tcW w:w="4940" w:type="dxa"/>
            <w:vAlign w:val="bottom"/>
          </w:tcPr>
          <w:p>
            <w:pPr>
              <w:jc w:val="center"/>
              <w:ind w:right="115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720" w:type="dxa"/>
            <w:vAlign w:val="bottom"/>
          </w:tcPr>
          <w:p>
            <w:pPr>
              <w:jc w:val="center"/>
              <w:ind w:left="1159"/>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220980</wp:posOffset>
            </wp:positionV>
            <wp:extent cx="14744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9"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12(b) of the Exchange Act and is effective pursuant to General Instruction A.(c), please check the following box. 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12(g) of the Exchange Act and is effective pursuant to General Instruction A.(d), please check the following box. 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66"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18"/>
          <w:szCs w:val="18"/>
          <w:b w:val="1"/>
          <w:bCs w:val="1"/>
          <w:color w:val="auto"/>
        </w:rPr>
        <w:t>Securities Act registration statement file number to which this form relates:</w:t>
      </w:r>
    </w:p>
    <w:p>
      <w:pPr>
        <w:spacing w:after="0" w:line="31"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18"/>
          <w:szCs w:val="18"/>
          <w:b w:val="1"/>
          <w:bCs w:val="1"/>
          <w:color w:val="auto"/>
        </w:rPr>
        <w:t>(if applicable)</w:t>
      </w:r>
    </w:p>
    <w:p>
      <w:pPr>
        <w:spacing w:after="0" w:line="203"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Securities to be registered pursuant to Section 12(b) of the Act:</w:t>
      </w:r>
    </w:p>
    <w:p>
      <w:pPr>
        <w:spacing w:after="0" w:line="237" w:lineRule="exact"/>
        <w:rPr>
          <w:sz w:val="24"/>
          <w:szCs w:val="24"/>
          <w:color w:val="auto"/>
        </w:rPr>
      </w:pPr>
    </w:p>
    <w:tbl>
      <w:tblPr>
        <w:tblLayout w:type="fixed"/>
        <w:tblInd w:w="1880" w:type="dxa"/>
        <w:tblCellMar>
          <w:top w:w="0" w:type="dxa"/>
          <w:left w:w="0" w:type="dxa"/>
          <w:bottom w:w="0" w:type="dxa"/>
          <w:right w:w="0" w:type="dxa"/>
        </w:tblCellMar>
      </w:tblPr>
      <w:tr>
        <w:trPr>
          <w:trHeight w:val="161"/>
        </w:trPr>
        <w:tc>
          <w:tcPr>
            <w:tcW w:w="320" w:type="dxa"/>
            <w:vAlign w:val="bottom"/>
          </w:tcPr>
          <w:p>
            <w:pPr>
              <w:spacing w:after="0"/>
              <w:rPr>
                <w:sz w:val="13"/>
                <w:szCs w:val="13"/>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920" w:type="dxa"/>
            <w:vAlign w:val="bottom"/>
            <w:gridSpan w:val="3"/>
          </w:tcPr>
          <w:p>
            <w:pPr>
              <w:jc w:val="center"/>
              <w:ind w:left="1728"/>
              <w:spacing w:after="0"/>
              <w:rPr>
                <w:sz w:val="20"/>
                <w:szCs w:val="20"/>
                <w:color w:val="auto"/>
              </w:rPr>
            </w:pPr>
            <w:r>
              <w:rPr>
                <w:rFonts w:ascii="Times New Roman" w:cs="Times New Roman" w:eastAsia="Times New Roman" w:hAnsi="Times New Roman"/>
                <w:sz w:val="14"/>
                <w:szCs w:val="14"/>
                <w:b w:val="1"/>
                <w:bCs w:val="1"/>
                <w:color w:val="auto"/>
              </w:rPr>
              <w:t>Name of Each Exchange on Which</w:t>
            </w:r>
          </w:p>
        </w:tc>
      </w:tr>
      <w:tr>
        <w:trPr>
          <w:trHeight w:val="173"/>
        </w:trPr>
        <w:tc>
          <w:tcPr>
            <w:tcW w:w="320" w:type="dxa"/>
            <w:vAlign w:val="bottom"/>
          </w:tcPr>
          <w:p>
            <w:pPr>
              <w:spacing w:after="0"/>
              <w:rPr>
                <w:sz w:val="15"/>
                <w:szCs w:val="15"/>
                <w:color w:val="auto"/>
              </w:rPr>
            </w:pPr>
          </w:p>
        </w:tc>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to be so Registered</w:t>
            </w:r>
          </w:p>
        </w:tc>
        <w:tc>
          <w:tcPr>
            <w:tcW w:w="21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Each Class is to be Registered</w:t>
            </w:r>
          </w:p>
        </w:tc>
        <w:tc>
          <w:tcPr>
            <w:tcW w:w="140" w:type="dxa"/>
            <w:vAlign w:val="bottom"/>
          </w:tcPr>
          <w:p>
            <w:pPr>
              <w:spacing w:after="0"/>
              <w:rPr>
                <w:sz w:val="15"/>
                <w:szCs w:val="15"/>
                <w:color w:val="auto"/>
              </w:rPr>
            </w:pPr>
          </w:p>
        </w:tc>
      </w:tr>
      <w:tr>
        <w:trPr>
          <w:trHeight w:val="232"/>
        </w:trPr>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3.250% Notes due</w:t>
            </w:r>
          </w:p>
        </w:tc>
        <w:tc>
          <w:tcPr>
            <w:tcW w:w="2120" w:type="dxa"/>
            <w:vAlign w:val="bottom"/>
          </w:tcPr>
          <w:p>
            <w:pPr>
              <w:jc w:val="right"/>
              <w:ind w:right="1710"/>
              <w:spacing w:after="0"/>
              <w:rPr>
                <w:sz w:val="20"/>
                <w:szCs w:val="20"/>
                <w:color w:val="auto"/>
              </w:rPr>
            </w:pPr>
            <w:r>
              <w:rPr>
                <w:rFonts w:ascii="Times New Roman" w:cs="Times New Roman" w:eastAsia="Times New Roman" w:hAnsi="Times New Roman"/>
                <w:sz w:val="18"/>
                <w:szCs w:val="18"/>
                <w:b w:val="1"/>
                <w:bCs w:val="1"/>
                <w:color w:val="auto"/>
                <w:w w:val="83"/>
              </w:rPr>
              <w:t>2032</w:t>
            </w:r>
          </w:p>
        </w:tc>
        <w:tc>
          <w:tcPr>
            <w:tcW w:w="1940" w:type="dxa"/>
            <w:vAlign w:val="bottom"/>
          </w:tcPr>
          <w:p>
            <w:pPr>
              <w:spacing w:after="0"/>
              <w:rPr>
                <w:sz w:val="20"/>
                <w:szCs w:val="20"/>
                <w:color w:val="auto"/>
              </w:rPr>
            </w:pPr>
          </w:p>
        </w:tc>
        <w:tc>
          <w:tcPr>
            <w:tcW w:w="19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Nasdaq Global Market</w:t>
            </w:r>
          </w:p>
        </w:tc>
      </w:tr>
    </w:tbl>
    <w:p>
      <w:pPr>
        <w:sectPr>
          <w:pgSz w:w="11900" w:h="16838" w:orient="portrait"/>
          <w:cols w:equalWidth="0" w:num="1">
            <w:col w:w="10280"/>
          </w:cols>
          <w:pgMar w:left="440" w:top="376" w:right="1179" w:bottom="0" w:gutter="0" w:footer="0" w:header="0"/>
        </w:sectPr>
      </w:pPr>
    </w:p>
    <w:bookmarkStart w:id="1" w:name="page2"/>
    <w:bookmarkEnd w:id="1"/>
    <w:p>
      <w:pPr>
        <w:ind w:left="880"/>
        <w:spacing w:after="0"/>
        <w:rPr>
          <w:sz w:val="20"/>
          <w:szCs w:val="20"/>
          <w:color w:val="auto"/>
        </w:rPr>
      </w:pPr>
      <w:r>
        <w:rPr>
          <w:rFonts w:ascii="Times New Roman" w:cs="Times New Roman" w:eastAsia="Times New Roman" w:hAnsi="Times New Roman"/>
          <w:sz w:val="18"/>
          <w:szCs w:val="18"/>
          <w:b w:val="1"/>
          <w:bCs w:val="1"/>
          <w:color w:val="auto"/>
        </w:rPr>
        <w:t>3.550% Notes due 2036</w:t>
      </w:r>
    </w:p>
    <w:p>
      <w:pPr>
        <w:spacing w:after="0" w:line="3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5.250% Notes due 2040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Nasdaq Global Market</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Nasdaq Global Market</w:t>
      </w:r>
    </w:p>
    <w:p>
      <w:pPr>
        <w:spacing w:after="0" w:line="211" w:lineRule="exact"/>
        <w:rPr>
          <w:sz w:val="20"/>
          <w:szCs w:val="20"/>
          <w:color w:val="auto"/>
        </w:rPr>
      </w:pPr>
    </w:p>
    <w:p>
      <w:pPr>
        <w:sectPr>
          <w:pgSz w:w="11900" w:h="16838" w:orient="portrait"/>
          <w:cols w:equalWidth="0" w:num="2">
            <w:col w:w="5740" w:space="720"/>
            <w:col w:w="2559"/>
          </w:cols>
          <w:pgMar w:left="1440" w:top="131" w:right="1440" w:bottom="1440" w:gutter="0" w:footer="0" w:header="0"/>
        </w:sectPr>
      </w:pP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Securities to be registered pursuant to Section 12(g) of the Act:</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151765</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194310</wp:posOffset>
            </wp:positionV>
            <wp:extent cx="6995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type w:val="continuous"/>
        </w:sectPr>
      </w:pPr>
    </w:p>
    <w:bookmarkStart w:id="2" w:name="page3"/>
    <w:bookmarkEnd w:id="2"/>
    <w:p>
      <w:pPr>
        <w:ind w:left="2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INFORMATION REQUIRED IN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Description of Registrants’ Securities to be Registered</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description of the 3.250% Notes due 2032, the 3.550% Notes due 2036 and the 5.250% Notes due 2040 (collectively, the “Notes”) and the guarantees thereof is contained in the Prospectus Supplement dated September 23, 2024 and the Prospectus dated July 29, 2022 copies of which were electronically transmitted for filing with the Securities and Exchange Commission pursuant to Rule 424(b) on September 25, 2024, each of which form a part of the Registrants’ effective Registration Statement on Form S-3 (Registration No. 333-266390), and is incorporated herein by reference.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Exhibits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920" w:type="dxa"/>
            <w:vAlign w:val="bottom"/>
          </w:tcPr>
          <w:p>
            <w:pPr>
              <w:spacing w:after="0"/>
              <w:rPr>
                <w:sz w:val="15"/>
                <w:szCs w:val="15"/>
                <w:color w:val="auto"/>
              </w:rPr>
            </w:pPr>
          </w:p>
        </w:tc>
        <w:tc>
          <w:tcPr>
            <w:tcW w:w="9040" w:type="dxa"/>
            <w:vAlign w:val="bottom"/>
            <w:gridSpan w:val="11"/>
          </w:tcPr>
          <w:p>
            <w:pPr>
              <w:ind w:left="418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920" w:type="dxa"/>
            <w:vAlign w:val="bottom"/>
          </w:tcPr>
          <w:p>
            <w:pPr>
              <w:spacing w:after="0"/>
              <w:rPr>
                <w:sz w:val="22"/>
                <w:szCs w:val="22"/>
                <w:color w:val="auto"/>
              </w:rPr>
            </w:pPr>
          </w:p>
        </w:tc>
        <w:tc>
          <w:tcPr>
            <w:tcW w:w="9040" w:type="dxa"/>
            <w:vAlign w:val="bottom"/>
            <w:gridSpan w:val="11"/>
          </w:tcPr>
          <w:p>
            <w:pPr>
              <w:spacing w:after="0"/>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Senior Indenture dated as of September 18, 2013 among Comcast Corporation (the “Company”), the guarantors named</w:t>
              </w:r>
            </w:hyperlink>
          </w:p>
        </w:tc>
      </w:tr>
      <w:tr>
        <w:trPr>
          <w:trHeight w:val="20"/>
        </w:trPr>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22">
              <w:r>
                <w:rPr>
                  <w:rFonts w:ascii="Times New Roman" w:cs="Times New Roman" w:eastAsia="Times New Roman" w:hAnsi="Times New Roman"/>
                  <w:sz w:val="18"/>
                  <w:szCs w:val="18"/>
                  <w:color w:val="0000EE"/>
                  <w:w w:val="99"/>
                </w:rPr>
                <w:t>therein and The Bank of New York Mellon (formerly known as The Bank of New York) as trustee (the “Trustee”), relating to</w:t>
              </w:r>
            </w:hyperlink>
          </w:p>
        </w:tc>
        <w:tc>
          <w:tcPr>
            <w:tcW w:w="2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90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22">
              <w:r>
                <w:rPr>
                  <w:rFonts w:ascii="Times New Roman" w:cs="Times New Roman" w:eastAsia="Times New Roman" w:hAnsi="Times New Roman"/>
                  <w:sz w:val="18"/>
                  <w:szCs w:val="18"/>
                  <w:color w:val="0000EE"/>
                  <w:w w:val="99"/>
                </w:rPr>
                <w:t>the Company’s debt securities (incorporated by reference to Exhibit 4.7 to the Company’s Annual Report on Form 10-K for</w:t>
              </w:r>
            </w:hyperlink>
          </w:p>
        </w:tc>
        <w:tc>
          <w:tcPr>
            <w:tcW w:w="140" w:type="dxa"/>
            <w:vAlign w:val="bottom"/>
            <w:gridSpan w:val="4"/>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40" w:type="dxa"/>
            <w:vAlign w:val="bottom"/>
            <w:gridSpan w:val="11"/>
          </w:tcPr>
          <w:p>
            <w:pPr>
              <w:spacing w:after="0" w:line="196" w:lineRule="exact"/>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the year ended December 31, 2023, filed with the Securities and Exchange Commission on January 31, 2024).</w:t>
              </w:r>
            </w:hyperlink>
          </w:p>
        </w:tc>
      </w:tr>
      <w:tr>
        <w:trPr>
          <w:trHeight w:val="20"/>
        </w:trPr>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920" w:type="dxa"/>
            <w:vAlign w:val="bottom"/>
          </w:tcPr>
          <w:p>
            <w:pPr>
              <w:spacing w:after="0"/>
              <w:rPr>
                <w:sz w:val="24"/>
                <w:szCs w:val="24"/>
                <w:color w:val="auto"/>
              </w:rPr>
            </w:pPr>
          </w:p>
        </w:tc>
        <w:tc>
          <w:tcPr>
            <w:tcW w:w="900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First Supplemental Indenture dated as of November 17, 2015 by and among the Company, the guarantors named therein and</w:t>
              </w:r>
            </w:hyperlink>
          </w:p>
        </w:tc>
        <w:tc>
          <w:tcPr>
            <w:tcW w:w="40" w:type="dxa"/>
            <w:vAlign w:val="bottom"/>
            <w:gridSpan w:val="2"/>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40" w:type="dxa"/>
            <w:vAlign w:val="bottom"/>
            <w:gridSpan w:val="11"/>
          </w:tcPr>
          <w:p>
            <w:pPr>
              <w:spacing w:after="0" w:line="196" w:lineRule="exact"/>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the Trustee (incorporated by reference to Exhibit 4.8 to the Company’s Annual Report on Form 10-K for the year ended</w:t>
              </w:r>
            </w:hyperlink>
          </w:p>
        </w:tc>
      </w:tr>
      <w:tr>
        <w:trPr>
          <w:trHeight w:val="196"/>
        </w:trPr>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88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December 31, 2023, filed with the Securities and Exchange Commission on January 31, 2024).</w:t>
              </w:r>
            </w:hyperlink>
          </w:p>
        </w:tc>
        <w:tc>
          <w:tcPr>
            <w:tcW w:w="1740" w:type="dxa"/>
            <w:vAlign w:val="bottom"/>
            <w:tcBorders>
              <w:top w:val="single" w:sz="8" w:color="0000EE"/>
            </w:tcBorders>
            <w:gridSpan w:val="5"/>
          </w:tcPr>
          <w:p>
            <w:pPr>
              <w:spacing w:after="0"/>
              <w:rPr>
                <w:sz w:val="17"/>
                <w:szCs w:val="17"/>
                <w:color w:val="auto"/>
              </w:rPr>
            </w:pPr>
          </w:p>
        </w:tc>
        <w:tc>
          <w:tcPr>
            <w:tcW w:w="420" w:type="dxa"/>
            <w:vAlign w:val="bottom"/>
            <w:gridSpan w:val="5"/>
          </w:tcPr>
          <w:p>
            <w:pPr>
              <w:spacing w:after="0"/>
              <w:rPr>
                <w:sz w:val="17"/>
                <w:szCs w:val="17"/>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920" w:type="dxa"/>
            <w:vAlign w:val="bottom"/>
          </w:tcPr>
          <w:p>
            <w:pPr>
              <w:spacing w:after="0"/>
              <w:rPr>
                <w:sz w:val="24"/>
                <w:szCs w:val="24"/>
                <w:color w:val="auto"/>
              </w:rPr>
            </w:pPr>
          </w:p>
        </w:tc>
        <w:tc>
          <w:tcPr>
            <w:tcW w:w="90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Second Supplemental Indenture dated as of July 29, 2022 by and among the Company, the guarantors named therein, and the</w:t>
              </w:r>
            </w:hyperlink>
          </w:p>
        </w:tc>
      </w:tr>
      <w:tr>
        <w:trPr>
          <w:trHeight w:val="196"/>
        </w:trPr>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3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22">
              <w:r>
                <w:rPr>
                  <w:rFonts w:ascii="Times New Roman" w:cs="Times New Roman" w:eastAsia="Times New Roman" w:hAnsi="Times New Roman"/>
                  <w:sz w:val="18"/>
                  <w:szCs w:val="18"/>
                  <w:color w:val="0000EE"/>
                  <w:w w:val="99"/>
                </w:rPr>
                <w:t>Trustee (incorporated by reference to Exhibit 4.9 to the Company’s Annual Report on Form 10-K for the year ended</w:t>
              </w:r>
            </w:hyperlink>
          </w:p>
        </w:tc>
        <w:tc>
          <w:tcPr>
            <w:tcW w:w="680" w:type="dxa"/>
            <w:vAlign w:val="bottom"/>
            <w:gridSpan w:val="7"/>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8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December 31, 2023, filed with the Securities and Exchange Commission on January 31, 2024).</w:t>
              </w:r>
            </w:hyperlink>
          </w:p>
        </w:tc>
        <w:tc>
          <w:tcPr>
            <w:tcW w:w="2160" w:type="dxa"/>
            <w:vAlign w:val="bottom"/>
            <w:gridSpan w:val="10"/>
          </w:tcPr>
          <w:p>
            <w:pPr>
              <w:spacing w:after="0"/>
              <w:rPr>
                <w:sz w:val="17"/>
                <w:szCs w:val="17"/>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920" w:type="dxa"/>
            <w:vAlign w:val="bottom"/>
          </w:tcPr>
          <w:p>
            <w:pPr>
              <w:spacing w:after="0"/>
              <w:rPr>
                <w:sz w:val="24"/>
                <w:szCs w:val="24"/>
                <w:color w:val="auto"/>
              </w:rPr>
            </w:pPr>
          </w:p>
        </w:tc>
        <w:tc>
          <w:tcPr>
            <w:tcW w:w="9040" w:type="dxa"/>
            <w:vAlign w:val="bottom"/>
            <w:gridSpan w:val="11"/>
          </w:tcPr>
          <w:p>
            <w:pPr>
              <w:spacing w:after="0"/>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Form of Officers’ Certificate setting forth the terms of the Notes (incorporated by reference to Exhibit 4.1 to the Company’s</w:t>
              </w:r>
            </w:hyperlink>
          </w:p>
        </w:tc>
      </w:tr>
      <w:tr>
        <w:trPr>
          <w:trHeight w:val="196"/>
        </w:trPr>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66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23">
              <w:r>
                <w:rPr>
                  <w:rFonts w:ascii="Times New Roman" w:cs="Times New Roman" w:eastAsia="Times New Roman" w:hAnsi="Times New Roman"/>
                  <w:sz w:val="18"/>
                  <w:szCs w:val="18"/>
                  <w:color w:val="0000EE"/>
                  <w:w w:val="99"/>
                </w:rPr>
                <w:t>Current Report on Form 8-K filed with the Securities and Exchange Commission on September 26, 2024).</w:t>
              </w:r>
            </w:hyperlink>
          </w:p>
        </w:tc>
        <w:tc>
          <w:tcPr>
            <w:tcW w:w="1260" w:type="dxa"/>
            <w:vAlign w:val="bottom"/>
            <w:tcBorders>
              <w:top w:val="single" w:sz="8" w:color="0000EE"/>
            </w:tcBorders>
            <w:gridSpan w:val="6"/>
          </w:tcPr>
          <w:p>
            <w:pPr>
              <w:spacing w:after="0"/>
              <w:rPr>
                <w:sz w:val="17"/>
                <w:szCs w:val="17"/>
                <w:color w:val="auto"/>
              </w:rPr>
            </w:pPr>
          </w:p>
        </w:tc>
        <w:tc>
          <w:tcPr>
            <w:tcW w:w="120" w:type="dxa"/>
            <w:vAlign w:val="bottom"/>
            <w:gridSpan w:val="3"/>
          </w:tcPr>
          <w:p>
            <w:pPr>
              <w:spacing w:after="0"/>
              <w:rPr>
                <w:sz w:val="17"/>
                <w:szCs w:val="17"/>
                <w:color w:val="auto"/>
              </w:rPr>
            </w:pPr>
          </w:p>
        </w:tc>
      </w:tr>
    </w:tbl>
    <w:p>
      <w:pPr>
        <w:sectPr>
          <w:pgSz w:w="11900" w:h="16838" w:orient="portrait"/>
          <w:cols w:equalWidth="0" w:num="1">
            <w:col w:w="11000"/>
          </w:cols>
          <w:pgMar w:left="440" w:top="266" w:right="459" w:bottom="1440" w:gutter="0" w:footer="0" w:header="0"/>
        </w:sectPr>
      </w:pPr>
    </w:p>
    <w:bookmarkStart w:id="3" w:name="page4"/>
    <w:bookmarkEnd w:id="3"/>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12 of the Securities Exchange Act of 1934, the registrants have duly caused this registration statement to be signed on their behalf by the undersigned, thereto duly authorized.</w:t>
      </w:r>
    </w:p>
    <w:p>
      <w:pPr>
        <w:spacing w:after="0" w:line="18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COMCAST CORPORATION</w:t>
      </w:r>
    </w:p>
    <w:p>
      <w:pPr>
        <w:spacing w:after="0" w:line="225" w:lineRule="exact"/>
        <w:rPr>
          <w:sz w:val="20"/>
          <w:szCs w:val="20"/>
          <w:color w:val="auto"/>
        </w:rPr>
      </w:pPr>
    </w:p>
    <w:p>
      <w:pPr>
        <w:ind w:left="5500"/>
        <w:spacing w:after="0"/>
        <w:tabs>
          <w:tab w:leader="none" w:pos="5920" w:val="left"/>
        </w:tabs>
        <w:rPr>
          <w:sz w:val="20"/>
          <w:szCs w:val="20"/>
          <w:color w:val="auto"/>
        </w:rPr>
      </w:pPr>
      <w:r>
        <w:rPr>
          <w:rFonts w:ascii="Times New Roman" w:cs="Times New Roman" w:eastAsia="Times New Roman" w:hAnsi="Times New Roman"/>
          <w:sz w:val="18"/>
          <w:szCs w:val="18"/>
          <w:color w:val="auto"/>
        </w:rPr>
        <w:t>By:</w:t>
        <w:tab/>
        <w:t>/s/ Elizabeth Wideman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 Elizabeth Wideman</w:t>
      </w:r>
    </w:p>
    <w:p>
      <w:pPr>
        <w:spacing w:after="0" w:line="27" w:lineRule="exact"/>
        <w:rPr>
          <w:sz w:val="20"/>
          <w:szCs w:val="20"/>
          <w:color w:val="auto"/>
        </w:rPr>
      </w:pPr>
    </w:p>
    <w:p>
      <w:pPr>
        <w:ind w:left="5940"/>
        <w:spacing w:after="0"/>
        <w:tabs>
          <w:tab w:leader="none" w:pos="6500" w:val="left"/>
        </w:tabs>
        <w:rPr>
          <w:sz w:val="20"/>
          <w:szCs w:val="20"/>
          <w:color w:val="auto"/>
        </w:rPr>
      </w:pPr>
      <w:r>
        <w:rPr>
          <w:rFonts w:ascii="Times New Roman" w:cs="Times New Roman" w:eastAsia="Times New Roman" w:hAnsi="Times New Roman"/>
          <w:sz w:val="18"/>
          <w:szCs w:val="18"/>
          <w:color w:val="auto"/>
        </w:rPr>
        <w:t>Title: </w:t>
      </w:r>
      <w:r>
        <w:rPr>
          <w:sz w:val="20"/>
          <w:szCs w:val="20"/>
          <w:color w:val="auto"/>
        </w:rPr>
        <w:tab/>
      </w:r>
      <w:r>
        <w:rPr>
          <w:rFonts w:ascii="Times New Roman" w:cs="Times New Roman" w:eastAsia="Times New Roman" w:hAnsi="Times New Roman"/>
          <w:sz w:val="17"/>
          <w:szCs w:val="17"/>
          <w:color w:val="auto"/>
        </w:rPr>
        <w:t>  Senior Vice President, Senior Deputy</w:t>
      </w:r>
    </w:p>
    <w:p>
      <w:pPr>
        <w:spacing w:after="0" w:line="9" w:lineRule="exact"/>
        <w:rPr>
          <w:sz w:val="20"/>
          <w:szCs w:val="20"/>
          <w:color w:val="auto"/>
        </w:rPr>
      </w:pPr>
    </w:p>
    <w:p>
      <w:pPr>
        <w:ind w:left="5900"/>
        <w:spacing w:after="0"/>
        <w:tabs>
          <w:tab w:leader="none" w:pos="6140" w:val="left"/>
          <w:tab w:leader="none" w:pos="6320" w:val="left"/>
          <w:tab w:leader="none" w:pos="6500" w:val="left"/>
        </w:tabs>
        <w:rPr>
          <w:sz w:val="20"/>
          <w:szCs w:val="20"/>
          <w:color w:val="auto"/>
        </w:rPr>
      </w:pPr>
      <w:r>
        <w:rPr>
          <w:rFonts w:ascii="Times New Roman" w:cs="Times New Roman" w:eastAsia="Times New Roman" w:hAnsi="Times New Roman"/>
          <w:sz w:val="18"/>
          <w:szCs w:val="18"/>
          <w:color w:val="auto"/>
        </w:rPr>
        <w:t>   </w:t>
        <w:tab/>
        <w:t> </w:t>
        <w:tab/>
        <w:t> </w:t>
      </w:r>
      <w:r>
        <w:rPr>
          <w:sz w:val="20"/>
          <w:szCs w:val="20"/>
          <w:color w:val="auto"/>
        </w:rPr>
        <w:tab/>
      </w:r>
      <w:r>
        <w:rPr>
          <w:rFonts w:ascii="Times New Roman" w:cs="Times New Roman" w:eastAsia="Times New Roman" w:hAnsi="Times New Roman"/>
          <w:sz w:val="17"/>
          <w:szCs w:val="17"/>
          <w:color w:val="auto"/>
        </w:rPr>
        <w:t> General Counsel and Assistant Secretary.</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COMCAST CABLE COMMUNICATIONS, LLC</w:t>
      </w:r>
    </w:p>
    <w:p>
      <w:pPr>
        <w:spacing w:after="0" w:line="225" w:lineRule="exact"/>
        <w:rPr>
          <w:sz w:val="20"/>
          <w:szCs w:val="20"/>
          <w:color w:val="auto"/>
        </w:rPr>
      </w:pPr>
    </w:p>
    <w:p>
      <w:pPr>
        <w:ind w:left="5500"/>
        <w:spacing w:after="0"/>
        <w:tabs>
          <w:tab w:leader="none" w:pos="5920" w:val="left"/>
        </w:tabs>
        <w:rPr>
          <w:sz w:val="20"/>
          <w:szCs w:val="20"/>
          <w:color w:val="auto"/>
        </w:rPr>
      </w:pPr>
      <w:r>
        <w:rPr>
          <w:rFonts w:ascii="Times New Roman" w:cs="Times New Roman" w:eastAsia="Times New Roman" w:hAnsi="Times New Roman"/>
          <w:sz w:val="18"/>
          <w:szCs w:val="18"/>
          <w:color w:val="auto"/>
        </w:rPr>
        <w:t>By:</w:t>
        <w:tab/>
        <w:t>/s/ Elizabeth Wideman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 Elizabeth Wideman</w:t>
      </w:r>
    </w:p>
    <w:p>
      <w:pPr>
        <w:spacing w:after="0" w:line="27" w:lineRule="exact"/>
        <w:rPr>
          <w:sz w:val="20"/>
          <w:szCs w:val="20"/>
          <w:color w:val="auto"/>
        </w:rPr>
      </w:pPr>
    </w:p>
    <w:p>
      <w:pPr>
        <w:ind w:left="5940"/>
        <w:spacing w:after="0"/>
        <w:tabs>
          <w:tab w:leader="none" w:pos="6500" w:val="left"/>
        </w:tabs>
        <w:rPr>
          <w:sz w:val="20"/>
          <w:szCs w:val="20"/>
          <w:color w:val="auto"/>
        </w:rPr>
      </w:pPr>
      <w:r>
        <w:rPr>
          <w:rFonts w:ascii="Times New Roman" w:cs="Times New Roman" w:eastAsia="Times New Roman" w:hAnsi="Times New Roman"/>
          <w:sz w:val="18"/>
          <w:szCs w:val="18"/>
          <w:color w:val="auto"/>
        </w:rPr>
        <w:t>Title: </w:t>
      </w:r>
      <w:r>
        <w:rPr>
          <w:sz w:val="20"/>
          <w:szCs w:val="20"/>
          <w:color w:val="auto"/>
        </w:rPr>
        <w:tab/>
      </w:r>
      <w:r>
        <w:rPr>
          <w:rFonts w:ascii="Times New Roman" w:cs="Times New Roman" w:eastAsia="Times New Roman" w:hAnsi="Times New Roman"/>
          <w:sz w:val="17"/>
          <w:szCs w:val="17"/>
          <w:color w:val="auto"/>
        </w:rPr>
        <w:t>  Senior Vice President, Senior Deputy</w:t>
      </w:r>
    </w:p>
    <w:p>
      <w:pPr>
        <w:spacing w:after="0" w:line="9" w:lineRule="exact"/>
        <w:rPr>
          <w:sz w:val="20"/>
          <w:szCs w:val="20"/>
          <w:color w:val="auto"/>
        </w:rPr>
      </w:pPr>
    </w:p>
    <w:p>
      <w:pPr>
        <w:ind w:left="5900"/>
        <w:spacing w:after="0"/>
        <w:tabs>
          <w:tab w:leader="none" w:pos="6140" w:val="left"/>
          <w:tab w:leader="none" w:pos="6320" w:val="left"/>
          <w:tab w:leader="none" w:pos="6500" w:val="left"/>
        </w:tabs>
        <w:rPr>
          <w:sz w:val="20"/>
          <w:szCs w:val="20"/>
          <w:color w:val="auto"/>
        </w:rPr>
      </w:pPr>
      <w:r>
        <w:rPr>
          <w:rFonts w:ascii="Times New Roman" w:cs="Times New Roman" w:eastAsia="Times New Roman" w:hAnsi="Times New Roman"/>
          <w:sz w:val="18"/>
          <w:szCs w:val="18"/>
          <w:color w:val="auto"/>
        </w:rPr>
        <w:t>   </w:t>
        <w:tab/>
        <w:t> </w:t>
        <w:tab/>
        <w:t> </w:t>
        <w:tab/>
        <w:t> General Counsel and Assistant Secretary</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NBCUNIVERSAL MEDIA, LLC</w:t>
      </w:r>
    </w:p>
    <w:p>
      <w:pPr>
        <w:spacing w:after="0" w:line="22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NBCUniversal, LLC, its sole member</w:t>
      </w:r>
    </w:p>
    <w:p>
      <w:pPr>
        <w:spacing w:after="0" w:line="225" w:lineRule="exact"/>
        <w:rPr>
          <w:sz w:val="20"/>
          <w:szCs w:val="20"/>
          <w:color w:val="auto"/>
        </w:rPr>
      </w:pPr>
    </w:p>
    <w:p>
      <w:pPr>
        <w:ind w:left="5500"/>
        <w:spacing w:after="0"/>
        <w:tabs>
          <w:tab w:leader="none" w:pos="5920" w:val="left"/>
        </w:tabs>
        <w:rPr>
          <w:sz w:val="20"/>
          <w:szCs w:val="20"/>
          <w:color w:val="auto"/>
        </w:rPr>
      </w:pPr>
      <w:r>
        <w:rPr>
          <w:rFonts w:ascii="Times New Roman" w:cs="Times New Roman" w:eastAsia="Times New Roman" w:hAnsi="Times New Roman"/>
          <w:sz w:val="18"/>
          <w:szCs w:val="18"/>
          <w:color w:val="auto"/>
        </w:rPr>
        <w:t>By:</w:t>
        <w:tab/>
        <w:t>/s/ Elizabeth Wideman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 Elizabeth Wideman</w:t>
      </w:r>
    </w:p>
    <w:p>
      <w:pPr>
        <w:spacing w:after="0" w:line="27" w:lineRule="exact"/>
        <w:rPr>
          <w:sz w:val="20"/>
          <w:szCs w:val="20"/>
          <w:color w:val="auto"/>
        </w:rPr>
      </w:pPr>
    </w:p>
    <w:p>
      <w:pPr>
        <w:ind w:left="5940"/>
        <w:spacing w:after="0"/>
        <w:tabs>
          <w:tab w:leader="none" w:pos="6500" w:val="left"/>
        </w:tabs>
        <w:rPr>
          <w:sz w:val="20"/>
          <w:szCs w:val="20"/>
          <w:color w:val="auto"/>
        </w:rPr>
      </w:pPr>
      <w:r>
        <w:rPr>
          <w:rFonts w:ascii="Times New Roman" w:cs="Times New Roman" w:eastAsia="Times New Roman" w:hAnsi="Times New Roman"/>
          <w:sz w:val="18"/>
          <w:szCs w:val="18"/>
          <w:color w:val="auto"/>
        </w:rPr>
        <w:t>Title: </w:t>
      </w:r>
      <w:r>
        <w:rPr>
          <w:sz w:val="20"/>
          <w:szCs w:val="20"/>
          <w:color w:val="auto"/>
        </w:rPr>
        <w:tab/>
      </w:r>
      <w:r>
        <w:rPr>
          <w:rFonts w:ascii="Times New Roman" w:cs="Times New Roman" w:eastAsia="Times New Roman" w:hAnsi="Times New Roman"/>
          <w:sz w:val="17"/>
          <w:szCs w:val="17"/>
          <w:color w:val="auto"/>
        </w:rPr>
        <w:t>  Senior Vice President, Senior Deputy</w:t>
      </w:r>
    </w:p>
    <w:p>
      <w:pPr>
        <w:spacing w:after="0" w:line="9" w:lineRule="exact"/>
        <w:rPr>
          <w:sz w:val="20"/>
          <w:szCs w:val="20"/>
          <w:color w:val="auto"/>
        </w:rPr>
      </w:pPr>
    </w:p>
    <w:p>
      <w:pPr>
        <w:ind w:left="5900"/>
        <w:spacing w:after="0"/>
        <w:tabs>
          <w:tab w:leader="none" w:pos="6140" w:val="left"/>
          <w:tab w:leader="none" w:pos="6320" w:val="left"/>
          <w:tab w:leader="none" w:pos="6500" w:val="left"/>
        </w:tabs>
        <w:rPr>
          <w:sz w:val="20"/>
          <w:szCs w:val="20"/>
          <w:color w:val="auto"/>
        </w:rPr>
      </w:pPr>
      <w:r>
        <w:rPr>
          <w:rFonts w:ascii="Times New Roman" w:cs="Times New Roman" w:eastAsia="Times New Roman" w:hAnsi="Times New Roman"/>
          <w:sz w:val="18"/>
          <w:szCs w:val="18"/>
          <w:color w:val="auto"/>
        </w:rPr>
        <w:t>   </w:t>
        <w:tab/>
        <w:t> </w:t>
        <w:tab/>
        <w:t> </w:t>
        <w:tab/>
        <w:t> General Counsel and Assistant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26, 2024</w:t>
      </w:r>
    </w:p>
    <w:sectPr>
      <w:pgSz w:w="11900" w:h="16838" w:orient="portrait"/>
      <w:cols w:equalWidth="0" w:num="1">
        <w:col w:w="10620"/>
      </w:cols>
      <w:pgMar w:left="440" w:top="266"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2" Type="http://schemas.openxmlformats.org/officeDocument/2006/relationships/hyperlink" Target="http://www.sec.gov/ix?doc=/Archives/edgar/data/1166691/000116669124000011/cmcsa-20231231.htm" TargetMode="External"/><Relationship Id="rId23" Type="http://schemas.openxmlformats.org/officeDocument/2006/relationships/hyperlink" Target="http://www.sec.gov/Archives/edgar/data/1166691/000119312524226937/d872581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2024-09-26T16:53:21Z</dcterms:created>
  <dcterms:modified xsi:type="dcterms:W3CDTF">2024-09-26T16:53:21Z</dcterms:modified>
</cp:coreProperties>
</file>