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OMB APPROVAL</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OMB Number: 3235-0145</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Expires: October 31, 2002</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Estimated average burden</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hours per response. . . 14.9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Comcast Corp.</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Class A Common Stock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(CUSIP Number)</w:t>
            </w:r>
          </w:p>
        </w:tc>
        <w:tc>
          <w:tcPr>
            <w:tcW w:w="2320" w:type="dxa"/>
            <w:vAlign w:val="bottom"/>
          </w:tcPr>
          <w:p>
            <w:pPr>
              <w:ind w:left="1360"/>
              <w:spacing w:after="0"/>
              <w:rPr>
                <w:sz w:val="20"/>
                <w:szCs w:val="20"/>
                <w:color w:val="auto"/>
              </w:rPr>
            </w:pPr>
            <w:r>
              <w:rPr>
                <w:rFonts w:ascii="Courier New" w:cs="Courier New" w:eastAsia="Courier New" w:hAnsi="Courier New"/>
                <w:sz w:val="18"/>
                <w:szCs w:val="18"/>
                <w:color w:val="auto"/>
                <w:w w:val="96"/>
              </w:rPr>
              <w:t>20030N101</w:t>
            </w:r>
          </w:p>
        </w:tc>
      </w:tr>
    </w:tbl>
    <w:p>
      <w:pPr>
        <w:sectPr>
          <w:pgSz w:w="11900" w:h="16838" w:orient="portrait"/>
          <w:cols w:equalWidth="0" w:num="1">
            <w:col w:w="10219"/>
          </w:cols>
          <w:pgMar w:left="240" w:top="244" w:right="1440" w:bottom="24" w:gutter="0" w:footer="0" w:header="0"/>
        </w:sectPr>
      </w:pPr>
    </w:p>
    <w:bookmarkStart w:id="1" w:name="page2"/>
    <w:bookmarkEnd w:id="1"/>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February 12,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0"/>
          <w:szCs w:val="20"/>
          <w:color w:val="auto"/>
        </w:rPr>
      </w:pPr>
    </w:p>
    <w:p>
      <w:pPr>
        <w:ind w:left="1060" w:hanging="420"/>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1" w:lineRule="exact"/>
        <w:rPr>
          <w:rFonts w:ascii="Courier New" w:cs="Courier New" w:eastAsia="Courier New" w:hAnsi="Courier New"/>
          <w:sz w:val="18"/>
          <w:szCs w:val="18"/>
          <w:color w:val="auto"/>
        </w:rPr>
      </w:pPr>
    </w:p>
    <w:p>
      <w:pPr>
        <w:ind w:left="860" w:hanging="220"/>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]Rule 13d-1(c)</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 for a reporting person's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initial filing on this form with respect to the subject class of securities, and for any subsequent amendment containing information which would alter the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disclosures provided in a prior cover page.</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w:t>
      </w:r>
    </w:p>
    <w:p>
      <w:pPr>
        <w:spacing w:after="0" w:line="17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1934 ("Act") or otherwise subject to the liabilities of that section of the Act but shall be subject to all other provisions of the Act (however, see the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Potential persons who are to respond to the collection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contained in this form are not required to respond unless the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CUSIP No. 20030N101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1.Names of Reporting Persons.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BNP Paribas, SA</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94-1677765</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2. Check the Appropriate Box if a Member of a Group (See Instructions)</w:t>
      </w:r>
    </w:p>
    <w:p>
      <w:pPr>
        <w:sectPr>
          <w:pgSz w:w="11900" w:h="16838" w:orient="portrait"/>
          <w:cols w:equalWidth="0" w:num="1">
            <w:col w:w="10219"/>
          </w:cols>
          <w:pgMar w:left="240" w:top="1440" w:right="1440" w:bottom="537"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(a).......................................................................</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4.Citizenship or Place of Organization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France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740" w:type="dxa"/>
            <w:vAlign w:val="bottom"/>
          </w:tcPr>
          <w:p>
            <w:pPr>
              <w:spacing w:after="0"/>
              <w:rPr>
                <w:sz w:val="17"/>
                <w:szCs w:val="17"/>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1740" w:type="dxa"/>
            <w:vAlign w:val="bottom"/>
          </w:tcPr>
          <w:p>
            <w:pPr>
              <w:spacing w:after="0"/>
              <w:rPr>
                <w:sz w:val="24"/>
                <w:szCs w:val="24"/>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1740" w:type="dxa"/>
            <w:vAlign w:val="bottom"/>
          </w:tcPr>
          <w:p>
            <w:pPr>
              <w:spacing w:after="0"/>
              <w:rPr>
                <w:sz w:val="24"/>
                <w:szCs w:val="24"/>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Owned by</w:t>
            </w:r>
          </w:p>
        </w:tc>
        <w:tc>
          <w:tcPr>
            <w:tcW w:w="1740" w:type="dxa"/>
            <w:vAlign w:val="bottom"/>
          </w:tcPr>
          <w:p>
            <w:pPr>
              <w:spacing w:after="0"/>
              <w:rPr>
                <w:sz w:val="24"/>
                <w:szCs w:val="24"/>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Each Reporting</w:t>
            </w:r>
          </w:p>
        </w:tc>
        <w:tc>
          <w:tcPr>
            <w:tcW w:w="1740" w:type="dxa"/>
            <w:vAlign w:val="bottom"/>
          </w:tcPr>
          <w:p>
            <w:pPr>
              <w:spacing w:after="0"/>
              <w:rPr>
                <w:sz w:val="24"/>
                <w:szCs w:val="24"/>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1740" w:type="dxa"/>
            <w:vAlign w:val="bottom"/>
          </w:tcPr>
          <w:p>
            <w:pPr>
              <w:spacing w:after="0"/>
              <w:rPr>
                <w:sz w:val="24"/>
                <w:szCs w:val="24"/>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5.Sole Voting Power</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1,167,616</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6.Shared Voting Power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20"/>
                <w:szCs w:val="20"/>
                <w:color w:val="auto"/>
              </w:rPr>
            </w:pPr>
            <w:r>
              <w:rPr>
                <w:rFonts w:ascii="Courier New" w:cs="Courier New" w:eastAsia="Courier New" w:hAnsi="Courier New"/>
                <w:sz w:val="18"/>
                <w:szCs w:val="18"/>
                <w:color w:val="auto"/>
              </w:rPr>
              <w:t>7.Sole Dispositive</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w w:val="96"/>
              </w:rPr>
              <w:t>1,167,616</w:t>
            </w:r>
          </w:p>
        </w:tc>
      </w:tr>
      <w:tr>
        <w:trPr>
          <w:trHeight w:val="405"/>
        </w:trPr>
        <w:tc>
          <w:tcPr>
            <w:tcW w:w="4540" w:type="dxa"/>
            <w:vAlign w:val="bottom"/>
            <w:gridSpan w:val="2"/>
          </w:tcPr>
          <w:p>
            <w:pPr>
              <w:spacing w:after="0"/>
              <w:rPr>
                <w:sz w:val="20"/>
                <w:szCs w:val="20"/>
                <w:color w:val="auto"/>
              </w:rPr>
            </w:pPr>
            <w:r>
              <w:rPr>
                <w:rFonts w:ascii="Courier New" w:cs="Courier New" w:eastAsia="Courier New" w:hAnsi="Courier New"/>
                <w:sz w:val="14"/>
                <w:szCs w:val="14"/>
                <w:color w:val="auto"/>
                <w:w w:val="72"/>
              </w:rPr>
              <w:t>Power.....................................................................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8.Shared Dispositive Power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Pr>
          <w:p>
            <w:pPr>
              <w:spacing w:after="0"/>
              <w:rPr>
                <w:sz w:val="20"/>
                <w:szCs w:val="20"/>
                <w:color w:val="auto"/>
              </w:rPr>
            </w:pPr>
            <w:r>
              <w:rPr>
                <w:rFonts w:ascii="Courier New" w:cs="Courier New" w:eastAsia="Courier New" w:hAnsi="Courier New"/>
                <w:sz w:val="18"/>
                <w:szCs w:val="18"/>
                <w:color w:val="auto"/>
              </w:rPr>
              <w:t>9.Aggregate Amount Beneficially Owned by Each Reporting</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4"/>
              </w:rPr>
              <w:t>1,167,616</w:t>
            </w:r>
          </w:p>
        </w:tc>
      </w:tr>
      <w:tr>
        <w:trPr>
          <w:trHeight w:val="405"/>
        </w:trPr>
        <w:tc>
          <w:tcPr>
            <w:tcW w:w="70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3"/>
              </w:rPr>
              <w:t>Person................................................................</w:t>
            </w:r>
          </w:p>
        </w:tc>
      </w:tr>
    </w:tbl>
    <w:p>
      <w:pPr>
        <w:sectPr>
          <w:pgSz w:w="11900" w:h="16838" w:orient="portrait"/>
          <w:cols w:equalWidth="0" w:num="1">
            <w:col w:w="9579"/>
          </w:cols>
          <w:pgMar w:left="880" w:top="344" w:right="1440" w:bottom="1440" w:gutter="0" w:footer="0" w:header="0"/>
        </w:sectPr>
      </w:pPr>
    </w:p>
    <w:bookmarkStart w:id="3" w:name="page4"/>
    <w:bookmarkEnd w:id="3"/>
    <w:p>
      <w:pPr>
        <w:ind w:left="640"/>
        <w:spacing w:after="0"/>
        <w:rPr>
          <w:sz w:val="20"/>
          <w:szCs w:val="20"/>
          <w:color w:val="auto"/>
        </w:rPr>
      </w:pPr>
      <w:r>
        <w:rPr>
          <w:rFonts w:ascii="Courier New" w:cs="Courier New" w:eastAsia="Courier New" w:hAnsi="Courier New"/>
          <w:sz w:val="18"/>
          <w:szCs w:val="18"/>
          <w:color w:val="auto"/>
        </w:rPr>
        <w:t>10.Check if the Aggregate Amount in Row (9) Excludes Certain Shares (See</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5800" w:type="dxa"/>
            <w:vAlign w:val="bottom"/>
          </w:tcPr>
          <w:p>
            <w:pPr>
              <w:spacing w:after="0"/>
              <w:rPr>
                <w:sz w:val="20"/>
                <w:szCs w:val="20"/>
                <w:color w:val="auto"/>
              </w:rPr>
            </w:pPr>
            <w:r>
              <w:rPr>
                <w:rFonts w:ascii="Courier New" w:cs="Courier New" w:eastAsia="Courier New" w:hAnsi="Courier New"/>
                <w:sz w:val="18"/>
                <w:szCs w:val="18"/>
                <w:color w:val="auto"/>
              </w:rPr>
              <w:t>11.Percent of Class Represented by Amount in Row (9)</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5.41%</w:t>
            </w:r>
          </w:p>
        </w:tc>
      </w:tr>
    </w:tbl>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40"/>
        <w:spacing w:after="0"/>
        <w:tabs>
          <w:tab w:leader="none" w:pos="5880" w:val="left"/>
        </w:tabs>
        <w:rPr>
          <w:sz w:val="20"/>
          <w:szCs w:val="20"/>
          <w:color w:val="auto"/>
        </w:rPr>
      </w:pPr>
      <w:r>
        <w:rPr>
          <w:rFonts w:ascii="Courier New" w:cs="Courier New" w:eastAsia="Courier New" w:hAnsi="Courier New"/>
          <w:sz w:val="18"/>
          <w:szCs w:val="18"/>
          <w:color w:val="auto"/>
        </w:rPr>
        <w:t>12.Type of Reporting Person (See Instructions)</w:t>
      </w:r>
      <w:r>
        <w:rPr>
          <w:sz w:val="20"/>
          <w:szCs w:val="20"/>
          <w:color w:val="auto"/>
        </w:rPr>
        <w:tab/>
      </w:r>
      <w:r>
        <w:rPr>
          <w:rFonts w:ascii="Courier New" w:cs="Courier New" w:eastAsia="Courier New" w:hAnsi="Courier New"/>
          <w:sz w:val="18"/>
          <w:szCs w:val="18"/>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INSTRUCTIONS FOR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Instructions for Cover Page</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(l)Names and I.R.S. Identification Numbers of Reporting Persons-Furnish</w:t>
      </w:r>
    </w:p>
    <w:p>
      <w:pPr>
        <w:spacing w:after="0" w:line="207" w:lineRule="exact"/>
        <w:rPr>
          <w:sz w:val="20"/>
          <w:szCs w:val="20"/>
          <w:color w:val="auto"/>
        </w:rPr>
      </w:pPr>
    </w:p>
    <w:p>
      <w:pPr>
        <w:ind w:left="640" w:right="1779"/>
        <w:spacing w:after="0" w:line="290" w:lineRule="auto"/>
        <w:rPr>
          <w:sz w:val="20"/>
          <w:szCs w:val="20"/>
          <w:color w:val="auto"/>
        </w:rPr>
      </w:pPr>
      <w:r>
        <w:rPr>
          <w:rFonts w:ascii="Courier New" w:cs="Courier New" w:eastAsia="Courier New" w:hAnsi="Courier New"/>
          <w:sz w:val="16"/>
          <w:szCs w:val="16"/>
          <w:color w:val="auto"/>
        </w:rPr>
        <w:t>the full legal name of each person for whom the report is filed-i.e., each person required to sign the schedule itself-including each member of a</w:t>
      </w:r>
    </w:p>
    <w:p>
      <w:pPr>
        <w:spacing w:after="0" w:line="170" w:lineRule="exact"/>
        <w:rPr>
          <w:sz w:val="20"/>
          <w:szCs w:val="20"/>
          <w:color w:val="auto"/>
        </w:rPr>
      </w:pPr>
    </w:p>
    <w:p>
      <w:pPr>
        <w:ind w:left="640" w:right="1999"/>
        <w:spacing w:after="0" w:line="558" w:lineRule="auto"/>
        <w:rPr>
          <w:sz w:val="20"/>
          <w:szCs w:val="20"/>
          <w:color w:val="auto"/>
        </w:rPr>
      </w:pPr>
      <w:r>
        <w:rPr>
          <w:rFonts w:ascii="Courier New" w:cs="Courier New" w:eastAsia="Courier New" w:hAnsi="Courier New"/>
          <w:sz w:val="16"/>
          <w:szCs w:val="16"/>
          <w:color w:val="auto"/>
        </w:rPr>
        <w:t>group. Do not include the name of a person required to be identified in the report but who is not a reporting person. Reporting persons that are</w:t>
      </w:r>
    </w:p>
    <w:p>
      <w:pPr>
        <w:sectPr>
          <w:pgSz w:w="11900" w:h="16838" w:orient="portrait"/>
          <w:cols w:equalWidth="0" w:num="1">
            <w:col w:w="10219"/>
          </w:cols>
          <w:pgMar w:left="240" w:top="339"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entities are also requested to furnish their I.R.S. identification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numbers, although disclosure of such numbers is voluntary, not mandatory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"SPECIAL INSTRUCTIONS FOR COMPLYING WITH SCHEDULE 13G" below).</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(2)If any of the shares beneficially owned by a reporting person are held as a member of a group and that membership is expressly affirmed, please</w:t>
      </w:r>
    </w:p>
    <w:p>
      <w:pPr>
        <w:spacing w:after="0" w:line="170"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row 2(a). If the reporting person disclaims membership in a group or describes a relationship with other persons but does not affirm the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existence of a group, please check row 2(b) [unless it is a joint filing</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pursuant to Rule 13d1(k)(1) in which case it may not be necessary to check row 2(b)].</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(3)The third row is for SEC internal use; please leave blank.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(4)Citizenship or Place of Organization-Furnish citizenship if the named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 person is a natural person. Otherwise, furnish place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organization.</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(5)-(9), (11)Aggregate Amount Beneficially Owned By Each Reporting Person, Etc.-Rows (5) through (9) inclusive, and (11) are to be completed in</w:t>
      </w:r>
    </w:p>
    <w:p>
      <w:pPr>
        <w:spacing w:after="0" w:line="170"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accordance with the provisions of Item 4 of Schedule 13G. All percentages are to be rounded off to the nearest tenth (one place after decimal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point).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(10)Check if the aggregate amount reported as beneficially owned in row</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(9)does not include shares as to which beneficial ownership is disclaimed pursuant to Rule 13d-4 (17 CFR 240.13d-4] under the Securities Exchange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 of 1934.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Person-Please classify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according to the following breakdown (see Item 3 of Schedule 13G) 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place the appropriate symbol on the form:</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CategorySymbol</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Broker Dealer BD</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Bank BK</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Insurance Company IC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Investment Company IV</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Investment Adviser IA</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Employee Benefit Plan, Pension Fund, or Endowment Fund EP</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Parent Holding Company/Control Person HC</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Savings Association SA</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Church Plan CP</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Corporation CO</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Partnership PN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Individual IN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Other OO</w:t>
      </w:r>
    </w:p>
    <w:p>
      <w:pPr>
        <w:sectPr>
          <w:pgSz w:w="11900" w:h="16838" w:orient="portrait"/>
          <w:cols w:equalWidth="0" w:num="1">
            <w:col w:w="9579"/>
          </w:cols>
          <w:pgMar w:left="880" w:top="136" w:right="1440" w:bottom="1440" w:gutter="0" w:footer="0" w:header="0"/>
        </w:sectPr>
      </w:pPr>
    </w:p>
    <w:bookmarkStart w:id="5" w:name="page6"/>
    <w:bookmarkEnd w:id="5"/>
    <w:p>
      <w:pPr>
        <w:spacing w:after="0" w:line="139" w:lineRule="exact"/>
        <w:rPr>
          <w:sz w:val="20"/>
          <w:szCs w:val="20"/>
          <w:color w:val="auto"/>
        </w:rPr>
      </w:pPr>
    </w:p>
    <w:p>
      <w:pPr>
        <w:ind w:left="640" w:right="2099"/>
        <w:spacing w:after="0" w:line="470" w:lineRule="auto"/>
        <w:rPr>
          <w:sz w:val="20"/>
          <w:szCs w:val="20"/>
          <w:color w:val="auto"/>
        </w:rPr>
      </w:pPr>
      <w:r>
        <w:rPr>
          <w:rFonts w:ascii="Courier New" w:cs="Courier New" w:eastAsia="Courier New" w:hAnsi="Courier New"/>
          <w:sz w:val="18"/>
          <w:szCs w:val="18"/>
          <w:color w:val="auto"/>
        </w:rPr>
        <w:t>Notes:Attach as many copies of the second part of the cover page as are needed, one reporting person per page.</w:t>
      </w:r>
    </w:p>
    <w:p>
      <w:pPr>
        <w:spacing w:after="0" w:line="12" w:lineRule="exact"/>
        <w:rPr>
          <w:sz w:val="20"/>
          <w:szCs w:val="20"/>
          <w:color w:val="auto"/>
        </w:rPr>
      </w:pPr>
    </w:p>
    <w:p>
      <w:pPr>
        <w:ind w:left="640" w:right="2099"/>
        <w:spacing w:after="0" w:line="536" w:lineRule="auto"/>
        <w:rPr>
          <w:sz w:val="20"/>
          <w:szCs w:val="20"/>
          <w:color w:val="auto"/>
        </w:rPr>
      </w:pPr>
      <w:r>
        <w:rPr>
          <w:rFonts w:ascii="Courier New" w:cs="Courier New" w:eastAsia="Courier New" w:hAnsi="Courier New"/>
          <w:sz w:val="16"/>
          <w:szCs w:val="16"/>
          <w:color w:val="auto"/>
        </w:rPr>
        <w:t>Filing persons may, in order to avoid unnecessary duplication, answer items on the schedules (Schedule 13D, 13G or 14D1) by appropriate cross references to an item or items on the cover page(s). This approach may</w:t>
      </w:r>
    </w:p>
    <w:p>
      <w:pPr>
        <w:spacing w:after="0" w:line="1" w:lineRule="exact"/>
        <w:rPr>
          <w:sz w:val="20"/>
          <w:szCs w:val="20"/>
          <w:color w:val="auto"/>
        </w:rPr>
      </w:pPr>
    </w:p>
    <w:p>
      <w:pPr>
        <w:ind w:left="640" w:right="1779"/>
        <w:spacing w:after="0" w:line="290" w:lineRule="auto"/>
        <w:rPr>
          <w:sz w:val="20"/>
          <w:szCs w:val="20"/>
          <w:color w:val="auto"/>
        </w:rPr>
      </w:pPr>
      <w:r>
        <w:rPr>
          <w:rFonts w:ascii="Courier New" w:cs="Courier New" w:eastAsia="Courier New" w:hAnsi="Courier New"/>
          <w:sz w:val="16"/>
          <w:szCs w:val="16"/>
          <w:color w:val="auto"/>
        </w:rPr>
        <w:t>only be used where the cover page item or items provide all the disclosure required by the schedule item. Moreover, such a use of a cover page item</w:t>
      </w:r>
    </w:p>
    <w:p>
      <w:pPr>
        <w:spacing w:after="0" w:line="170" w:lineRule="exact"/>
        <w:rPr>
          <w:sz w:val="20"/>
          <w:szCs w:val="20"/>
          <w:color w:val="auto"/>
        </w:rPr>
      </w:pPr>
    </w:p>
    <w:p>
      <w:pPr>
        <w:ind w:left="640" w:right="1999"/>
        <w:spacing w:after="0" w:line="474" w:lineRule="auto"/>
        <w:rPr>
          <w:sz w:val="20"/>
          <w:szCs w:val="20"/>
          <w:color w:val="auto"/>
        </w:rPr>
      </w:pPr>
      <w:r>
        <w:rPr>
          <w:rFonts w:ascii="Courier New" w:cs="Courier New" w:eastAsia="Courier New" w:hAnsi="Courier New"/>
          <w:sz w:val="18"/>
          <w:szCs w:val="18"/>
          <w:color w:val="auto"/>
        </w:rPr>
        <w:t>will result in the item becoming a part of the schedule and accordingly being considered as "filed" for purposes of Section 18 of the Securities Exchange Act or otherwise subject to the liabilities of that section of the Act.</w:t>
      </w:r>
    </w:p>
    <w:p>
      <w:pPr>
        <w:spacing w:after="0" w:line="10" w:lineRule="exact"/>
        <w:rPr>
          <w:sz w:val="20"/>
          <w:szCs w:val="20"/>
          <w:color w:val="auto"/>
        </w:rPr>
      </w:pPr>
    </w:p>
    <w:p>
      <w:pPr>
        <w:ind w:left="640" w:right="1879"/>
        <w:spacing w:after="0" w:line="235" w:lineRule="auto"/>
        <w:rPr>
          <w:sz w:val="20"/>
          <w:szCs w:val="20"/>
          <w:color w:val="auto"/>
        </w:rPr>
      </w:pPr>
      <w:r>
        <w:rPr>
          <w:rFonts w:ascii="Courier New" w:cs="Courier New" w:eastAsia="Courier New" w:hAnsi="Courier New"/>
          <w:sz w:val="18"/>
          <w:szCs w:val="18"/>
          <w:color w:val="auto"/>
        </w:rPr>
        <w:t>Reporting persons may comply with their cover page filing requirements by filing either completed copies of the blank forms available from the</w:t>
      </w:r>
    </w:p>
    <w:p>
      <w:pPr>
        <w:spacing w:after="0" w:line="208" w:lineRule="exact"/>
        <w:rPr>
          <w:sz w:val="20"/>
          <w:szCs w:val="20"/>
          <w:color w:val="auto"/>
        </w:rPr>
      </w:pPr>
    </w:p>
    <w:p>
      <w:pPr>
        <w:ind w:left="640" w:right="1999"/>
        <w:spacing w:after="0" w:line="475" w:lineRule="auto"/>
        <w:rPr>
          <w:sz w:val="20"/>
          <w:szCs w:val="20"/>
          <w:color w:val="auto"/>
        </w:rPr>
      </w:pPr>
      <w:r>
        <w:rPr>
          <w:rFonts w:ascii="Courier New" w:cs="Courier New" w:eastAsia="Courier New" w:hAnsi="Courier New"/>
          <w:sz w:val="18"/>
          <w:szCs w:val="18"/>
          <w:color w:val="auto"/>
        </w:rPr>
        <w:t>Commission, printed or typed facsimiles, or computer printed facsimiles, provided the documents filed have identical formats to the forms prescribed in the Commission's regulations and meet existing Securities Exchange Act rules as to such matters as clarity and size (Securities Exchange Act Rule 12b-12).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SPECIAL INSTRUCTIONS FOR COMPLYING WITH SCHEDULE 13G</w:t>
      </w:r>
    </w:p>
    <w:p>
      <w:pPr>
        <w:spacing w:after="0" w:line="207" w:lineRule="exact"/>
        <w:rPr>
          <w:sz w:val="20"/>
          <w:szCs w:val="20"/>
          <w:color w:val="auto"/>
        </w:rPr>
      </w:pPr>
    </w:p>
    <w:p>
      <w:pPr>
        <w:ind w:right="1999"/>
        <w:spacing w:after="0" w:line="474" w:lineRule="auto"/>
        <w:rPr>
          <w:sz w:val="20"/>
          <w:szCs w:val="20"/>
          <w:color w:val="auto"/>
        </w:rPr>
      </w:pPr>
      <w:r>
        <w:rPr>
          <w:rFonts w:ascii="Courier New" w:cs="Courier New" w:eastAsia="Courier New" w:hAnsi="Courier New"/>
          <w:sz w:val="18"/>
          <w:szCs w:val="18"/>
          <w:color w:val="auto"/>
        </w:rPr>
        <w:t>Under Sections 13(d), 13(g), and 23 of the Securities Exchange Act of 1934 and the rules and regulations thereunder, the Commission is authorized to solicit the information required to be supplied by this schedule by certain security holders of certain issuers.</w:t>
      </w:r>
    </w:p>
    <w:p>
      <w:pPr>
        <w:spacing w:after="0" w:line="10" w:lineRule="exact"/>
        <w:rPr>
          <w:sz w:val="20"/>
          <w:szCs w:val="20"/>
          <w:color w:val="auto"/>
        </w:rPr>
      </w:pPr>
    </w:p>
    <w:p>
      <w:pPr>
        <w:ind w:right="1999"/>
        <w:spacing w:after="0" w:line="536" w:lineRule="auto"/>
        <w:rPr>
          <w:sz w:val="20"/>
          <w:szCs w:val="20"/>
          <w:color w:val="auto"/>
        </w:rPr>
      </w:pPr>
      <w:r>
        <w:rPr>
          <w:rFonts w:ascii="Courier New" w:cs="Courier New" w:eastAsia="Courier New" w:hAnsi="Courier New"/>
          <w:sz w:val="16"/>
          <w:szCs w:val="16"/>
          <w:color w:val="auto"/>
        </w:rPr>
        <w:t>Disclosure of the information specified in this schedule is mandatory, except for I.R.S. identification numbers, disclosure of which is voluntary. The information will be used for the primary purpose of determining and disclosing the holdings of certain beneficial owners of certain equity securities. This statement will be made a matter of public record. Therefore, any information given will be available for inspection by any member of the public.</w:t>
      </w:r>
    </w:p>
    <w:p>
      <w:pPr>
        <w:spacing w:after="0" w:line="2"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Because of the public nature of the information, the Commission can use it for a variety of purposes, including referral to other governmental authorities or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self-regulatory organizations for investigatory purposes or in</w:t>
      </w:r>
    </w:p>
    <w:p>
      <w:pPr>
        <w:spacing w:after="0" w:line="207" w:lineRule="exact"/>
        <w:rPr>
          <w:sz w:val="20"/>
          <w:szCs w:val="20"/>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connection with litigation involving the Federal securities laws or other civil, criminal or regulatory statutes or provisions. I.R.S. identification numbers, if furnished, will assist the Commission in identifying security holders and,</w:t>
      </w:r>
    </w:p>
    <w:p>
      <w:pPr>
        <w:spacing w:after="0" w:line="178" w:lineRule="exact"/>
        <w:rPr>
          <w:sz w:val="20"/>
          <w:szCs w:val="20"/>
          <w:color w:val="auto"/>
        </w:rPr>
      </w:pPr>
    </w:p>
    <w:p>
      <w:pPr>
        <w:ind w:right="2739"/>
        <w:spacing w:after="0" w:line="470" w:lineRule="auto"/>
        <w:rPr>
          <w:sz w:val="20"/>
          <w:szCs w:val="20"/>
          <w:color w:val="auto"/>
        </w:rPr>
      </w:pPr>
      <w:r>
        <w:rPr>
          <w:rFonts w:ascii="Courier New" w:cs="Courier New" w:eastAsia="Courier New" w:hAnsi="Courier New"/>
          <w:sz w:val="18"/>
          <w:szCs w:val="18"/>
          <w:color w:val="auto"/>
        </w:rPr>
        <w:t>therefore, in promptly processing statements of beneficial ownership of securities.</w:t>
      </w:r>
    </w:p>
    <w:p>
      <w:pPr>
        <w:spacing w:after="0" w:line="12" w:lineRule="exact"/>
        <w:rPr>
          <w:sz w:val="20"/>
          <w:szCs w:val="20"/>
          <w:color w:val="auto"/>
        </w:rPr>
      </w:pPr>
    </w:p>
    <w:p>
      <w:pPr>
        <w:ind w:right="2099"/>
        <w:spacing w:after="0" w:line="547" w:lineRule="auto"/>
        <w:rPr>
          <w:sz w:val="20"/>
          <w:szCs w:val="20"/>
          <w:color w:val="auto"/>
        </w:rPr>
      </w:pPr>
      <w:r>
        <w:rPr>
          <w:rFonts w:ascii="Courier New" w:cs="Courier New" w:eastAsia="Courier New" w:hAnsi="Courier New"/>
          <w:sz w:val="16"/>
          <w:szCs w:val="16"/>
          <w:color w:val="auto"/>
        </w:rPr>
        <w:t>Failure to disclose the information requested by this schedule, except for I.R.S. identification numbers, may result in civil or criminal action against the persons involved for violation of the Federal securities laws and rules</w:t>
      </w:r>
    </w:p>
    <w:p>
      <w:pPr>
        <w:sectPr>
          <w:pgSz w:w="11900" w:h="16978" w:orient="portrait"/>
          <w:cols w:equalWidth="0" w:num="1">
            <w:col w:w="10219"/>
          </w:cols>
          <w:pgMar w:left="240" w:top="344"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INSTRUCTIONS</w:t>
      </w:r>
    </w:p>
    <w:p>
      <w:pPr>
        <w:spacing w:after="0" w:line="207" w:lineRule="exact"/>
        <w:rPr>
          <w:sz w:val="20"/>
          <w:szCs w:val="20"/>
          <w:color w:val="auto"/>
        </w:rPr>
      </w:pPr>
    </w:p>
    <w:p>
      <w:pPr>
        <w:ind w:left="640" w:right="1999"/>
        <w:spacing w:after="0" w:line="536" w:lineRule="auto"/>
        <w:rPr>
          <w:sz w:val="20"/>
          <w:szCs w:val="20"/>
          <w:color w:val="auto"/>
        </w:rPr>
      </w:pPr>
      <w:r>
        <w:rPr>
          <w:rFonts w:ascii="Courier New" w:cs="Courier New" w:eastAsia="Courier New" w:hAnsi="Courier New"/>
          <w:sz w:val="16"/>
          <w:szCs w:val="16"/>
          <w:color w:val="auto"/>
        </w:rPr>
        <w:t>A.Statements filed pursuant to Rule 13d-1(b) containing the information required by this schedule shall be filed not later than February 14 following the calendar year covered by the statement or within the time specified in Rules 13d-1(b)(2) and 13d2(c). Statements filed pursuant to</w:t>
      </w:r>
    </w:p>
    <w:p>
      <w:pPr>
        <w:spacing w:after="0" w:line="1" w:lineRule="exact"/>
        <w:rPr>
          <w:sz w:val="20"/>
          <w:szCs w:val="20"/>
          <w:color w:val="auto"/>
        </w:rPr>
      </w:pPr>
    </w:p>
    <w:p>
      <w:pPr>
        <w:ind w:left="640" w:right="1779"/>
        <w:spacing w:after="0" w:line="279" w:lineRule="auto"/>
        <w:rPr>
          <w:sz w:val="20"/>
          <w:szCs w:val="20"/>
          <w:color w:val="auto"/>
        </w:rPr>
      </w:pPr>
      <w:r>
        <w:rPr>
          <w:rFonts w:ascii="Courier New" w:cs="Courier New" w:eastAsia="Courier New" w:hAnsi="Courier New"/>
          <w:sz w:val="16"/>
          <w:szCs w:val="16"/>
          <w:color w:val="auto"/>
        </w:rPr>
        <w:t>Rule 13d-1(c) shall be filed within the time specified in Rules 13d-1(c), 13d-2(b) and 13d-2(d). Statements filed pursuant to Rule 13d-1(d) shall be filed not later than February 14 following the calendar year covered by</w:t>
      </w:r>
    </w:p>
    <w:p>
      <w:pPr>
        <w:spacing w:after="0" w:line="17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statement pursuant to Rules 13d-1(d) and 13d-2(b).</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B.Information contained in a form which is required to be filed by rules</w:t>
      </w:r>
    </w:p>
    <w:p>
      <w:pPr>
        <w:spacing w:after="0" w:line="207" w:lineRule="exact"/>
        <w:rPr>
          <w:sz w:val="20"/>
          <w:szCs w:val="20"/>
          <w:color w:val="auto"/>
        </w:rPr>
      </w:pPr>
    </w:p>
    <w:p>
      <w:pPr>
        <w:ind w:left="640" w:right="1879"/>
        <w:spacing w:after="0" w:line="290" w:lineRule="auto"/>
        <w:rPr>
          <w:sz w:val="20"/>
          <w:szCs w:val="20"/>
          <w:color w:val="auto"/>
        </w:rPr>
      </w:pPr>
      <w:r>
        <w:rPr>
          <w:rFonts w:ascii="Courier New" w:cs="Courier New" w:eastAsia="Courier New" w:hAnsi="Courier New"/>
          <w:sz w:val="16"/>
          <w:szCs w:val="16"/>
          <w:color w:val="auto"/>
        </w:rPr>
        <w:t>under section 13(f) (15 U.S.C. 78m(f)) for the same calendar year as that covered by a statement on this schedule may be incorporated by reference</w:t>
      </w:r>
    </w:p>
    <w:p>
      <w:pPr>
        <w:spacing w:after="0" w:line="170" w:lineRule="exact"/>
        <w:rPr>
          <w:sz w:val="20"/>
          <w:szCs w:val="20"/>
          <w:color w:val="auto"/>
        </w:rPr>
      </w:pPr>
    </w:p>
    <w:p>
      <w:pPr>
        <w:jc w:val="both"/>
        <w:ind w:left="640" w:right="1999"/>
        <w:spacing w:after="0" w:line="473" w:lineRule="auto"/>
        <w:rPr>
          <w:sz w:val="20"/>
          <w:szCs w:val="20"/>
          <w:color w:val="auto"/>
        </w:rPr>
      </w:pPr>
      <w:r>
        <w:rPr>
          <w:rFonts w:ascii="Courier New" w:cs="Courier New" w:eastAsia="Courier New" w:hAnsi="Courier New"/>
          <w:sz w:val="18"/>
          <w:szCs w:val="18"/>
          <w:color w:val="auto"/>
        </w:rPr>
        <w:t>in response to any of the items of this schedule. If such information is incorporated by reference in this schedule, copies of the relevant pages of such form shall be filed as an exhibit to this schedule.</w:t>
      </w:r>
    </w:p>
    <w:p>
      <w:pPr>
        <w:spacing w:after="0" w:line="10" w:lineRule="exact"/>
        <w:rPr>
          <w:sz w:val="20"/>
          <w:szCs w:val="20"/>
          <w:color w:val="auto"/>
        </w:rPr>
      </w:pPr>
    </w:p>
    <w:p>
      <w:pPr>
        <w:ind w:left="640" w:right="1999"/>
        <w:spacing w:after="0" w:line="475" w:lineRule="auto"/>
        <w:rPr>
          <w:sz w:val="20"/>
          <w:szCs w:val="20"/>
          <w:color w:val="auto"/>
        </w:rPr>
      </w:pPr>
      <w:r>
        <w:rPr>
          <w:rFonts w:ascii="Courier New" w:cs="Courier New" w:eastAsia="Courier New" w:hAnsi="Courier New"/>
          <w:sz w:val="18"/>
          <w:szCs w:val="18"/>
          <w:color w:val="auto"/>
        </w:rPr>
        <w:t>C.The item numbers and captions of the items shall be included but the text of the items is to be omitted. The answers to the items shall be so prepared as to indicate clearly the coverage of the items without referring to the text of the items. Answer every item. If an item is inapplicable or the answer is in the negative, so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tabs>
          <w:tab w:leader="none" w:pos="3360" w:val="left"/>
        </w:tabs>
        <w:rPr>
          <w:sz w:val="20"/>
          <w:szCs w:val="20"/>
          <w:color w:val="auto"/>
        </w:rPr>
      </w:pPr>
      <w:r>
        <w:rPr>
          <w:rFonts w:ascii="Courier New" w:cs="Courier New" w:eastAsia="Courier New" w:hAnsi="Courier New"/>
          <w:sz w:val="18"/>
          <w:szCs w:val="18"/>
          <w:color w:val="auto"/>
        </w:rPr>
        <w:t>(a)Name of Issuer</w:t>
      </w:r>
      <w:r>
        <w:rPr>
          <w:sz w:val="20"/>
          <w:szCs w:val="20"/>
          <w:color w:val="auto"/>
        </w:rPr>
        <w:tab/>
      </w:r>
      <w:r>
        <w:rPr>
          <w:rFonts w:ascii="Courier New" w:cs="Courier New" w:eastAsia="Courier New" w:hAnsi="Courier New"/>
          <w:sz w:val="16"/>
          <w:szCs w:val="16"/>
          <w:color w:val="auto"/>
        </w:rPr>
        <w:t>Comcast Corp.</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(b)Address of Issuer's Principal Executive Offices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1500 Market Street</w:t>
      </w:r>
    </w:p>
    <w:p>
      <w:pPr>
        <w:ind w:left="860"/>
        <w:spacing w:after="0" w:line="238" w:lineRule="auto"/>
        <w:rPr>
          <w:sz w:val="20"/>
          <w:szCs w:val="20"/>
          <w:color w:val="auto"/>
        </w:rPr>
      </w:pPr>
      <w:r>
        <w:rPr>
          <w:rFonts w:ascii="Courier New" w:cs="Courier New" w:eastAsia="Courier New" w:hAnsi="Courier New"/>
          <w:sz w:val="18"/>
          <w:szCs w:val="18"/>
          <w:color w:val="auto"/>
        </w:rPr>
        <w:t>Philadelphia, PA 19102-2148</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tabs>
          <w:tab w:leader="none" w:pos="4200" w:val="left"/>
        </w:tabs>
        <w:rPr>
          <w:sz w:val="20"/>
          <w:szCs w:val="20"/>
          <w:color w:val="auto"/>
        </w:rPr>
      </w:pPr>
      <w:r>
        <w:rPr>
          <w:rFonts w:ascii="Courier New" w:cs="Courier New" w:eastAsia="Courier New" w:hAnsi="Courier New"/>
          <w:sz w:val="18"/>
          <w:szCs w:val="18"/>
          <w:color w:val="auto"/>
        </w:rPr>
        <w:t>(a)Name of Person Filing</w:t>
      </w:r>
      <w:r>
        <w:rPr>
          <w:sz w:val="20"/>
          <w:szCs w:val="20"/>
          <w:color w:val="auto"/>
        </w:rPr>
        <w:tab/>
      </w:r>
      <w:r>
        <w:rPr>
          <w:rFonts w:ascii="Courier New" w:cs="Courier New" w:eastAsia="Courier New" w:hAnsi="Courier New"/>
          <w:sz w:val="16"/>
          <w:szCs w:val="16"/>
          <w:color w:val="auto"/>
        </w:rPr>
        <w:t>BNP Paribas,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16 boulevard des Italiens</w:t>
      </w:r>
    </w:p>
    <w:p>
      <w:pPr>
        <w:ind w:left="860"/>
        <w:spacing w:after="0" w:line="238" w:lineRule="auto"/>
        <w:rPr>
          <w:sz w:val="20"/>
          <w:szCs w:val="20"/>
          <w:color w:val="auto"/>
        </w:rPr>
      </w:pPr>
      <w:r>
        <w:rPr>
          <w:rFonts w:ascii="Courier New" w:cs="Courier New" w:eastAsia="Courier New" w:hAnsi="Courier New"/>
          <w:sz w:val="18"/>
          <w:szCs w:val="18"/>
          <w:color w:val="auto"/>
        </w:rPr>
        <w:t>7509 Paris, France</w:t>
      </w:r>
    </w:p>
    <w:p>
      <w:pPr>
        <w:sectPr>
          <w:pgSz w:w="11900" w:h="16838" w:orient="portrait"/>
          <w:cols w:equalWidth="0" w:num="1">
            <w:col w:w="10219"/>
          </w:cols>
          <w:pgMar w:left="240" w:top="339"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(c)Citizenship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French</w:t>
      </w:r>
    </w:p>
    <w:p>
      <w:pPr>
        <w:spacing w:after="0" w:line="200" w:lineRule="exact"/>
        <w:rPr>
          <w:sz w:val="20"/>
          <w:szCs w:val="20"/>
          <w:color w:val="auto"/>
        </w:rPr>
      </w:pPr>
    </w:p>
    <w:p>
      <w:pPr>
        <w:sectPr>
          <w:pgSz w:w="11900" w:h="16838" w:orient="portrait"/>
          <w:cols w:equalWidth="0" w:num="2">
            <w:col w:w="1480" w:space="420"/>
            <w:col w:w="7679"/>
          </w:cols>
          <w:pgMar w:left="880" w:top="547" w:right="1440" w:bottom="0" w:gutter="0" w:footer="0" w:header="0"/>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(d)Title of Class of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Class A Common Stock</w:t>
      </w:r>
    </w:p>
    <w:p>
      <w:pPr>
        <w:spacing w:after="0" w:line="200" w:lineRule="exact"/>
        <w:rPr>
          <w:sz w:val="20"/>
          <w:szCs w:val="20"/>
          <w:color w:val="auto"/>
        </w:rPr>
      </w:pPr>
    </w:p>
    <w:p>
      <w:pPr>
        <w:sectPr>
          <w:pgSz w:w="11900" w:h="16838" w:orient="portrait"/>
          <w:cols w:equalWidth="0" w:num="2">
            <w:col w:w="3700" w:space="720"/>
            <w:col w:w="5159"/>
          </w:cols>
          <w:pgMar w:left="880" w:top="547"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(e)CUSIP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00" w:lineRule="exact"/>
        <w:rPr>
          <w:sz w:val="20"/>
          <w:szCs w:val="20"/>
          <w:color w:val="auto"/>
        </w:rPr>
      </w:pPr>
    </w:p>
    <w:p>
      <w:pPr>
        <w:sectPr>
          <w:pgSz w:w="11900" w:h="16838" w:orient="portrait"/>
          <w:cols w:equalWidth="0" w:num="2">
            <w:col w:w="3700" w:space="720"/>
            <w:col w:w="5159"/>
          </w:cols>
          <w:pgMar w:left="880" w:top="54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3.If this statement is filed pursuant to 240.13d-1(b) 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71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]Broker or dealer registered under section 15 of the Act (15 U.S.C.</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78o).</w:t>
            </w:r>
          </w:p>
        </w:tc>
        <w:tc>
          <w:tcPr>
            <w:tcW w:w="496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810"/>
        </w:trPr>
        <w:tc>
          <w:tcPr>
            <w:tcW w:w="6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4960" w:type="dxa"/>
            <w:vAlign w:val="bottom"/>
          </w:tcPr>
          <w:p>
            <w:pPr>
              <w:ind w:left="60"/>
              <w:spacing w:after="0"/>
              <w:rPr>
                <w:sz w:val="20"/>
                <w:szCs w:val="20"/>
                <w:color w:val="auto"/>
              </w:rPr>
            </w:pPr>
            <w:r>
              <w:rPr>
                <w:rFonts w:ascii="Courier New" w:cs="Courier New" w:eastAsia="Courier New" w:hAnsi="Courier New"/>
                <w:sz w:val="18"/>
                <w:szCs w:val="18"/>
                <w:color w:val="auto"/>
                <w:w w:val="98"/>
              </w:rPr>
              <w:t>]Bank as defined in section 3(a)(6) of the Act</w:t>
            </w: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rPr>
              <w:t>(15 U.S.C. 78c).</w:t>
            </w:r>
          </w:p>
        </w:tc>
      </w:tr>
      <w:tr>
        <w:trPr>
          <w:trHeight w:val="810"/>
        </w:trPr>
        <w:tc>
          <w:tcPr>
            <w:tcW w:w="680" w:type="dxa"/>
            <w:vAlign w:val="bottom"/>
          </w:tcPr>
          <w:p>
            <w:pPr>
              <w:spacing w:after="0"/>
              <w:rPr>
                <w:sz w:val="20"/>
                <w:szCs w:val="20"/>
                <w:color w:val="auto"/>
              </w:rPr>
            </w:pPr>
            <w:r>
              <w:rPr>
                <w:rFonts w:ascii="Courier New" w:cs="Courier New" w:eastAsia="Courier New" w:hAnsi="Courier New"/>
                <w:sz w:val="18"/>
                <w:szCs w:val="18"/>
                <w:color w:val="auto"/>
              </w:rPr>
              <w:t>(c)[</w:t>
            </w:r>
          </w:p>
        </w:tc>
        <w:tc>
          <w:tcPr>
            <w:tcW w:w="7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]Insurance company as defined in section 3(a)(19) of the Act (15</w:t>
            </w:r>
          </w:p>
        </w:tc>
      </w:tr>
      <w:tr>
        <w:trPr>
          <w:trHeight w:val="405"/>
        </w:trPr>
        <w:tc>
          <w:tcPr>
            <w:tcW w:w="680" w:type="dxa"/>
            <w:vAlign w:val="bottom"/>
          </w:tcPr>
          <w:p>
            <w:pPr>
              <w:spacing w:after="0"/>
              <w:rPr>
                <w:sz w:val="20"/>
                <w:szCs w:val="20"/>
                <w:color w:val="auto"/>
              </w:rPr>
            </w:pPr>
            <w:r>
              <w:rPr>
                <w:rFonts w:ascii="Courier New" w:cs="Courier New" w:eastAsia="Courier New" w:hAnsi="Courier New"/>
                <w:sz w:val="18"/>
                <w:szCs w:val="18"/>
                <w:color w:val="auto"/>
              </w:rPr>
              <w:t>U.S.C.</w:t>
            </w:r>
          </w:p>
        </w:tc>
        <w:tc>
          <w:tcPr>
            <w:tcW w:w="4960" w:type="dxa"/>
            <w:vAlign w:val="bottom"/>
          </w:tcPr>
          <w:p>
            <w:pPr>
              <w:ind w:left="60"/>
              <w:spacing w:after="0"/>
              <w:rPr>
                <w:sz w:val="20"/>
                <w:szCs w:val="20"/>
                <w:color w:val="auto"/>
              </w:rPr>
            </w:pPr>
            <w:r>
              <w:rPr>
                <w:rFonts w:ascii="Courier New" w:cs="Courier New" w:eastAsia="Courier New" w:hAnsi="Courier New"/>
                <w:sz w:val="18"/>
                <w:szCs w:val="18"/>
                <w:color w:val="auto"/>
              </w:rPr>
              <w:t>78c).</w:t>
            </w:r>
          </w:p>
        </w:tc>
        <w:tc>
          <w:tcPr>
            <w:tcW w:w="2160" w:type="dxa"/>
            <w:vAlign w:val="bottom"/>
          </w:tcPr>
          <w:p>
            <w:pPr>
              <w:spacing w:after="0"/>
              <w:rPr>
                <w:sz w:val="24"/>
                <w:szCs w:val="24"/>
                <w:color w:val="auto"/>
              </w:rPr>
            </w:pPr>
          </w:p>
        </w:tc>
      </w:tr>
      <w:tr>
        <w:trPr>
          <w:trHeight w:val="810"/>
        </w:trPr>
        <w:tc>
          <w:tcPr>
            <w:tcW w:w="680" w:type="dxa"/>
            <w:vAlign w:val="bottom"/>
          </w:tcPr>
          <w:p>
            <w:pPr>
              <w:spacing w:after="0"/>
              <w:rPr>
                <w:sz w:val="20"/>
                <w:szCs w:val="20"/>
                <w:color w:val="auto"/>
              </w:rPr>
            </w:pPr>
            <w:r>
              <w:rPr>
                <w:rFonts w:ascii="Courier New" w:cs="Courier New" w:eastAsia="Courier New" w:hAnsi="Courier New"/>
                <w:sz w:val="18"/>
                <w:szCs w:val="18"/>
                <w:color w:val="auto"/>
              </w:rPr>
              <w:t>(d)[</w:t>
            </w:r>
          </w:p>
        </w:tc>
        <w:tc>
          <w:tcPr>
            <w:tcW w:w="4960" w:type="dxa"/>
            <w:vAlign w:val="bottom"/>
          </w:tcPr>
          <w:p>
            <w:pPr>
              <w:ind w:left="60"/>
              <w:spacing w:after="0"/>
              <w:rPr>
                <w:sz w:val="20"/>
                <w:szCs w:val="20"/>
                <w:color w:val="auto"/>
              </w:rPr>
            </w:pPr>
            <w:r>
              <w:rPr>
                <w:rFonts w:ascii="Courier New" w:cs="Courier New" w:eastAsia="Courier New" w:hAnsi="Courier New"/>
                <w:sz w:val="18"/>
                <w:szCs w:val="18"/>
                <w:color w:val="auto"/>
                <w:w w:val="98"/>
              </w:rPr>
              <w:t>]Investment company registered under section 8</w:t>
            </w: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rPr>
              <w:t>of the Investment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Act of 1940 (15 U.S.C 80a-8).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 ] An investment adviser in accordance with 240.13d-1(b)(1)(ii)(E);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(f)[</w:t>
            </w:r>
          </w:p>
        </w:tc>
        <w:tc>
          <w:tcPr>
            <w:tcW w:w="6220" w:type="dxa"/>
            <w:vAlign w:val="bottom"/>
          </w:tcPr>
          <w:p>
            <w:pPr>
              <w:ind w:left="160"/>
              <w:spacing w:after="0"/>
              <w:rPr>
                <w:sz w:val="20"/>
                <w:szCs w:val="20"/>
                <w:color w:val="auto"/>
              </w:rPr>
            </w:pPr>
            <w:r>
              <w:rPr>
                <w:rFonts w:ascii="Courier New" w:cs="Courier New" w:eastAsia="Courier New" w:hAnsi="Courier New"/>
                <w:sz w:val="18"/>
                <w:szCs w:val="18"/>
                <w:color w:val="auto"/>
                <w:w w:val="98"/>
              </w:rPr>
              <w:t>]An employee benefit plan or endowment fund in accordance</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with</w:t>
            </w:r>
          </w:p>
        </w:tc>
      </w:tr>
      <w:tr>
        <w:trPr>
          <w:trHeight w:val="405"/>
        </w:trPr>
        <w:tc>
          <w:tcPr>
            <w:tcW w:w="6800" w:type="dxa"/>
            <w:vAlign w:val="bottom"/>
            <w:gridSpan w:val="2"/>
          </w:tcPr>
          <w:p>
            <w:pPr>
              <w:spacing w:after="0"/>
              <w:rPr>
                <w:sz w:val="20"/>
                <w:szCs w:val="20"/>
                <w:color w:val="auto"/>
              </w:rPr>
            </w:pPr>
            <w:r>
              <w:rPr>
                <w:rFonts w:ascii="Courier New" w:cs="Courier New" w:eastAsia="Courier New" w:hAnsi="Courier New"/>
                <w:sz w:val="18"/>
                <w:szCs w:val="18"/>
                <w:color w:val="auto"/>
              </w:rPr>
              <w:t>240.13d-1(b)(1)(ii)(F);</w:t>
            </w:r>
          </w:p>
        </w:tc>
        <w:tc>
          <w:tcPr>
            <w:tcW w:w="780" w:type="dxa"/>
            <w:vAlign w:val="bottom"/>
          </w:tcPr>
          <w:p>
            <w:pPr>
              <w:spacing w:after="0"/>
              <w:rPr>
                <w:sz w:val="24"/>
                <w:szCs w:val="24"/>
                <w:color w:val="auto"/>
              </w:rPr>
            </w:pPr>
          </w:p>
        </w:tc>
      </w:tr>
      <w:tr>
        <w:trPr>
          <w:trHeight w:val="810"/>
        </w:trPr>
        <w:tc>
          <w:tcPr>
            <w:tcW w:w="580" w:type="dxa"/>
            <w:vAlign w:val="bottom"/>
          </w:tcPr>
          <w:p>
            <w:pPr>
              <w:spacing w:after="0"/>
              <w:rPr>
                <w:sz w:val="20"/>
                <w:szCs w:val="20"/>
                <w:color w:val="auto"/>
              </w:rPr>
            </w:pPr>
            <w:r>
              <w:rPr>
                <w:rFonts w:ascii="Courier New" w:cs="Courier New" w:eastAsia="Courier New" w:hAnsi="Courier New"/>
                <w:sz w:val="18"/>
                <w:szCs w:val="18"/>
                <w:color w:val="auto"/>
              </w:rPr>
              <w:t>(g)[</w:t>
            </w:r>
          </w:p>
        </w:tc>
        <w:tc>
          <w:tcPr>
            <w:tcW w:w="6220" w:type="dxa"/>
            <w:vAlign w:val="bottom"/>
          </w:tcPr>
          <w:p>
            <w:pPr>
              <w:ind w:left="160"/>
              <w:spacing w:after="0"/>
              <w:rPr>
                <w:sz w:val="20"/>
                <w:szCs w:val="20"/>
                <w:color w:val="auto"/>
              </w:rPr>
            </w:pPr>
            <w:r>
              <w:rPr>
                <w:rFonts w:ascii="Courier New" w:cs="Courier New" w:eastAsia="Courier New" w:hAnsi="Courier New"/>
                <w:sz w:val="18"/>
                <w:szCs w:val="18"/>
                <w:color w:val="auto"/>
                <w:w w:val="98"/>
              </w:rPr>
              <w:t>]A parent holding company or control person in accordance</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with</w:t>
            </w:r>
          </w:p>
        </w:tc>
      </w:tr>
      <w:tr>
        <w:trPr>
          <w:trHeight w:val="405"/>
        </w:trPr>
        <w:tc>
          <w:tcPr>
            <w:tcW w:w="6800" w:type="dxa"/>
            <w:vAlign w:val="bottom"/>
            <w:gridSpan w:val="2"/>
          </w:tcPr>
          <w:p>
            <w:pPr>
              <w:spacing w:after="0"/>
              <w:rPr>
                <w:sz w:val="20"/>
                <w:szCs w:val="20"/>
                <w:color w:val="auto"/>
              </w:rPr>
            </w:pPr>
            <w:r>
              <w:rPr>
                <w:rFonts w:ascii="Courier New" w:cs="Courier New" w:eastAsia="Courier New" w:hAnsi="Courier New"/>
                <w:sz w:val="18"/>
                <w:szCs w:val="18"/>
                <w:color w:val="auto"/>
              </w:rPr>
              <w:t>240.13d-1(b)(1)(ii)(G);</w:t>
            </w:r>
          </w:p>
        </w:tc>
        <w:tc>
          <w:tcPr>
            <w:tcW w:w="780" w:type="dxa"/>
            <w:vAlign w:val="bottom"/>
          </w:tcPr>
          <w:p>
            <w:pPr>
              <w:spacing w:after="0"/>
              <w:rPr>
                <w:sz w:val="24"/>
                <w:szCs w:val="24"/>
                <w:color w:val="auto"/>
              </w:rPr>
            </w:pPr>
          </w:p>
        </w:tc>
      </w:tr>
      <w:tr>
        <w:trPr>
          <w:trHeight w:val="810"/>
        </w:trPr>
        <w:tc>
          <w:tcPr>
            <w:tcW w:w="580" w:type="dxa"/>
            <w:vAlign w:val="bottom"/>
          </w:tcPr>
          <w:p>
            <w:pPr>
              <w:spacing w:after="0"/>
              <w:rPr>
                <w:sz w:val="20"/>
                <w:szCs w:val="20"/>
                <w:color w:val="auto"/>
              </w:rPr>
            </w:pPr>
            <w:r>
              <w:rPr>
                <w:rFonts w:ascii="Courier New" w:cs="Courier New" w:eastAsia="Courier New" w:hAnsi="Courier New"/>
                <w:sz w:val="18"/>
                <w:szCs w:val="18"/>
                <w:color w:val="auto"/>
              </w:rPr>
              <w:t>(h)[</w:t>
            </w:r>
          </w:p>
        </w:tc>
        <w:tc>
          <w:tcPr>
            <w:tcW w:w="6220" w:type="dxa"/>
            <w:vAlign w:val="bottom"/>
          </w:tcPr>
          <w:p>
            <w:pPr>
              <w:ind w:left="160"/>
              <w:spacing w:after="0"/>
              <w:rPr>
                <w:sz w:val="20"/>
                <w:szCs w:val="20"/>
                <w:color w:val="auto"/>
              </w:rPr>
            </w:pPr>
            <w:r>
              <w:rPr>
                <w:rFonts w:ascii="Courier New" w:cs="Courier New" w:eastAsia="Courier New" w:hAnsi="Courier New"/>
                <w:sz w:val="18"/>
                <w:szCs w:val="18"/>
                <w:color w:val="auto"/>
                <w:w w:val="98"/>
              </w:rPr>
              <w:t>]A savings associations as defined in Section 3(b) of the</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w w:val="95"/>
              </w:rPr>
              <w:t>Federal</w:t>
            </w:r>
          </w:p>
        </w:tc>
      </w:tr>
      <w:tr>
        <w:trPr>
          <w:trHeight w:val="405"/>
        </w:trPr>
        <w:tc>
          <w:tcPr>
            <w:tcW w:w="6800" w:type="dxa"/>
            <w:vAlign w:val="bottom"/>
            <w:gridSpan w:val="2"/>
          </w:tcPr>
          <w:p>
            <w:pPr>
              <w:spacing w:after="0"/>
              <w:rPr>
                <w:sz w:val="20"/>
                <w:szCs w:val="20"/>
                <w:color w:val="auto"/>
              </w:rPr>
            </w:pPr>
            <w:r>
              <w:rPr>
                <w:rFonts w:ascii="Courier New" w:cs="Courier New" w:eastAsia="Courier New" w:hAnsi="Courier New"/>
                <w:sz w:val="18"/>
                <w:szCs w:val="18"/>
                <w:color w:val="auto"/>
              </w:rPr>
              <w:t>Deposit Insurance Act (12 U.S.C. 1813);</w:t>
            </w:r>
          </w:p>
        </w:tc>
        <w:tc>
          <w:tcPr>
            <w:tcW w:w="780" w:type="dxa"/>
            <w:vAlign w:val="bottom"/>
          </w:tcPr>
          <w:p>
            <w:pPr>
              <w:spacing w:after="0"/>
              <w:rPr>
                <w:sz w:val="24"/>
                <w:szCs w:val="24"/>
                <w:color w:val="auto"/>
              </w:rPr>
            </w:pPr>
          </w:p>
        </w:tc>
      </w:tr>
      <w:tr>
        <w:trPr>
          <w:trHeight w:val="810"/>
        </w:trPr>
        <w:tc>
          <w:tcPr>
            <w:tcW w:w="58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6220" w:type="dxa"/>
            <w:vAlign w:val="bottom"/>
          </w:tcPr>
          <w:p>
            <w:pPr>
              <w:ind w:left="160"/>
              <w:spacing w:after="0"/>
              <w:rPr>
                <w:sz w:val="20"/>
                <w:szCs w:val="20"/>
                <w:color w:val="auto"/>
              </w:rPr>
            </w:pPr>
            <w:r>
              <w:rPr>
                <w:rFonts w:ascii="Courier New" w:cs="Courier New" w:eastAsia="Courier New" w:hAnsi="Courier New"/>
                <w:sz w:val="18"/>
                <w:szCs w:val="18"/>
                <w:color w:val="auto"/>
                <w:w w:val="98"/>
              </w:rPr>
              <w:t>]A church plan that is excluded from the definition of an</w:t>
            </w:r>
          </w:p>
        </w:tc>
        <w:tc>
          <w:tcPr>
            <w:tcW w:w="780" w:type="dxa"/>
            <w:vAlign w:val="bottom"/>
          </w:tcPr>
          <w:p>
            <w:pPr>
              <w:spacing w:after="0"/>
              <w:rPr>
                <w:sz w:val="24"/>
                <w:szCs w:val="24"/>
                <w:color w:val="auto"/>
              </w:rPr>
            </w:pPr>
          </w:p>
        </w:tc>
      </w:tr>
    </w:tbl>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 (15 U.S.C. 80a-3);</w:t>
      </w:r>
    </w:p>
    <w:p>
      <w:pPr>
        <w:sectPr>
          <w:pgSz w:w="11900" w:h="16838" w:orient="portrait"/>
          <w:cols w:equalWidth="0" w:num="1">
            <w:col w:w="9579"/>
          </w:cols>
          <w:pgMar w:left="880" w:top="54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]Group, in accordance with 240.13d-1(b)(1)(ii)(J).</w:t>
      </w:r>
    </w:p>
    <w:p>
      <w:pPr>
        <w:spacing w:after="0" w:line="200" w:lineRule="exact"/>
        <w:rPr>
          <w:sz w:val="20"/>
          <w:szCs w:val="20"/>
          <w:color w:val="auto"/>
        </w:rPr>
      </w:pPr>
    </w:p>
    <w:p>
      <w:pPr>
        <w:sectPr>
          <w:pgSz w:w="11900" w:h="16838" w:orient="portrait"/>
          <w:cols w:equalWidth="0" w:num="2">
            <w:col w:w="420" w:space="320"/>
            <w:col w:w="8839"/>
          </w:cols>
          <w:pgMar w:left="880" w:top="54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4.Ownership.</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Provide the following information regarding the aggregate number and</w:t>
      </w:r>
    </w:p>
    <w:p>
      <w:pPr>
        <w:sectPr>
          <w:pgSz w:w="11900" w:h="16838" w:orient="portrait"/>
          <w:cols w:equalWidth="0" w:num="1">
            <w:col w:w="9579"/>
          </w:cols>
          <w:pgMar w:left="880" w:top="547" w:right="1440" w:bottom="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percentage of the class of securities of the issuer identified in Item 1.</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(a)Amount beneficially owned: 1,167,616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(b)Percent of class: 5.41%.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(c)Number of shares as to which the person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(i)Sole power to vote or to direct the vote 1,167,616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(ii)Shared power to vote or to direct the vote 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(iii)Sole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1,167,616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(iv)Shared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Instruction. For computations regarding securities which represent a right to acquire an underlying security see 240.13d3(d)(1).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5.Ownership of Five Percent or Less of a Class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tcPr>
          <w:p>
            <w:pPr>
              <w:spacing w:after="0"/>
              <w:rPr>
                <w:sz w:val="20"/>
                <w:szCs w:val="20"/>
                <w:color w:val="auto"/>
              </w:rPr>
            </w:pPr>
            <w:r>
              <w:rPr>
                <w:rFonts w:ascii="Courier New" w:cs="Courier New" w:eastAsia="Courier New" w:hAnsi="Courier New"/>
                <w:sz w:val="18"/>
                <w:szCs w:val="18"/>
                <w:color w:val="auto"/>
                <w:w w:val="99"/>
              </w:rPr>
              <w:t>If this statement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is</w:t>
            </w:r>
          </w:p>
        </w:tc>
        <w:tc>
          <w:tcPr>
            <w:tcW w:w="3260" w:type="dxa"/>
            <w:vAlign w:val="bottom"/>
          </w:tcPr>
          <w:p>
            <w:pPr>
              <w:ind w:left="60"/>
              <w:spacing w:after="0"/>
              <w:rPr>
                <w:sz w:val="20"/>
                <w:szCs w:val="20"/>
                <w:color w:val="auto"/>
              </w:rPr>
            </w:pPr>
            <w:r>
              <w:rPr>
                <w:rFonts w:ascii="Courier New" w:cs="Courier New" w:eastAsia="Courier New" w:hAnsi="Courier New"/>
                <w:sz w:val="18"/>
                <w:szCs w:val="18"/>
                <w:color w:val="auto"/>
                <w:w w:val="98"/>
              </w:rPr>
              <w:t>being filed to report the fact</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that as</w:t>
            </w:r>
          </w:p>
        </w:tc>
        <w:tc>
          <w:tcPr>
            <w:tcW w:w="1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of the date</w:t>
            </w:r>
          </w:p>
        </w:tc>
      </w:tr>
      <w:tr>
        <w:trPr>
          <w:trHeight w:val="405"/>
        </w:trPr>
        <w:tc>
          <w:tcPr>
            <w:tcW w:w="2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hereof the reporting</w:t>
            </w:r>
          </w:p>
        </w:tc>
        <w:tc>
          <w:tcPr>
            <w:tcW w:w="41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person has ceased to be the beneficial</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owner</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w w:val="95"/>
              </w:rPr>
              <w:t>of more</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than five percent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3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the class of securities, check</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the following</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6.Ownership of More than Five Percent on Behalf of Another Person.</w:t>
      </w:r>
    </w:p>
    <w:p>
      <w:pPr>
        <w:spacing w:after="0" w:line="207" w:lineRule="exact"/>
        <w:rPr>
          <w:sz w:val="20"/>
          <w:szCs w:val="20"/>
          <w:color w:val="auto"/>
        </w:rPr>
      </w:pPr>
    </w:p>
    <w:p>
      <w:pPr>
        <w:jc w:val="both"/>
        <w:ind w:right="1879"/>
        <w:spacing w:after="0" w:line="290" w:lineRule="auto"/>
        <w:rPr>
          <w:sz w:val="20"/>
          <w:szCs w:val="20"/>
          <w:color w:val="auto"/>
        </w:rPr>
      </w:pPr>
      <w:r>
        <w:rPr>
          <w:rFonts w:ascii="Courier New" w:cs="Courier New" w:eastAsia="Courier New" w:hAnsi="Courier New"/>
          <w:sz w:val="16"/>
          <w:szCs w:val="16"/>
          <w:color w:val="auto"/>
        </w:rPr>
        <w:t>If any other person is known to have the right to receive or the power to direct the receipt of dividends from, or the proceeds from the sale of,</w:t>
      </w:r>
    </w:p>
    <w:p>
      <w:pPr>
        <w:spacing w:after="0" w:line="170"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such securities, a statement to that effect should be included in response to this item and, if such interest relates to more than five percent of</w:t>
      </w:r>
    </w:p>
    <w:p>
      <w:pPr>
        <w:spacing w:after="0" w:line="170"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the class, such person should be identified. A listing of the shareholders of an investment company registered under the Investment Company Act of</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1940 or the beneficiaries of employee benefit plan, pension fund 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endowment fund is not required.</w:t>
      </w:r>
    </w:p>
    <w:p>
      <w:pPr>
        <w:sectPr>
          <w:pgSz w:w="11900" w:h="16838" w:orient="portrait"/>
          <w:cols w:equalWidth="0" w:num="1">
            <w:col w:w="9579"/>
          </w:cols>
          <w:pgMar w:left="880" w:top="344" w:right="1440" w:bottom="740" w:gutter="0" w:footer="0" w:header="0"/>
        </w:sectPr>
      </w:pPr>
    </w:p>
    <w:bookmarkStart w:id="9" w:name="page10"/>
    <w:bookmarkEnd w:id="9"/>
    <w:p>
      <w:pPr>
        <w:ind w:right="1879"/>
        <w:spacing w:after="0" w:line="235" w:lineRule="auto"/>
        <w:rPr>
          <w:sz w:val="20"/>
          <w:szCs w:val="20"/>
          <w:color w:val="auto"/>
        </w:rPr>
      </w:pPr>
      <w:r>
        <w:rPr>
          <w:rFonts w:ascii="Courier New" w:cs="Courier New" w:eastAsia="Courier New" w:hAnsi="Courier New"/>
          <w:sz w:val="18"/>
          <w:szCs w:val="18"/>
          <w:color w:val="auto"/>
        </w:rPr>
        <w:t>Item 7.Identification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a parent holding company has filed this schedule, pursuant to Rule</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13d-1(b)(ii)(G), so indicate under Item 3(g) and attach an exhibit stating the identity and the Item 3 classification of the relevant subsidiary. If a parent holding company has filed this schedule pursuant to Rule 13d-1(c) or Rule 13d-1(d), attach an exhibit stating the identification of the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relevant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8.Identification and Classification of Members of the Group</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If a group has filed this schedule pursuant to 240.13d-1(b)(1)(ii)(J), so indicate under Item 3(j) and attach an exhibit stating the identity and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classification of each member of the group. If a group has filed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schedule pursuant to 240.13d-1(c) or 240.13d-1(d), attach 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stating the identity of each member of the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 of dissolution of a group may be furnished as an exhibit stating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date of the dissolution and that all further filings with respect 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transactions in the security reported on will be filed, if required, by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members of the group, in their individual capacity. See Item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10.Certification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(a)The following certification shall be included if the statement is filed pursuant to 240.13d-1(b):</w:t>
      </w:r>
    </w:p>
    <w:p>
      <w:pPr>
        <w:spacing w:after="0" w:line="208" w:lineRule="exact"/>
        <w:rPr>
          <w:sz w:val="20"/>
          <w:szCs w:val="20"/>
          <w:color w:val="auto"/>
        </w:rPr>
      </w:pPr>
    </w:p>
    <w:p>
      <w:pPr>
        <w:ind w:left="220" w:right="1779"/>
        <w:spacing w:after="0" w:line="290"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w:t>
      </w:r>
    </w:p>
    <w:p>
      <w:pPr>
        <w:spacing w:after="0" w:line="16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ordinary course of business and were not acquired and are not held for</w:t>
      </w:r>
    </w:p>
    <w:p>
      <w:pPr>
        <w:spacing w:after="0" w:line="207" w:lineRule="exact"/>
        <w:rPr>
          <w:sz w:val="20"/>
          <w:szCs w:val="20"/>
          <w:color w:val="auto"/>
        </w:rPr>
      </w:pPr>
    </w:p>
    <w:p>
      <w:pPr>
        <w:ind w:left="220" w:right="1779"/>
        <w:spacing w:after="0" w:line="290" w:lineRule="auto"/>
        <w:rPr>
          <w:sz w:val="20"/>
          <w:szCs w:val="20"/>
          <w:color w:val="auto"/>
        </w:rPr>
      </w:pPr>
      <w:r>
        <w:rPr>
          <w:rFonts w:ascii="Courier New" w:cs="Courier New" w:eastAsia="Courier New" w:hAnsi="Courier New"/>
          <w:sz w:val="16"/>
          <w:szCs w:val="16"/>
          <w:color w:val="auto"/>
        </w:rPr>
        <w:t>the purpose of or with the effect of changing or influencing the control of the issuer of the securities and were not acquired and are not held</w:t>
      </w:r>
    </w:p>
    <w:p>
      <w:pPr>
        <w:spacing w:after="0" w:line="16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 connection with or as a participant in any transaction having that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purpose or effect.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(b)The following certification shall be included if the statement is filed pursuant to 240.13d-1(c):</w:t>
      </w:r>
    </w:p>
    <w:p>
      <w:pPr>
        <w:spacing w:after="0" w:line="208" w:lineRule="exact"/>
        <w:rPr>
          <w:sz w:val="20"/>
          <w:szCs w:val="20"/>
          <w:color w:val="auto"/>
        </w:rPr>
      </w:pPr>
    </w:p>
    <w:p>
      <w:pPr>
        <w:ind w:left="220" w:right="1779"/>
        <w:spacing w:after="0" w:line="275"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w:t>
      </w:r>
    </w:p>
    <w:p>
      <w:pPr>
        <w:spacing w:after="0" w:line="17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 connection with or as a participant in any transaction having that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purpose or effect.</w:t>
      </w:r>
    </w:p>
    <w:p>
      <w:pPr>
        <w:sectPr>
          <w:pgSz w:w="11900" w:h="16838" w:orient="portrait"/>
          <w:cols w:equalWidth="0" w:num="1">
            <w:col w:w="9579"/>
          </w:cols>
          <w:pgMar w:left="880" w:top="142" w:right="1440" w:bottom="537" w:gutter="0" w:footer="0" w:header="0"/>
        </w:sectPr>
      </w:pPr>
    </w:p>
    <w:bookmarkStart w:id="10" w:name="page11"/>
    <w:bookmarkEnd w:id="10"/>
    <w:p>
      <w:pPr>
        <w:ind w:left="860" w:right="1779"/>
        <w:spacing w:after="0" w:line="275"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w:t>
      </w:r>
    </w:p>
    <w:p>
      <w:pPr>
        <w:spacing w:after="0" w:line="17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 connection with or as a participant in any transaction having that</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 Signing this Report on Behalf of Reporting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Fred Hoevenaar</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Managing Director, Compliance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Phone:</w:t>
      </w:r>
      <w:r>
        <w:rPr>
          <w:sz w:val="20"/>
          <w:szCs w:val="20"/>
          <w:color w:val="auto"/>
        </w:rPr>
        <w:tab/>
      </w:r>
      <w:r>
        <w:rPr>
          <w:rFonts w:ascii="Courier New" w:cs="Courier New" w:eastAsia="Courier New" w:hAnsi="Courier New"/>
          <w:sz w:val="18"/>
          <w:szCs w:val="18"/>
          <w:color w:val="auto"/>
        </w:rPr>
        <w:t>610-491-1439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,Place, and Date of Signing: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Fred Hoevenaar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King of Prussia,PA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9,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original statement shall be signed by each person on whose behalf the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statement is filed or his authorized representative. If the statement is signed on behalf of a person by his authorized representative other than an executive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 or general partner of the filing person, evidence of the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representative's authority to sign on behalf of such person shall be filed with the statement, provided, however, that a power of attorney for this purpose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which is already on file with the Commission may be incorporated by reference.</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name and any title of each person who signs the statement shall be typed or printed beneath his signature.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Schedules filed in paper format shall include a signed original and five</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copies of the schedule, including all exhibits. See 240.13d-7 for other parties for whom copies are to be sent.</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Attention:Intentional misstatements or omissions of fact constitute</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Federal criminal violations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(See 18 U.S.C. 1001)</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2019-12-12T02:52:05Z</dcterms:created>
  <dcterms:modified xsi:type="dcterms:W3CDTF">2019-12-12T02:52:05Z</dcterms:modified>
</cp:coreProperties>
</file>