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Khoury Jennifer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COMCAST CENTER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PHILADELPHIA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19103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COMCAST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CMCSA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Communications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02/24/2026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02/24/2026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27,946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27,946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27,946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share of Class A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restricted stock units were granted subject to the achievement of performance conditions, which were attained on the transaction date. The restricted stock units vest 100% on the 3rd anniversary of the grant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Elizabeth Wideman,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02/25/2026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58734" TargetMode="External"/><Relationship Id="rId5" Type="http://schemas.openxmlformats.org/officeDocument/2006/relationships/hyperlink" Target="http://www.sec.gov/cgi-bin/browse-edgar?action=getcompany&amp;CIK=000116669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617</Words>
  <Characters>3368</Characters>
  <CharactersWithSpaces>3922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