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stock, as of the latest practical date:</w:t>
      </w:r>
    </w:p>
    <w:p>
      <w:pPr>
        <w:spacing w:after="0" w:line="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2015, there were 2,114,785,430 shares of Comcast Corporation Class A common stock, 368,198,461 shares of Comcast Corporation Class A Special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Not applicable for NBCUniversal Media, LLC.</w:t>
      </w:r>
    </w:p>
    <w:p>
      <w:pPr>
        <w:spacing w:after="0" w:line="57"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20" w:type="dxa"/>
            <w:vAlign w:val="bottom"/>
            <w:gridSpan w:val="20"/>
          </w:tcPr>
          <w:p>
            <w:pPr>
              <w:spacing w:after="0" w:line="129"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500" w:type="dxa"/>
            <w:vAlign w:val="bottom"/>
            <w:tcBorders>
              <w:top w:val="single" w:sz="8" w:color="0000EE"/>
            </w:tcBorders>
            <w:gridSpan w:val="3"/>
          </w:tcPr>
          <w:p>
            <w:pPr>
              <w:spacing w:after="0" w:line="129" w:lineRule="exact"/>
              <w:rPr>
                <w:rFonts w:ascii="Arial" w:cs="Arial" w:eastAsia="Arial" w:hAnsi="Arial"/>
                <w:sz w:val="14"/>
                <w:szCs w:val="14"/>
                <w:color w:val="0000EE"/>
                <w:w w:val="86"/>
              </w:rPr>
            </w:pPr>
            <w:hyperlink w:anchor="page3">
              <w:r>
                <w:rPr>
                  <w:rFonts w:ascii="Arial" w:cs="Arial" w:eastAsia="Arial" w:hAnsi="Arial"/>
                  <w:sz w:val="14"/>
                  <w:szCs w:val="14"/>
                  <w:color w:val="0000EE"/>
                  <w:w w:val="86"/>
                </w:rPr>
                <w:t>Comcast</w:t>
              </w:r>
            </w:hyperlink>
          </w:p>
        </w:tc>
        <w:tc>
          <w:tcPr>
            <w:tcW w:w="774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Corporation Financial Statements</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Borders>
              <w:top w:val="single" w:sz="8" w:color="0000EE"/>
            </w:tcBorders>
            <w:gridSpan w:val="8"/>
          </w:tcPr>
          <w:p>
            <w:pPr>
              <w:spacing w:after="0" w:line="129" w:lineRule="exact"/>
              <w:rPr>
                <w:rFonts w:ascii="Arial" w:cs="Arial" w:eastAsia="Arial" w:hAnsi="Arial"/>
                <w:sz w:val="14"/>
                <w:szCs w:val="14"/>
                <w:color w:val="0000EE"/>
                <w:w w:val="84"/>
              </w:rPr>
            </w:pPr>
            <w:hyperlink w:anchor="page3">
              <w:r>
                <w:rPr>
                  <w:rFonts w:ascii="Arial" w:cs="Arial" w:eastAsia="Arial" w:hAnsi="Arial"/>
                  <w:sz w:val="14"/>
                  <w:szCs w:val="14"/>
                  <w:color w:val="0000EE"/>
                  <w:w w:val="84"/>
                </w:rPr>
                <w:t>Condensed Consolidated Balance Sheet as</w:t>
              </w:r>
            </w:hyperlink>
          </w:p>
        </w:tc>
        <w:tc>
          <w:tcPr>
            <w:tcW w:w="5920" w:type="dxa"/>
            <w:vAlign w:val="bottom"/>
            <w:gridSpan w:val="10"/>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of June 30, 2015 and December 31, 2014 (Unaudited)</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40" w:type="dxa"/>
            <w:vAlign w:val="bottom"/>
            <w:tcBorders>
              <w:top w:val="single" w:sz="8" w:color="0000EE"/>
            </w:tcBorders>
            <w:gridSpan w:val="13"/>
          </w:tcPr>
          <w:p>
            <w:pPr>
              <w:spacing w:after="0" w:line="129" w:lineRule="exact"/>
              <w:rPr>
                <w:rFonts w:ascii="Arial" w:cs="Arial" w:eastAsia="Arial" w:hAnsi="Arial"/>
                <w:sz w:val="14"/>
                <w:szCs w:val="14"/>
                <w:color w:val="0000EE"/>
                <w:w w:val="85"/>
              </w:rPr>
            </w:pPr>
            <w:hyperlink w:anchor="page4">
              <w:r>
                <w:rPr>
                  <w:rFonts w:ascii="Arial" w:cs="Arial" w:eastAsia="Arial" w:hAnsi="Arial"/>
                  <w:sz w:val="14"/>
                  <w:szCs w:val="14"/>
                  <w:color w:val="0000EE"/>
                  <w:w w:val="85"/>
                </w:rPr>
                <w:t>Condensed Consolidated Statement of Income for the Three and Six Months Ended June 30, 2015</w:t>
              </w:r>
            </w:hyperlink>
          </w:p>
        </w:tc>
        <w:tc>
          <w:tcPr>
            <w:tcW w:w="3000" w:type="dxa"/>
            <w:vAlign w:val="bottom"/>
            <w:gridSpan w:val="5"/>
          </w:tcPr>
          <w:p>
            <w:pPr>
              <w:ind w:left="80"/>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and 2014 (Unaudited)</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40" w:type="dxa"/>
            <w:vAlign w:val="bottom"/>
            <w:gridSpan w:val="18"/>
          </w:tcPr>
          <w:p>
            <w:pPr>
              <w:spacing w:after="0" w:line="129" w:lineRule="exact"/>
              <w:rPr>
                <w:rFonts w:ascii="Arial" w:cs="Arial" w:eastAsia="Arial" w:hAnsi="Arial"/>
                <w:sz w:val="14"/>
                <w:szCs w:val="14"/>
                <w:color w:val="0000EE"/>
                <w:w w:val="96"/>
              </w:rPr>
            </w:pPr>
            <w:hyperlink w:anchor="page5">
              <w:r>
                <w:rPr>
                  <w:rFonts w:ascii="Arial" w:cs="Arial" w:eastAsia="Arial" w:hAnsi="Arial"/>
                  <w:sz w:val="14"/>
                  <w:szCs w:val="14"/>
                  <w:color w:val="0000EE"/>
                  <w:w w:val="96"/>
                </w:rPr>
                <w:t>Condensed Consolidated Statement of Comprehensive Income for the Three and Six Months Ended June 30, 2015 and 2014 (Unaudited)</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 of Cash Flows for the Six Months Ended June 30, 2015 and 2014 (Unaudited)</w:t>
              </w:r>
            </w:hyperlink>
          </w:p>
        </w:tc>
        <w:tc>
          <w:tcPr>
            <w:tcW w:w="840" w:type="dxa"/>
            <w:vAlign w:val="bottom"/>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40" w:type="dxa"/>
            <w:vAlign w:val="bottom"/>
            <w:gridSpan w:val="18"/>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Six Months Ended June 30, 2015 and 2014 (Unaudited)</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52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720" w:type="dxa"/>
            <w:vAlign w:val="bottom"/>
            <w:gridSpan w:val="2"/>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11"/>
          </w:tcPr>
          <w:p>
            <w:pPr>
              <w:spacing w:after="0" w:line="129" w:lineRule="exact"/>
              <w:rPr>
                <w:rFonts w:ascii="Arial" w:cs="Arial" w:eastAsia="Arial" w:hAnsi="Arial"/>
                <w:sz w:val="14"/>
                <w:szCs w:val="14"/>
                <w:color w:val="0000EE"/>
                <w:w w:val="88"/>
              </w:rPr>
            </w:pPr>
            <w:hyperlink w:anchor="page27">
              <w:r>
                <w:rPr>
                  <w:rFonts w:ascii="Arial" w:cs="Arial" w:eastAsia="Arial" w:hAnsi="Arial"/>
                  <w:sz w:val="14"/>
                  <w:szCs w:val="14"/>
                  <w:color w:val="0000EE"/>
                  <w:w w:val="88"/>
                </w:rPr>
                <w:t>Management’s Discussion and Analysis of Financial Condition and</w:t>
              </w:r>
            </w:hyperlink>
          </w:p>
        </w:tc>
        <w:tc>
          <w:tcPr>
            <w:tcW w:w="4560" w:type="dxa"/>
            <w:vAlign w:val="bottom"/>
            <w:gridSpan w:val="7"/>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Results of Operations</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42">
              <w:r>
                <w:rPr>
                  <w:rFonts w:ascii="Arial" w:cs="Arial" w:eastAsia="Arial" w:hAnsi="Arial"/>
                  <w:sz w:val="14"/>
                  <w:szCs w:val="14"/>
                  <w:color w:val="0000EE"/>
                </w:rPr>
                <w:t>Quantitative and Qualitative Disclosures About Market Risk</w:t>
              </w:r>
            </w:hyperlink>
          </w:p>
        </w:tc>
        <w:tc>
          <w:tcPr>
            <w:tcW w:w="3400" w:type="dxa"/>
            <w:vAlign w:val="bottom"/>
            <w:gridSpan w:val="6"/>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132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83"/>
              </w:rPr>
            </w:pPr>
            <w:hyperlink w:anchor="page43">
              <w:r>
                <w:rPr>
                  <w:rFonts w:ascii="Arial" w:cs="Arial" w:eastAsia="Arial" w:hAnsi="Arial"/>
                  <w:sz w:val="14"/>
                  <w:szCs w:val="14"/>
                  <w:color w:val="0000EE"/>
                  <w:w w:val="83"/>
                </w:rPr>
                <w:t>Controls and Procedures</w:t>
              </w:r>
            </w:hyperlink>
          </w:p>
        </w:tc>
        <w:tc>
          <w:tcPr>
            <w:tcW w:w="1960" w:type="dxa"/>
            <w:vAlign w:val="bottom"/>
            <w:tcBorders>
              <w:top w:val="single" w:sz="8" w:color="0000EE"/>
            </w:tcBorders>
            <w:gridSpan w:val="3"/>
          </w:tcPr>
          <w:p>
            <w:pPr>
              <w:spacing w:after="0"/>
              <w:rPr>
                <w:sz w:val="11"/>
                <w:szCs w:val="11"/>
                <w:color w:val="auto"/>
              </w:rPr>
            </w:pPr>
          </w:p>
        </w:tc>
        <w:tc>
          <w:tcPr>
            <w:tcW w:w="4960" w:type="dxa"/>
            <w:vAlign w:val="bottom"/>
            <w:gridSpan w:val="8"/>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3120" w:type="dxa"/>
            <w:vAlign w:val="bottom"/>
            <w:gridSpan w:val="10"/>
          </w:tcPr>
          <w:p>
            <w:pPr>
              <w:spacing w:after="0" w:line="129" w:lineRule="exact"/>
              <w:rPr>
                <w:rFonts w:ascii="Arial" w:cs="Arial" w:eastAsia="Arial" w:hAnsi="Arial"/>
                <w:sz w:val="14"/>
                <w:szCs w:val="14"/>
                <w:b w:val="1"/>
                <w:bCs w:val="1"/>
                <w:color w:val="0000EE"/>
              </w:rPr>
            </w:pPr>
            <w:hyperlink w:anchor="page43">
              <w:r>
                <w:rPr>
                  <w:rFonts w:ascii="Arial" w:cs="Arial" w:eastAsia="Arial" w:hAnsi="Arial"/>
                  <w:sz w:val="14"/>
                  <w:szCs w:val="14"/>
                  <w:b w:val="1"/>
                  <w:bCs w:val="1"/>
                  <w:color w:val="0000EE"/>
                </w:rPr>
                <w:t>PART II. OTHER INFORMATION</w:t>
              </w:r>
            </w:hyperlink>
          </w:p>
        </w:tc>
        <w:tc>
          <w:tcPr>
            <w:tcW w:w="1940" w:type="dxa"/>
            <w:vAlign w:val="bottom"/>
            <w:gridSpan w:val="2"/>
          </w:tcPr>
          <w:p>
            <w:pPr>
              <w:spacing w:after="0"/>
              <w:rPr>
                <w:sz w:val="11"/>
                <w:szCs w:val="11"/>
                <w:color w:val="auto"/>
              </w:rPr>
            </w:pPr>
          </w:p>
        </w:tc>
        <w:tc>
          <w:tcPr>
            <w:tcW w:w="4980" w:type="dxa"/>
            <w:vAlign w:val="bottom"/>
            <w:gridSpan w:val="9"/>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280" w:type="dxa"/>
            <w:vAlign w:val="bottom"/>
            <w:tcBorders>
              <w:top w:val="single" w:sz="8" w:color="0000EE"/>
            </w:tcBorders>
          </w:tcPr>
          <w:p>
            <w:pPr>
              <w:spacing w:after="0" w:line="129" w:lineRule="exact"/>
              <w:rPr>
                <w:rFonts w:ascii="Arial" w:cs="Arial" w:eastAsia="Arial" w:hAnsi="Arial"/>
                <w:sz w:val="14"/>
                <w:szCs w:val="14"/>
                <w:color w:val="0000EE"/>
                <w:w w:val="75"/>
              </w:rPr>
            </w:pPr>
            <w:hyperlink w:anchor="page43">
              <w:r>
                <w:rPr>
                  <w:rFonts w:ascii="Arial" w:cs="Arial" w:eastAsia="Arial" w:hAnsi="Arial"/>
                  <w:sz w:val="14"/>
                  <w:szCs w:val="14"/>
                  <w:color w:val="0000EE"/>
                  <w:w w:val="75"/>
                </w:rPr>
                <w:t>Legal</w:t>
              </w:r>
            </w:hyperlink>
          </w:p>
        </w:tc>
        <w:tc>
          <w:tcPr>
            <w:tcW w:w="7960" w:type="dxa"/>
            <w:vAlign w:val="bottom"/>
            <w:gridSpan w:val="17"/>
          </w:tcPr>
          <w:p>
            <w:pPr>
              <w:ind w:left="60"/>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Proceedings</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980" w:type="dxa"/>
            <w:vAlign w:val="bottom"/>
            <w:gridSpan w:val="9"/>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60" w:type="dxa"/>
            <w:vAlign w:val="bottom"/>
            <w:tcBorders>
              <w:top w:val="single" w:sz="8" w:color="0000EE"/>
            </w:tcBorders>
            <w:gridSpan w:val="4"/>
          </w:tcPr>
          <w:p>
            <w:pPr>
              <w:spacing w:after="0" w:line="129" w:lineRule="exact"/>
              <w:rPr>
                <w:rFonts w:ascii="Arial" w:cs="Arial" w:eastAsia="Arial" w:hAnsi="Arial"/>
                <w:sz w:val="14"/>
                <w:szCs w:val="14"/>
                <w:color w:val="0000EE"/>
                <w:w w:val="79"/>
              </w:rPr>
            </w:pPr>
            <w:hyperlink w:anchor="page44">
              <w:r>
                <w:rPr>
                  <w:rFonts w:ascii="Arial" w:cs="Arial" w:eastAsia="Arial" w:hAnsi="Arial"/>
                  <w:sz w:val="14"/>
                  <w:szCs w:val="14"/>
                  <w:color w:val="0000EE"/>
                  <w:w w:val="79"/>
                </w:rPr>
                <w:t>Unregistered</w:t>
              </w:r>
            </w:hyperlink>
          </w:p>
        </w:tc>
        <w:tc>
          <w:tcPr>
            <w:tcW w:w="7580" w:type="dxa"/>
            <w:vAlign w:val="bottom"/>
            <w:gridSpan w:val="14"/>
          </w:tcPr>
          <w:p>
            <w:pPr>
              <w:ind w:left="60"/>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Sales of Equity Securities and Use of Proceeds</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Exhibits</w:t>
              </w:r>
            </w:hyperlink>
          </w:p>
        </w:tc>
        <w:tc>
          <w:tcPr>
            <w:tcW w:w="4980" w:type="dxa"/>
            <w:vAlign w:val="bottom"/>
            <w:gridSpan w:val="9"/>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1800" w:type="dxa"/>
            <w:vAlign w:val="bottom"/>
            <w:gridSpan w:val="3"/>
          </w:tcPr>
          <w:p>
            <w:pPr>
              <w:spacing w:after="0" w:line="129" w:lineRule="exact"/>
              <w:rPr>
                <w:rFonts w:ascii="Arial" w:cs="Arial" w:eastAsia="Arial" w:hAnsi="Arial"/>
                <w:sz w:val="14"/>
                <w:szCs w:val="14"/>
                <w:b w:val="1"/>
                <w:bCs w:val="1"/>
                <w:color w:val="0000EE"/>
              </w:rPr>
            </w:pPr>
            <w:hyperlink w:anchor="page46">
              <w:r>
                <w:rPr>
                  <w:rFonts w:ascii="Arial" w:cs="Arial" w:eastAsia="Arial" w:hAnsi="Arial"/>
                  <w:sz w:val="14"/>
                  <w:szCs w:val="14"/>
                  <w:b w:val="1"/>
                  <w:bCs w:val="1"/>
                  <w:color w:val="0000EE"/>
                </w:rPr>
                <w:t>SIGNATURES</w:t>
              </w:r>
            </w:hyperlink>
          </w:p>
        </w:tc>
        <w:tc>
          <w:tcPr>
            <w:tcW w:w="2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top w:val="single" w:sz="8" w:color="0000EE"/>
            </w:tcBorders>
          </w:tcPr>
          <w:p>
            <w:pPr>
              <w:spacing w:after="0" w:line="129" w:lineRule="exact"/>
              <w:rPr>
                <w:rFonts w:ascii="Arial" w:cs="Arial" w:eastAsia="Arial" w:hAnsi="Arial"/>
                <w:sz w:val="14"/>
                <w:szCs w:val="14"/>
                <w:color w:val="0000EE"/>
                <w:w w:val="95"/>
              </w:rPr>
            </w:pPr>
            <w:hyperlink w:anchor="page47">
              <w:r>
                <w:rPr>
                  <w:rFonts w:ascii="Arial" w:cs="Arial" w:eastAsia="Arial" w:hAnsi="Arial"/>
                  <w:sz w:val="14"/>
                  <w:szCs w:val="14"/>
                  <w:color w:val="0000EE"/>
                  <w:w w:val="95"/>
                </w:rPr>
                <w:t>NBCUniversal</w:t>
              </w:r>
            </w:hyperlink>
          </w:p>
        </w:tc>
        <w:tc>
          <w:tcPr>
            <w:tcW w:w="9160" w:type="dxa"/>
            <w:vAlign w:val="bottom"/>
            <w:gridSpan w:val="19"/>
          </w:tcPr>
          <w:p>
            <w:pPr>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Media, LLC Financial Statements</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5"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This Quarterly Report on Form 10-Q is for the three and six months ended June 30, 2015.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2"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products and services may adversely affect our businesses and challenge existing business models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to existing statutes, rules, regulations, or interpretations thereof, or adoption of new ones,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Cable Communications segment’s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color w:val="auto"/>
                <w:w w:val="81"/>
              </w:rPr>
              <w:t>June 30,</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280" w:type="dxa"/>
            <w:vAlign w:val="bottom"/>
          </w:tcPr>
          <w:p>
            <w:pPr>
              <w:spacing w:after="0"/>
              <w:rPr>
                <w:sz w:val="13"/>
                <w:szCs w:val="13"/>
                <w:color w:val="auto"/>
              </w:rPr>
            </w:pPr>
          </w:p>
        </w:tc>
        <w:tc>
          <w:tcPr>
            <w:tcW w:w="820" w:type="dxa"/>
            <w:vAlign w:val="bottom"/>
          </w:tcPr>
          <w:p>
            <w:pPr>
              <w:jc w:val="right"/>
              <w:ind w:right="353"/>
              <w:spacing w:after="0" w:line="159" w:lineRule="exact"/>
              <w:rPr>
                <w:sz w:val="20"/>
                <w:szCs w:val="20"/>
                <w:color w:val="auto"/>
              </w:rPr>
            </w:pPr>
            <w:r>
              <w:rPr>
                <w:rFonts w:ascii="Arial" w:cs="Arial" w:eastAsia="Arial" w:hAnsi="Arial"/>
                <w:sz w:val="14"/>
                <w:szCs w:val="14"/>
                <w:color w:val="auto"/>
              </w:rPr>
              <w:t>2015</w:t>
            </w:r>
          </w:p>
        </w:tc>
        <w:tc>
          <w:tcPr>
            <w:tcW w:w="34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3,486</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7,016</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847</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1,826</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13,319</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5,751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2,999</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$46,738 and $45,410</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31,572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59,364</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27,422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$10,855 and $10,170</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16,802</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2,445</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6"/>
              </w:rPr>
              <w:t>159,674</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159,339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5,880</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1,583</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1,122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5,093</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3,887</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17,565</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44,636</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33,198</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10,438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1,108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2"/>
              </w:rPr>
              <w:t>Class A common stock, $0.01 par value—authorized, 7,500,000,000 shares; issued, 2,480,246,180 and 2,496,598,612;</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outstanding, 2,114,785,430 and 2,131,137,862</w:t>
            </w:r>
          </w:p>
        </w:tc>
        <w:tc>
          <w:tcPr>
            <w:tcW w:w="28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89"/>
              </w:rPr>
              <w:t>Class A Special common stock, $0.01 par value—authorized, 7,500,000,000 shares; issued, 439,133,225 and 471,419,601;</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outstanding, 368,198,461 and 400,484,837</w:t>
            </w: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38,741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21,313</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(7,517)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52,400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329</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52,729</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6"/>
              </w:rPr>
              <w:t>159,674</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159,339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tcPr>
          <w:p>
            <w:pPr>
              <w:jc w:val="right"/>
              <w:ind w:right="393"/>
              <w:spacing w:after="0"/>
              <w:rPr>
                <w:sz w:val="20"/>
                <w:szCs w:val="20"/>
                <w:color w:val="auto"/>
              </w:rPr>
            </w:pPr>
            <w:r>
              <w:rPr>
                <w:rFonts w:ascii="Arial" w:cs="Arial" w:eastAsia="Arial" w:hAnsi="Arial"/>
                <w:sz w:val="14"/>
                <w:szCs w:val="14"/>
                <w:color w:val="auto"/>
                <w:w w:val="94"/>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25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2014</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18,743</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7"/>
              </w:rPr>
              <w:t>16,844</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36,596</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34,252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4,874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11,132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4,922</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w w:val="83"/>
              </w:rPr>
              <w:t>10,359</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1,244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2,883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1,599</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3,308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3"/>
              </w:rPr>
              <w:t>14,638</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7"/>
              </w:rPr>
              <w:t>13,040</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28,601</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26,880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3,804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7,995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(648)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1"/>
              </w:rPr>
              <w:t>(1,369)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(545)</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(1,105)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3,259</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6,890</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(1,313)</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4"/>
              </w:rPr>
              <w:t>(1,234)</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(2,574)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(2,352)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4,316</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2,137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1,992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4,196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3,863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0.85</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0.77</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1.67</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0.84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53"/>
              <w:spacing w:after="0"/>
              <w:rPr>
                <w:sz w:val="20"/>
                <w:szCs w:val="20"/>
                <w:color w:val="auto"/>
              </w:rPr>
            </w:pPr>
            <w:r>
              <w:rPr>
                <w:rFonts w:ascii="Arial" w:cs="Arial" w:eastAsia="Arial" w:hAnsi="Arial"/>
                <w:sz w:val="18"/>
                <w:szCs w:val="18"/>
                <w:b w:val="1"/>
                <w:bCs w:val="1"/>
                <w:color w:val="auto"/>
              </w:rPr>
              <w:t>0.76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5"/>
              <w:spacing w:after="0"/>
              <w:rPr>
                <w:sz w:val="20"/>
                <w:szCs w:val="20"/>
                <w:color w:val="auto"/>
              </w:rPr>
            </w:pPr>
            <w:r>
              <w:rPr>
                <w:rFonts w:ascii="Arial" w:cs="Arial" w:eastAsia="Arial" w:hAnsi="Arial"/>
                <w:sz w:val="18"/>
                <w:szCs w:val="18"/>
                <w:b w:val="1"/>
                <w:bCs w:val="1"/>
                <w:color w:val="auto"/>
              </w:rPr>
              <w:t>1.65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0.25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0.225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0.50</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0.45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320" w:type="dxa"/>
            <w:vAlign w:val="bottom"/>
            <w:gridSpan w:val="2"/>
          </w:tcPr>
          <w:p>
            <w:pPr>
              <w:jc w:val="right"/>
              <w:ind w:right="434"/>
              <w:spacing w:after="0"/>
              <w:rPr>
                <w:sz w:val="20"/>
                <w:szCs w:val="20"/>
                <w:color w:val="auto"/>
              </w:rPr>
            </w:pPr>
            <w:r>
              <w:rPr>
                <w:rFonts w:ascii="Arial" w:cs="Arial" w:eastAsia="Arial" w:hAnsi="Arial"/>
                <w:sz w:val="14"/>
                <w:szCs w:val="14"/>
                <w:color w:val="auto"/>
              </w:rPr>
              <w:t>Three Months Ended</w:t>
            </w:r>
          </w:p>
        </w:tc>
        <w:tc>
          <w:tcPr>
            <w:tcW w:w="1860" w:type="dxa"/>
            <w:vAlign w:val="bottom"/>
            <w:gridSpan w:val="2"/>
          </w:tcPr>
          <w:p>
            <w:pPr>
              <w:jc w:val="right"/>
              <w:ind w:right="27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4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color w:val="auto"/>
              </w:rPr>
              <w:t>2015</w:t>
            </w: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color w:val="auto"/>
              </w:rPr>
              <w:t>2015</w:t>
            </w: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$ 2,175</w:t>
            </w:r>
          </w:p>
        </w:tc>
        <w:tc>
          <w:tcPr>
            <w:tcW w:w="8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$ 2,025</w:t>
            </w:r>
          </w:p>
        </w:tc>
        <w:tc>
          <w:tcPr>
            <w:tcW w:w="12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$ 4,316</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9"/>
              </w:rPr>
              <w:t>$ 3,963</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w w:val="91"/>
              </w:rPr>
              <w:t>Unrealized gains (losses) on marketable securities, net of deferred taxes of $—, $(2), $— and $(19)</w:t>
            </w:r>
          </w:p>
        </w:tc>
        <w:tc>
          <w:tcPr>
            <w:tcW w:w="146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w w:val="96"/>
              </w:rPr>
              <w:t>Deferred gains (losses) on cash flow hedges, net of deferred taxes of $(13), $(2), $10 and $(1)</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22</w:t>
            </w:r>
          </w:p>
        </w:tc>
        <w:tc>
          <w:tcPr>
            <w:tcW w:w="8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w:t>
            </w:r>
          </w:p>
        </w:tc>
        <w:tc>
          <w:tcPr>
            <w:tcW w:w="12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(17)</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ind w:left="440"/>
              <w:spacing w:after="0"/>
              <w:rPr>
                <w:sz w:val="20"/>
                <w:szCs w:val="20"/>
                <w:color w:val="auto"/>
              </w:rPr>
            </w:pPr>
            <w:r>
              <w:rPr>
                <w:rFonts w:ascii="Arial" w:cs="Arial" w:eastAsia="Arial" w:hAnsi="Arial"/>
                <w:sz w:val="18"/>
                <w:szCs w:val="18"/>
                <w:color w:val="auto"/>
                <w:w w:val="88"/>
              </w:rPr>
              <w:t>Realized (gains) losses on marketable securities, net of deferred taxes of $—, $28, $— and $58</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(47)</w:t>
            </w:r>
          </w:p>
        </w:tc>
        <w:tc>
          <w:tcPr>
            <w:tcW w:w="12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w w:val="91"/>
              </w:rPr>
              <w:t>Realized (gains) losses on cash flow hedges, net of deferred taxes of $16, $10, $(6) and $12</w:t>
            </w:r>
          </w:p>
        </w:tc>
        <w:tc>
          <w:tcPr>
            <w:tcW w:w="1460" w:type="dxa"/>
            <w:vAlign w:val="bottom"/>
          </w:tcPr>
          <w:p>
            <w:pPr>
              <w:jc w:val="right"/>
              <w:ind w:right="357"/>
              <w:spacing w:after="0"/>
              <w:rPr>
                <w:sz w:val="20"/>
                <w:szCs w:val="20"/>
                <w:color w:val="auto"/>
              </w:rPr>
            </w:pPr>
            <w:r>
              <w:rPr>
                <w:rFonts w:ascii="Arial" w:cs="Arial" w:eastAsia="Arial" w:hAnsi="Arial"/>
                <w:sz w:val="18"/>
                <w:szCs w:val="18"/>
                <w:color w:val="auto"/>
              </w:rPr>
              <w:t>(27)</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1200" w:type="dxa"/>
            <w:vAlign w:val="bottom"/>
          </w:tcPr>
          <w:p>
            <w:pPr>
              <w:jc w:val="right"/>
              <w:ind w:right="337"/>
              <w:spacing w:after="0"/>
              <w:rPr>
                <w:sz w:val="20"/>
                <w:szCs w:val="20"/>
                <w:color w:val="auto"/>
              </w:rPr>
            </w:pPr>
            <w:r>
              <w:rPr>
                <w:rFonts w:ascii="Arial" w:cs="Arial" w:eastAsia="Arial" w:hAnsi="Arial"/>
                <w:sz w:val="18"/>
                <w:szCs w:val="18"/>
                <w:color w:val="auto"/>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 $— and $—</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w:t>
            </w:r>
          </w:p>
        </w:tc>
        <w:tc>
          <w:tcPr>
            <w:tcW w:w="12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$(15), $(6), $8 and $(7)</w:t>
            </w:r>
          </w:p>
        </w:tc>
        <w:tc>
          <w:tcPr>
            <w:tcW w:w="14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27</w:t>
            </w: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(13)</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2,197</w:t>
            </w:r>
          </w:p>
        </w:tc>
        <w:tc>
          <w:tcPr>
            <w:tcW w:w="8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1,978</w:t>
            </w:r>
          </w:p>
        </w:tc>
        <w:tc>
          <w:tcPr>
            <w:tcW w:w="12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4,296</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Net (income) loss attributable to noncontrolling interests and redeemable subsidiary preferred stock</w:t>
            </w: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(38)</w:t>
            </w: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(33)</w:t>
            </w:r>
          </w:p>
        </w:tc>
        <w:tc>
          <w:tcPr>
            <w:tcW w:w="12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(120)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7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46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b w:val="1"/>
                <w:bCs w:val="1"/>
                <w:color w:val="auto"/>
              </w:rPr>
              <w:t>$ 2,159</w:t>
            </w:r>
          </w:p>
        </w:tc>
        <w:tc>
          <w:tcPr>
            <w:tcW w:w="8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3"/>
              </w:rPr>
              <w:t>$ 1,945</w:t>
            </w:r>
          </w:p>
        </w:tc>
        <w:tc>
          <w:tcPr>
            <w:tcW w:w="12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$ 4,176</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9"/>
              </w:rPr>
              <w:t>$ 3,793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2"/>
          </w:tcPr>
          <w:p>
            <w:pPr>
              <w:jc w:val="right"/>
              <w:ind w:right="333"/>
              <w:spacing w:after="0"/>
              <w:rPr>
                <w:sz w:val="20"/>
                <w:szCs w:val="20"/>
                <w:color w:val="auto"/>
              </w:rPr>
            </w:pPr>
            <w:r>
              <w:rPr>
                <w:rFonts w:ascii="Arial" w:cs="Arial" w:eastAsia="Arial" w:hAnsi="Arial"/>
                <w:sz w:val="14"/>
                <w:szCs w:val="14"/>
                <w:color w:val="auto"/>
              </w:rPr>
              <w:t>Six Months Ended</w:t>
            </w:r>
          </w:p>
        </w:tc>
      </w:tr>
      <w:tr>
        <w:trPr>
          <w:trHeight w:val="172"/>
        </w:trPr>
        <w:tc>
          <w:tcPr>
            <w:tcW w:w="932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4"/>
                <w:szCs w:val="14"/>
                <w:color w:val="auto"/>
              </w:rPr>
              <w:t>June 30</w:t>
            </w:r>
          </w:p>
        </w:tc>
      </w:tr>
      <w:tr>
        <w:trPr>
          <w:trHeight w:val="143"/>
        </w:trPr>
        <w:tc>
          <w:tcPr>
            <w:tcW w:w="93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jc w:val="right"/>
              <w:ind w:right="255"/>
              <w:spacing w:after="0" w:line="143" w:lineRule="exact"/>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273"/>
              <w:spacing w:after="0" w:line="143" w:lineRule="exact"/>
              <w:rPr>
                <w:sz w:val="20"/>
                <w:szCs w:val="20"/>
                <w:color w:val="auto"/>
              </w:rPr>
            </w:pPr>
            <w:r>
              <w:rPr>
                <w:rFonts w:ascii="Arial" w:cs="Arial" w:eastAsia="Arial" w:hAnsi="Arial"/>
                <w:sz w:val="14"/>
                <w:szCs w:val="14"/>
                <w:color w:val="auto"/>
              </w:rPr>
              <w:t>2014</w:t>
            </w:r>
          </w:p>
        </w:tc>
      </w:tr>
      <w:tr>
        <w:trPr>
          <w:trHeight w:val="210"/>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$ 8,834</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$ 7,547</w:t>
            </w: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(3,697)</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(3,246)</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(600)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(477)</w:t>
            </w: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and construction of real estate properties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(65)</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(179)</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(406)</w:t>
            </w: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395</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481</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Purchases of investments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(272)</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(77)</w:t>
            </w:r>
          </w:p>
        </w:tc>
      </w:tr>
      <w:tr>
        <w:trPr>
          <w:trHeight w:val="216"/>
        </w:trPr>
        <w:tc>
          <w:tcPr>
            <w:tcW w:w="9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182</w:t>
            </w:r>
          </w:p>
        </w:tc>
        <w:tc>
          <w:tcPr>
            <w:tcW w:w="9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(153)</w:t>
            </w:r>
          </w:p>
        </w:tc>
      </w:tr>
      <w:tr>
        <w:trPr>
          <w:trHeight w:val="210"/>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(4,236)</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(3,888)</w:t>
            </w:r>
          </w:p>
        </w:tc>
      </w:tr>
      <w:tr>
        <w:trPr>
          <w:trHeight w:val="210"/>
        </w:trPr>
        <w:tc>
          <w:tcPr>
            <w:tcW w:w="9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(137)</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(343)</w:t>
            </w: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borrowings</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3,996</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2,187</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(3,666)</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(3,163)</w:t>
            </w: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(3,585)</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(1,500)</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(1,200)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(1,092)</w:t>
            </w: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Issuances of common stock</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32</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29</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(114)</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(117)</w:t>
            </w:r>
          </w:p>
        </w:tc>
      </w:tr>
      <w:tr>
        <w:trPr>
          <w:trHeight w:val="216"/>
        </w:trPr>
        <w:tc>
          <w:tcPr>
            <w:tcW w:w="9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(348)</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151</w:t>
            </w:r>
          </w:p>
        </w:tc>
      </w:tr>
      <w:tr>
        <w:trPr>
          <w:trHeight w:val="210"/>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(5,022)</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(3,848)</w:t>
            </w:r>
          </w:p>
        </w:tc>
      </w:tr>
      <w:tr>
        <w:trPr>
          <w:trHeight w:val="210"/>
        </w:trPr>
        <w:tc>
          <w:tcPr>
            <w:tcW w:w="93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(424)</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(189)</w:t>
            </w:r>
          </w:p>
        </w:tc>
      </w:tr>
      <w:tr>
        <w:trPr>
          <w:trHeight w:val="216"/>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3,910</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1,718</w:t>
            </w:r>
          </w:p>
        </w:tc>
      </w:tr>
      <w:tr>
        <w:trPr>
          <w:trHeight w:val="217"/>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$ 3,486</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$ 1,529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Borders>
              <w:right w:val="single" w:sz="8" w:color="auto"/>
            </w:tcBorders>
          </w:tcPr>
          <w:p>
            <w:pPr>
              <w:jc w:val="center"/>
              <w:ind w:right="352"/>
              <w:spacing w:after="0"/>
              <w:rPr>
                <w:sz w:val="20"/>
                <w:szCs w:val="20"/>
                <w:color w:val="auto"/>
              </w:rPr>
            </w:pPr>
            <w:r>
              <w:rPr>
                <w:rFonts w:ascii="Arial" w:cs="Arial" w:eastAsia="Arial" w:hAnsi="Arial"/>
                <w:sz w:val="14"/>
                <w:szCs w:val="14"/>
                <w:color w:val="auto"/>
                <w:w w:val="83"/>
              </w:rPr>
              <w:t>Redeemable</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00" w:type="dxa"/>
            <w:vAlign w:val="bottom"/>
            <w:tcBorders>
              <w:right w:val="single" w:sz="8" w:color="auto"/>
            </w:tcBorders>
            <w:gridSpan w:val="2"/>
          </w:tcPr>
          <w:p>
            <w:pPr>
              <w:ind w:left="320"/>
              <w:spacing w:after="0" w:line="149" w:lineRule="exact"/>
              <w:rPr>
                <w:sz w:val="20"/>
                <w:szCs w:val="20"/>
                <w:color w:val="auto"/>
              </w:rPr>
            </w:pPr>
            <w:r>
              <w:rPr>
                <w:rFonts w:ascii="Arial" w:cs="Arial" w:eastAsia="Arial" w:hAnsi="Arial"/>
                <w:sz w:val="14"/>
                <w:szCs w:val="14"/>
                <w:color w:val="auto"/>
              </w:rPr>
              <w:t>Noncontrolling</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Borders>
              <w:right w:val="single" w:sz="8" w:color="auto"/>
            </w:tcBorders>
          </w:tcPr>
          <w:p>
            <w:pPr>
              <w:jc w:val="center"/>
              <w:ind w:right="372"/>
              <w:spacing w:after="0" w:line="149" w:lineRule="exact"/>
              <w:rPr>
                <w:sz w:val="20"/>
                <w:szCs w:val="20"/>
                <w:color w:val="auto"/>
              </w:rPr>
            </w:pPr>
            <w:r>
              <w:rPr>
                <w:rFonts w:ascii="Arial" w:cs="Arial" w:eastAsia="Arial" w:hAnsi="Arial"/>
                <w:sz w:val="14"/>
                <w:szCs w:val="14"/>
                <w:color w:val="auto"/>
                <w:w w:val="83"/>
              </w:rPr>
              <w:t>Interests and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Borders>
              <w:right w:val="single" w:sz="8" w:color="auto"/>
            </w:tcBorders>
          </w:tcPr>
          <w:p>
            <w:pPr>
              <w:jc w:val="center"/>
              <w:ind w:right="352"/>
              <w:spacing w:after="0" w:line="149" w:lineRule="exact"/>
              <w:rPr>
                <w:sz w:val="20"/>
                <w:szCs w:val="20"/>
                <w:color w:val="auto"/>
              </w:rPr>
            </w:pPr>
            <w:r>
              <w:rPr>
                <w:rFonts w:ascii="Arial" w:cs="Arial" w:eastAsia="Arial" w:hAnsi="Arial"/>
                <w:sz w:val="14"/>
                <w:szCs w:val="14"/>
                <w:color w:val="auto"/>
                <w:w w:val="83"/>
              </w:rPr>
              <w:t>Redeemable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87"/>
              </w:rPr>
              <w:t>Common Stock</w:t>
            </w:r>
          </w:p>
        </w:tc>
        <w:tc>
          <w:tcPr>
            <w:tcW w:w="34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Additional</w:t>
            </w:r>
          </w:p>
        </w:tc>
        <w:tc>
          <w:tcPr>
            <w:tcW w:w="720" w:type="dxa"/>
            <w:vAlign w:val="bottom"/>
          </w:tcPr>
          <w:p>
            <w:pPr>
              <w:spacing w:after="0"/>
              <w:rPr>
                <w:sz w:val="12"/>
                <w:szCs w:val="12"/>
                <w:color w:val="auto"/>
              </w:rPr>
            </w:pP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2"/>
                <w:szCs w:val="12"/>
                <w:color w:val="auto"/>
              </w:rPr>
            </w:pPr>
          </w:p>
        </w:tc>
        <w:tc>
          <w:tcPr>
            <w:tcW w:w="92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2"/>
                <w:szCs w:val="12"/>
                <w:color w:val="auto"/>
              </w:rPr>
            </w:pP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Non-</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Borders>
              <w:right w:val="single" w:sz="8" w:color="auto"/>
            </w:tcBorders>
            <w:vMerge w:val="restart"/>
          </w:tcPr>
          <w:p>
            <w:pPr>
              <w:jc w:val="center"/>
              <w:ind w:right="352"/>
              <w:spacing w:after="0" w:line="149" w:lineRule="exact"/>
              <w:rPr>
                <w:sz w:val="20"/>
                <w:szCs w:val="20"/>
                <w:color w:val="auto"/>
              </w:rPr>
            </w:pPr>
            <w:r>
              <w:rPr>
                <w:rFonts w:ascii="Arial" w:cs="Arial" w:eastAsia="Arial" w:hAnsi="Arial"/>
                <w:sz w:val="14"/>
                <w:szCs w:val="14"/>
                <w:color w:val="auto"/>
                <w:w w:val="88"/>
              </w:rPr>
              <w:t>Subsidiary</w:t>
            </w:r>
          </w:p>
        </w:tc>
        <w:tc>
          <w:tcPr>
            <w:tcW w:w="160" w:type="dxa"/>
            <w:vAlign w:val="bottom"/>
            <w:vMerge w:val="restart"/>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right"/>
              <w:ind w:right="152"/>
              <w:spacing w:after="0" w:line="149" w:lineRule="exact"/>
              <w:rPr>
                <w:sz w:val="20"/>
                <w:szCs w:val="20"/>
                <w:color w:val="auto"/>
              </w:rPr>
            </w:pPr>
            <w:r>
              <w:rPr>
                <w:rFonts w:ascii="Arial" w:cs="Arial" w:eastAsia="Arial" w:hAnsi="Arial"/>
                <w:sz w:val="14"/>
                <w:szCs w:val="14"/>
                <w:color w:val="auto"/>
                <w:w w:val="90"/>
              </w:rPr>
              <w:t>Paid-In</w:t>
            </w:r>
          </w:p>
        </w:tc>
        <w:tc>
          <w:tcPr>
            <w:tcW w:w="72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auto"/>
                <w:w w:val="99"/>
              </w:rPr>
              <w:t>Retained</w:t>
            </w:r>
          </w:p>
        </w:tc>
        <w:tc>
          <w:tcPr>
            <w:tcW w:w="7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auto"/>
              </w:rPr>
              <w:t>Stock at</w:t>
            </w:r>
          </w:p>
        </w:tc>
        <w:tc>
          <w:tcPr>
            <w:tcW w:w="10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w w:val="97"/>
              </w:rPr>
              <w:t>Comprehensive</w:t>
            </w:r>
          </w:p>
        </w:tc>
        <w:tc>
          <w:tcPr>
            <w:tcW w:w="7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Preferred Stock</w:t>
            </w:r>
          </w:p>
        </w:tc>
        <w:tc>
          <w:tcPr>
            <w:tcW w:w="160" w:type="dxa"/>
            <w:vAlign w:val="bottom"/>
          </w:tcPr>
          <w:p>
            <w:pPr>
              <w:spacing w:after="0"/>
              <w:rPr>
                <w:sz w:val="15"/>
                <w:szCs w:val="15"/>
                <w:color w:val="auto"/>
              </w:rPr>
            </w:pPr>
          </w:p>
        </w:tc>
        <w:tc>
          <w:tcPr>
            <w:tcW w:w="400" w:type="dxa"/>
            <w:vAlign w:val="bottom"/>
          </w:tcPr>
          <w:p>
            <w:pPr>
              <w:jc w:val="center"/>
              <w:ind w:left="32"/>
              <w:spacing w:after="0"/>
              <w:rPr>
                <w:sz w:val="20"/>
                <w:szCs w:val="20"/>
                <w:color w:val="auto"/>
              </w:rPr>
            </w:pPr>
            <w:r>
              <w:rPr>
                <w:rFonts w:ascii="Arial" w:cs="Arial" w:eastAsia="Arial" w:hAnsi="Arial"/>
                <w:sz w:val="14"/>
                <w:szCs w:val="14"/>
                <w:color w:val="auto"/>
              </w:rPr>
              <w:t>A</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w w:val="91"/>
              </w:rPr>
              <w:t>Capital</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5"/>
                <w:szCs w:val="15"/>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2013</w:t>
            </w:r>
          </w:p>
        </w:tc>
        <w:tc>
          <w:tcPr>
            <w:tcW w:w="380" w:type="dxa"/>
            <w:vAlign w:val="bottom"/>
            <w:tcBorders>
              <w:top w:val="single" w:sz="8" w:color="auto"/>
            </w:tcBorders>
            <w:shd w:val="clear" w:color="auto" w:fill="E5E5E5"/>
          </w:tcPr>
          <w:p>
            <w:pPr>
              <w:ind w:left="300"/>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color w:val="auto"/>
              </w:rPr>
              <w:t>957</w:t>
            </w:r>
          </w:p>
        </w:tc>
        <w:tc>
          <w:tcPr>
            <w:tcW w:w="160" w:type="dxa"/>
            <w:vAlign w:val="bottom"/>
            <w:tcBorders>
              <w:top w:val="single" w:sz="8" w:color="auto"/>
            </w:tcBorders>
            <w:shd w:val="clear" w:color="auto" w:fill="E5E5E5"/>
          </w:tcPr>
          <w:p>
            <w:pPr>
              <w:spacing w:after="0"/>
              <w:rPr>
                <w:sz w:val="12"/>
                <w:szCs w:val="12"/>
                <w:color w:val="auto"/>
              </w:rPr>
            </w:pPr>
          </w:p>
        </w:tc>
        <w:tc>
          <w:tcPr>
            <w:tcW w:w="400" w:type="dxa"/>
            <w:vAlign w:val="bottom"/>
            <w:tcBorders>
              <w:top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color w:val="auto"/>
                <w:w w:val="85"/>
              </w:rPr>
              <w:t>$25</w:t>
            </w:r>
          </w:p>
        </w:tc>
        <w:tc>
          <w:tcPr>
            <w:tcW w:w="42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5</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rPr>
              <w:t>$ —</w:t>
            </w:r>
          </w:p>
        </w:tc>
        <w:tc>
          <w:tcPr>
            <w:tcW w:w="22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38,890</w:t>
            </w:r>
          </w:p>
        </w:tc>
        <w:tc>
          <w:tcPr>
            <w:tcW w:w="72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$ 19,235</w:t>
            </w:r>
          </w:p>
        </w:tc>
        <w:tc>
          <w:tcPr>
            <w:tcW w:w="1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16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364</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8"/>
              </w:rPr>
              <w:t>$51,058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442</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(343)</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(345)</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(1,155)</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(1,168)</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4"/>
              </w:rPr>
              <w:t>Issuance of subsidiary shares to noncontrolling interests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72"/>
              <w:spacing w:after="0" w:line="149" w:lineRule="exact"/>
              <w:rPr>
                <w:sz w:val="20"/>
                <w:szCs w:val="20"/>
                <w:color w:val="auto"/>
              </w:rPr>
            </w:pPr>
            <w:r>
              <w:rPr>
                <w:rFonts w:ascii="Arial" w:cs="Arial" w:eastAsia="Arial" w:hAnsi="Arial"/>
                <w:sz w:val="14"/>
                <w:szCs w:val="14"/>
                <w:color w:val="auto"/>
              </w:rPr>
              <w:t>85</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3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Pr>
          <w:p>
            <w:pPr>
              <w:ind w:left="200"/>
              <w:spacing w:after="0" w:line="159" w:lineRule="exact"/>
              <w:rPr>
                <w:sz w:val="20"/>
                <w:szCs w:val="20"/>
                <w:color w:val="auto"/>
              </w:rPr>
            </w:pPr>
            <w:r>
              <w:rPr>
                <w:rFonts w:ascii="Arial" w:cs="Arial" w:eastAsia="Arial" w:hAnsi="Arial"/>
                <w:sz w:val="14"/>
                <w:szCs w:val="14"/>
                <w:color w:val="auto"/>
              </w:rPr>
              <w:t>(distributions to) noncontrolling interests, net</w:t>
            </w:r>
          </w:p>
        </w:tc>
        <w:tc>
          <w:tcPr>
            <w:tcW w:w="380" w:type="dxa"/>
            <w:vAlign w:val="bottom"/>
          </w:tcPr>
          <w:p>
            <w:pPr>
              <w:spacing w:after="0"/>
              <w:rPr>
                <w:sz w:val="13"/>
                <w:szCs w:val="13"/>
                <w:color w:val="auto"/>
              </w:rPr>
            </w:pPr>
          </w:p>
        </w:tc>
        <w:tc>
          <w:tcPr>
            <w:tcW w:w="1120" w:type="dxa"/>
            <w:vAlign w:val="bottom"/>
            <w:tcBorders>
              <w:right w:val="single" w:sz="8" w:color="auto"/>
            </w:tcBorders>
          </w:tcPr>
          <w:p>
            <w:pPr>
              <w:jc w:val="right"/>
              <w:ind w:right="232"/>
              <w:spacing w:after="0" w:line="15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(74)</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(7)</w:t>
            </w: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35</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3,863</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June 30, 2014</w:t>
            </w:r>
          </w:p>
        </w:tc>
        <w:tc>
          <w:tcPr>
            <w:tcW w:w="380" w:type="dxa"/>
            <w:vAlign w:val="bottom"/>
            <w:tcBorders>
              <w:bottom w:val="single" w:sz="8" w:color="auto"/>
            </w:tcBorders>
            <w:shd w:val="clear" w:color="auto" w:fill="E5E5E5"/>
          </w:tcPr>
          <w:p>
            <w:pPr>
              <w:ind w:left="300"/>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b w:val="1"/>
                <w:bCs w:val="1"/>
                <w:color w:val="auto"/>
              </w:rPr>
              <w:t>1,055</w:t>
            </w:r>
          </w:p>
        </w:tc>
        <w:tc>
          <w:tcPr>
            <w:tcW w:w="16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5</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39,040</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$ 20,432</w:t>
            </w:r>
          </w:p>
        </w:tc>
        <w:tc>
          <w:tcPr>
            <w:tcW w:w="1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(14)</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361</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$52,332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Balance, December 31, 2014</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1,066</w:t>
            </w:r>
          </w:p>
        </w:tc>
        <w:tc>
          <w:tcPr>
            <w:tcW w:w="160" w:type="dxa"/>
            <w:vAlign w:val="bottom"/>
          </w:tcPr>
          <w:p>
            <w:pPr>
              <w:spacing w:after="0"/>
              <w:rPr>
                <w:sz w:val="12"/>
                <w:szCs w:val="12"/>
                <w:color w:val="auto"/>
              </w:rPr>
            </w:pPr>
          </w:p>
        </w:tc>
        <w:tc>
          <w:tcPr>
            <w:tcW w:w="4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5"/>
              </w:rPr>
              <w:t>$25</w:t>
            </w:r>
          </w:p>
        </w:tc>
        <w:tc>
          <w:tcPr>
            <w:tcW w:w="4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 —</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38,805</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$ 21,539</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357</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$53,068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Stock compensation plans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436</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(308)</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(724)</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(2,860)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Employee stock purchase</w:t>
            </w:r>
          </w:p>
        </w:tc>
        <w:tc>
          <w:tcPr>
            <w:tcW w:w="380" w:type="dxa"/>
            <w:vAlign w:val="bottom"/>
            <w:shd w:val="clear" w:color="auto" w:fill="E5E5E5"/>
          </w:tcPr>
          <w:p>
            <w:pPr>
              <w:spacing w:after="0"/>
              <w:rPr>
                <w:sz w:val="11"/>
                <w:szCs w:val="11"/>
                <w:color w:val="auto"/>
              </w:rPr>
            </w:pPr>
          </w:p>
        </w:tc>
        <w:tc>
          <w:tcPr>
            <w:tcW w:w="1120" w:type="dxa"/>
            <w:vAlign w:val="bottom"/>
            <w:tcBorders>
              <w:right w:val="single" w:sz="8" w:color="auto"/>
            </w:tcBorders>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plans</w:t>
            </w:r>
          </w:p>
        </w:tc>
        <w:tc>
          <w:tcPr>
            <w:tcW w:w="380" w:type="dxa"/>
            <w:vAlign w:val="bottom"/>
            <w:shd w:val="clear" w:color="auto" w:fill="E5E5E5"/>
          </w:tcPr>
          <w:p>
            <w:pPr>
              <w:spacing w:after="0"/>
              <w:rPr>
                <w:sz w:val="13"/>
                <w:szCs w:val="13"/>
                <w:color w:val="auto"/>
              </w:rPr>
            </w:pPr>
          </w:p>
        </w:tc>
        <w:tc>
          <w:tcPr>
            <w:tcW w:w="1120" w:type="dxa"/>
            <w:vAlign w:val="bottom"/>
            <w:tcBorders>
              <w:right w:val="single" w:sz="8" w:color="auto"/>
            </w:tcBorders>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40" w:type="dxa"/>
            <w:vAlign w:val="bottom"/>
            <w:shd w:val="clear" w:color="auto" w:fill="E5E5E5"/>
          </w:tcPr>
          <w:p>
            <w:pPr>
              <w:jc w:val="right"/>
              <w:ind w:right="72"/>
              <w:spacing w:after="0" w:line="159" w:lineRule="exact"/>
              <w:rPr>
                <w:sz w:val="20"/>
                <w:szCs w:val="20"/>
                <w:color w:val="auto"/>
              </w:rPr>
            </w:pPr>
            <w:r>
              <w:rPr>
                <w:rFonts w:ascii="Arial" w:cs="Arial" w:eastAsia="Arial" w:hAnsi="Arial"/>
                <w:sz w:val="14"/>
                <w:szCs w:val="14"/>
                <w:color w:val="auto"/>
              </w:rPr>
              <w:t>71</w:t>
            </w:r>
          </w:p>
        </w:tc>
        <w:tc>
          <w:tcPr>
            <w:tcW w:w="7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62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(1,254)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Other comprehensive</w:t>
            </w:r>
          </w:p>
        </w:tc>
        <w:tc>
          <w:tcPr>
            <w:tcW w:w="380" w:type="dxa"/>
            <w:vAlign w:val="bottom"/>
            <w:shd w:val="clear" w:color="auto" w:fill="E5E5E5"/>
          </w:tcPr>
          <w:p>
            <w:pPr>
              <w:spacing w:after="0"/>
              <w:rPr>
                <w:sz w:val="11"/>
                <w:szCs w:val="11"/>
                <w:color w:val="auto"/>
              </w:rPr>
            </w:pPr>
          </w:p>
        </w:tc>
        <w:tc>
          <w:tcPr>
            <w:tcW w:w="1120" w:type="dxa"/>
            <w:vAlign w:val="bottom"/>
            <w:tcBorders>
              <w:right w:val="single" w:sz="8" w:color="auto"/>
            </w:tcBorders>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income (loss)</w:t>
            </w:r>
          </w:p>
        </w:tc>
        <w:tc>
          <w:tcPr>
            <w:tcW w:w="380" w:type="dxa"/>
            <w:vAlign w:val="bottom"/>
            <w:shd w:val="clear" w:color="auto" w:fill="E5E5E5"/>
          </w:tcPr>
          <w:p>
            <w:pPr>
              <w:spacing w:after="0"/>
              <w:rPr>
                <w:sz w:val="13"/>
                <w:szCs w:val="13"/>
                <w:color w:val="auto"/>
              </w:rPr>
            </w:pPr>
          </w:p>
        </w:tc>
        <w:tc>
          <w:tcPr>
            <w:tcW w:w="1120" w:type="dxa"/>
            <w:vAlign w:val="bottom"/>
            <w:tcBorders>
              <w:right w:val="single" w:sz="8" w:color="auto"/>
            </w:tcBorders>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2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(20)</w:t>
            </w:r>
          </w:p>
        </w:tc>
        <w:tc>
          <w:tcPr>
            <w:tcW w:w="1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3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380" w:type="dxa"/>
            <w:vAlign w:val="bottom"/>
          </w:tcPr>
          <w:p>
            <w:pPr>
              <w:spacing w:after="0"/>
              <w:rPr>
                <w:sz w:val="13"/>
                <w:szCs w:val="13"/>
                <w:color w:val="auto"/>
              </w:rPr>
            </w:pPr>
          </w:p>
        </w:tc>
        <w:tc>
          <w:tcPr>
            <w:tcW w:w="1120" w:type="dxa"/>
            <w:vAlign w:val="bottom"/>
            <w:tcBorders>
              <w:right w:val="single" w:sz="8" w:color="auto"/>
            </w:tcBorders>
          </w:tcPr>
          <w:p>
            <w:pPr>
              <w:jc w:val="right"/>
              <w:ind w:right="272"/>
              <w:spacing w:after="0" w:line="15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(73)</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153</w:t>
            </w: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(35)</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40</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4,196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80</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June 30, 2015</w:t>
            </w:r>
          </w:p>
        </w:tc>
        <w:tc>
          <w:tcPr>
            <w:tcW w:w="380" w:type="dxa"/>
            <w:vAlign w:val="bottom"/>
            <w:tcBorders>
              <w:bottom w:val="single" w:sz="8" w:color="auto"/>
            </w:tcBorders>
            <w:shd w:val="clear" w:color="auto" w:fill="E5E5E5"/>
          </w:tcPr>
          <w:p>
            <w:pPr>
              <w:ind w:left="300"/>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b w:val="1"/>
                <w:bCs w:val="1"/>
                <w:color w:val="auto"/>
              </w:rPr>
              <w:t>1,108</w:t>
            </w:r>
          </w:p>
        </w:tc>
        <w:tc>
          <w:tcPr>
            <w:tcW w:w="16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4</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38,741</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$ 21,313</w:t>
            </w:r>
          </w:p>
        </w:tc>
        <w:tc>
          <w:tcPr>
            <w:tcW w:w="1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(166)</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329</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$52,729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2014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In July 2015, FASB voted to defer the effective date by one year to December 15, 2017 for annual reporting periods beginning after that date.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April 2015, FASB updated the accounting guidance related to the balance sheet presentation of debt issuance costs. The updated accounting guidance requires that debt issuance costs be presented as a direct deduction from the associated debt liability. The updated accounting guidance will be effective for us on January 1, 2016, and early adoption is permitted. The updated accounting guidance will be applied retrospectively to all prior periods presented. The updated accounting guidance will not have a material impact on our consolidated balance sheet.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Three Months Ended June 30</w:t>
            </w: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500" w:type="dxa"/>
            <w:vAlign w:val="bottom"/>
          </w:tcPr>
          <w:p>
            <w:pPr>
              <w:spacing w:after="0"/>
              <w:rPr>
                <w:sz w:val="11"/>
                <w:szCs w:val="11"/>
                <w:color w:val="auto"/>
              </w:rPr>
            </w:pPr>
          </w:p>
        </w:tc>
        <w:tc>
          <w:tcPr>
            <w:tcW w:w="1280" w:type="dxa"/>
            <w:vAlign w:val="bottom"/>
            <w:gridSpan w:val="2"/>
          </w:tcPr>
          <w:p>
            <w:pPr>
              <w:jc w:val="center"/>
              <w:ind w:left="44"/>
              <w:spacing w:after="0" w:line="131" w:lineRule="exact"/>
              <w:rPr>
                <w:sz w:val="20"/>
                <w:szCs w:val="20"/>
                <w:color w:val="auto"/>
              </w:rPr>
            </w:pPr>
            <w:r>
              <w:rPr>
                <w:rFonts w:ascii="Arial" w:cs="Arial" w:eastAsia="Arial" w:hAnsi="Arial"/>
                <w:sz w:val="14"/>
                <w:szCs w:val="14"/>
                <w:color w:val="auto"/>
                <w:w w:val="89"/>
              </w:rPr>
              <w:t>Net Income</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500" w:type="dxa"/>
            <w:vAlign w:val="bottom"/>
          </w:tcPr>
          <w:p>
            <w:pPr>
              <w:spacing w:after="0"/>
              <w:rPr>
                <w:sz w:val="12"/>
                <w:szCs w:val="12"/>
                <w:color w:val="auto"/>
              </w:rPr>
            </w:pPr>
          </w:p>
        </w:tc>
        <w:tc>
          <w:tcPr>
            <w:tcW w:w="1280" w:type="dxa"/>
            <w:vAlign w:val="bottom"/>
            <w:gridSpan w:val="2"/>
          </w:tcPr>
          <w:p>
            <w:pPr>
              <w:jc w:val="center"/>
              <w:ind w:left="44"/>
              <w:spacing w:after="0" w:line="149" w:lineRule="exact"/>
              <w:rPr>
                <w:sz w:val="20"/>
                <w:szCs w:val="20"/>
                <w:color w:val="auto"/>
              </w:rPr>
            </w:pPr>
            <w:r>
              <w:rPr>
                <w:rFonts w:ascii="Arial" w:cs="Arial" w:eastAsia="Arial" w:hAnsi="Arial"/>
                <w:sz w:val="14"/>
                <w:szCs w:val="14"/>
                <w:color w:val="auto"/>
                <w:w w:val="92"/>
              </w:rPr>
              <w:t>Attributable to</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86"/>
              </w:rPr>
              <w:t>Comcast</w:t>
            </w:r>
          </w:p>
        </w:tc>
        <w:tc>
          <w:tcPr>
            <w:tcW w:w="82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20" w:type="dxa"/>
            <w:vAlign w:val="bottom"/>
          </w:tcPr>
          <w:p>
            <w:pPr>
              <w:spacing w:after="0"/>
              <w:rPr>
                <w:sz w:val="12"/>
                <w:szCs w:val="12"/>
                <w:color w:val="auto"/>
              </w:rPr>
            </w:pPr>
          </w:p>
        </w:tc>
        <w:tc>
          <w:tcPr>
            <w:tcW w:w="8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86"/>
              </w:rPr>
              <w:t>Comcast</w:t>
            </w:r>
          </w:p>
        </w:tc>
        <w:tc>
          <w:tcPr>
            <w:tcW w:w="86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5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44"/>
              <w:spacing w:after="0" w:line="159" w:lineRule="exact"/>
              <w:rPr>
                <w:sz w:val="20"/>
                <w:szCs w:val="20"/>
                <w:color w:val="auto"/>
              </w:rPr>
            </w:pPr>
            <w:r>
              <w:rPr>
                <w:rFonts w:ascii="Arial" w:cs="Arial" w:eastAsia="Arial" w:hAnsi="Arial"/>
                <w:sz w:val="14"/>
                <w:szCs w:val="14"/>
                <w:color w:val="auto"/>
                <w:w w:val="87"/>
              </w:rPr>
              <w:t>Corporation</w:t>
            </w:r>
          </w:p>
        </w:tc>
        <w:tc>
          <w:tcPr>
            <w:tcW w:w="82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860" w:type="dxa"/>
            <w:vAlign w:val="bottom"/>
            <w:tcBorders>
              <w:bottom w:val="single" w:sz="8" w:color="auto"/>
            </w:tcBorders>
          </w:tcPr>
          <w:p>
            <w:pPr>
              <w:jc w:val="right"/>
              <w:ind w:right="16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2,137</w:t>
            </w:r>
          </w:p>
        </w:tc>
        <w:tc>
          <w:tcPr>
            <w:tcW w:w="82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0.85</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1,992</w:t>
            </w:r>
          </w:p>
        </w:tc>
        <w:tc>
          <w:tcPr>
            <w:tcW w:w="86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2,594</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0.77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2,137</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2,531</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0.84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1,992</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2,628</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0.76</w:t>
            </w:r>
          </w:p>
        </w:tc>
      </w:tr>
      <w:tr>
        <w:trPr>
          <w:trHeight w:val="284"/>
        </w:trPr>
        <w:tc>
          <w:tcPr>
            <w:tcW w:w="55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rPr>
              <w:t>Six Months Ended June 30</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42"/>
        </w:trPr>
        <w:tc>
          <w:tcPr>
            <w:tcW w:w="5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500" w:type="dxa"/>
            <w:vAlign w:val="bottom"/>
          </w:tcPr>
          <w:p>
            <w:pPr>
              <w:spacing w:after="0"/>
              <w:rPr>
                <w:sz w:val="11"/>
                <w:szCs w:val="11"/>
                <w:color w:val="auto"/>
              </w:rPr>
            </w:pPr>
          </w:p>
        </w:tc>
        <w:tc>
          <w:tcPr>
            <w:tcW w:w="1280" w:type="dxa"/>
            <w:vAlign w:val="bottom"/>
            <w:gridSpan w:val="2"/>
          </w:tcPr>
          <w:p>
            <w:pPr>
              <w:jc w:val="center"/>
              <w:ind w:left="44"/>
              <w:spacing w:after="0" w:line="131" w:lineRule="exact"/>
              <w:rPr>
                <w:sz w:val="20"/>
                <w:szCs w:val="20"/>
                <w:color w:val="auto"/>
              </w:rPr>
            </w:pPr>
            <w:r>
              <w:rPr>
                <w:rFonts w:ascii="Arial" w:cs="Arial" w:eastAsia="Arial" w:hAnsi="Arial"/>
                <w:sz w:val="14"/>
                <w:szCs w:val="14"/>
                <w:color w:val="auto"/>
                <w:w w:val="89"/>
              </w:rPr>
              <w:t>Net Income</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500" w:type="dxa"/>
            <w:vAlign w:val="bottom"/>
          </w:tcPr>
          <w:p>
            <w:pPr>
              <w:spacing w:after="0"/>
              <w:rPr>
                <w:sz w:val="12"/>
                <w:szCs w:val="12"/>
                <w:color w:val="auto"/>
              </w:rPr>
            </w:pPr>
          </w:p>
        </w:tc>
        <w:tc>
          <w:tcPr>
            <w:tcW w:w="1280" w:type="dxa"/>
            <w:vAlign w:val="bottom"/>
            <w:gridSpan w:val="2"/>
          </w:tcPr>
          <w:p>
            <w:pPr>
              <w:jc w:val="center"/>
              <w:ind w:left="44"/>
              <w:spacing w:after="0" w:line="149" w:lineRule="exact"/>
              <w:rPr>
                <w:sz w:val="20"/>
                <w:szCs w:val="20"/>
                <w:color w:val="auto"/>
              </w:rPr>
            </w:pPr>
            <w:r>
              <w:rPr>
                <w:rFonts w:ascii="Arial" w:cs="Arial" w:eastAsia="Arial" w:hAnsi="Arial"/>
                <w:sz w:val="14"/>
                <w:szCs w:val="14"/>
                <w:color w:val="auto"/>
                <w:w w:val="92"/>
              </w:rPr>
              <w:t>Attributable to</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86"/>
              </w:rPr>
              <w:t>Comcast</w:t>
            </w:r>
          </w:p>
        </w:tc>
        <w:tc>
          <w:tcPr>
            <w:tcW w:w="82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20" w:type="dxa"/>
            <w:vAlign w:val="bottom"/>
          </w:tcPr>
          <w:p>
            <w:pPr>
              <w:spacing w:after="0"/>
              <w:rPr>
                <w:sz w:val="12"/>
                <w:szCs w:val="12"/>
                <w:color w:val="auto"/>
              </w:rPr>
            </w:pPr>
          </w:p>
        </w:tc>
        <w:tc>
          <w:tcPr>
            <w:tcW w:w="8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86"/>
              </w:rPr>
              <w:t>Comcast</w:t>
            </w:r>
          </w:p>
        </w:tc>
        <w:tc>
          <w:tcPr>
            <w:tcW w:w="86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5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44"/>
              <w:spacing w:after="0" w:line="159" w:lineRule="exact"/>
              <w:rPr>
                <w:sz w:val="20"/>
                <w:szCs w:val="20"/>
                <w:color w:val="auto"/>
              </w:rPr>
            </w:pPr>
            <w:r>
              <w:rPr>
                <w:rFonts w:ascii="Arial" w:cs="Arial" w:eastAsia="Arial" w:hAnsi="Arial"/>
                <w:sz w:val="14"/>
                <w:szCs w:val="14"/>
                <w:color w:val="auto"/>
                <w:w w:val="87"/>
              </w:rPr>
              <w:t>Corporation</w:t>
            </w:r>
          </w:p>
        </w:tc>
        <w:tc>
          <w:tcPr>
            <w:tcW w:w="82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860" w:type="dxa"/>
            <w:vAlign w:val="bottom"/>
            <w:tcBorders>
              <w:bottom w:val="single" w:sz="8" w:color="auto"/>
            </w:tcBorders>
          </w:tcPr>
          <w:p>
            <w:pPr>
              <w:jc w:val="right"/>
              <w:ind w:right="16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4,196</w:t>
            </w:r>
          </w:p>
        </w:tc>
        <w:tc>
          <w:tcPr>
            <w:tcW w:w="82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2,510</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1.67</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3,863</w:t>
            </w:r>
          </w:p>
        </w:tc>
        <w:tc>
          <w:tcPr>
            <w:tcW w:w="86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2,598</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1.49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4,196</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2,544</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1.65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3,863</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2,636</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1.47</w:t>
            </w: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six months ended June 30, 2015 and 2014.</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 and Related Divestiture Transactions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April 24, 2015, we and Time Warner Cable Inc. terminated our planned merger, and we terminated our related agreement with Charter Communications, Inc. to spin-off, exchange and sell certain cable systems. In connection with these proposed transactions, we incurred incremental transaction-related expenses of $99 million and $198 million for the three and six months ended June 30, 2015, respectively, and $44 million and $61 million for the three and six months ended June 30, 2014, respectively. The transaction-related expenses are reflected primarily in other operating and administrative expenses, with $20 million recorded in depreciation and amortization expenses associated with the write-off of certain capitalized costs in the three and six months ended June 30,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960" w:type="dxa"/>
            <w:vAlign w:val="bottom"/>
          </w:tcPr>
          <w:p>
            <w:pPr>
              <w:jc w:val="right"/>
              <w:ind w:right="25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6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9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tcPr>
          <w:p>
            <w:pPr>
              <w:jc w:val="right"/>
              <w:ind w:right="235"/>
              <w:spacing w:after="0"/>
              <w:rPr>
                <w:sz w:val="20"/>
                <w:szCs w:val="20"/>
                <w:color w:val="auto"/>
              </w:rPr>
            </w:pPr>
            <w:r>
              <w:rPr>
                <w:rFonts w:ascii="Arial" w:cs="Arial" w:eastAsia="Arial" w:hAnsi="Arial"/>
                <w:sz w:val="18"/>
                <w:szCs w:val="18"/>
                <w:color w:val="auto"/>
              </w:rPr>
              <w:t>$1,499</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1,371</w:t>
            </w:r>
          </w:p>
        </w:tc>
      </w:tr>
      <w:tr>
        <w:trPr>
          <w:trHeight w:val="216"/>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138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71</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856</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1,189</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2,493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2,631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Television Costs:</w:t>
            </w: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1,407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1,273</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624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2,031</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1,778</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2,074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2,157</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6,598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6,566</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847</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839</w:t>
            </w:r>
          </w:p>
        </w:tc>
      </w:tr>
      <w:tr>
        <w:trPr>
          <w:trHeight w:val="217"/>
        </w:trPr>
        <w:tc>
          <w:tcPr>
            <w:tcW w:w="6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96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$5,751</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5,727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2"/>
          </w:tcPr>
          <w:p>
            <w:pPr>
              <w:jc w:val="center"/>
              <w:ind w:left="696"/>
              <w:spacing w:after="0"/>
              <w:rPr>
                <w:sz w:val="20"/>
                <w:szCs w:val="20"/>
                <w:color w:val="auto"/>
              </w:rPr>
            </w:pPr>
            <w:r>
              <w:rPr>
                <w:rFonts w:ascii="Arial" w:cs="Arial" w:eastAsia="Arial" w:hAnsi="Arial"/>
                <w:sz w:val="14"/>
                <w:szCs w:val="14"/>
                <w:color w:val="auto"/>
                <w:w w:val="85"/>
              </w:rPr>
              <w:t>June 30,</w:t>
            </w:r>
          </w:p>
        </w:tc>
        <w:tc>
          <w:tcPr>
            <w:tcW w:w="1480" w:type="dxa"/>
            <w:vAlign w:val="bottom"/>
            <w:gridSpan w:val="3"/>
          </w:tcPr>
          <w:p>
            <w:pPr>
              <w:ind w:left="620"/>
              <w:spacing w:after="0"/>
              <w:rPr>
                <w:sz w:val="20"/>
                <w:szCs w:val="20"/>
                <w:color w:val="auto"/>
              </w:rPr>
            </w:pPr>
            <w:r>
              <w:rPr>
                <w:rFonts w:ascii="Arial" w:cs="Arial" w:eastAsia="Arial" w:hAnsi="Arial"/>
                <w:sz w:val="14"/>
                <w:szCs w:val="14"/>
                <w:color w:val="auto"/>
                <w:w w:val="95"/>
              </w:rPr>
              <w:t>December 31,</w:t>
            </w:r>
          </w:p>
        </w:tc>
      </w:tr>
      <w:tr>
        <w:trPr>
          <w:trHeight w:val="159"/>
        </w:trPr>
        <w:tc>
          <w:tcPr>
            <w:tcW w:w="71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right="35"/>
              <w:spacing w:after="0" w:line="159" w:lineRule="exact"/>
              <w:rPr>
                <w:sz w:val="20"/>
                <w:szCs w:val="20"/>
                <w:color w:val="auto"/>
              </w:rPr>
            </w:pPr>
            <w:r>
              <w:rPr>
                <w:rFonts w:ascii="Arial" w:cs="Arial" w:eastAsia="Arial" w:hAnsi="Arial"/>
                <w:sz w:val="14"/>
                <w:szCs w:val="14"/>
                <w:color w:val="auto"/>
                <w:w w:val="83"/>
              </w:rPr>
              <w:t>2015</w:t>
            </w:r>
          </w:p>
        </w:tc>
        <w:tc>
          <w:tcPr>
            <w:tcW w:w="7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71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780" w:type="dxa"/>
            <w:vAlign w:val="bottom"/>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662</w:t>
            </w: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Equity Method:</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1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7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w:t>
            </w: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Hulu</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167</w:t>
            </w:r>
          </w:p>
        </w:tc>
      </w:tr>
      <w:tr>
        <w:trPr>
          <w:trHeight w:val="216"/>
        </w:trPr>
        <w:tc>
          <w:tcPr>
            <w:tcW w:w="718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491</w:t>
            </w:r>
          </w:p>
        </w:tc>
        <w:tc>
          <w:tcPr>
            <w:tcW w:w="78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517</w:t>
            </w:r>
          </w:p>
        </w:tc>
      </w:tr>
      <w:tr>
        <w:trPr>
          <w:trHeight w:val="210"/>
        </w:trPr>
        <w:tc>
          <w:tcPr>
            <w:tcW w:w="6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1,019</w:t>
            </w:r>
          </w:p>
        </w:tc>
      </w:tr>
      <w:tr>
        <w:trPr>
          <w:trHeight w:val="216"/>
        </w:trPr>
        <w:tc>
          <w:tcPr>
            <w:tcW w:w="71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Cost Method:</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AirTouch</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1,575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1,568</w:t>
            </w:r>
          </w:p>
        </w:tc>
      </w:tr>
      <w:tr>
        <w:trPr>
          <w:trHeight w:val="216"/>
        </w:trPr>
        <w:tc>
          <w:tcPr>
            <w:tcW w:w="718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543</w:t>
            </w:r>
          </w:p>
        </w:tc>
        <w:tc>
          <w:tcPr>
            <w:tcW w:w="78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488</w:t>
            </w:r>
          </w:p>
        </w:tc>
      </w:tr>
      <w:tr>
        <w:trPr>
          <w:trHeight w:val="210"/>
        </w:trPr>
        <w:tc>
          <w:tcPr>
            <w:tcW w:w="6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2,118</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2,056</w:t>
            </w:r>
          </w:p>
        </w:tc>
      </w:tr>
      <w:tr>
        <w:trPr>
          <w:trHeight w:val="210"/>
        </w:trPr>
        <w:tc>
          <w:tcPr>
            <w:tcW w:w="71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3,143</w:t>
            </w:r>
          </w:p>
        </w:tc>
        <w:tc>
          <w:tcPr>
            <w:tcW w:w="7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3,737</w:t>
            </w:r>
          </w:p>
        </w:tc>
      </w:tr>
      <w:tr>
        <w:trPr>
          <w:trHeight w:val="216"/>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investments</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602</w:t>
            </w:r>
          </w:p>
        </w:tc>
      </w:tr>
      <w:tr>
        <w:trPr>
          <w:trHeight w:val="217"/>
        </w:trPr>
        <w:tc>
          <w:tcPr>
            <w:tcW w:w="71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$2,999</w:t>
            </w:r>
          </w:p>
        </w:tc>
        <w:tc>
          <w:tcPr>
            <w:tcW w:w="78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3"/>
              </w:rPr>
              <w:t>3,135</w:t>
            </w:r>
          </w:p>
        </w:tc>
      </w:tr>
      <w:tr>
        <w:trPr>
          <w:trHeight w:val="403"/>
        </w:trPr>
        <w:tc>
          <w:tcPr>
            <w:tcW w:w="7180" w:type="dxa"/>
            <w:vAlign w:val="bottom"/>
            <w:gridSpan w:val="2"/>
          </w:tcPr>
          <w:p>
            <w:pPr>
              <w:ind w:left="4440"/>
              <w:spacing w:after="0"/>
              <w:rPr>
                <w:sz w:val="20"/>
                <w:szCs w:val="20"/>
                <w:color w:val="auto"/>
              </w:rPr>
            </w:pPr>
            <w:r>
              <w:rPr>
                <w:rFonts w:ascii="Arial" w:cs="Arial" w:eastAsia="Arial" w:hAnsi="Arial"/>
                <w:sz w:val="18"/>
                <w:szCs w:val="18"/>
                <w:b w:val="1"/>
                <w:bCs w:val="1"/>
                <w:color w:val="auto"/>
              </w:rPr>
              <w:t>Investment Income (Loss), Net</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6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40" w:type="dxa"/>
            <w:vAlign w:val="bottom"/>
            <w:gridSpan w:val="3"/>
          </w:tcPr>
          <w:p>
            <w:pPr>
              <w:jc w:val="right"/>
              <w:ind w:right="656"/>
              <w:spacing w:after="0"/>
              <w:rPr>
                <w:sz w:val="20"/>
                <w:szCs w:val="20"/>
                <w:color w:val="auto"/>
              </w:rPr>
            </w:pPr>
            <w:r>
              <w:rPr>
                <w:rFonts w:ascii="Arial" w:cs="Arial" w:eastAsia="Arial" w:hAnsi="Arial"/>
                <w:sz w:val="14"/>
                <w:szCs w:val="14"/>
                <w:color w:val="auto"/>
                <w:w w:val="97"/>
              </w:rPr>
              <w:t>Three Months Ended</w:t>
            </w:r>
          </w:p>
        </w:tc>
        <w:tc>
          <w:tcPr>
            <w:tcW w:w="420" w:type="dxa"/>
            <w:vAlign w:val="bottom"/>
          </w:tcPr>
          <w:p>
            <w:pPr>
              <w:spacing w:after="0"/>
              <w:rPr>
                <w:sz w:val="22"/>
                <w:szCs w:val="22"/>
                <w:color w:val="auto"/>
              </w:rPr>
            </w:pPr>
          </w:p>
        </w:tc>
        <w:tc>
          <w:tcPr>
            <w:tcW w:w="1480" w:type="dxa"/>
            <w:vAlign w:val="bottom"/>
            <w:gridSpan w:val="3"/>
          </w:tcPr>
          <w:p>
            <w:pPr>
              <w:jc w:val="right"/>
              <w:ind w:right="353"/>
              <w:spacing w:after="0"/>
              <w:rPr>
                <w:sz w:val="20"/>
                <w:szCs w:val="20"/>
                <w:color w:val="auto"/>
              </w:rPr>
            </w:pPr>
            <w:r>
              <w:rPr>
                <w:rFonts w:ascii="Arial" w:cs="Arial" w:eastAsia="Arial" w:hAnsi="Arial"/>
                <w:sz w:val="14"/>
                <w:szCs w:val="14"/>
                <w:color w:val="auto"/>
                <w:w w:val="89"/>
              </w:rPr>
              <w:t>Six Months Ended</w:t>
            </w:r>
          </w:p>
        </w:tc>
      </w:tr>
      <w:tr>
        <w:trPr>
          <w:trHeight w:val="159"/>
        </w:trPr>
        <w:tc>
          <w:tcPr>
            <w:tcW w:w="68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4"/>
              </w:rPr>
              <w:t>June 30</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42"/>
        </w:trPr>
        <w:tc>
          <w:tcPr>
            <w:tcW w:w="6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w w:val="89"/>
              </w:rPr>
              <w:t>2015</w:t>
            </w: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color w:val="auto"/>
                <w:w w:val="83"/>
              </w:rPr>
              <w:t>2014</w:t>
            </w:r>
          </w:p>
        </w:tc>
        <w:tc>
          <w:tcPr>
            <w:tcW w:w="1200" w:type="dxa"/>
            <w:vAlign w:val="bottom"/>
            <w:tcBorders>
              <w:bottom w:val="single" w:sz="8" w:color="auto"/>
            </w:tcBorders>
            <w:gridSpan w:val="2"/>
          </w:tcPr>
          <w:p>
            <w:pPr>
              <w:jc w:val="right"/>
              <w:ind w:right="597"/>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89"/>
              </w:rPr>
              <w:t>2014</w:t>
            </w:r>
          </w:p>
        </w:tc>
      </w:tr>
      <w:tr>
        <w:trPr>
          <w:trHeight w:val="210"/>
        </w:trPr>
        <w:tc>
          <w:tcPr>
            <w:tcW w:w="71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90</w:t>
            </w:r>
          </w:p>
        </w:tc>
        <w:tc>
          <w:tcPr>
            <w:tcW w:w="42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4</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173</w:t>
            </w: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Investment impairment losses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780" w:type="dxa"/>
            <w:vAlign w:val="bottom"/>
          </w:tcPr>
          <w:p>
            <w:pPr>
              <w:jc w:val="right"/>
              <w:ind w:right="397"/>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1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85</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42</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r>
      <w:tr>
        <w:trPr>
          <w:trHeight w:val="208"/>
        </w:trPr>
        <w:tc>
          <w:tcPr>
            <w:tcW w:w="7180" w:type="dxa"/>
            <w:vAlign w:val="bottom"/>
            <w:gridSpan w:val="2"/>
          </w:tcPr>
          <w:p>
            <w:pPr>
              <w:spacing w:after="0"/>
              <w:rPr>
                <w:sz w:val="20"/>
                <w:szCs w:val="20"/>
                <w:color w:val="auto"/>
              </w:rPr>
            </w:pPr>
            <w:r>
              <w:rPr>
                <w:rFonts w:ascii="Arial" w:cs="Arial" w:eastAsia="Arial" w:hAnsi="Arial"/>
                <w:sz w:val="18"/>
                <w:szCs w:val="18"/>
                <w:color w:val="auto"/>
                <w:w w:val="95"/>
              </w:rPr>
              <w:t>Mark to market adjustments on derivative component of prepaid forward sale agreements and</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indexed debt instruments</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780" w:type="dxa"/>
            <w:vAlign w:val="bottom"/>
          </w:tcPr>
          <w:p>
            <w:pPr>
              <w:jc w:val="right"/>
              <w:ind w:right="397"/>
              <w:spacing w:after="0"/>
              <w:rPr>
                <w:sz w:val="20"/>
                <w:szCs w:val="20"/>
                <w:color w:val="auto"/>
              </w:rPr>
            </w:pPr>
            <w:r>
              <w:rPr>
                <w:rFonts w:ascii="Arial" w:cs="Arial" w:eastAsia="Arial" w:hAnsi="Arial"/>
                <w:sz w:val="18"/>
                <w:szCs w:val="18"/>
                <w:color w:val="auto"/>
                <w:w w:val="87"/>
              </w:rPr>
              <w:t>(37)</w:t>
            </w:r>
          </w:p>
        </w:tc>
        <w:tc>
          <w:tcPr>
            <w:tcW w:w="160" w:type="dxa"/>
            <w:vAlign w:val="bottom"/>
          </w:tcPr>
          <w:p>
            <w:pPr>
              <w:spacing w:after="0"/>
              <w:rPr>
                <w:sz w:val="19"/>
                <w:szCs w:val="19"/>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8"/>
        </w:trPr>
        <w:tc>
          <w:tcPr>
            <w:tcW w:w="71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28</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56</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w:t>
            </w:r>
          </w:p>
        </w:tc>
      </w:tr>
      <w:tr>
        <w:trPr>
          <w:trHeight w:val="216"/>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17"/>
        </w:trPr>
        <w:tc>
          <w:tcPr>
            <w:tcW w:w="71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96"/>
              <w:spacing w:after="0"/>
              <w:rPr>
                <w:sz w:val="20"/>
                <w:szCs w:val="20"/>
                <w:color w:val="auto"/>
              </w:rPr>
            </w:pPr>
            <w:r>
              <w:rPr>
                <w:rFonts w:ascii="Arial" w:cs="Arial" w:eastAsia="Arial" w:hAnsi="Arial"/>
                <w:sz w:val="18"/>
                <w:szCs w:val="18"/>
                <w:b w:val="1"/>
                <w:bCs w:val="1"/>
                <w:color w:val="auto"/>
              </w:rPr>
              <w:t>120</w:t>
            </w:r>
          </w:p>
        </w:tc>
        <w:tc>
          <w:tcPr>
            <w:tcW w:w="420" w:type="dxa"/>
            <w:vAlign w:val="bottom"/>
            <w:tcBorders>
              <w:bottom w:val="single" w:sz="8" w:color="auto"/>
            </w:tcBorders>
            <w:shd w:val="clear" w:color="auto" w:fill="E5E5E5"/>
          </w:tcPr>
          <w:p>
            <w:pPr>
              <w:jc w:val="center"/>
              <w:ind w:right="15"/>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b w:val="1"/>
                <w:bCs w:val="1"/>
                <w:color w:val="auto"/>
              </w:rPr>
              <w:t>50</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233</w:t>
            </w:r>
          </w:p>
        </w:tc>
      </w:tr>
      <w:tr>
        <w:trPr>
          <w:trHeight w:val="363"/>
        </w:trPr>
        <w:tc>
          <w:tcPr>
            <w:tcW w:w="6880" w:type="dxa"/>
            <w:vAlign w:val="bottom"/>
          </w:tcPr>
          <w:p>
            <w:pPr>
              <w:ind w:left="56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six months ended June 30, 2015, we settled $517 million of our obligations under prepaid forward sale agreements by delivering equity securities. As of June 30, 2015, we have no remaining liabilities related to obligations under prepaid forward sale agreements.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2015, The Weather Channel recorded an impairment charge related to goodwill. We recorded an expense of $252 million representing NBCUniversal’s proportionate share of this impairment charge in equity in net income (losses) of investees, net in our condensed consolidated statement of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two series of preferred stock of AirTouch Communications, Inc. (“AirTouch”), a subsidiary of Verizon Communications Inc., which are redeemable in April 2020. As of June 30, 2015,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2015, our debt had a carrying value of $48.5 billion and an estimated fair value of $53.2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Redemptions and Repayments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2015, we issued $1.5 billion aggregate principal amount of 3.375% senior notes due 2025, $800 million aggregate principal amount of 4.400% senior notes due 2035 and $1.7 billion aggregate principal amount of 4.600% senior notes due 2045. The proceeds from this offering were used for working capital and general corporate purposes, including the redemption in June 2015 of our $750 million aggregate principal amount of 5.85% senior notes due November 2015 and our $1.0 billion aggregate principal amount of 5.90% senior notes due March 2016. The early redemption resulted in $47 million of additional interest expense in our condensed consolidated statement of income.</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2015, we repaid at maturity $900 million aggregate principal amount of 6.50% senior notes due 2015. In April 2015, we repaid at maturity $1 billion aggregate principal amount of 3.65% senior notes due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2015, amounts available under our consolidated revolving credit facilities, net of amounts outstanding under our commercial paper programs and outstanding letters of credit, totaled $6.7 billion, which included $645 million available under NBCUniversal Enterprise Inc.’s (“NBCUniversal Enterprise”) revolving credit facility.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NBCUniversal Enterprise had $705 million face amount of commercial paper outstanding.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ind w:left="300"/>
              <w:spacing w:after="0" w:line="131" w:lineRule="exact"/>
              <w:rPr>
                <w:sz w:val="20"/>
                <w:szCs w:val="20"/>
                <w:color w:val="auto"/>
              </w:rPr>
            </w:pPr>
            <w:r>
              <w:rPr>
                <w:rFonts w:ascii="Arial" w:cs="Arial" w:eastAsia="Arial" w:hAnsi="Arial"/>
                <w:sz w:val="14"/>
                <w:szCs w:val="14"/>
                <w:color w:val="auto"/>
              </w:rPr>
              <w:t>June 30,</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26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3"/>
        </w:trPr>
        <w:tc>
          <w:tcPr>
            <w:tcW w:w="65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2015</w:t>
            </w: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106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Level 1</w:t>
            </w:r>
          </w:p>
        </w:tc>
        <w:tc>
          <w:tcPr>
            <w:tcW w:w="720" w:type="dxa"/>
            <w:vAlign w:val="bottom"/>
            <w:gridSpan w:val="2"/>
          </w:tcPr>
          <w:p>
            <w:pPr>
              <w:ind w:left="260"/>
              <w:spacing w:after="0" w:line="142" w:lineRule="exact"/>
              <w:rPr>
                <w:sz w:val="20"/>
                <w:szCs w:val="20"/>
                <w:color w:val="auto"/>
              </w:rPr>
            </w:pPr>
            <w:r>
              <w:rPr>
                <w:rFonts w:ascii="Arial" w:cs="Arial" w:eastAsia="Arial" w:hAnsi="Arial"/>
                <w:sz w:val="14"/>
                <w:szCs w:val="14"/>
                <w:color w:val="auto"/>
                <w:w w:val="97"/>
              </w:rPr>
              <w:t>Level 2</w:t>
            </w:r>
          </w:p>
        </w:tc>
        <w:tc>
          <w:tcPr>
            <w:tcW w:w="1300" w:type="dxa"/>
            <w:vAlign w:val="bottom"/>
            <w:gridSpan w:val="2"/>
          </w:tcPr>
          <w:p>
            <w:pPr>
              <w:ind w:left="460"/>
              <w:spacing w:after="0" w:line="142" w:lineRule="exact"/>
              <w:rPr>
                <w:sz w:val="20"/>
                <w:szCs w:val="20"/>
                <w:color w:val="auto"/>
              </w:rPr>
            </w:pPr>
            <w:r>
              <w:rPr>
                <w:rFonts w:ascii="Arial" w:cs="Arial" w:eastAsia="Arial" w:hAnsi="Arial"/>
                <w:sz w:val="14"/>
                <w:szCs w:val="14"/>
                <w:color w:val="auto"/>
              </w:rPr>
              <w:t>Level 3</w:t>
            </w:r>
          </w:p>
        </w:tc>
        <w:tc>
          <w:tcPr>
            <w:tcW w:w="680" w:type="dxa"/>
            <w:vAlign w:val="bottom"/>
            <w:gridSpan w:val="2"/>
          </w:tcPr>
          <w:p>
            <w:pPr>
              <w:jc w:val="right"/>
              <w:ind w:right="192"/>
              <w:spacing w:after="0" w:line="142" w:lineRule="exact"/>
              <w:rPr>
                <w:sz w:val="20"/>
                <w:szCs w:val="20"/>
                <w:color w:val="auto"/>
              </w:rPr>
            </w:pPr>
            <w:r>
              <w:rPr>
                <w:rFonts w:ascii="Arial" w:cs="Arial" w:eastAsia="Arial" w:hAnsi="Arial"/>
                <w:sz w:val="14"/>
                <w:szCs w:val="14"/>
                <w:color w:val="auto"/>
              </w:rPr>
              <w:t>Total</w:t>
            </w:r>
          </w:p>
        </w:tc>
        <w:tc>
          <w:tcPr>
            <w:tcW w:w="420" w:type="dxa"/>
            <w:vAlign w:val="bottom"/>
          </w:tcPr>
          <w:p>
            <w:pPr>
              <w:spacing w:after="0"/>
              <w:rPr>
                <w:sz w:val="12"/>
                <w:szCs w:val="12"/>
                <w:color w:val="auto"/>
              </w:rPr>
            </w:pPr>
          </w:p>
        </w:tc>
        <w:tc>
          <w:tcPr>
            <w:tcW w:w="70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Trading securities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122</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6"/>
              </w:rPr>
              <w:t>134</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8"/>
                <w:szCs w:val="18"/>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w:t>
            </w:r>
          </w:p>
        </w:tc>
        <w:tc>
          <w:tcPr>
            <w:tcW w:w="5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39</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253</w:t>
            </w: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312</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2"/>
              </w:rPr>
              <w:t>Derivative component of prepaid forward sale agreements and indexed debt instruments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3"/>
              </w:rPr>
              <w:t>980</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6"/>
              </w:rPr>
              <w:t>980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5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3"/>
              </w:rPr>
              <w:t>980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994</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1,896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2015, we settled a contingent consideration liability related to the acquisition of NBCUniversal, which was based upon future net tax benefits realized by us that would affect future payments to General Electric Company, for a payment of $450 million, which is included as a financing activity in the condensed consolidated statement of cash flows. The settlement resulted in a gain of $240 million which was recorded to other income (expense), net in our condensed consolidated statement of income.</w:t>
      </w:r>
    </w:p>
    <w:p>
      <w:pPr>
        <w:spacing w:after="0" w:line="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fair values of the contractual obligations in the table below are primarily based on certain expected future discounted cash flows, the determination of which involves the use of significant unobservable inputs. The most significant unobservable inputs we use include our estimates of the future revenue we expect to generate from certain NBCUniversal businesses. The discount rates used in the measurements of fair value as of June 30, 2015 were between 12% and 13% and are based on the underlying risk associated with our estimate of future revenue and the terms of the respective contracts. The fair value adjustments to the contractual obligations are sensitive to the assumptions related to future revenue, as well as to current interest rates, and therefore the adjustments are recorded to other income (expense), net in our condensed consolidated statement of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40" w:type="dxa"/>
            <w:vAlign w:val="bottom"/>
          </w:tcPr>
          <w:p>
            <w:pPr>
              <w:spacing w:after="0"/>
              <w:rPr>
                <w:sz w:val="20"/>
                <w:szCs w:val="20"/>
                <w:color w:val="auto"/>
              </w:rPr>
            </w:pPr>
          </w:p>
        </w:tc>
        <w:tc>
          <w:tcPr>
            <w:tcW w:w="7760" w:type="dxa"/>
            <w:vAlign w:val="bottom"/>
          </w:tcPr>
          <w:p>
            <w:pPr>
              <w:ind w:left="1080"/>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0"/>
                <w:szCs w:val="20"/>
                <w:color w:val="auto"/>
              </w:rPr>
            </w:pPr>
          </w:p>
        </w:tc>
      </w:tr>
      <w:tr>
        <w:trPr>
          <w:trHeight w:val="261"/>
        </w:trPr>
        <w:tc>
          <w:tcPr>
            <w:tcW w:w="3140" w:type="dxa"/>
            <w:vAlign w:val="bottom"/>
          </w:tcPr>
          <w:p>
            <w:pPr>
              <w:spacing w:after="0"/>
              <w:rPr>
                <w:sz w:val="22"/>
                <w:szCs w:val="22"/>
                <w:color w:val="auto"/>
              </w:rPr>
            </w:pPr>
          </w:p>
        </w:tc>
        <w:tc>
          <w:tcPr>
            <w:tcW w:w="8280" w:type="dxa"/>
            <w:vAlign w:val="bottom"/>
            <w:gridSpan w:val="2"/>
          </w:tcPr>
          <w:p>
            <w:pPr>
              <w:ind w:left="7540"/>
              <w:spacing w:after="0"/>
              <w:rPr>
                <w:sz w:val="20"/>
                <w:szCs w:val="20"/>
                <w:color w:val="auto"/>
              </w:rPr>
            </w:pPr>
            <w:r>
              <w:rPr>
                <w:rFonts w:ascii="Arial" w:cs="Arial" w:eastAsia="Arial" w:hAnsi="Arial"/>
                <w:sz w:val="14"/>
                <w:szCs w:val="14"/>
                <w:color w:val="auto"/>
              </w:rPr>
              <w:t>Contractual</w:t>
            </w:r>
          </w:p>
        </w:tc>
      </w:tr>
      <w:tr>
        <w:trPr>
          <w:trHeight w:val="159"/>
        </w:trPr>
        <w:tc>
          <w:tcPr>
            <w:tcW w:w="3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80" w:type="dxa"/>
            <w:vAlign w:val="bottom"/>
            <w:tcBorders>
              <w:bottom w:val="single" w:sz="8" w:color="auto"/>
            </w:tcBorders>
            <w:gridSpan w:val="2"/>
          </w:tcPr>
          <w:p>
            <w:pPr>
              <w:ind w:left="7540"/>
              <w:spacing w:after="0" w:line="159" w:lineRule="exact"/>
              <w:rPr>
                <w:sz w:val="20"/>
                <w:szCs w:val="20"/>
                <w:color w:val="auto"/>
              </w:rPr>
            </w:pPr>
            <w:r>
              <w:rPr>
                <w:rFonts w:ascii="Arial" w:cs="Arial" w:eastAsia="Arial" w:hAnsi="Arial"/>
                <w:sz w:val="14"/>
                <w:szCs w:val="14"/>
                <w:color w:val="auto"/>
              </w:rPr>
              <w:t>Obligations</w:t>
            </w: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7760" w:type="dxa"/>
            <w:vAlign w:val="bottom"/>
            <w:shd w:val="clear" w:color="auto" w:fill="E5E5E5"/>
          </w:tcPr>
          <w:p>
            <w:pPr>
              <w:ind w:left="7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883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Fair value adjustments</w:t>
            </w:r>
          </w:p>
        </w:tc>
        <w:tc>
          <w:tcPr>
            <w:tcW w:w="776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136</w:t>
            </w:r>
          </w:p>
        </w:tc>
      </w:tr>
      <w:tr>
        <w:trPr>
          <w:trHeight w:val="216"/>
        </w:trPr>
        <w:tc>
          <w:tcPr>
            <w:tcW w:w="3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77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w:t>
            </w: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2015</w:t>
            </w:r>
          </w:p>
        </w:tc>
        <w:tc>
          <w:tcPr>
            <w:tcW w:w="7760" w:type="dxa"/>
            <w:vAlign w:val="bottom"/>
            <w:tcBorders>
              <w:bottom w:val="single" w:sz="8" w:color="auto"/>
            </w:tcBorders>
          </w:tcPr>
          <w:p>
            <w:pPr>
              <w:ind w:left="75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980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2015, the fair value of the NBCUniversal Enterprise redeemable subsidiary preferred stock was $748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2015, we granted 17.6 million stock options and 5.1 million RSUs related to our annual management awards. The weighted-average fair values associated with these grants were $11.79 per stock option and $59.50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360" w:type="dxa"/>
            <w:vAlign w:val="bottom"/>
          </w:tcPr>
          <w:p>
            <w:pPr>
              <w:spacing w:after="0"/>
              <w:rPr>
                <w:sz w:val="14"/>
                <w:szCs w:val="14"/>
                <w:color w:val="auto"/>
              </w:rPr>
            </w:pPr>
          </w:p>
        </w:tc>
        <w:tc>
          <w:tcPr>
            <w:tcW w:w="1560" w:type="dxa"/>
            <w:vAlign w:val="bottom"/>
            <w:gridSpan w:val="3"/>
          </w:tcPr>
          <w:p>
            <w:pPr>
              <w:jc w:val="right"/>
              <w:ind w:right="29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2015</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w w:val="89"/>
              </w:rPr>
              <w:t>2014</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2015</w:t>
            </w: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47</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60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138</w:t>
            </w:r>
          </w:p>
        </w:tc>
        <w:tc>
          <w:tcPr>
            <w:tcW w:w="6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5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6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122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2015, we had unrecognized pretax compensation expense of $424 million and $647 million related to nonvested stock options and nonvested RSUs,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580" w:type="dxa"/>
            <w:vAlign w:val="bottom"/>
          </w:tcPr>
          <w:p>
            <w:pPr>
              <w:jc w:val="right"/>
              <w:ind w:right="258"/>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4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580" w:type="dxa"/>
            <w:vAlign w:val="bottom"/>
            <w:tcBorders>
              <w:bottom w:val="single" w:sz="8" w:color="auto"/>
            </w:tcBorders>
          </w:tcPr>
          <w:p>
            <w:pPr>
              <w:jc w:val="right"/>
              <w:ind w:right="358"/>
              <w:spacing w:after="0" w:line="159"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558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$7,529</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6,885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5580" w:type="dxa"/>
            <w:vAlign w:val="bottom"/>
          </w:tcPr>
          <w:p>
            <w:pPr>
              <w:jc w:val="right"/>
              <w:ind w:right="238"/>
              <w:spacing w:after="0"/>
              <w:rPr>
                <w:sz w:val="20"/>
                <w:szCs w:val="20"/>
                <w:color w:val="auto"/>
              </w:rPr>
            </w:pPr>
            <w:r>
              <w:rPr>
                <w:rFonts w:ascii="Arial" w:cs="Arial" w:eastAsia="Arial" w:hAnsi="Arial"/>
                <w:sz w:val="18"/>
                <w:szCs w:val="18"/>
                <w:color w:val="auto"/>
              </w:rPr>
              <w:t>288</w:t>
            </w:r>
          </w:p>
        </w:tc>
        <w:tc>
          <w:tcPr>
            <w:tcW w:w="4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359</w:t>
            </w: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558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205</w:t>
            </w: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558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$7,016</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6,321</w:t>
            </w:r>
          </w:p>
        </w:tc>
      </w:tr>
      <w:tr>
        <w:trPr>
          <w:trHeight w:val="363"/>
        </w:trPr>
        <w:tc>
          <w:tcPr>
            <w:tcW w:w="4660" w:type="dxa"/>
            <w:vAlign w:val="bottom"/>
          </w:tcPr>
          <w:p>
            <w:pPr>
              <w:spacing w:after="0"/>
              <w:rPr>
                <w:sz w:val="24"/>
                <w:szCs w:val="24"/>
                <w:color w:val="auto"/>
              </w:rPr>
            </w:pPr>
          </w:p>
        </w:tc>
        <w:tc>
          <w:tcPr>
            <w:tcW w:w="5580" w:type="dxa"/>
            <w:vAlign w:val="bottom"/>
          </w:tcPr>
          <w:p>
            <w:pPr>
              <w:jc w:val="right"/>
              <w:ind w:right="4338"/>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June 30,</w:t>
            </w: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7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2015</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1</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218"/>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(68)</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77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gridSpan w:val="2"/>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 (166)</w:t>
            </w:r>
          </w:p>
        </w:tc>
        <w:tc>
          <w:tcPr>
            <w:tcW w:w="18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403"/>
        </w:trPr>
        <w:tc>
          <w:tcPr>
            <w:tcW w:w="7760" w:type="dxa"/>
            <w:vAlign w:val="bottom"/>
            <w:gridSpan w:val="2"/>
          </w:tcPr>
          <w:p>
            <w:pPr>
              <w:ind w:left="396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7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478"/>
              <w:spacing w:after="0" w:line="142" w:lineRule="exact"/>
              <w:rPr>
                <w:sz w:val="20"/>
                <w:szCs w:val="20"/>
                <w:color w:val="auto"/>
              </w:rPr>
            </w:pPr>
            <w:r>
              <w:rPr>
                <w:rFonts w:ascii="Arial" w:cs="Arial" w:eastAsia="Arial" w:hAnsi="Arial"/>
                <w:sz w:val="14"/>
                <w:szCs w:val="14"/>
                <w:color w:val="auto"/>
              </w:rPr>
              <w:t>2015</w:t>
            </w:r>
          </w:p>
        </w:tc>
        <w:tc>
          <w:tcPr>
            <w:tcW w:w="66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358"/>
              <w:spacing w:after="0"/>
              <w:rPr>
                <w:sz w:val="20"/>
                <w:szCs w:val="20"/>
                <w:color w:val="auto"/>
              </w:rPr>
            </w:pPr>
            <w:r>
              <w:rPr>
                <w:rFonts w:ascii="Arial" w:cs="Arial" w:eastAsia="Arial" w:hAnsi="Arial"/>
                <w:sz w:val="18"/>
                <w:szCs w:val="18"/>
                <w:color w:val="auto"/>
              </w:rPr>
              <w:t>$ 4,316</w:t>
            </w:r>
          </w:p>
        </w:tc>
        <w:tc>
          <w:tcPr>
            <w:tcW w:w="66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w w:val="89"/>
              </w:rPr>
              <w:t>$ 3,963</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358"/>
              <w:spacing w:after="0"/>
              <w:rPr>
                <w:sz w:val="20"/>
                <w:szCs w:val="20"/>
                <w:color w:val="auto"/>
              </w:rPr>
            </w:pPr>
            <w:r>
              <w:rPr>
                <w:rFonts w:ascii="Arial" w:cs="Arial" w:eastAsia="Arial" w:hAnsi="Arial"/>
                <w:sz w:val="18"/>
                <w:szCs w:val="18"/>
                <w:color w:val="auto"/>
              </w:rPr>
              <w:t>4,227</w:t>
            </w:r>
          </w:p>
        </w:tc>
        <w:tc>
          <w:tcPr>
            <w:tcW w:w="66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358"/>
              <w:spacing w:after="0"/>
              <w:rPr>
                <w:sz w:val="20"/>
                <w:szCs w:val="20"/>
                <w:color w:val="auto"/>
              </w:rPr>
            </w:pPr>
            <w:r>
              <w:rPr>
                <w:rFonts w:ascii="Arial" w:cs="Arial" w:eastAsia="Arial" w:hAnsi="Arial"/>
                <w:sz w:val="18"/>
                <w:szCs w:val="18"/>
                <w:color w:val="auto"/>
                <w:w w:val="86"/>
              </w:rPr>
              <w:t>294</w:t>
            </w:r>
          </w:p>
        </w:tc>
        <w:tc>
          <w:tcPr>
            <w:tcW w:w="18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95</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358"/>
              <w:spacing w:after="0"/>
              <w:rPr>
                <w:sz w:val="20"/>
                <w:szCs w:val="20"/>
                <w:color w:val="auto"/>
              </w:rPr>
            </w:pPr>
            <w:r>
              <w:rPr>
                <w:rFonts w:ascii="Arial" w:cs="Arial" w:eastAsia="Arial" w:hAnsi="Arial"/>
                <w:sz w:val="18"/>
                <w:szCs w:val="18"/>
                <w:color w:val="auto"/>
                <w:w w:val="86"/>
              </w:rPr>
              <w:t>203</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98"/>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w w:val="86"/>
              </w:rPr>
              <w:t>111</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298"/>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Film and television costs, net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358"/>
              <w:spacing w:after="0"/>
              <w:rPr>
                <w:sz w:val="20"/>
                <w:szCs w:val="20"/>
                <w:color w:val="auto"/>
              </w:rPr>
            </w:pPr>
            <w:r>
              <w:rPr>
                <w:rFonts w:ascii="Arial" w:cs="Arial" w:eastAsia="Arial" w:hAnsi="Arial"/>
                <w:sz w:val="18"/>
                <w:szCs w:val="18"/>
                <w:color w:val="auto"/>
                <w:w w:val="86"/>
              </w:rPr>
              <w:t>176</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w w:val="86"/>
              </w:rPr>
              <w:t>109</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w w:val="86"/>
              </w:rPr>
              <w:t>395</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(464)</w:t>
            </w:r>
          </w:p>
        </w:tc>
        <w:tc>
          <w:tcPr>
            <w:tcW w:w="0" w:type="dxa"/>
            <w:vAlign w:val="bottom"/>
          </w:tcPr>
          <w:p>
            <w:pPr>
              <w:spacing w:after="0"/>
              <w:rPr>
                <w:sz w:val="1"/>
                <w:szCs w:val="1"/>
                <w:color w:val="auto"/>
              </w:rPr>
            </w:pPr>
          </w:p>
        </w:tc>
      </w:tr>
      <w:tr>
        <w:trPr>
          <w:trHeight w:val="217"/>
        </w:trPr>
        <w:tc>
          <w:tcPr>
            <w:tcW w:w="77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gridSpan w:val="2"/>
            <w:shd w:val="clear" w:color="auto" w:fill="E5E5E5"/>
          </w:tcPr>
          <w:p>
            <w:pPr>
              <w:jc w:val="right"/>
              <w:ind w:right="358"/>
              <w:spacing w:after="0"/>
              <w:rPr>
                <w:sz w:val="20"/>
                <w:szCs w:val="20"/>
                <w:color w:val="auto"/>
              </w:rPr>
            </w:pPr>
            <w:r>
              <w:rPr>
                <w:rFonts w:ascii="Arial" w:cs="Arial" w:eastAsia="Arial" w:hAnsi="Arial"/>
                <w:sz w:val="18"/>
                <w:szCs w:val="18"/>
                <w:b w:val="1"/>
                <w:bCs w:val="1"/>
                <w:color w:val="auto"/>
              </w:rPr>
              <w:t>$ 8,834</w:t>
            </w:r>
          </w:p>
        </w:tc>
        <w:tc>
          <w:tcPr>
            <w:tcW w:w="660" w:type="dxa"/>
            <w:vAlign w:val="bottom"/>
            <w:tcBorders>
              <w:bottom w:val="single" w:sz="8" w:color="auto"/>
            </w:tcBorders>
            <w:gridSpan w:val="2"/>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$ 7,547</w:t>
            </w:r>
          </w:p>
        </w:tc>
        <w:tc>
          <w:tcPr>
            <w:tcW w:w="0" w:type="dxa"/>
            <w:vAlign w:val="bottom"/>
          </w:tcPr>
          <w:p>
            <w:pPr>
              <w:spacing w:after="0"/>
              <w:rPr>
                <w:sz w:val="1"/>
                <w:szCs w:val="1"/>
                <w:color w:val="auto"/>
              </w:rPr>
            </w:pPr>
          </w:p>
        </w:tc>
      </w:tr>
      <w:tr>
        <w:trPr>
          <w:trHeight w:val="403"/>
        </w:trPr>
        <w:tc>
          <w:tcPr>
            <w:tcW w:w="7760" w:type="dxa"/>
            <w:vAlign w:val="bottom"/>
            <w:gridSpan w:val="2"/>
          </w:tcPr>
          <w:p>
            <w:pPr>
              <w:ind w:left="3800"/>
              <w:spacing w:after="0"/>
              <w:rPr>
                <w:sz w:val="20"/>
                <w:szCs w:val="20"/>
                <w:color w:val="auto"/>
              </w:rPr>
            </w:pPr>
            <w:r>
              <w:rPr>
                <w:rFonts w:ascii="Arial" w:cs="Arial" w:eastAsia="Arial" w:hAnsi="Arial"/>
                <w:sz w:val="18"/>
                <w:szCs w:val="18"/>
                <w:b w:val="1"/>
                <w:bCs w:val="1"/>
                <w:color w:val="auto"/>
                <w:w w:val="99"/>
              </w:rPr>
              <w:t>Cash Payments for Interest and Income Taxes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4"/>
                <w:szCs w:val="14"/>
                <w:color w:val="auto"/>
                <w:w w:val="90"/>
              </w:rPr>
              <w:t>Three Months Ended</w:t>
            </w:r>
          </w:p>
        </w:tc>
        <w:tc>
          <w:tcPr>
            <w:tcW w:w="440" w:type="dxa"/>
            <w:vAlign w:val="bottom"/>
          </w:tcPr>
          <w:p>
            <w:pPr>
              <w:spacing w:after="0"/>
              <w:rPr>
                <w:sz w:val="22"/>
                <w:szCs w:val="22"/>
                <w:color w:val="auto"/>
              </w:rPr>
            </w:pPr>
          </w:p>
        </w:tc>
        <w:tc>
          <w:tcPr>
            <w:tcW w:w="1380" w:type="dxa"/>
            <w:vAlign w:val="bottom"/>
            <w:gridSpan w:val="3"/>
          </w:tcPr>
          <w:p>
            <w:pPr>
              <w:jc w:val="center"/>
              <w:ind w:right="213"/>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9"/>
              <w:spacing w:after="0" w:line="159" w:lineRule="exact"/>
              <w:rPr>
                <w:sz w:val="20"/>
                <w:szCs w:val="20"/>
                <w:color w:val="auto"/>
              </w:rPr>
            </w:pPr>
            <w:r>
              <w:rPr>
                <w:rFonts w:ascii="Arial" w:cs="Arial" w:eastAsia="Arial" w:hAnsi="Arial"/>
                <w:sz w:val="14"/>
                <w:szCs w:val="14"/>
                <w:color w:val="auto"/>
                <w:w w:val="80"/>
              </w:rPr>
              <w:t>June 30</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left="78"/>
              <w:spacing w:after="0" w:line="159" w:lineRule="exact"/>
              <w:rPr>
                <w:sz w:val="20"/>
                <w:szCs w:val="20"/>
                <w:color w:val="auto"/>
              </w:rPr>
            </w:pPr>
            <w:r>
              <w:rPr>
                <w:rFonts w:ascii="Arial" w:cs="Arial" w:eastAsia="Arial" w:hAnsi="Arial"/>
                <w:sz w:val="14"/>
                <w:szCs w:val="14"/>
                <w:color w:val="auto"/>
                <w:w w:val="84"/>
              </w:rPr>
              <w:t>June 30</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w w:val="89"/>
              </w:rPr>
              <w:t>2015</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2014</w:t>
            </w: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78"/>
              <w:spacing w:after="0" w:line="142" w:lineRule="exact"/>
              <w:rPr>
                <w:sz w:val="20"/>
                <w:szCs w:val="20"/>
                <w:color w:val="auto"/>
              </w:rPr>
            </w:pPr>
            <w:r>
              <w:rPr>
                <w:rFonts w:ascii="Arial" w:cs="Arial" w:eastAsia="Arial" w:hAnsi="Arial"/>
                <w:sz w:val="14"/>
                <w:szCs w:val="14"/>
                <w:color w:val="auto"/>
                <w:w w:val="89"/>
              </w:rPr>
              <w:t>2015</w:t>
            </w:r>
          </w:p>
        </w:tc>
        <w:tc>
          <w:tcPr>
            <w:tcW w:w="6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550</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541</w:t>
            </w:r>
          </w:p>
        </w:tc>
        <w:tc>
          <w:tcPr>
            <w:tcW w:w="1160" w:type="dxa"/>
            <w:vAlign w:val="bottom"/>
            <w:gridSpan w:val="2"/>
            <w:shd w:val="clear" w:color="auto" w:fill="E5E5E5"/>
          </w:tcPr>
          <w:p>
            <w:pPr>
              <w:jc w:val="center"/>
              <w:ind w:right="98"/>
              <w:spacing w:after="0"/>
              <w:rPr>
                <w:sz w:val="20"/>
                <w:szCs w:val="20"/>
                <w:color w:val="auto"/>
              </w:rPr>
            </w:pPr>
            <w:r>
              <w:rPr>
                <w:rFonts w:ascii="Arial" w:cs="Arial" w:eastAsia="Arial" w:hAnsi="Arial"/>
                <w:sz w:val="18"/>
                <w:szCs w:val="18"/>
                <w:color w:val="auto"/>
                <w:w w:val="89"/>
              </w:rPr>
              <w:t>$ 1,241</w:t>
            </w:r>
          </w:p>
        </w:tc>
        <w:tc>
          <w:tcPr>
            <w:tcW w:w="660" w:type="dxa"/>
            <w:vAlign w:val="bottom"/>
            <w:gridSpan w:val="2"/>
            <w:shd w:val="clear" w:color="auto" w:fill="E5E5E5"/>
          </w:tcPr>
          <w:p>
            <w:pPr>
              <w:jc w:val="center"/>
              <w:spacing w:after="0"/>
              <w:rPr>
                <w:sz w:val="20"/>
                <w:szCs w:val="20"/>
                <w:color w:val="auto"/>
              </w:rPr>
            </w:pPr>
            <w:r>
              <w:rPr>
                <w:rFonts w:ascii="Arial" w:cs="Arial" w:eastAsia="Arial" w:hAnsi="Arial"/>
                <w:sz w:val="18"/>
                <w:szCs w:val="18"/>
                <w:color w:val="auto"/>
                <w:w w:val="89"/>
              </w:rPr>
              <w:t>$ 1,164</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1,881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88"/>
              </w:rPr>
              <w:t>1,718</w:t>
            </w:r>
          </w:p>
        </w:tc>
        <w:tc>
          <w:tcPr>
            <w:tcW w:w="1160" w:type="dxa"/>
            <w:vAlign w:val="bottom"/>
            <w:tcBorders>
              <w:bottom w:val="single" w:sz="8" w:color="auto"/>
            </w:tcBorders>
            <w:gridSpan w:val="2"/>
          </w:tcPr>
          <w:p>
            <w:pPr>
              <w:jc w:val="center"/>
              <w:ind w:right="98"/>
              <w:spacing w:after="0"/>
              <w:rPr>
                <w:sz w:val="20"/>
                <w:szCs w:val="20"/>
                <w:color w:val="auto"/>
              </w:rPr>
            </w:pPr>
            <w:r>
              <w:rPr>
                <w:rFonts w:ascii="Arial" w:cs="Arial" w:eastAsia="Arial" w:hAnsi="Arial"/>
                <w:sz w:val="18"/>
                <w:szCs w:val="18"/>
                <w:color w:val="auto"/>
                <w:w w:val="89"/>
              </w:rPr>
              <w:t>$ 1,999</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$ 1,904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2015:</w:t>
      </w:r>
    </w:p>
    <w:p>
      <w:pPr>
        <w:spacing w:after="0" w:line="77"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$964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$624 million for a quarterly cash dividend of $0.25 per common share paid in July 2015</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$517 million of equity securities to settle our obligations under prepaid forward sale agreements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4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(“cable services”) to residential customers under the XFINITY brand; we also provide similar and other services to small and medium-sized businesses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the NBC Universo national cable network, and our broadcast television production operations.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color w:val="auto"/>
              </w:rPr>
              <w:t>Three Months Ended June 30, 2015</w:t>
            </w:r>
          </w:p>
        </w:tc>
        <w:tc>
          <w:tcPr>
            <w:tcW w:w="1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gridSpan w:val="2"/>
          </w:tcPr>
          <w:p>
            <w:pPr>
              <w:ind w:left="46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140" w:type="dxa"/>
            <w:vAlign w:val="bottom"/>
          </w:tcPr>
          <w:p>
            <w:pPr>
              <w:jc w:val="center"/>
              <w:ind w:right="77"/>
              <w:spacing w:after="0" w:line="131" w:lineRule="exact"/>
              <w:rPr>
                <w:sz w:val="20"/>
                <w:szCs w:val="20"/>
                <w:color w:val="auto"/>
              </w:rPr>
            </w:pPr>
            <w:r>
              <w:rPr>
                <w:rFonts w:ascii="Arial" w:cs="Arial" w:eastAsia="Arial" w:hAnsi="Arial"/>
                <w:sz w:val="14"/>
                <w:szCs w:val="14"/>
                <w:color w:val="auto"/>
                <w:w w:val="87"/>
              </w:rPr>
              <w:t>Operating</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1440" w:type="dxa"/>
            <w:vAlign w:val="bottom"/>
            <w:vMerge w:val="restart"/>
          </w:tcPr>
          <w:p>
            <w:pPr>
              <w:jc w:val="right"/>
              <w:ind w:right="15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20" w:type="dxa"/>
            <w:vAlign w:val="bottom"/>
          </w:tcPr>
          <w:p>
            <w:pPr>
              <w:jc w:val="right"/>
              <w:ind w:right="634"/>
              <w:spacing w:after="0" w:line="133" w:lineRule="exact"/>
              <w:rPr>
                <w:sz w:val="20"/>
                <w:szCs w:val="20"/>
                <w:color w:val="auto"/>
              </w:rPr>
            </w:pPr>
            <w:r>
              <w:rPr>
                <w:rFonts w:ascii="Arial" w:cs="Arial" w:eastAsia="Arial" w:hAnsi="Arial"/>
                <w:sz w:val="14"/>
                <w:szCs w:val="14"/>
                <w:color w:val="auto"/>
              </w:rPr>
              <w:t>and</w:t>
            </w:r>
          </w:p>
        </w:tc>
        <w:tc>
          <w:tcPr>
            <w:tcW w:w="1140" w:type="dxa"/>
            <w:vAlign w:val="bottom"/>
          </w:tcPr>
          <w:p>
            <w:pPr>
              <w:jc w:val="center"/>
              <w:ind w:right="57"/>
              <w:spacing w:after="0" w:line="133" w:lineRule="exact"/>
              <w:rPr>
                <w:sz w:val="20"/>
                <w:szCs w:val="20"/>
                <w:color w:val="auto"/>
              </w:rPr>
            </w:pPr>
            <w:r>
              <w:rPr>
                <w:rFonts w:ascii="Arial" w:cs="Arial" w:eastAsia="Arial" w:hAnsi="Arial"/>
                <w:sz w:val="14"/>
                <w:szCs w:val="14"/>
                <w:color w:val="auto"/>
                <w:w w:val="87"/>
              </w:rPr>
              <w:t>Income</w:t>
            </w:r>
          </w:p>
        </w:tc>
        <w:tc>
          <w:tcPr>
            <w:tcW w:w="46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87"/>
              </w:rPr>
              <w:t>(Loss)</w:t>
            </w: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$ 11,729</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4,798</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1,726</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$ 3,072</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2,450</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872</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211</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661</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1,813</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30</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201</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2,266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422</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6</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416</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773</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354</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76</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278</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(169)</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82</w:t>
            </w:r>
          </w:p>
        </w:tc>
        <w:tc>
          <w:tcPr>
            <w:tcW w:w="114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(251)</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(75)</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7,230</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1,712</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405</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1,307</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176</w:t>
            </w:r>
          </w:p>
        </w:tc>
        <w:tc>
          <w:tcPr>
            <w:tcW w:w="64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(252)</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30</w:t>
            </w: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(282)</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4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(392)</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$ 18,743</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6,266</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2,161</w:t>
            </w: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$ 4,105</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1,971</w:t>
            </w:r>
          </w:p>
        </w:tc>
        <w:tc>
          <w:tcPr>
            <w:tcW w:w="0" w:type="dxa"/>
            <w:vAlign w:val="bottom"/>
          </w:tcPr>
          <w:p>
            <w:pPr>
              <w:spacing w:after="0"/>
              <w:rPr>
                <w:sz w:val="1"/>
                <w:szCs w:val="1"/>
                <w:color w:val="auto"/>
              </w:rPr>
            </w:pPr>
          </w:p>
        </w:tc>
      </w:tr>
      <w:tr>
        <w:trPr>
          <w:trHeight w:val="363"/>
        </w:trPr>
        <w:tc>
          <w:tcPr>
            <w:tcW w:w="3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13</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color w:val="auto"/>
              </w:rPr>
              <w:t>Three Months Ended June 30, 2014</w:t>
            </w: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Operating Income (Loss)</w:t>
            </w:r>
          </w:p>
        </w:tc>
        <w:tc>
          <w:tcPr>
            <w:tcW w:w="1460" w:type="dxa"/>
            <w:vAlign w:val="bottom"/>
            <w:gridSpan w:val="2"/>
          </w:tcPr>
          <w:p>
            <w:pPr>
              <w:ind w:left="240"/>
              <w:spacing w:after="0" w:line="131" w:lineRule="exact"/>
              <w:rPr>
                <w:sz w:val="20"/>
                <w:szCs w:val="20"/>
                <w:color w:val="auto"/>
              </w:rPr>
            </w:pPr>
            <w:r>
              <w:rPr>
                <w:rFonts w:ascii="Arial" w:cs="Arial" w:eastAsia="Arial" w:hAnsi="Arial"/>
                <w:sz w:val="14"/>
                <w:szCs w:val="14"/>
                <w:color w:val="auto"/>
              </w:rPr>
              <w:t>Depreciation</w:t>
            </w:r>
          </w:p>
        </w:tc>
        <w:tc>
          <w:tcPr>
            <w:tcW w:w="1140" w:type="dxa"/>
            <w:vAlign w:val="bottom"/>
          </w:tcPr>
          <w:p>
            <w:pPr>
              <w:jc w:val="center"/>
              <w:ind w:right="15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vMerge w:val="restart"/>
          </w:tcPr>
          <w:p>
            <w:pPr>
              <w:jc w:val="right"/>
              <w:ind w:right="31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980" w:type="dxa"/>
            <w:vAlign w:val="bottom"/>
          </w:tcPr>
          <w:p>
            <w:pPr>
              <w:jc w:val="right"/>
              <w:ind w:right="674"/>
              <w:spacing w:after="0" w:line="133" w:lineRule="exact"/>
              <w:rPr>
                <w:sz w:val="20"/>
                <w:szCs w:val="20"/>
                <w:color w:val="auto"/>
              </w:rPr>
            </w:pPr>
            <w:r>
              <w:rPr>
                <w:rFonts w:ascii="Arial" w:cs="Arial" w:eastAsia="Arial" w:hAnsi="Arial"/>
                <w:sz w:val="14"/>
                <w:szCs w:val="14"/>
                <w:color w:val="auto"/>
                <w:w w:val="85"/>
              </w:rPr>
              <w:t>and</w:t>
            </w:r>
          </w:p>
        </w:tc>
        <w:tc>
          <w:tcPr>
            <w:tcW w:w="1140" w:type="dxa"/>
            <w:vAlign w:val="bottom"/>
          </w:tcPr>
          <w:p>
            <w:pPr>
              <w:jc w:val="center"/>
              <w:ind w:right="13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gridSpan w:val="2"/>
          </w:tcPr>
          <w:p>
            <w:pPr>
              <w:jc w:val="right"/>
              <w:ind w:right="65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80" w:type="dxa"/>
            <w:vAlign w:val="bottom"/>
            <w:gridSpan w:val="2"/>
            <w:shd w:val="clear" w:color="auto" w:fill="E5E5E5"/>
          </w:tcPr>
          <w:p>
            <w:pPr>
              <w:jc w:val="right"/>
              <w:ind w:right="312"/>
              <w:spacing w:after="0"/>
              <w:rPr>
                <w:sz w:val="20"/>
                <w:szCs w:val="20"/>
                <w:color w:val="auto"/>
              </w:rPr>
            </w:pPr>
            <w:r>
              <w:rPr>
                <w:rFonts w:ascii="Arial" w:cs="Arial" w:eastAsia="Arial" w:hAnsi="Arial"/>
                <w:sz w:val="18"/>
                <w:szCs w:val="18"/>
                <w:color w:val="auto"/>
              </w:rPr>
              <w:t>$ 11,029</w:t>
            </w:r>
          </w:p>
        </w:tc>
        <w:tc>
          <w:tcPr>
            <w:tcW w:w="7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4,564</w:t>
            </w:r>
          </w:p>
        </w:tc>
        <w:tc>
          <w:tcPr>
            <w:tcW w:w="4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1,604</w:t>
            </w:r>
          </w:p>
        </w:tc>
        <w:tc>
          <w:tcPr>
            <w:tcW w:w="11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$ 2,960</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80" w:type="dxa"/>
            <w:vAlign w:val="bottom"/>
            <w:gridSpan w:val="2"/>
            <w:shd w:val="clear" w:color="auto" w:fill="E5E5E5"/>
          </w:tcPr>
          <w:p>
            <w:pPr>
              <w:jc w:val="right"/>
              <w:ind w:right="312"/>
              <w:spacing w:after="0"/>
              <w:rPr>
                <w:sz w:val="20"/>
                <w:szCs w:val="20"/>
                <w:color w:val="auto"/>
              </w:rPr>
            </w:pPr>
            <w:r>
              <w:rPr>
                <w:rFonts w:ascii="Arial" w:cs="Arial" w:eastAsia="Arial" w:hAnsi="Arial"/>
                <w:sz w:val="18"/>
                <w:szCs w:val="18"/>
                <w:color w:val="auto"/>
              </w:rPr>
              <w:t>2,476</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914</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180</w:t>
            </w:r>
          </w:p>
        </w:tc>
        <w:tc>
          <w:tcPr>
            <w:tcW w:w="11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734</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1,816</w:t>
            </w:r>
          </w:p>
        </w:tc>
        <w:tc>
          <w:tcPr>
            <w:tcW w:w="700" w:type="dxa"/>
            <w:vAlign w:val="bottom"/>
          </w:tcPr>
          <w:p>
            <w:pPr>
              <w:spacing w:after="0"/>
              <w:rPr>
                <w:sz w:val="18"/>
                <w:szCs w:val="18"/>
                <w:color w:val="auto"/>
              </w:rPr>
            </w:pP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240</w:t>
            </w:r>
          </w:p>
        </w:tc>
        <w:tc>
          <w:tcPr>
            <w:tcW w:w="480" w:type="dxa"/>
            <w:vAlign w:val="bottom"/>
          </w:tcPr>
          <w:p>
            <w:pPr>
              <w:spacing w:after="0"/>
              <w:rPr>
                <w:sz w:val="18"/>
                <w:szCs w:val="18"/>
                <w:color w:val="auto"/>
              </w:rPr>
            </w:pPr>
          </w:p>
        </w:tc>
        <w:tc>
          <w:tcPr>
            <w:tcW w:w="980" w:type="dxa"/>
            <w:vAlign w:val="bottom"/>
          </w:tcPr>
          <w:p>
            <w:pPr>
              <w:jc w:val="right"/>
              <w:ind w:right="414"/>
              <w:spacing w:after="0"/>
              <w:rPr>
                <w:sz w:val="20"/>
                <w:szCs w:val="20"/>
                <w:color w:val="auto"/>
              </w:rPr>
            </w:pPr>
            <w:r>
              <w:rPr>
                <w:rFonts w:ascii="Arial" w:cs="Arial" w:eastAsia="Arial" w:hAnsi="Arial"/>
                <w:sz w:val="18"/>
                <w:szCs w:val="18"/>
                <w:color w:val="auto"/>
              </w:rPr>
              <w:t>27</w:t>
            </w:r>
          </w:p>
        </w:tc>
        <w:tc>
          <w:tcPr>
            <w:tcW w:w="1140" w:type="dxa"/>
            <w:vAlign w:val="bottom"/>
          </w:tcPr>
          <w:p>
            <w:pPr>
              <w:jc w:val="right"/>
              <w:ind w:right="337"/>
              <w:spacing w:after="0"/>
              <w:rPr>
                <w:sz w:val="20"/>
                <w:szCs w:val="20"/>
                <w:color w:val="auto"/>
              </w:rPr>
            </w:pPr>
            <w:r>
              <w:rPr>
                <w:rFonts w:ascii="Arial" w:cs="Arial" w:eastAsia="Arial" w:hAnsi="Arial"/>
                <w:sz w:val="18"/>
                <w:szCs w:val="18"/>
                <w:color w:val="auto"/>
              </w:rPr>
              <w:t>213</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80" w:type="dxa"/>
            <w:vAlign w:val="bottom"/>
            <w:gridSpan w:val="2"/>
            <w:shd w:val="clear" w:color="auto" w:fill="E5E5E5"/>
          </w:tcPr>
          <w:p>
            <w:pPr>
              <w:jc w:val="right"/>
              <w:ind w:right="312"/>
              <w:spacing w:after="0"/>
              <w:rPr>
                <w:sz w:val="20"/>
                <w:szCs w:val="20"/>
                <w:color w:val="auto"/>
              </w:rPr>
            </w:pPr>
            <w:r>
              <w:rPr>
                <w:rFonts w:ascii="Arial" w:cs="Arial" w:eastAsia="Arial" w:hAnsi="Arial"/>
                <w:sz w:val="18"/>
                <w:szCs w:val="18"/>
                <w:color w:val="auto"/>
              </w:rPr>
              <w:t>1,176</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195</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5</w:t>
            </w:r>
          </w:p>
        </w:tc>
        <w:tc>
          <w:tcPr>
            <w:tcW w:w="11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615</w:t>
            </w:r>
          </w:p>
        </w:tc>
        <w:tc>
          <w:tcPr>
            <w:tcW w:w="700" w:type="dxa"/>
            <w:vAlign w:val="bottom"/>
          </w:tcPr>
          <w:p>
            <w:pPr>
              <w:spacing w:after="0"/>
              <w:rPr>
                <w:sz w:val="18"/>
                <w:szCs w:val="18"/>
                <w:color w:val="auto"/>
              </w:rPr>
            </w:pP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18"/>
                <w:szCs w:val="18"/>
                <w:color w:val="auto"/>
              </w:rPr>
            </w:pPr>
          </w:p>
        </w:tc>
        <w:tc>
          <w:tcPr>
            <w:tcW w:w="980" w:type="dxa"/>
            <w:vAlign w:val="bottom"/>
          </w:tcPr>
          <w:p>
            <w:pPr>
              <w:jc w:val="right"/>
              <w:ind w:right="414"/>
              <w:spacing w:after="0"/>
              <w:rPr>
                <w:sz w:val="20"/>
                <w:szCs w:val="20"/>
                <w:color w:val="auto"/>
              </w:rPr>
            </w:pPr>
            <w:r>
              <w:rPr>
                <w:rFonts w:ascii="Arial" w:cs="Arial" w:eastAsia="Arial" w:hAnsi="Arial"/>
                <w:sz w:val="18"/>
                <w:szCs w:val="18"/>
                <w:color w:val="auto"/>
              </w:rPr>
              <w:t>73</w:t>
            </w:r>
          </w:p>
        </w:tc>
        <w:tc>
          <w:tcPr>
            <w:tcW w:w="1140" w:type="dxa"/>
            <w:vAlign w:val="bottom"/>
          </w:tcPr>
          <w:p>
            <w:pPr>
              <w:jc w:val="right"/>
              <w:ind w:right="337"/>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580" w:type="dxa"/>
            <w:vAlign w:val="bottom"/>
            <w:gridSpan w:val="2"/>
            <w:shd w:val="clear" w:color="auto" w:fill="E5E5E5"/>
          </w:tcPr>
          <w:p>
            <w:pPr>
              <w:jc w:val="right"/>
              <w:ind w:right="312"/>
              <w:spacing w:after="0"/>
              <w:rPr>
                <w:sz w:val="20"/>
                <w:szCs w:val="20"/>
                <w:color w:val="auto"/>
              </w:rPr>
            </w:pPr>
            <w:r>
              <w:rPr>
                <w:rFonts w:ascii="Arial" w:cs="Arial" w:eastAsia="Arial" w:hAnsi="Arial"/>
                <w:sz w:val="18"/>
                <w:szCs w:val="18"/>
                <w:color w:val="auto"/>
              </w:rPr>
              <w:t>4</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(159)</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85</w:t>
            </w:r>
          </w:p>
        </w:tc>
        <w:tc>
          <w:tcPr>
            <w:tcW w:w="114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(244)</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(71)</w:t>
            </w: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80" w:type="dxa"/>
            <w:vAlign w:val="bottom"/>
            <w:gridSpan w:val="2"/>
            <w:shd w:val="clear" w:color="auto" w:fill="E5E5E5"/>
          </w:tcPr>
          <w:p>
            <w:pPr>
              <w:jc w:val="right"/>
              <w:ind w:right="312"/>
              <w:spacing w:after="0"/>
              <w:rPr>
                <w:sz w:val="20"/>
                <w:szCs w:val="20"/>
                <w:color w:val="auto"/>
              </w:rPr>
            </w:pPr>
            <w:r>
              <w:rPr>
                <w:rFonts w:ascii="Arial" w:cs="Arial" w:eastAsia="Arial" w:hAnsi="Arial"/>
                <w:sz w:val="18"/>
                <w:szCs w:val="18"/>
                <w:color w:val="auto"/>
              </w:rPr>
              <w:t>6,016</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1,434</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370</w:t>
            </w:r>
          </w:p>
        </w:tc>
        <w:tc>
          <w:tcPr>
            <w:tcW w:w="11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1,064</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172</w:t>
            </w:r>
          </w:p>
        </w:tc>
        <w:tc>
          <w:tcPr>
            <w:tcW w:w="700" w:type="dxa"/>
            <w:vAlign w:val="bottom"/>
          </w:tcPr>
          <w:p>
            <w:pPr>
              <w:spacing w:after="0"/>
              <w:rPr>
                <w:sz w:val="18"/>
                <w:szCs w:val="18"/>
                <w:color w:val="auto"/>
              </w:rPr>
            </w:pPr>
          </w:p>
        </w:tc>
        <w:tc>
          <w:tcPr>
            <w:tcW w:w="1460" w:type="dxa"/>
            <w:vAlign w:val="bottom"/>
          </w:tcPr>
          <w:p>
            <w:pPr>
              <w:jc w:val="right"/>
              <w:ind w:right="335"/>
              <w:spacing w:after="0"/>
              <w:rPr>
                <w:sz w:val="20"/>
                <w:szCs w:val="20"/>
                <w:color w:val="auto"/>
              </w:rPr>
            </w:pPr>
            <w:r>
              <w:rPr>
                <w:rFonts w:ascii="Arial" w:cs="Arial" w:eastAsia="Arial" w:hAnsi="Arial"/>
                <w:sz w:val="18"/>
                <w:szCs w:val="18"/>
                <w:color w:val="auto"/>
              </w:rPr>
              <w:t>(182)</w:t>
            </w:r>
          </w:p>
        </w:tc>
        <w:tc>
          <w:tcPr>
            <w:tcW w:w="480" w:type="dxa"/>
            <w:vAlign w:val="bottom"/>
          </w:tcPr>
          <w:p>
            <w:pPr>
              <w:spacing w:after="0"/>
              <w:rPr>
                <w:sz w:val="18"/>
                <w:szCs w:val="18"/>
                <w:color w:val="auto"/>
              </w:rPr>
            </w:pPr>
          </w:p>
        </w:tc>
        <w:tc>
          <w:tcPr>
            <w:tcW w:w="980" w:type="dxa"/>
            <w:vAlign w:val="bottom"/>
          </w:tcPr>
          <w:p>
            <w:pPr>
              <w:jc w:val="right"/>
              <w:ind w:right="414"/>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277"/>
              <w:spacing w:after="0"/>
              <w:rPr>
                <w:sz w:val="20"/>
                <w:szCs w:val="20"/>
                <w:color w:val="auto"/>
              </w:rPr>
            </w:pPr>
            <w:r>
              <w:rPr>
                <w:rFonts w:ascii="Arial" w:cs="Arial" w:eastAsia="Arial" w:hAnsi="Arial"/>
                <w:sz w:val="18"/>
                <w:szCs w:val="18"/>
                <w:color w:val="auto"/>
              </w:rPr>
              <w:t>(208)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gridSpan w:val="2"/>
            <w:shd w:val="clear" w:color="auto" w:fill="E5E5E5"/>
          </w:tcPr>
          <w:p>
            <w:pPr>
              <w:jc w:val="right"/>
              <w:ind w:right="252"/>
              <w:spacing w:after="0"/>
              <w:rPr>
                <w:sz w:val="20"/>
                <w:szCs w:val="20"/>
                <w:color w:val="auto"/>
              </w:rPr>
            </w:pPr>
            <w:r>
              <w:rPr>
                <w:rFonts w:ascii="Arial" w:cs="Arial" w:eastAsia="Arial" w:hAnsi="Arial"/>
                <w:sz w:val="18"/>
                <w:szCs w:val="18"/>
                <w:color w:val="auto"/>
              </w:rPr>
              <w:t>(373)</w:t>
            </w:r>
          </w:p>
        </w:tc>
        <w:tc>
          <w:tcPr>
            <w:tcW w:w="70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8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$ 16,844</w:t>
            </w: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5,804</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b w:val="1"/>
                <w:bCs w:val="1"/>
                <w:color w:val="auto"/>
              </w:rPr>
              <w:t>2,000</w:t>
            </w: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$ 3,804</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1,798</w:t>
            </w:r>
          </w:p>
        </w:tc>
        <w:tc>
          <w:tcPr>
            <w:tcW w:w="0" w:type="dxa"/>
            <w:vAlign w:val="bottom"/>
          </w:tcPr>
          <w:p>
            <w:pPr>
              <w:spacing w:after="0"/>
              <w:rPr>
                <w:sz w:val="1"/>
                <w:szCs w:val="1"/>
                <w:color w:val="auto"/>
              </w:rPr>
            </w:pPr>
          </w:p>
        </w:tc>
      </w:tr>
      <w:tr>
        <w:trPr>
          <w:trHeight w:val="284"/>
        </w:trPr>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rPr>
              <w:t>Six Months Ended June 30, 2015</w:t>
            </w: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60" w:type="dxa"/>
            <w:vAlign w:val="bottom"/>
            <w:gridSpan w:val="2"/>
          </w:tcPr>
          <w:p>
            <w:pPr>
              <w:ind w:left="520"/>
              <w:spacing w:after="0" w:line="131" w:lineRule="exact"/>
              <w:rPr>
                <w:sz w:val="20"/>
                <w:szCs w:val="20"/>
                <w:color w:val="auto"/>
              </w:rPr>
            </w:pPr>
            <w:r>
              <w:rPr>
                <w:rFonts w:ascii="Arial" w:cs="Arial" w:eastAsia="Arial" w:hAnsi="Arial"/>
                <w:sz w:val="14"/>
                <w:szCs w:val="14"/>
                <w:color w:val="auto"/>
              </w:rPr>
              <w:t>Operating Income (Loss)</w:t>
            </w:r>
          </w:p>
        </w:tc>
        <w:tc>
          <w:tcPr>
            <w:tcW w:w="146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Depreciation</w:t>
            </w:r>
          </w:p>
        </w:tc>
        <w:tc>
          <w:tcPr>
            <w:tcW w:w="1140" w:type="dxa"/>
            <w:vAlign w:val="bottom"/>
          </w:tcPr>
          <w:p>
            <w:pPr>
              <w:jc w:val="center"/>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vMerge w:val="restart"/>
          </w:tcPr>
          <w:p>
            <w:pPr>
              <w:jc w:val="right"/>
              <w:ind w:right="5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60" w:type="dxa"/>
            <w:vAlign w:val="bottom"/>
            <w:gridSpan w:val="2"/>
          </w:tcPr>
          <w:p>
            <w:pPr>
              <w:ind w:left="54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980" w:type="dxa"/>
            <w:vAlign w:val="bottom"/>
          </w:tcPr>
          <w:p>
            <w:pPr>
              <w:jc w:val="right"/>
              <w:ind w:right="554"/>
              <w:spacing w:after="0" w:line="133" w:lineRule="exact"/>
              <w:rPr>
                <w:sz w:val="20"/>
                <w:szCs w:val="20"/>
                <w:color w:val="auto"/>
              </w:rPr>
            </w:pPr>
            <w:r>
              <w:rPr>
                <w:rFonts w:ascii="Arial" w:cs="Arial" w:eastAsia="Arial" w:hAnsi="Arial"/>
                <w:sz w:val="14"/>
                <w:szCs w:val="14"/>
                <w:color w:val="auto"/>
              </w:rPr>
              <w:t>and</w:t>
            </w:r>
          </w:p>
        </w:tc>
        <w:tc>
          <w:tcPr>
            <w:tcW w:w="1140" w:type="dxa"/>
            <w:vAlign w:val="bottom"/>
          </w:tcPr>
          <w:p>
            <w:pPr>
              <w:jc w:val="center"/>
              <w:ind w:right="1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4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$ 23,159</w:t>
            </w:r>
          </w:p>
        </w:tc>
        <w:tc>
          <w:tcPr>
            <w:tcW w:w="70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9,472</w:t>
            </w:r>
          </w:p>
        </w:tc>
        <w:tc>
          <w:tcPr>
            <w:tcW w:w="480" w:type="dxa"/>
            <w:vAlign w:val="bottom"/>
            <w:shd w:val="clear" w:color="auto" w:fill="E5E5E5"/>
          </w:tcPr>
          <w:p>
            <w:pPr>
              <w:ind w:lef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3,401</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$ 6,071</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4,809</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1,770</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395</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1,375</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80" w:type="dxa"/>
            <w:vAlign w:val="bottom"/>
            <w:gridSpan w:val="2"/>
          </w:tcPr>
          <w:p>
            <w:pPr>
              <w:jc w:val="right"/>
              <w:ind w:right="32"/>
              <w:spacing w:after="0"/>
              <w:rPr>
                <w:sz w:val="20"/>
                <w:szCs w:val="20"/>
                <w:color w:val="auto"/>
              </w:rPr>
            </w:pPr>
            <w:r>
              <w:rPr>
                <w:rFonts w:ascii="Arial" w:cs="Arial" w:eastAsia="Arial" w:hAnsi="Arial"/>
                <w:sz w:val="18"/>
                <w:szCs w:val="18"/>
                <w:color w:val="auto"/>
              </w:rPr>
              <w:t>4,061</w:t>
            </w:r>
          </w:p>
        </w:tc>
        <w:tc>
          <w:tcPr>
            <w:tcW w:w="700" w:type="dxa"/>
            <w:vAlign w:val="bottom"/>
          </w:tcPr>
          <w:p>
            <w:pPr>
              <w:spacing w:after="0"/>
              <w:rPr>
                <w:sz w:val="18"/>
                <w:szCs w:val="18"/>
                <w:color w:val="auto"/>
              </w:rPr>
            </w:pP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413</w:t>
            </w:r>
          </w:p>
        </w:tc>
        <w:tc>
          <w:tcPr>
            <w:tcW w:w="48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59</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354</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3,712</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715</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11</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704</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80" w:type="dxa"/>
            <w:vAlign w:val="bottom"/>
            <w:gridSpan w:val="2"/>
          </w:tcPr>
          <w:p>
            <w:pPr>
              <w:jc w:val="right"/>
              <w:ind w:right="32"/>
              <w:spacing w:after="0"/>
              <w:rPr>
                <w:sz w:val="20"/>
                <w:szCs w:val="20"/>
                <w:color w:val="auto"/>
              </w:rPr>
            </w:pPr>
            <w:r>
              <w:rPr>
                <w:rFonts w:ascii="Arial" w:cs="Arial" w:eastAsia="Arial" w:hAnsi="Arial"/>
                <w:sz w:val="18"/>
                <w:szCs w:val="18"/>
                <w:color w:val="auto"/>
              </w:rPr>
              <w:t>1,424</w:t>
            </w:r>
          </w:p>
        </w:tc>
        <w:tc>
          <w:tcPr>
            <w:tcW w:w="700" w:type="dxa"/>
            <w:vAlign w:val="bottom"/>
          </w:tcPr>
          <w:p>
            <w:pPr>
              <w:spacing w:after="0"/>
              <w:rPr>
                <w:sz w:val="18"/>
                <w:szCs w:val="18"/>
                <w:color w:val="auto"/>
              </w:rPr>
            </w:pP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617</w:t>
            </w:r>
          </w:p>
        </w:tc>
        <w:tc>
          <w:tcPr>
            <w:tcW w:w="48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142</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(309)</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162</w:t>
            </w:r>
          </w:p>
        </w:tc>
        <w:tc>
          <w:tcPr>
            <w:tcW w:w="114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(471)</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13,834</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3,206</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769</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2,437</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580" w:type="dxa"/>
            <w:vAlign w:val="bottom"/>
            <w:gridSpan w:val="2"/>
          </w:tcPr>
          <w:p>
            <w:pPr>
              <w:jc w:val="right"/>
              <w:ind w:right="32"/>
              <w:spacing w:after="0"/>
              <w:rPr>
                <w:sz w:val="20"/>
                <w:szCs w:val="20"/>
                <w:color w:val="auto"/>
              </w:rPr>
            </w:pPr>
            <w:r>
              <w:rPr>
                <w:rFonts w:ascii="Arial" w:cs="Arial" w:eastAsia="Arial" w:hAnsi="Arial"/>
                <w:sz w:val="18"/>
                <w:szCs w:val="18"/>
                <w:color w:val="auto"/>
              </w:rPr>
              <w:t>380</w:t>
            </w:r>
          </w:p>
        </w:tc>
        <w:tc>
          <w:tcPr>
            <w:tcW w:w="700" w:type="dxa"/>
            <w:vAlign w:val="bottom"/>
          </w:tcPr>
          <w:p>
            <w:pPr>
              <w:spacing w:after="0"/>
              <w:rPr>
                <w:sz w:val="18"/>
                <w:szCs w:val="18"/>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(477)</w:t>
            </w:r>
          </w:p>
        </w:tc>
        <w:tc>
          <w:tcPr>
            <w:tcW w:w="48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57</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(534)</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(777)</w:t>
            </w:r>
          </w:p>
        </w:tc>
        <w:tc>
          <w:tcPr>
            <w:tcW w:w="70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21</w:t>
            </w:r>
          </w:p>
        </w:tc>
        <w:tc>
          <w:tcPr>
            <w:tcW w:w="4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$ 36,596</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12,222</w:t>
            </w:r>
          </w:p>
        </w:tc>
        <w:tc>
          <w:tcPr>
            <w:tcW w:w="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4,227</w:t>
            </w: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$ 7,995</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3,697</w:t>
            </w:r>
          </w:p>
        </w:tc>
        <w:tc>
          <w:tcPr>
            <w:tcW w:w="0" w:type="dxa"/>
            <w:vAlign w:val="bottom"/>
          </w:tcPr>
          <w:p>
            <w:pPr>
              <w:spacing w:after="0"/>
              <w:rPr>
                <w:sz w:val="1"/>
                <w:szCs w:val="1"/>
                <w:color w:val="auto"/>
              </w:rPr>
            </w:pPr>
          </w:p>
        </w:tc>
      </w:tr>
      <w:tr>
        <w:trPr>
          <w:trHeight w:val="284"/>
        </w:trPr>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rPr>
              <w:t>Six Months Ended June 30, 2014</w:t>
            </w: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60" w:type="dxa"/>
            <w:vAlign w:val="bottom"/>
            <w:gridSpan w:val="2"/>
          </w:tcPr>
          <w:p>
            <w:pPr>
              <w:ind w:left="520"/>
              <w:spacing w:after="0" w:line="131" w:lineRule="exact"/>
              <w:rPr>
                <w:sz w:val="20"/>
                <w:szCs w:val="20"/>
                <w:color w:val="auto"/>
              </w:rPr>
            </w:pPr>
            <w:r>
              <w:rPr>
                <w:rFonts w:ascii="Arial" w:cs="Arial" w:eastAsia="Arial" w:hAnsi="Arial"/>
                <w:sz w:val="14"/>
                <w:szCs w:val="14"/>
                <w:color w:val="auto"/>
              </w:rPr>
              <w:t>Operating Income (Loss)</w:t>
            </w:r>
          </w:p>
        </w:tc>
        <w:tc>
          <w:tcPr>
            <w:tcW w:w="146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Depreciation</w:t>
            </w:r>
          </w:p>
        </w:tc>
        <w:tc>
          <w:tcPr>
            <w:tcW w:w="1140" w:type="dxa"/>
            <w:vAlign w:val="bottom"/>
          </w:tcPr>
          <w:p>
            <w:pPr>
              <w:jc w:val="center"/>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vMerge w:val="restart"/>
          </w:tcPr>
          <w:p>
            <w:pPr>
              <w:jc w:val="right"/>
              <w:ind w:right="5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60" w:type="dxa"/>
            <w:vAlign w:val="bottom"/>
            <w:gridSpan w:val="2"/>
          </w:tcPr>
          <w:p>
            <w:pPr>
              <w:ind w:left="54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980" w:type="dxa"/>
            <w:vAlign w:val="bottom"/>
          </w:tcPr>
          <w:p>
            <w:pPr>
              <w:jc w:val="right"/>
              <w:ind w:right="554"/>
              <w:spacing w:after="0" w:line="133" w:lineRule="exact"/>
              <w:rPr>
                <w:sz w:val="20"/>
                <w:szCs w:val="20"/>
                <w:color w:val="auto"/>
              </w:rPr>
            </w:pPr>
            <w:r>
              <w:rPr>
                <w:rFonts w:ascii="Arial" w:cs="Arial" w:eastAsia="Arial" w:hAnsi="Arial"/>
                <w:sz w:val="14"/>
                <w:szCs w:val="14"/>
                <w:color w:val="auto"/>
              </w:rPr>
              <w:t>and</w:t>
            </w:r>
          </w:p>
        </w:tc>
        <w:tc>
          <w:tcPr>
            <w:tcW w:w="1140" w:type="dxa"/>
            <w:vAlign w:val="bottom"/>
          </w:tcPr>
          <w:p>
            <w:pPr>
              <w:jc w:val="center"/>
              <w:ind w:right="1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4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$ 21,786</w:t>
            </w:r>
          </w:p>
        </w:tc>
        <w:tc>
          <w:tcPr>
            <w:tcW w:w="70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8,964</w:t>
            </w:r>
          </w:p>
        </w:tc>
        <w:tc>
          <w:tcPr>
            <w:tcW w:w="480" w:type="dxa"/>
            <w:vAlign w:val="bottom"/>
            <w:shd w:val="clear" w:color="auto" w:fill="E5E5E5"/>
          </w:tcPr>
          <w:p>
            <w:pPr>
              <w:ind w:lef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3,188</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$ 5,776</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4,981</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1,809</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369</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1,440</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80" w:type="dxa"/>
            <w:vAlign w:val="bottom"/>
            <w:gridSpan w:val="2"/>
          </w:tcPr>
          <w:p>
            <w:pPr>
              <w:jc w:val="right"/>
              <w:ind w:right="32"/>
              <w:spacing w:after="0"/>
              <w:rPr>
                <w:sz w:val="20"/>
                <w:szCs w:val="20"/>
                <w:color w:val="auto"/>
              </w:rPr>
            </w:pPr>
            <w:r>
              <w:rPr>
                <w:rFonts w:ascii="Arial" w:cs="Arial" w:eastAsia="Arial" w:hAnsi="Arial"/>
                <w:sz w:val="18"/>
                <w:szCs w:val="18"/>
                <w:color w:val="auto"/>
              </w:rPr>
              <w:t>4,437</w:t>
            </w:r>
          </w:p>
        </w:tc>
        <w:tc>
          <w:tcPr>
            <w:tcW w:w="700" w:type="dxa"/>
            <w:vAlign w:val="bottom"/>
          </w:tcPr>
          <w:p>
            <w:pPr>
              <w:spacing w:after="0"/>
              <w:rPr>
                <w:sz w:val="18"/>
                <w:szCs w:val="18"/>
                <w:color w:val="auto"/>
              </w:rPr>
            </w:pP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362</w:t>
            </w:r>
          </w:p>
        </w:tc>
        <w:tc>
          <w:tcPr>
            <w:tcW w:w="48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54</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2,527</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483</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10</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473</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80" w:type="dxa"/>
            <w:vAlign w:val="bottom"/>
            <w:gridSpan w:val="2"/>
          </w:tcPr>
          <w:p>
            <w:pPr>
              <w:jc w:val="right"/>
              <w:ind w:right="32"/>
              <w:spacing w:after="0"/>
              <w:rPr>
                <w:sz w:val="20"/>
                <w:szCs w:val="20"/>
                <w:color w:val="auto"/>
              </w:rPr>
            </w:pPr>
            <w:r>
              <w:rPr>
                <w:rFonts w:ascii="Arial" w:cs="Arial" w:eastAsia="Arial" w:hAnsi="Arial"/>
                <w:sz w:val="18"/>
                <w:szCs w:val="18"/>
                <w:color w:val="auto"/>
              </w:rPr>
              <w:t>1,102</w:t>
            </w:r>
          </w:p>
        </w:tc>
        <w:tc>
          <w:tcPr>
            <w:tcW w:w="700" w:type="dxa"/>
            <w:vAlign w:val="bottom"/>
          </w:tcPr>
          <w:p>
            <w:pPr>
              <w:spacing w:after="0"/>
              <w:rPr>
                <w:sz w:val="18"/>
                <w:szCs w:val="18"/>
                <w:color w:val="auto"/>
              </w:rPr>
            </w:pP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414</w:t>
            </w:r>
          </w:p>
        </w:tc>
        <w:tc>
          <w:tcPr>
            <w:tcW w:w="48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142</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272</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6</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(322)</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160</w:t>
            </w:r>
          </w:p>
        </w:tc>
        <w:tc>
          <w:tcPr>
            <w:tcW w:w="114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(482)</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w:t>
            </w: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8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12,892</w:t>
            </w:r>
          </w:p>
        </w:tc>
        <w:tc>
          <w:tcPr>
            <w:tcW w:w="7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2,745</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735</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2,010</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580" w:type="dxa"/>
            <w:vAlign w:val="bottom"/>
            <w:gridSpan w:val="2"/>
          </w:tcPr>
          <w:p>
            <w:pPr>
              <w:jc w:val="right"/>
              <w:ind w:right="32"/>
              <w:spacing w:after="0"/>
              <w:rPr>
                <w:sz w:val="20"/>
                <w:szCs w:val="20"/>
                <w:color w:val="auto"/>
              </w:rPr>
            </w:pPr>
            <w:r>
              <w:rPr>
                <w:rFonts w:ascii="Arial" w:cs="Arial" w:eastAsia="Arial" w:hAnsi="Arial"/>
                <w:sz w:val="18"/>
                <w:szCs w:val="18"/>
                <w:color w:val="auto"/>
              </w:rPr>
              <w:t>346</w:t>
            </w:r>
          </w:p>
        </w:tc>
        <w:tc>
          <w:tcPr>
            <w:tcW w:w="700" w:type="dxa"/>
            <w:vAlign w:val="bottom"/>
          </w:tcPr>
          <w:p>
            <w:pPr>
              <w:spacing w:after="0"/>
              <w:rPr>
                <w:sz w:val="18"/>
                <w:szCs w:val="18"/>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(335)</w:t>
            </w:r>
          </w:p>
        </w:tc>
        <w:tc>
          <w:tcPr>
            <w:tcW w:w="48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47</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(772)</w:t>
            </w:r>
          </w:p>
        </w:tc>
        <w:tc>
          <w:tcPr>
            <w:tcW w:w="70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$ 34,252</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11,342</w:t>
            </w:r>
          </w:p>
        </w:tc>
        <w:tc>
          <w:tcPr>
            <w:tcW w:w="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3,970</w:t>
            </w: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$ 7,372</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3,246</w:t>
            </w:r>
          </w:p>
        </w:tc>
        <w:tc>
          <w:tcPr>
            <w:tcW w:w="0" w:type="dxa"/>
            <w:vAlign w:val="bottom"/>
          </w:tcPr>
          <w:p>
            <w:pPr>
              <w:spacing w:after="0"/>
              <w:rPr>
                <w:sz w:val="1"/>
                <w:szCs w:val="1"/>
                <w:color w:val="auto"/>
              </w:rPr>
            </w:pPr>
          </w:p>
        </w:tc>
      </w:tr>
      <w:tr>
        <w:trPr>
          <w:trHeight w:val="363"/>
        </w:trPr>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14</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six months ended June 30, 2015 and 2014, Cable Communications segment revenue was derived from the following sources: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900" w:type="dxa"/>
            <w:vAlign w:val="bottom"/>
            <w:gridSpan w:val="2"/>
          </w:tcPr>
          <w:p>
            <w:pPr>
              <w:jc w:val="right"/>
              <w:ind w:right="732"/>
              <w:spacing w:after="0"/>
              <w:rPr>
                <w:sz w:val="20"/>
                <w:szCs w:val="20"/>
                <w:color w:val="auto"/>
              </w:rPr>
            </w:pPr>
            <w:r>
              <w:rPr>
                <w:rFonts w:ascii="Arial" w:cs="Arial" w:eastAsia="Arial" w:hAnsi="Arial"/>
                <w:sz w:val="14"/>
                <w:szCs w:val="14"/>
                <w:color w:val="auto"/>
              </w:rPr>
              <w:t>Three Months Ended</w:t>
            </w:r>
          </w:p>
        </w:tc>
        <w:tc>
          <w:tcPr>
            <w:tcW w:w="2060" w:type="dxa"/>
            <w:vAlign w:val="bottom"/>
            <w:gridSpan w:val="2"/>
          </w:tcPr>
          <w:p>
            <w:pPr>
              <w:jc w:val="right"/>
              <w:ind w:right="412"/>
              <w:spacing w:after="0"/>
              <w:rPr>
                <w:sz w:val="20"/>
                <w:szCs w:val="20"/>
                <w:color w:val="auto"/>
              </w:rPr>
            </w:pPr>
            <w:r>
              <w:rPr>
                <w:rFonts w:ascii="Arial" w:cs="Arial" w:eastAsia="Arial" w:hAnsi="Arial"/>
                <w:sz w:val="14"/>
                <w:szCs w:val="14"/>
                <w:color w:val="auto"/>
              </w:rPr>
              <w:t>Six Months Ended</w:t>
            </w:r>
          </w:p>
        </w:tc>
      </w:tr>
      <w:tr>
        <w:trPr>
          <w:trHeight w:val="159"/>
        </w:trPr>
        <w:tc>
          <w:tcPr>
            <w:tcW w:w="61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092"/>
              <w:spacing w:after="0" w:line="159" w:lineRule="exact"/>
              <w:rPr>
                <w:sz w:val="20"/>
                <w:szCs w:val="20"/>
                <w:color w:val="auto"/>
              </w:rPr>
            </w:pPr>
            <w:r>
              <w:rPr>
                <w:rFonts w:ascii="Arial" w:cs="Arial" w:eastAsia="Arial" w:hAnsi="Arial"/>
                <w:sz w:val="14"/>
                <w:szCs w:val="14"/>
                <w:color w:val="auto"/>
                <w:w w:val="84"/>
              </w:rPr>
              <w:t>June 30</w:t>
            </w:r>
          </w:p>
        </w:tc>
        <w:tc>
          <w:tcPr>
            <w:tcW w:w="1400" w:type="dxa"/>
            <w:vAlign w:val="bottom"/>
            <w:tcBorders>
              <w:bottom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3"/>
                <w:szCs w:val="13"/>
                <w:color w:val="auto"/>
              </w:rPr>
            </w:pPr>
          </w:p>
        </w:tc>
      </w:tr>
      <w:tr>
        <w:trPr>
          <w:trHeight w:val="223"/>
        </w:trPr>
        <w:tc>
          <w:tcPr>
            <w:tcW w:w="6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2015</w:t>
            </w: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rPr>
              <w:t>2015</w:t>
            </w: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2014</w:t>
            </w:r>
          </w:p>
        </w:tc>
      </w:tr>
      <w:tr>
        <w:trPr>
          <w:trHeight w:val="142"/>
        </w:trPr>
        <w:tc>
          <w:tcPr>
            <w:tcW w:w="61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300" w:type="dxa"/>
            <w:vAlign w:val="bottom"/>
            <w:shd w:val="clear" w:color="auto" w:fill="E5E5E5"/>
          </w:tcPr>
          <w:p>
            <w:pPr>
              <w:spacing w:after="0"/>
              <w:rPr>
                <w:sz w:val="12"/>
                <w:szCs w:val="12"/>
                <w:color w:val="auto"/>
              </w:rPr>
            </w:pPr>
          </w:p>
        </w:tc>
        <w:tc>
          <w:tcPr>
            <w:tcW w:w="1600" w:type="dxa"/>
            <w:vAlign w:val="bottom"/>
            <w:shd w:val="clear" w:color="auto" w:fill="E5E5E5"/>
          </w:tcPr>
          <w:p>
            <w:pPr>
              <w:spacing w:after="0"/>
              <w:rPr>
                <w:sz w:val="12"/>
                <w:szCs w:val="12"/>
                <w:color w:val="auto"/>
              </w:rPr>
            </w:pPr>
          </w:p>
        </w:tc>
        <w:tc>
          <w:tcPr>
            <w:tcW w:w="140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r>
      <w:tr>
        <w:trPr>
          <w:trHeight w:val="149"/>
        </w:trPr>
        <w:tc>
          <w:tcPr>
            <w:tcW w:w="6100" w:type="dxa"/>
            <w:vAlign w:val="bottom"/>
          </w:tcPr>
          <w:p>
            <w:pPr>
              <w:ind w:left="440"/>
              <w:spacing w:after="0" w:line="149" w:lineRule="exact"/>
              <w:rPr>
                <w:sz w:val="20"/>
                <w:szCs w:val="20"/>
                <w:color w:val="auto"/>
              </w:rPr>
            </w:pPr>
            <w:r>
              <w:rPr>
                <w:rFonts w:ascii="Arial" w:cs="Arial" w:eastAsia="Arial" w:hAnsi="Arial"/>
                <w:sz w:val="14"/>
                <w:szCs w:val="14"/>
                <w:color w:val="auto"/>
              </w:rPr>
              <w:t>Video</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47.5%</w:t>
            </w:r>
          </w:p>
        </w:tc>
        <w:tc>
          <w:tcPr>
            <w:tcW w:w="14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46.5%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r>
      <w:tr>
        <w:trPr>
          <w:trHeight w:val="149"/>
        </w:trPr>
        <w:tc>
          <w:tcPr>
            <w:tcW w:w="6100" w:type="dxa"/>
            <w:vAlign w:val="bottom"/>
            <w:shd w:val="clear" w:color="auto" w:fill="E5E5E5"/>
          </w:tcPr>
          <w:p>
            <w:pPr>
              <w:ind w:left="440"/>
              <w:spacing w:after="0" w:line="149" w:lineRule="exact"/>
              <w:rPr>
                <w:sz w:val="20"/>
                <w:szCs w:val="20"/>
                <w:color w:val="auto"/>
              </w:rPr>
            </w:pPr>
            <w:r>
              <w:rPr>
                <w:rFonts w:ascii="Arial" w:cs="Arial" w:eastAsia="Arial" w:hAnsi="Arial"/>
                <w:sz w:val="14"/>
                <w:szCs w:val="14"/>
                <w:color w:val="auto"/>
              </w:rPr>
              <w:t>High-speed Internet</w:t>
            </w:r>
          </w:p>
        </w:tc>
        <w:tc>
          <w:tcPr>
            <w:tcW w:w="13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26.4%</w:t>
            </w:r>
          </w:p>
        </w:tc>
        <w:tc>
          <w:tcPr>
            <w:tcW w:w="160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25.6%</w:t>
            </w:r>
          </w:p>
        </w:tc>
        <w:tc>
          <w:tcPr>
            <w:tcW w:w="1400" w:type="dxa"/>
            <w:vAlign w:val="bottom"/>
            <w:shd w:val="clear" w:color="auto" w:fill="E5E5E5"/>
          </w:tcPr>
          <w:p>
            <w:pPr>
              <w:jc w:val="right"/>
              <w:ind w:right="452"/>
              <w:spacing w:after="0" w:line="149" w:lineRule="exact"/>
              <w:rPr>
                <w:sz w:val="20"/>
                <w:szCs w:val="20"/>
                <w:color w:val="auto"/>
              </w:rPr>
            </w:pPr>
            <w:r>
              <w:rPr>
                <w:rFonts w:ascii="Arial" w:cs="Arial" w:eastAsia="Arial" w:hAnsi="Arial"/>
                <w:sz w:val="14"/>
                <w:szCs w:val="14"/>
                <w:color w:val="auto"/>
              </w:rPr>
              <w:t>26.5%</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25.6%</w:t>
            </w:r>
          </w:p>
        </w:tc>
      </w:tr>
      <w:tr>
        <w:trPr>
          <w:trHeight w:val="149"/>
        </w:trPr>
        <w:tc>
          <w:tcPr>
            <w:tcW w:w="6100" w:type="dxa"/>
            <w:vAlign w:val="bottom"/>
          </w:tcPr>
          <w:p>
            <w:pPr>
              <w:ind w:left="440"/>
              <w:spacing w:after="0" w:line="149" w:lineRule="exact"/>
              <w:rPr>
                <w:sz w:val="20"/>
                <w:szCs w:val="20"/>
                <w:color w:val="auto"/>
              </w:rPr>
            </w:pPr>
            <w:r>
              <w:rPr>
                <w:rFonts w:ascii="Arial" w:cs="Arial" w:eastAsia="Arial" w:hAnsi="Arial"/>
                <w:sz w:val="14"/>
                <w:szCs w:val="14"/>
                <w:color w:val="auto"/>
              </w:rPr>
              <w:t>Voice</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8.4%</w:t>
            </w:r>
          </w:p>
        </w:tc>
        <w:tc>
          <w:tcPr>
            <w:tcW w:w="14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7.8%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r>
      <w:tr>
        <w:trPr>
          <w:trHeight w:val="149"/>
        </w:trPr>
        <w:tc>
          <w:tcPr>
            <w:tcW w:w="61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3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9.9%</w:t>
            </w:r>
          </w:p>
        </w:tc>
        <w:tc>
          <w:tcPr>
            <w:tcW w:w="160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8.7%</w:t>
            </w:r>
          </w:p>
        </w:tc>
        <w:tc>
          <w:tcPr>
            <w:tcW w:w="1400" w:type="dxa"/>
            <w:vAlign w:val="bottom"/>
            <w:shd w:val="clear" w:color="auto" w:fill="E5E5E5"/>
          </w:tcPr>
          <w:p>
            <w:pPr>
              <w:jc w:val="right"/>
              <w:ind w:right="452"/>
              <w:spacing w:after="0" w:line="149" w:lineRule="exact"/>
              <w:rPr>
                <w:sz w:val="20"/>
                <w:szCs w:val="20"/>
                <w:color w:val="auto"/>
              </w:rPr>
            </w:pPr>
            <w:r>
              <w:rPr>
                <w:rFonts w:ascii="Arial" w:cs="Arial" w:eastAsia="Arial" w:hAnsi="Arial"/>
                <w:sz w:val="14"/>
                <w:szCs w:val="14"/>
                <w:color w:val="auto"/>
              </w:rPr>
              <w:t>9.8%</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8.6%</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w:t>
            </w:r>
          </w:p>
        </w:tc>
        <w:tc>
          <w:tcPr>
            <w:tcW w:w="14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4.7%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610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4.7%</w:t>
            </w:r>
          </w:p>
        </w:tc>
        <w:tc>
          <w:tcPr>
            <w:tcW w:w="1600" w:type="dxa"/>
            <w:vAlign w:val="bottom"/>
            <w:tcBorders>
              <w:bottom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4.5%</w:t>
            </w:r>
          </w:p>
        </w:tc>
        <w:tc>
          <w:tcPr>
            <w:tcW w:w="1400" w:type="dxa"/>
            <w:vAlign w:val="bottom"/>
            <w:tcBorders>
              <w:bottom w:val="single" w:sz="8" w:color="auto"/>
            </w:tcBorders>
            <w:shd w:val="clear" w:color="auto" w:fill="E5E5E5"/>
          </w:tcPr>
          <w:p>
            <w:pPr>
              <w:jc w:val="right"/>
              <w:ind w:right="452"/>
              <w:spacing w:after="0" w:line="149" w:lineRule="exact"/>
              <w:rPr>
                <w:sz w:val="20"/>
                <w:szCs w:val="20"/>
                <w:color w:val="auto"/>
              </w:rPr>
            </w:pPr>
            <w:r>
              <w:rPr>
                <w:rFonts w:ascii="Arial" w:cs="Arial" w:eastAsia="Arial" w:hAnsi="Arial"/>
                <w:sz w:val="14"/>
                <w:szCs w:val="14"/>
                <w:color w:val="auto"/>
              </w:rPr>
              <w:t>4.7%</w:t>
            </w:r>
          </w:p>
        </w:tc>
        <w:tc>
          <w:tcPr>
            <w:tcW w:w="66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6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6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100%</w:t>
            </w:r>
          </w:p>
        </w:tc>
        <w:tc>
          <w:tcPr>
            <w:tcW w:w="14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color w:val="auto"/>
              </w:rPr>
              <w:t>100%</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and six months ended June 30, 2015 and 2014, 2.8% of Cable Communications segment revenue was derived from franchise and other regulatory fees.</w:t>
      </w:r>
    </w:p>
    <w:p>
      <w:pPr>
        <w:spacing w:after="0" w:line="5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(“Comcast Parent”), Comcast Cable Communications, LLC (“CCCL Parent”), Comcast MO Group, Inc. (“Comcast MO Group”), Comcast Cable Holdings, LLC (“CCH”) and Comcast MO of Delaware, LLC (“Comcast MO of Delaware”) (collectively, the “cable guarantors”) and NBCUniversal (“NBCUniversal Media Parent”) have fully and unconditionally guaranteed each other’s debt securities. In addition, the Comcast and Comcast Cable Communications, LLC $6.25 billion revolving credit facility due June 2017 and the Comcast commercial paper program are also fully and unconditionally guaranteed by NBCUniversal Media Parent. The Comcast commercial paper program is supported by the Comcast and Comcast Cable Communications, LLC revolving credit facility. Comcast MO Group, CCH and Comcast MO of Delaware are collectively referred to as the “Combined CCHMO Parents.”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senior notes, as well as its $1.35 billion revolving credit facility due March 2018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Parent guarantee the Comcast Holdings’ ZONES due October 2029. None of Comcast Parent, the cable guarantors nor NBCUniversal Media Parent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0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9"/>
              </w:rPr>
              <w:t>CCCL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w w:val="88"/>
              </w:rPr>
              <w:t>Holdings</w:t>
            </w:r>
          </w:p>
        </w:tc>
        <w:tc>
          <w:tcPr>
            <w:tcW w:w="26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color w:val="auto"/>
                <w:w w:val="92"/>
              </w:rPr>
              <w:t>Parent</w:t>
            </w:r>
          </w:p>
        </w:tc>
        <w:tc>
          <w:tcPr>
            <w:tcW w:w="24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299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3,187</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7,016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1,422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12,616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5,751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2,860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85,330</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107,732</w:t>
            </w:r>
          </w:p>
        </w:tc>
        <w:tc>
          <w:tcPr>
            <w:tcW w:w="26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114,403</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62,010</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41,566</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103,682</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(514,723)</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31,369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27,422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16,792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1,223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2,048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87,158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107,880</w:t>
            </w:r>
          </w:p>
        </w:tc>
        <w:tc>
          <w:tcPr>
            <w:tcW w:w="2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2"/>
              </w:rPr>
              <w:t>114,403</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62,010</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42,107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261,904</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(515,788)</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159,674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5,862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1,583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1,838</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3,485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674</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1,004</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1,459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2,606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723</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12,389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29,857</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8,214</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3,787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33,398</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2,295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1,122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7,165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1,108</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52,371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9"/>
              </w:rPr>
              <w:t>106,807</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2"/>
              </w:rPr>
              <w:t>112,356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60,465</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31,367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203,728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(514,723)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52,400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106,807</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112,356</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60,465</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31,367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203,728</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(514,723)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329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52,400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9"/>
              </w:rPr>
              <w:t>106,807</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2"/>
              </w:rPr>
              <w:t>112,356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60,465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31,367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204,057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(514,723)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52,729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87,158</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107,880</w:t>
            </w:r>
          </w:p>
        </w:tc>
        <w:tc>
          <w:tcPr>
            <w:tcW w:w="260" w:type="dxa"/>
            <w:vAlign w:val="bottom"/>
            <w:tcBorders>
              <w:bottom w:val="single" w:sz="8" w:color="auto"/>
            </w:tcBorders>
            <w:shd w:val="clear" w:color="auto" w:fill="E5E5E5"/>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2"/>
              </w:rPr>
              <w:t>114,403</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62,010</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42,107</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261,904</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(515,788)</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159,674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center"/>
              <w:ind w:right="473"/>
              <w:spacing w:after="0"/>
              <w:rPr>
                <w:sz w:val="20"/>
                <w:szCs w:val="20"/>
                <w:color w:val="auto"/>
              </w:rPr>
            </w:pPr>
            <w:r>
              <w:rPr>
                <w:rFonts w:ascii="Arial" w:cs="Arial" w:eastAsia="Arial" w:hAnsi="Arial"/>
                <w:sz w:val="18"/>
                <w:szCs w:val="18"/>
                <w:color w:val="auto"/>
                <w:w w:val="99"/>
              </w:rPr>
              <w:t>17</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w w:val="88"/>
              </w:rPr>
              <w:t>Holdings</w:t>
            </w:r>
          </w:p>
        </w:tc>
        <w:tc>
          <w:tcPr>
            <w:tcW w:w="26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w w:val="96"/>
              </w:rPr>
              <w:t>Parent</w:t>
            </w:r>
          </w:p>
        </w:tc>
        <w:tc>
          <w:tcPr>
            <w:tcW w:w="2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385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6,321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1,551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12,838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5,727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2,721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84,142</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103,420</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110,323</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58,677</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41,239</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98,152</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30,754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27,316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16,969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1,949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(1,080)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85,879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103,568</w:t>
            </w:r>
          </w:p>
        </w:tc>
        <w:tc>
          <w:tcPr>
            <w:tcW w:w="2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110,323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58,677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42,135</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255,790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(497,033)</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159,339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5,618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3,767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1,650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677</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1,006</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884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1,337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11,616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27,616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9,218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4,408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33,127</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2,336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7,484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52,681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197,732</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52,711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197,732</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52,711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198,089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85,879</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103,568</w:t>
            </w:r>
          </w:p>
        </w:tc>
        <w:tc>
          <w:tcPr>
            <w:tcW w:w="260" w:type="dxa"/>
            <w:vAlign w:val="bottom"/>
            <w:tcBorders>
              <w:bottom w:val="single" w:sz="8" w:color="auto"/>
            </w:tcBorders>
            <w:shd w:val="clear" w:color="auto" w:fill="E5E5E5"/>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110,323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58,677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42,135</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255,790</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(497,033)</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159,339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center"/>
              <w:ind w:right="493"/>
              <w:spacing w:after="0"/>
              <w:rPr>
                <w:sz w:val="20"/>
                <w:szCs w:val="20"/>
                <w:color w:val="auto"/>
              </w:rPr>
            </w:pPr>
            <w:r>
              <w:rPr>
                <w:rFonts w:ascii="Arial" w:cs="Arial" w:eastAsia="Arial" w:hAnsi="Arial"/>
                <w:sz w:val="18"/>
                <w:szCs w:val="18"/>
                <w:color w:val="auto"/>
                <w:w w:val="99"/>
              </w:rPr>
              <w:t>18</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18,743</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18,743</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(654)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18,743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18,743</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5,669</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5,669</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5,052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5,280</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1,528</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1,528</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1,667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1,674</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485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14,401</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(654)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14,638</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4,342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4,105</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2,431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2,162</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2,001</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1,713</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(10,500)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315</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1,961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2,158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1,958</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1,683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1,173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950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(10,500)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1,979</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2,158</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1,958</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1,683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5,292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(10,500)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3,488</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2,137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2,160</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1,973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1,694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3,799</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(10,500)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2,175</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2,137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2,160</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1,973</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1,694</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912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3,761</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(10,500)</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2,137</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2,159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2,168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1,973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1,694</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936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3,761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(10,532)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2,159</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16,844</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16,844</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(613)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16,844</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16,844</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4,874</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4,874</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4,741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4,922</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1,244</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1,244</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1,591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1,599</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399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401</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12,849</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(613)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13,040</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3,995</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3,804</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120</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2,222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1,908</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1,774</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1,554</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1,171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836</w:t>
            </w:r>
          </w:p>
        </w:tc>
        <w:tc>
          <w:tcPr>
            <w:tcW w:w="3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(9,443)</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1,823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1,905</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1,730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1,524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1,057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859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(9,443)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1,869</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1,905</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1,730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1,524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820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4,854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(9,443)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3,259</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(1,378)</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1,992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1,906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1,745</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1,535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3,476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(9,443)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2,025</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1,992</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1,906</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1,745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1,535</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814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3,443</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(9,443)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1,992</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1,945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1,912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1,744</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1,535</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832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3,401</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(9,424)</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1,945</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36,596</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36,596</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496</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306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(1,285)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496</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36,596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36,596</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11,132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11,132</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306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9,912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10,359</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2,883</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2,883</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3,293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3,308</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916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919</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306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492</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28,136</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(1,285)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28,601</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8,460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7,995</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4,753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4,388</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3,974</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3,359</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2,512</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1,561</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(20,750)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415</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417</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3,869</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4,383</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3,887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3,300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2,267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1,939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(20,750)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3,896</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4,383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3,887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3,300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1,775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10,399</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(20,750)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6,890</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(2,916)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4,196</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4,385</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3,917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3,321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1,764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7,483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(20,750)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4,316</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4,196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4,385</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3,917</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3,321</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1,764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7,363</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(20,750)</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4,196</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4,176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4,377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3,916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3,320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1,737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7,362</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(20,712)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4,176</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34,252</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34,252</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34,252</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34,252</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10,782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10,782</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9,370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9,671</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2,457</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2,457</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3,153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3,168</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799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802</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26,561</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26,880</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7,691</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7,372</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233</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4,260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4,175</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3,939</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3,065</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2,242</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1,550</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54</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3,475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4,172</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3,850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3,006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1,616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3,650</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4,172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3,850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3,006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1,507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9,307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6,315</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(2,607)</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3,863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4,173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3,881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3,027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1,496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6,700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3,963</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3,863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4,173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3,881</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3,027</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1,496</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6,600</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(19,177)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3,863</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3,793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4,181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3,882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3,028</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1,517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6,535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(19,143)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3,793</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8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32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(398)</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3"/>
              </w:rPr>
              <w:t>(69)</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(751)</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0"/>
              </w:rPr>
              <w:t>10,093</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8,834</w:t>
            </w: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3,661</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69</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40</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1,670</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(5,441)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(3,684)</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(3,697)</w:t>
            </w: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(599)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w:t>
            </w: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7"/>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(179)</w:t>
            </w: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w w:val="98"/>
              </w:rPr>
              <w:t>Proceeds from sales of businesses and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394</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395</w:t>
            </w:r>
          </w:p>
        </w:tc>
      </w:tr>
      <w:tr>
        <w:trPr>
          <w:trHeight w:val="217"/>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182</w:t>
            </w:r>
          </w:p>
        </w:tc>
      </w:tr>
      <w:tr>
        <w:trPr>
          <w:trHeight w:val="201"/>
        </w:trPr>
        <w:tc>
          <w:tcPr>
            <w:tcW w:w="20" w:type="dxa"/>
            <w:vAlign w:val="bottom"/>
          </w:tcPr>
          <w:p>
            <w:pPr>
              <w:spacing w:after="0"/>
              <w:rPr>
                <w:sz w:val="17"/>
                <w:szCs w:val="17"/>
                <w:color w:val="auto"/>
              </w:rPr>
            </w:pPr>
          </w:p>
        </w:tc>
        <w:tc>
          <w:tcPr>
            <w:tcW w:w="332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7"/>
              </w:rPr>
              <w:t>3,652</w:t>
            </w:r>
          </w:p>
        </w:tc>
        <w:tc>
          <w:tcPr>
            <w:tcW w:w="38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69</w:t>
            </w:r>
          </w:p>
        </w:tc>
        <w:tc>
          <w:tcPr>
            <w:tcW w:w="36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1,666</w:t>
            </w:r>
          </w:p>
        </w:tc>
        <w:tc>
          <w:tcPr>
            <w:tcW w:w="32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8"/>
              </w:rPr>
              <w:t>(9,664)</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(4,236)</w:t>
            </w: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2"/>
              </w:rPr>
              <w:t>Proceeds from (repayments of) short-term</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borrowings, net</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3,996</w:t>
            </w:r>
          </w:p>
        </w:tc>
        <w:tc>
          <w:tcPr>
            <w:tcW w:w="3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3,996</w:t>
            </w: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(2,650)</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(1,001)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(3,666)</w:t>
            </w:r>
          </w:p>
        </w:tc>
      </w:tr>
      <w:tr>
        <w:trPr>
          <w:trHeight w:val="208"/>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w w:val="93"/>
              </w:rPr>
              <w:t>Repurchases and retirements of common</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(3,585)</w:t>
            </w:r>
          </w:p>
        </w:tc>
        <w:tc>
          <w:tcPr>
            <w:tcW w:w="3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(3,585)</w:t>
            </w:r>
          </w:p>
        </w:tc>
      </w:tr>
      <w:tr>
        <w:trPr>
          <w:trHeight w:val="217"/>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(1,200)</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08"/>
        </w:trPr>
        <w:tc>
          <w:tcPr>
            <w:tcW w:w="20" w:type="dxa"/>
            <w:vAlign w:val="bottom"/>
          </w:tcPr>
          <w:p>
            <w:pPr>
              <w:spacing w:after="0"/>
              <w:rPr>
                <w:sz w:val="18"/>
                <w:szCs w:val="18"/>
                <w:color w:val="auto"/>
              </w:rPr>
            </w:pPr>
          </w:p>
        </w:tc>
        <w:tc>
          <w:tcPr>
            <w:tcW w:w="3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and dividends for redeemable</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153</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(501)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01"/>
        </w:trPr>
        <w:tc>
          <w:tcPr>
            <w:tcW w:w="20" w:type="dxa"/>
            <w:vAlign w:val="bottom"/>
          </w:tcPr>
          <w:p>
            <w:pPr>
              <w:spacing w:after="0"/>
              <w:rPr>
                <w:sz w:val="17"/>
                <w:szCs w:val="17"/>
                <w:color w:val="auto"/>
              </w:rPr>
            </w:pPr>
          </w:p>
        </w:tc>
        <w:tc>
          <w:tcPr>
            <w:tcW w:w="332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87"/>
              </w:rPr>
              <w:t>(3,254)</w:t>
            </w:r>
          </w:p>
        </w:tc>
        <w:tc>
          <w:tcPr>
            <w:tcW w:w="38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(1,001)</w:t>
            </w:r>
          </w:p>
        </w:tc>
        <w:tc>
          <w:tcPr>
            <w:tcW w:w="32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(767)</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(5,022)</w:t>
            </w:r>
          </w:p>
        </w:tc>
      </w:tr>
      <w:tr>
        <w:trPr>
          <w:trHeight w:val="202"/>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(338)</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0"/>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 beginning of</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385</w:t>
            </w:r>
          </w:p>
        </w:tc>
        <w:tc>
          <w:tcPr>
            <w:tcW w:w="32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3,525</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Cash and cash equivalents, end of period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299</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3,187</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3,486</w:t>
            </w: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34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28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48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(147)</w:t>
            </w:r>
          </w:p>
        </w:tc>
        <w:tc>
          <w:tcPr>
            <w:tcW w:w="3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3"/>
              </w:rPr>
              <w:t>(43)</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(711)</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8,477</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7,547</w:t>
            </w: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2,674</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43</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41</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1,583</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(4,329)</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(3,242)</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w:t>
            </w: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(475)</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(477)</w:t>
            </w: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7"/>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(406)</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(406)</w:t>
            </w: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99"/>
              </w:rPr>
              <w:t>Proceeds from sales of businesses and</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479</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481</w:t>
            </w:r>
          </w:p>
        </w:tc>
      </w:tr>
      <w:tr>
        <w:trPr>
          <w:trHeight w:val="217"/>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(61)</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01"/>
        </w:trPr>
        <w:tc>
          <w:tcPr>
            <w:tcW w:w="20" w:type="dxa"/>
            <w:vAlign w:val="bottom"/>
          </w:tcPr>
          <w:p>
            <w:pPr>
              <w:spacing w:after="0"/>
              <w:rPr>
                <w:sz w:val="17"/>
                <w:szCs w:val="17"/>
                <w:color w:val="auto"/>
              </w:rPr>
            </w:pPr>
          </w:p>
        </w:tc>
        <w:tc>
          <w:tcPr>
            <w:tcW w:w="334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7"/>
              </w:rPr>
              <w:t>2,658</w:t>
            </w:r>
          </w:p>
        </w:tc>
        <w:tc>
          <w:tcPr>
            <w:tcW w:w="3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43</w:t>
            </w:r>
          </w:p>
        </w:tc>
        <w:tc>
          <w:tcPr>
            <w:tcW w:w="40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1,583</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8"/>
              </w:rPr>
              <w:t>(8,201)</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(3,888)</w:t>
            </w: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3"/>
              </w:rPr>
              <w:t>Proceeds from (repayments of) short-term</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borrowings, net</w:t>
            </w:r>
          </w:p>
        </w:tc>
        <w:tc>
          <w:tcPr>
            <w:tcW w:w="2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(1,350)</w:t>
            </w:r>
          </w:p>
        </w:tc>
        <w:tc>
          <w:tcPr>
            <w:tcW w:w="34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1,007</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2,184</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2,187</w:t>
            </w: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(1,000)</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(901)</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(1,262)</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(3,163)</w:t>
            </w: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94"/>
              </w:rPr>
              <w:t>Repurchases and retirements of common</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(1,500)</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17"/>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(1,092)</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(1,092)</w:t>
            </w: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08"/>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and dividends for redeemable</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2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218</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w:t>
            </w:r>
          </w:p>
        </w:tc>
      </w:tr>
      <w:tr>
        <w:trPr>
          <w:trHeight w:val="201"/>
        </w:trPr>
        <w:tc>
          <w:tcPr>
            <w:tcW w:w="20" w:type="dxa"/>
            <w:vAlign w:val="bottom"/>
          </w:tcPr>
          <w:p>
            <w:pPr>
              <w:spacing w:after="0"/>
              <w:rPr>
                <w:sz w:val="17"/>
                <w:szCs w:val="17"/>
                <w:color w:val="auto"/>
              </w:rPr>
            </w:pPr>
          </w:p>
        </w:tc>
        <w:tc>
          <w:tcPr>
            <w:tcW w:w="334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87"/>
              </w:rPr>
              <w:t>(2,511)</w:t>
            </w:r>
          </w:p>
        </w:tc>
        <w:tc>
          <w:tcPr>
            <w:tcW w:w="3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(901)</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(436)</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(3,848)</w:t>
            </w:r>
          </w:p>
        </w:tc>
      </w:tr>
      <w:tr>
        <w:trPr>
          <w:trHeight w:val="202"/>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0"/>
        </w:trPr>
        <w:tc>
          <w:tcPr>
            <w:tcW w:w="20" w:type="dxa"/>
            <w:vAlign w:val="bottom"/>
          </w:tcPr>
          <w:p>
            <w:pPr>
              <w:spacing w:after="0"/>
              <w:rPr>
                <w:sz w:val="18"/>
                <w:szCs w:val="18"/>
                <w:color w:val="auto"/>
              </w:rPr>
            </w:pPr>
          </w:p>
        </w:tc>
        <w:tc>
          <w:tcPr>
            <w:tcW w:w="334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 beginning of</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336</w:t>
            </w:r>
          </w:p>
        </w:tc>
        <w:tc>
          <w:tcPr>
            <w:tcW w:w="30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1,382</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1,718</w:t>
            </w:r>
          </w:p>
        </w:tc>
      </w:tr>
      <w:tr>
        <w:trPr>
          <w:trHeight w:val="219"/>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Cash and cash equivalents, end of period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307</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1,222</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1,529</w:t>
            </w:r>
          </w:p>
        </w:tc>
      </w:tr>
      <w:tr>
        <w:trPr>
          <w:trHeight w:val="36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a leading provider of video, high-speed Internet and voice services (“cable services”) to residential customers under the XFINITY brand, and we also provide similar and other services to small and medium-sized businesses. As of June 30, 2015, our cable systems had 27.3 million total customer relationships, served 22.3 million video customers, 22.5 million high-speed Internet customers and 11.3 million voice customers, and passed more than 55 million homes and businesses. Our Cable Communications segment generates revenue primarily from subscriptions to our cable services, which we market individually and in bundled service packages, and from the sale of advertising. During the six months ended June 30, 2015, our Cable Communications segment generated 63% of our consolidated revenue and 77%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(collectively, the “NBCUniversal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various international cable networks, our cable television production operations, and related digital media properties. Our Cable Networks segment generates revenue primarily from the distribution of our cable network programming to multichannel video providers, from the sale of advertising on our cable networks and related digital media properties, from the licensing of our owned programming through distribution to subscription video on demand services and various other distribution platforms, and from the sale of our owned programming electronically through digital distributors such as iTunes.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the NBC Universo national cable network, our broadcast television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and to subscription video on demand services, and from fees received under retransmission consent agreements.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 the Universal Pictures, Focus Features and Illumination names. Our Filmed Entertainment segment generates revenue primarily from the worldwide distribution of our produced and acquired films for exhibition in movie theaters, from the licensing of our owned and acquired films through various distribution platforms, and from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sale of our owned and acquired films on standard-definition video discs and Blu-ray discs (together, “DVDs”) and electronically through digital distributors. Our Filmed Entertainment segment also generates revenue from the production and licensing of live stage plays, from the distribution of filmed entertainment produced by third parties, and from Fandango, our movie ticketing and entertainment business.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Our Theme Parks segment generates revenue primarily from theme park attendance and per capita spending. Per capita spending includes ticket price and in-park spending on food, beverages and merchandise. Our Theme Parks segment also receives fees from third parties that own and operate Universal Studios Japan and Universal Studios Singapore for intellectual property licenses and other services.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Pennsylvania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 and Related Divestiture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April 24, 2015, we and Time Warner Cable Inc. terminated our planned merger and we terminated our related agreement with Charter Communications,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spin-off, exchange and sell certain cable systems.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Competition for our bundled cable services that include video, high-speed Internet and/or voice services consists primarily of direct broadcast satellite (“DBS”) providers, which have a national footprint and compete in all of our service areas, and phone companies with fiber-based networks, which overlap over 55% of our service areas and are continuing to expand their fiber-based networks. Our high-speed Internet services primarily compete with phone companies with fiber-based networks, which overlap over 60% of our service areas and also are continuing to expand their fiber-based networks. Many of these DBS and phone company competitors offer features, pricing and packaging for these services, individually and in bundles, comparable to what we offer. In May 2014, AT&amp;T, our largest phone company competitor, announced its intention to acquire DirecTV, the nation’s largest DBS provider. If completed, this transaction will create an even larger competitor for our cable services that will have the ability to expand its cable service offerings to include bundled wireless offerings.</w:t>
      </w:r>
    </w:p>
    <w:p>
      <w:pPr>
        <w:spacing w:after="0" w:line="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also continue to be companies, some with significant financial resources, that potentially may compete on a larger scale with some or all of our cable services. For example, companies continue to emerge that provide Internet streaming and downloading of video programming, and existing companies have launched or announced plans to launch online video services that involve both linear and on-demand programming, some of which charge a lower, or even a nominal or no, fee. Google is providing high-speed Internet and video services in a limited number of areas in which we operate and recently announced plans to expand into additional geographical areas. Moreover, wireless technology, such as 3G and 4G wireless broadband services and Wi-Fi networks, may compete with our video and high-speed Internet services, and our voice services are facing increased competition as customers replace landline phones with mobile phones and Internet-based phone services such as Skype.</w:t>
      </w:r>
    </w:p>
    <w:p>
      <w:pPr>
        <w:spacing w:after="0" w:line="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Technological changes are further intensifying and complicating the competitive landscape for all of our businesses by challenging existing business models and affecting consumer behavior. Services and devices that enable online digital distribution of movies, television shows, and other cable and broadcast video programming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continue to gain consumer acceptance and evolve. Two traditional providers of video services have begun to offer smaller packages of programming networks, including one that is providing video services directly to customers over the Internet, at prices lower than our traditional video services. These services and devices may negatively affect demand for our video services, as well as demand for content from our cable networks, broadcast television and filmed entertainment businesses, as the number of entertainment choices available to consumers increases and the challenges posed by audience fragmentation intensify and audience ratings are pressured. In addition, delayed viewing and advertising skipping have become more common as the penetration of digital video recorders (“DVR”) and similar products has increased and as content has become increasingly available via video on demand services and Internet sources, which may have a negative impact on our advertising revenue.</w:t>
      </w:r>
    </w:p>
    <w:p>
      <w:pPr>
        <w:spacing w:after="0" w:line="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our Cable Communications segment, we believe that adding more content and delivering it through an increasing variety of platforms will assist in attracting and retaining customers for our cable services. To further enhance our video and high-speed Internet services, we continue to develop and launch new technology initiatives, such as our X1 platform and Cloud DVR technology, and deploy wireless gateway devices. In our NBCUniversal segments, to compete for consumers of our content and for customers at our theme parks, we have invested, and will continue to invest, substantial amounts in acquiring content and producing original content for our cable networks and broadcast television networks and our owned local broadcast television stations, including the acquisition of sports programming rights. We will also continue to invest in our film productions and in the development of new theme park attractions.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4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Revenue in our Cable Communications, Cable Networks and Broadcast Television segments is subject to cyclical advertising patterns and changes in viewership levels. Our U.S. advertising revenue is generally higher in the second and fourth quarters of each year, due in part to increases in consumer advertising in the spring and in the period leading up to and including the holiday season. U.S. advertising revenue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affects our Cable Networks and Broadcast Television segments, and the Super Bowl, which affects our Broadcast Television segment. Our advertising revenue generally increases in the period of these broadcasts due to increased demand for advertising time, and our operating costs and expenses also increase as a result of our production costs and the amortization of the related rights fees.</w:t>
      </w:r>
    </w:p>
    <w:p>
      <w:pPr>
        <w:spacing w:after="0" w:line="1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 and electronically through digital distributors. Release dates are determined by several factors, including competition and the timing of vacation and holiday periods. As a result, revenue tends to be seasonal, with increases experienced each year during the summer months and around the holidays. Revenue in our Cable Networks, Broadcast Television and Filmed Entertainment segments also fluctuates due to the timing of when our content is made available to licensees.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3"/>
          </w:tcPr>
          <w:p>
            <w:pPr>
              <w:jc w:val="right"/>
              <w:ind w:right="374"/>
              <w:spacing w:after="0"/>
              <w:rPr>
                <w:sz w:val="20"/>
                <w:szCs w:val="20"/>
                <w:color w:val="auto"/>
              </w:rPr>
            </w:pPr>
            <w:r>
              <w:rPr>
                <w:rFonts w:ascii="Arial" w:cs="Arial" w:eastAsia="Arial" w:hAnsi="Arial"/>
                <w:sz w:val="14"/>
                <w:szCs w:val="14"/>
                <w:color w:val="auto"/>
                <w:w w:val="94"/>
              </w:rPr>
              <w:t>Three Months Ended</w:t>
            </w:r>
          </w:p>
        </w:tc>
        <w:tc>
          <w:tcPr>
            <w:tcW w:w="110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00" w:type="dxa"/>
            <w:vAlign w:val="bottom"/>
            <w:gridSpan w:val="3"/>
          </w:tcPr>
          <w:p>
            <w:pPr>
              <w:jc w:val="right"/>
              <w:ind w:right="41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2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0"/>
                <w:szCs w:val="20"/>
                <w:color w:val="auto"/>
              </w:rPr>
            </w:pPr>
          </w:p>
        </w:tc>
        <w:tc>
          <w:tcPr>
            <w:tcW w:w="720" w:type="dxa"/>
            <w:vAlign w:val="bottom"/>
          </w:tcPr>
          <w:p>
            <w:pPr>
              <w:jc w:val="right"/>
              <w:ind w:right="296"/>
              <w:spacing w:after="0"/>
              <w:rPr>
                <w:sz w:val="20"/>
                <w:szCs w:val="20"/>
                <w:color w:val="auto"/>
              </w:rPr>
            </w:pPr>
            <w:r>
              <w:rPr>
                <w:rFonts w:ascii="Arial" w:cs="Arial" w:eastAsia="Arial" w:hAnsi="Arial"/>
                <w:sz w:val="14"/>
                <w:szCs w:val="14"/>
                <w:color w:val="auto"/>
              </w:rPr>
              <w:t>2015</w:t>
            </w:r>
          </w:p>
        </w:tc>
        <w:tc>
          <w:tcPr>
            <w:tcW w:w="280" w:type="dxa"/>
            <w:vAlign w:val="bottom"/>
          </w:tcPr>
          <w:p>
            <w:pPr>
              <w:spacing w:after="0"/>
              <w:rPr>
                <w:sz w:val="20"/>
                <w:szCs w:val="20"/>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2014</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color w:val="auto"/>
                <w:w w:val="96"/>
              </w:rPr>
              <w:t>2015</w:t>
            </w:r>
          </w:p>
        </w:tc>
        <w:tc>
          <w:tcPr>
            <w:tcW w:w="260" w:type="dxa"/>
            <w:vAlign w:val="bottom"/>
          </w:tcPr>
          <w:p>
            <w:pPr>
              <w:spacing w:after="0"/>
              <w:rPr>
                <w:sz w:val="20"/>
                <w:szCs w:val="20"/>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color w:val="auto"/>
              </w:rPr>
              <w:t>2014</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w w:val="87"/>
              </w:rPr>
              <w:t>18,743</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3"/>
              </w:rPr>
              <w:t>16,844</w:t>
            </w:r>
          </w:p>
        </w:tc>
        <w:tc>
          <w:tcPr>
            <w:tcW w:w="110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11.3%</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83"/>
              </w:rPr>
              <w:t>36,596</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7"/>
              </w:rPr>
              <w:t>34,252</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5,669</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4,874</w:t>
            </w:r>
          </w:p>
        </w:tc>
        <w:tc>
          <w:tcPr>
            <w:tcW w:w="11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83"/>
              </w:rPr>
              <w:t>11,132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7"/>
              </w:rPr>
              <w:t>10,782</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5,280</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4,922</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w w:val="83"/>
              </w:rPr>
              <w:t>10,359</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9,671</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1,528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1,244</w:t>
            </w:r>
          </w:p>
        </w:tc>
        <w:tc>
          <w:tcPr>
            <w:tcW w:w="11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2,883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2,457</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1,599</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3,308</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3,168</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487</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401</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21.4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919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802</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14.6</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4,105</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3,804</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7,995</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7,372</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(617)</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(545)</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(1,105)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(1,057)</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3,488</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3,259</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6,890</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6,315</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94"/>
              </w:rPr>
              <w:t>(1,313)</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(1,234)</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(2,574)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(2,352)</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9.5</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2,175</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2,025</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4,316</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3,963</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8.9</w:t>
            </w:r>
          </w:p>
        </w:tc>
      </w:tr>
      <w:tr>
        <w:trPr>
          <w:trHeight w:val="208"/>
        </w:trPr>
        <w:tc>
          <w:tcPr>
            <w:tcW w:w="20" w:type="dxa"/>
            <w:vAlign w:val="bottom"/>
          </w:tcPr>
          <w:p>
            <w:pPr>
              <w:spacing w:after="0"/>
              <w:rPr>
                <w:sz w:val="18"/>
                <w:szCs w:val="18"/>
                <w:color w:val="auto"/>
              </w:rPr>
            </w:pPr>
          </w:p>
        </w:tc>
        <w:tc>
          <w:tcPr>
            <w:tcW w:w="5220" w:type="dxa"/>
            <w:vAlign w:val="bottom"/>
            <w:shd w:val="clear" w:color="auto" w:fill="E5E5E5"/>
          </w:tcPr>
          <w:p>
            <w:pPr>
              <w:spacing w:after="0"/>
              <w:rPr>
                <w:sz w:val="20"/>
                <w:szCs w:val="20"/>
                <w:color w:val="auto"/>
              </w:rPr>
            </w:pPr>
            <w:r>
              <w:rPr>
                <w:rFonts w:ascii="Arial" w:cs="Arial" w:eastAsia="Arial" w:hAnsi="Arial"/>
                <w:sz w:val="18"/>
                <w:szCs w:val="18"/>
                <w:color w:val="auto"/>
                <w:w w:val="89"/>
              </w:rPr>
              <w:t>Net (income) loss attributable to noncontrolling interests and redeemable</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3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(33)</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19.4</w:t>
            </w:r>
          </w:p>
        </w:tc>
      </w:tr>
      <w:tr>
        <w:trPr>
          <w:trHeight w:val="219"/>
        </w:trPr>
        <w:tc>
          <w:tcPr>
            <w:tcW w:w="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2,137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1,992</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7.3%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4,196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3,863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Cable Communications, Filmed Entertainment and Theme Parks segments accounted for the increases in consolidated revenue for the three and six months ended June 30, 2015. The increase in consolidated revenue for the six months ended June 30, 2015 was offset by decreases in revenue in our Cable Networks and Broadcast Television segments. Consolidated revenue for the six months ended June 30, 2015 includes $376 million of revenue associated with our broadcast of the 2015 Super Bowl in February 2015 and consolidated revenue for the six months ended June 30, 2014 includes $1.1 billion of revenue associated with our broadcast of the 2014 Sochi Olympics in February 2014. Excluding the impact of these events, consolidated revenue increased 9.3% for the six months ended June 30, 2015.</w:t>
      </w:r>
    </w:p>
    <w:p>
      <w:pPr>
        <w:spacing w:after="0" w:line="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Revenue for our Cable Communications and NBCUniversal segments is discussed separately below under the heading “Segment Operating Results.” Revenue for our other businesses is discussed separately below under the heading “Corporate and Other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Our Cable Communications, Filmed Entertainment and Theme Parks segments accounted for substantially all of the increases in consolidated operating costs and expenses for the three and six months ended June 30, 2015. The increase for the six months ended June 30, 2015 was partially offset by lower operating costs and expenses in our Cable Networks and Broadcast Television segments, which were primarily due to our broadcast of the 2014 Sochi Olympics in February 2014.</w:t>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consolidated operating costs and expenses also included transaction-related costs associated with the Time Warner Cable merger and related divestiture transactions of $79 million and $178 million for the three and six months ended June 30, 2015, respectively. These amounts were $44 million and $61 million for the three and six months ended June 30, 2014, respectively.</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for our Cable Communications and NBCUniversal segments are discussed separately below under the heading “Segment Operating Results.” Operating costs and expenses for our corporate and other businesses are discussed separately below under the heading “Corporate and Other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depreciation and amortization expenses increased for the three and six months ended June 30, 2015 primarily due to the acceleration of amortization for certain intangible assets in the current year periods. Our consolidated depreciation and amortization expenses for the three and six months ended June 30, 2015 also included $20 million related to the write-off of certain capitalized costs associated with the Time Warner Cable merger and related divestiture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condensed consolidated financial statements (see Note 12 to Comcast’s condensed consolidated financial statements and Note 10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3"/>
          </w:tcPr>
          <w:p>
            <w:pPr>
              <w:jc w:val="right"/>
              <w:ind w:right="433"/>
              <w:spacing w:after="0"/>
              <w:rPr>
                <w:sz w:val="20"/>
                <w:szCs w:val="20"/>
                <w:color w:val="auto"/>
              </w:rPr>
            </w:pPr>
            <w:r>
              <w:rPr>
                <w:rFonts w:ascii="Arial" w:cs="Arial" w:eastAsia="Arial" w:hAnsi="Arial"/>
                <w:sz w:val="14"/>
                <w:szCs w:val="14"/>
                <w:color w:val="auto"/>
                <w:w w:val="99"/>
              </w:rPr>
              <w:t>Three Months Ended</w:t>
            </w:r>
          </w:p>
        </w:tc>
        <w:tc>
          <w:tcPr>
            <w:tcW w:w="1520" w:type="dxa"/>
            <w:vAlign w:val="bottom"/>
            <w:gridSpan w:val="2"/>
          </w:tcPr>
          <w:p>
            <w:pPr>
              <w:jc w:val="right"/>
              <w:ind w:right="41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7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373"/>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w w:val="96"/>
              </w:rPr>
              <w:t>2015</w:t>
            </w:r>
          </w:p>
        </w:tc>
        <w:tc>
          <w:tcPr>
            <w:tcW w:w="6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w w:val="96"/>
              </w:rPr>
              <w:t>2014</w:t>
            </w:r>
          </w:p>
        </w:tc>
        <w:tc>
          <w:tcPr>
            <w:tcW w:w="8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1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5,431</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5,239</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$192</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3,101</w:t>
            </w:r>
          </w:p>
        </w:tc>
        <w:tc>
          <w:tcPr>
            <w:tcW w:w="6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2,819</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282</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903</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922</w:t>
            </w:r>
          </w:p>
        </w:tc>
        <w:tc>
          <w:tcPr>
            <w:tcW w:w="8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(19)</w:t>
            </w: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1,161</w:t>
            </w:r>
          </w:p>
        </w:tc>
        <w:tc>
          <w:tcPr>
            <w:tcW w:w="6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965</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196</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582</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587</w:t>
            </w:r>
          </w:p>
        </w:tc>
        <w:tc>
          <w:tcPr>
            <w:tcW w:w="8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(5)</w:t>
            </w: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497</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54</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3"/>
              </w:rPr>
              <w:t>11,729</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83"/>
              </w:rPr>
              <w:t>11,029</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700</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2,666</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2,433</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233</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1,454</w:t>
            </w:r>
          </w:p>
        </w:tc>
        <w:tc>
          <w:tcPr>
            <w:tcW w:w="6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1,371</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83</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575</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544</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31</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6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325</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22</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2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836</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784</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52</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1,008</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45</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6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6,931</w:t>
            </w:r>
          </w:p>
        </w:tc>
        <w:tc>
          <w:tcPr>
            <w:tcW w:w="6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6,465</w:t>
            </w:r>
          </w:p>
        </w:tc>
        <w:tc>
          <w:tcPr>
            <w:tcW w:w="8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466</w:t>
            </w:r>
          </w:p>
        </w:tc>
        <w:tc>
          <w:tcPr>
            <w:tcW w:w="7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4,564</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640" w:type="dxa"/>
            <w:vAlign w:val="bottom"/>
          </w:tcPr>
          <w:p>
            <w:pPr>
              <w:jc w:val="right"/>
              <w:ind w:right="1632"/>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right"/>
              <w:ind w:right="413"/>
              <w:spacing w:after="0"/>
              <w:rPr>
                <w:sz w:val="20"/>
                <w:szCs w:val="20"/>
                <w:color w:val="auto"/>
              </w:rPr>
            </w:pPr>
            <w:r>
              <w:rPr>
                <w:rFonts w:ascii="Arial" w:cs="Arial" w:eastAsia="Arial" w:hAnsi="Arial"/>
                <w:sz w:val="14"/>
                <w:szCs w:val="14"/>
                <w:color w:val="auto"/>
              </w:rPr>
              <w:t>Six Months Ended</w:t>
            </w:r>
          </w:p>
        </w:tc>
        <w:tc>
          <w:tcPr>
            <w:tcW w:w="300" w:type="dxa"/>
            <w:vAlign w:val="bottom"/>
          </w:tcPr>
          <w:p>
            <w:pPr>
              <w:spacing w:after="0"/>
              <w:rPr>
                <w:sz w:val="14"/>
                <w:szCs w:val="14"/>
                <w:color w:val="auto"/>
              </w:rPr>
            </w:pPr>
          </w:p>
        </w:tc>
        <w:tc>
          <w:tcPr>
            <w:tcW w:w="1220" w:type="dxa"/>
            <w:vAlign w:val="bottom"/>
            <w:gridSpan w:val="2"/>
          </w:tcPr>
          <w:p>
            <w:pPr>
              <w:jc w:val="right"/>
              <w:ind w:right="43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77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76"/>
              </w:rPr>
              <w:t>June 30</w:t>
            </w: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78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10,762</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87"/>
              </w:rPr>
              <w:t>10,417</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345</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6,145</w:t>
            </w:r>
          </w:p>
        </w:tc>
        <w:tc>
          <w:tcPr>
            <w:tcW w:w="5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5,569</w:t>
            </w:r>
          </w:p>
        </w:tc>
        <w:tc>
          <w:tcPr>
            <w:tcW w:w="30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576</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78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1,809</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1,842</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(33)</w:t>
            </w: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2,275</w:t>
            </w:r>
          </w:p>
        </w:tc>
        <w:tc>
          <w:tcPr>
            <w:tcW w:w="5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1,882</w:t>
            </w:r>
          </w:p>
        </w:tc>
        <w:tc>
          <w:tcPr>
            <w:tcW w:w="30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393</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1,086</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1,094</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(8)</w:t>
            </w: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982</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100</w:t>
            </w: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7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23,159</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b w:val="1"/>
                <w:bCs w:val="1"/>
                <w:color w:val="auto"/>
                <w:w w:val="87"/>
              </w:rPr>
              <w:t>21,786</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6"/>
              <w:spacing w:after="0"/>
              <w:rPr>
                <w:sz w:val="20"/>
                <w:szCs w:val="20"/>
                <w:color w:val="auto"/>
              </w:rPr>
            </w:pPr>
            <w:r>
              <w:rPr>
                <w:rFonts w:ascii="Arial" w:cs="Arial" w:eastAsia="Arial" w:hAnsi="Arial"/>
                <w:sz w:val="18"/>
                <w:szCs w:val="18"/>
                <w:b w:val="1"/>
                <w:bCs w:val="1"/>
                <w:color w:val="auto"/>
                <w:w w:val="84"/>
              </w:rPr>
              <w:t>1,373</w:t>
            </w: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5,310</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4,885</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425</w:t>
            </w: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2,875</w:t>
            </w:r>
          </w:p>
        </w:tc>
        <w:tc>
          <w:tcPr>
            <w:tcW w:w="5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2,755</w:t>
            </w:r>
          </w:p>
        </w:tc>
        <w:tc>
          <w:tcPr>
            <w:tcW w:w="30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120</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1,153</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1,092</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61</w:t>
            </w: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681</w:t>
            </w:r>
          </w:p>
        </w:tc>
        <w:tc>
          <w:tcPr>
            <w:tcW w:w="5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35</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1,619</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1,490</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129</w:t>
            </w: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1,954</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95</w:t>
            </w: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13,687</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87"/>
              </w:rPr>
              <w:t>12,822</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865</w:t>
            </w:r>
          </w:p>
        </w:tc>
        <w:tc>
          <w:tcPr>
            <w:tcW w:w="6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8,964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508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92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4"/>
                <w:szCs w:val="14"/>
                <w:color w:val="auto"/>
              </w:rPr>
              <w:t>Total Customers</w:t>
            </w:r>
          </w:p>
        </w:tc>
        <w:tc>
          <w:tcPr>
            <w:tcW w:w="8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4"/>
                <w:szCs w:val="14"/>
                <w:color w:val="auto"/>
                <w:w w:val="94"/>
              </w:rPr>
              <w:t>Net Additional Customers</w:t>
            </w:r>
          </w:p>
        </w:tc>
        <w:tc>
          <w:tcPr>
            <w:tcW w:w="480" w:type="dxa"/>
            <w:vAlign w:val="bottom"/>
            <w:tcBorders>
              <w:bottom w:val="single" w:sz="8" w:color="auto"/>
            </w:tcBorders>
          </w:tcPr>
          <w:p>
            <w:pPr>
              <w:spacing w:after="0"/>
              <w:rPr>
                <w:sz w:val="14"/>
                <w:szCs w:val="14"/>
                <w:color w:val="auto"/>
              </w:rPr>
            </w:pPr>
          </w:p>
        </w:tc>
      </w:tr>
      <w:tr>
        <w:trPr>
          <w:trHeight w:val="131"/>
        </w:trPr>
        <w:tc>
          <w:tcPr>
            <w:tcW w:w="6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Three Months Ended</w:t>
            </w:r>
          </w:p>
        </w:tc>
        <w:tc>
          <w:tcPr>
            <w:tcW w:w="1380" w:type="dxa"/>
            <w:vAlign w:val="bottom"/>
            <w:gridSpan w:val="2"/>
          </w:tcPr>
          <w:p>
            <w:pPr>
              <w:jc w:val="right"/>
              <w:ind w:right="115"/>
              <w:spacing w:after="0" w:line="131" w:lineRule="exact"/>
              <w:rPr>
                <w:sz w:val="20"/>
                <w:szCs w:val="20"/>
                <w:color w:val="auto"/>
              </w:rPr>
            </w:pPr>
            <w:r>
              <w:rPr>
                <w:rFonts w:ascii="Arial" w:cs="Arial" w:eastAsia="Arial" w:hAnsi="Arial"/>
                <w:sz w:val="14"/>
                <w:szCs w:val="14"/>
                <w:color w:val="auto"/>
              </w:rPr>
              <w:t>Six Months Ended</w:t>
            </w:r>
          </w:p>
        </w:tc>
      </w:tr>
      <w:tr>
        <w:trPr>
          <w:trHeight w:val="159"/>
        </w:trPr>
        <w:tc>
          <w:tcPr>
            <w:tcW w:w="6360" w:type="dxa"/>
            <w:vAlign w:val="bottom"/>
          </w:tcPr>
          <w:p>
            <w:pPr>
              <w:spacing w:after="0"/>
              <w:rPr>
                <w:sz w:val="13"/>
                <w:szCs w:val="13"/>
                <w:color w:val="auto"/>
              </w:rPr>
            </w:pPr>
          </w:p>
        </w:tc>
        <w:tc>
          <w:tcPr>
            <w:tcW w:w="1920" w:type="dxa"/>
            <w:vAlign w:val="bottom"/>
            <w:tcBorders>
              <w:bottom w:val="single" w:sz="8" w:color="auto"/>
            </w:tcBorders>
            <w:gridSpan w:val="2"/>
          </w:tcPr>
          <w:p>
            <w:pPr>
              <w:jc w:val="right"/>
              <w:ind w:right="735"/>
              <w:spacing w:after="0" w:line="159" w:lineRule="exact"/>
              <w:rPr>
                <w:sz w:val="20"/>
                <w:szCs w:val="20"/>
                <w:color w:val="auto"/>
              </w:rPr>
            </w:pPr>
            <w:r>
              <w:rPr>
                <w:rFonts w:ascii="Arial" w:cs="Arial" w:eastAsia="Arial" w:hAnsi="Arial"/>
                <w:sz w:val="14"/>
                <w:szCs w:val="14"/>
                <w:color w:val="auto"/>
              </w:rPr>
              <w:t>June 30</w:t>
            </w:r>
          </w:p>
        </w:tc>
        <w:tc>
          <w:tcPr>
            <w:tcW w:w="1760" w:type="dxa"/>
            <w:vAlign w:val="bottom"/>
            <w:tcBorders>
              <w:bottom w:val="single" w:sz="8" w:color="auto"/>
            </w:tcBorders>
            <w:gridSpan w:val="2"/>
          </w:tcPr>
          <w:p>
            <w:pPr>
              <w:jc w:val="right"/>
              <w:ind w:right="577"/>
              <w:spacing w:after="0" w:line="159" w:lineRule="exact"/>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480" w:type="dxa"/>
            <w:vAlign w:val="bottom"/>
            <w:tcBorders>
              <w:bottom w:val="single" w:sz="8" w:color="auto"/>
            </w:tcBorders>
          </w:tcPr>
          <w:p>
            <w:pPr>
              <w:spacing w:after="0"/>
              <w:rPr>
                <w:sz w:val="13"/>
                <w:szCs w:val="13"/>
                <w:color w:val="auto"/>
              </w:rPr>
            </w:pPr>
          </w:p>
        </w:tc>
      </w:tr>
      <w:tr>
        <w:trPr>
          <w:trHeight w:val="237"/>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2015</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3"/>
              </w:rPr>
              <w:t>2014</w:t>
            </w:r>
          </w:p>
        </w:tc>
      </w:tr>
      <w:tr>
        <w:trPr>
          <w:trHeight w:val="210"/>
        </w:trPr>
        <w:tc>
          <w:tcPr>
            <w:tcW w:w="6360" w:type="dxa"/>
            <w:vAlign w:val="bottom"/>
            <w:shd w:val="clear" w:color="auto" w:fill="E5E5E5"/>
          </w:tcPr>
          <w:p>
            <w:pPr>
              <w:spacing w:after="0"/>
              <w:rPr>
                <w:sz w:val="20"/>
                <w:szCs w:val="20"/>
                <w:color w:val="auto"/>
              </w:rPr>
            </w:pPr>
            <w:r>
              <w:rPr>
                <w:rFonts w:ascii="Arial" w:cs="Arial" w:eastAsia="Arial" w:hAnsi="Arial"/>
                <w:sz w:val="18"/>
                <w:szCs w:val="18"/>
                <w:color w:val="auto"/>
              </w:rPr>
              <w:t>Total customer relationships</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27,265</w:t>
            </w:r>
          </w:p>
        </w:tc>
        <w:tc>
          <w:tcPr>
            <w:tcW w:w="10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26,775</w:t>
            </w:r>
          </w:p>
        </w:tc>
        <w:tc>
          <w:tcPr>
            <w:tcW w:w="84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31</w:t>
            </w:r>
          </w:p>
        </w:tc>
        <w:tc>
          <w:tcPr>
            <w:tcW w:w="9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(25)</w:t>
            </w:r>
          </w:p>
        </w:tc>
        <w:tc>
          <w:tcPr>
            <w:tcW w:w="90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230</w:t>
            </w: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99</w:t>
            </w: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Single product customers</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8,343</w:t>
            </w:r>
          </w:p>
        </w:tc>
        <w:tc>
          <w:tcPr>
            <w:tcW w:w="1000" w:type="dxa"/>
            <w:vAlign w:val="bottom"/>
          </w:tcPr>
          <w:p>
            <w:pPr>
              <w:jc w:val="right"/>
              <w:ind w:right="255"/>
              <w:spacing w:after="0"/>
              <w:rPr>
                <w:sz w:val="20"/>
                <w:szCs w:val="20"/>
                <w:color w:val="auto"/>
              </w:rPr>
            </w:pPr>
            <w:r>
              <w:rPr>
                <w:rFonts w:ascii="Arial" w:cs="Arial" w:eastAsia="Arial" w:hAnsi="Arial"/>
                <w:sz w:val="18"/>
                <w:szCs w:val="18"/>
                <w:color w:val="auto"/>
              </w:rPr>
              <w:t>8,510</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(56)</w:t>
            </w: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(95)</w:t>
            </w:r>
          </w:p>
        </w:tc>
        <w:tc>
          <w:tcPr>
            <w:tcW w:w="900" w:type="dxa"/>
            <w:vAlign w:val="bottom"/>
          </w:tcPr>
          <w:p>
            <w:pPr>
              <w:jc w:val="right"/>
              <w:ind w:right="278"/>
              <w:spacing w:after="0"/>
              <w:rPr>
                <w:sz w:val="20"/>
                <w:szCs w:val="20"/>
                <w:color w:val="auto"/>
              </w:rPr>
            </w:pPr>
            <w:r>
              <w:rPr>
                <w:rFonts w:ascii="Arial" w:cs="Arial" w:eastAsia="Arial" w:hAnsi="Arial"/>
                <w:sz w:val="18"/>
                <w:szCs w:val="18"/>
                <w:color w:val="auto"/>
              </w:rPr>
              <w:t>(66)</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(242)</w:t>
            </w:r>
          </w:p>
        </w:tc>
      </w:tr>
      <w:tr>
        <w:trPr>
          <w:trHeight w:val="216"/>
        </w:trPr>
        <w:tc>
          <w:tcPr>
            <w:tcW w:w="6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Double product customers</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8,936</w:t>
            </w:r>
          </w:p>
        </w:tc>
        <w:tc>
          <w:tcPr>
            <w:tcW w:w="10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8,574</w:t>
            </w:r>
          </w:p>
        </w:tc>
        <w:tc>
          <w:tcPr>
            <w:tcW w:w="84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46</w:t>
            </w:r>
          </w:p>
        </w:tc>
        <w:tc>
          <w:tcPr>
            <w:tcW w:w="9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(82)</w:t>
            </w:r>
          </w:p>
        </w:tc>
        <w:tc>
          <w:tcPr>
            <w:tcW w:w="90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186</w:t>
            </w: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34</w:t>
            </w:r>
          </w:p>
        </w:tc>
      </w:tr>
      <w:tr>
        <w:trPr>
          <w:trHeight w:val="216"/>
        </w:trPr>
        <w:tc>
          <w:tcPr>
            <w:tcW w:w="6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Triple product customers</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9,987</w:t>
            </w: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9,691</w:t>
            </w: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42</w:t>
            </w: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152</w:t>
            </w: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307</w:t>
            </w:r>
          </w:p>
        </w:tc>
      </w:tr>
      <w:tr>
        <w:trPr>
          <w:trHeight w:val="210"/>
        </w:trPr>
        <w:tc>
          <w:tcPr>
            <w:tcW w:w="636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22,306</w:t>
            </w:r>
          </w:p>
        </w:tc>
        <w:tc>
          <w:tcPr>
            <w:tcW w:w="10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22,457</w:t>
            </w:r>
          </w:p>
        </w:tc>
        <w:tc>
          <w:tcPr>
            <w:tcW w:w="84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(69)</w:t>
            </w:r>
          </w:p>
        </w:tc>
        <w:tc>
          <w:tcPr>
            <w:tcW w:w="9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(144)</w:t>
            </w:r>
          </w:p>
        </w:tc>
        <w:tc>
          <w:tcPr>
            <w:tcW w:w="9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(77)</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(120)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22,548</w:t>
            </w:r>
          </w:p>
        </w:tc>
        <w:tc>
          <w:tcPr>
            <w:tcW w:w="1000" w:type="dxa"/>
            <w:vAlign w:val="bottom"/>
          </w:tcPr>
          <w:p>
            <w:pPr>
              <w:jc w:val="right"/>
              <w:ind w:right="255"/>
              <w:spacing w:after="0"/>
              <w:rPr>
                <w:sz w:val="20"/>
                <w:szCs w:val="20"/>
                <w:color w:val="auto"/>
              </w:rPr>
            </w:pPr>
            <w:r>
              <w:rPr>
                <w:rFonts w:ascii="Arial" w:cs="Arial" w:eastAsia="Arial" w:hAnsi="Arial"/>
                <w:sz w:val="18"/>
                <w:szCs w:val="18"/>
                <w:color w:val="auto"/>
              </w:rPr>
              <w:t>21,271</w:t>
            </w:r>
          </w:p>
        </w:tc>
        <w:tc>
          <w:tcPr>
            <w:tcW w:w="840" w:type="dxa"/>
            <w:vAlign w:val="bottom"/>
          </w:tcPr>
          <w:p>
            <w:pPr>
              <w:jc w:val="right"/>
              <w:ind w:right="78"/>
              <w:spacing w:after="0"/>
              <w:rPr>
                <w:sz w:val="20"/>
                <w:szCs w:val="20"/>
                <w:color w:val="auto"/>
              </w:rPr>
            </w:pPr>
            <w:r>
              <w:rPr>
                <w:rFonts w:ascii="Arial" w:cs="Arial" w:eastAsia="Arial" w:hAnsi="Arial"/>
                <w:sz w:val="18"/>
                <w:szCs w:val="18"/>
                <w:color w:val="auto"/>
              </w:rPr>
              <w:t>180</w:t>
            </w:r>
          </w:p>
        </w:tc>
        <w:tc>
          <w:tcPr>
            <w:tcW w:w="920" w:type="dxa"/>
            <w:vAlign w:val="bottom"/>
          </w:tcPr>
          <w:p>
            <w:pPr>
              <w:jc w:val="right"/>
              <w:ind w:right="137"/>
              <w:spacing w:after="0"/>
              <w:rPr>
                <w:sz w:val="20"/>
                <w:szCs w:val="20"/>
                <w:color w:val="auto"/>
              </w:rPr>
            </w:pPr>
            <w:r>
              <w:rPr>
                <w:rFonts w:ascii="Arial" w:cs="Arial" w:eastAsia="Arial" w:hAnsi="Arial"/>
                <w:sz w:val="18"/>
                <w:szCs w:val="18"/>
                <w:color w:val="auto"/>
              </w:rPr>
              <w:t>203</w:t>
            </w:r>
          </w:p>
        </w:tc>
        <w:tc>
          <w:tcPr>
            <w:tcW w:w="900" w:type="dxa"/>
            <w:vAlign w:val="bottom"/>
          </w:tcPr>
          <w:p>
            <w:pPr>
              <w:jc w:val="right"/>
              <w:ind w:right="338"/>
              <w:spacing w:after="0"/>
              <w:rPr>
                <w:sz w:val="20"/>
                <w:szCs w:val="20"/>
                <w:color w:val="auto"/>
              </w:rPr>
            </w:pPr>
            <w:r>
              <w:rPr>
                <w:rFonts w:ascii="Arial" w:cs="Arial" w:eastAsia="Arial" w:hAnsi="Arial"/>
                <w:sz w:val="18"/>
                <w:szCs w:val="18"/>
                <w:color w:val="auto"/>
              </w:rPr>
              <w:t>587</w:t>
            </w: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587</w:t>
            </w:r>
          </w:p>
        </w:tc>
      </w:tr>
      <w:tr>
        <w:trPr>
          <w:trHeight w:val="216"/>
        </w:trPr>
        <w:tc>
          <w:tcPr>
            <w:tcW w:w="6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9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11,319</w:t>
            </w:r>
          </w:p>
        </w:tc>
        <w:tc>
          <w:tcPr>
            <w:tcW w:w="10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11,003</w:t>
            </w:r>
          </w:p>
        </w:tc>
        <w:tc>
          <w:tcPr>
            <w:tcW w:w="84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49</w:t>
            </w:r>
          </w:p>
        </w:tc>
        <w:tc>
          <w:tcPr>
            <w:tcW w:w="9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137</w:t>
            </w:r>
          </w:p>
        </w:tc>
        <w:tc>
          <w:tcPr>
            <w:tcW w:w="900" w:type="dxa"/>
            <w:vAlign w:val="bottom"/>
            <w:tcBorders>
              <w:bottom w:val="single" w:sz="8" w:color="auto"/>
            </w:tcBorders>
            <w:shd w:val="clear" w:color="auto" w:fill="E5E5E5"/>
          </w:tcPr>
          <w:p>
            <w:pPr>
              <w:jc w:val="right"/>
              <w:ind w:right="338"/>
              <w:spacing w:after="0"/>
              <w:rPr>
                <w:sz w:val="20"/>
                <w:szCs w:val="20"/>
                <w:color w:val="auto"/>
              </w:rPr>
            </w:pPr>
            <w:r>
              <w:rPr>
                <w:rFonts w:ascii="Arial" w:cs="Arial" w:eastAsia="Arial" w:hAnsi="Arial"/>
                <w:sz w:val="18"/>
                <w:szCs w:val="18"/>
                <w:color w:val="auto"/>
              </w:rPr>
              <w:t>126</w:t>
            </w:r>
          </w:p>
        </w:tc>
        <w:tc>
          <w:tcPr>
            <w:tcW w:w="4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279</w:t>
            </w:r>
          </w:p>
        </w:tc>
      </w:tr>
    </w:tbl>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 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Communications segment leverages our existing cable distribution system to grow revenue by, among other things, adding new residential and business services customers, encouraging existing customers to add new or higher-tier services, and expanding our other services such as our business services offerings, advertising, and our home security and automation services. We offer our cable services in bundles and often provide promotional incentives. We seek to balance promotional offers and rate increases with their expected effects on the number of customers and overall revenue. Average monthly total revenue per customer relationship for the three and six months ended June 30, 2015 was $143.48 and $142.17, respectively. Average monthly total revenue per customer relationship for the three and six months ended June 30, 2014 was $137.24 and $135.86,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revenue increased 3.7% and 3.3% for the three and six months ended June 30, 2015, respectively, compared to the same periods in 2014. An increase in the number of residential customers receiving additional and higher levels of video service and rate adjustments accounted for increases in revenue of 4.9% and 4.5% for the three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six months ended June 30, 2015, respectively. As of June 30, 2015, the number of customers who subscribed to our advanced services, which are high-definition video and DVR services, increased 4.8% to 13.3 million customers compared to the same period in 2014. Video revenue for the three and six months ended June 30, 2015 also increased due to revenue received from a boxing event available on pay-per-view. The increases in revenue in both periods were partially offset by fewer residential video customers compared to the same periods in 2014. The decreases in the number of residential video customers were primarily due to competitive pressures and the impact of rate adjustments. We may experience further declines in the number of residential video customers.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High-speed Internet revenue increased 10.0% and 10.3% for the three and six months ended June 30, 2015, respectively, compared to the same periods in 2014. An increase in the number of residential customers receiving our high-speed Internet service accounted for increases in revenue of 5.7% for both the three and six months ended June 30, 2015. The remaining increases in revenue for the three and six months ended June 30, 2015 were primarily due to increases in the number of customers receiving higher levels of service and rate adjustments. Our customer base continues to grow as consumers choose our high-speed Internet service and seek higher-speed offerings.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Voice revenue decreased 2.1% and 1.8% for the three and six months ended June 30, 2015, respectively, compared to the same periods in 2014. While the growth rate of residential customer additions slowed for the three and six months ended June 30, 2015, the increase in the number of residential customers receiving voice services through our discounted bundled offerings accounted for increases in revenue of 2.4% and 2.7% for the three and six months ended June 30, 2015, respectively, compared to the same periods in 2014. The increases in revenue were more than offset by the impact of the allocation of voice revenue for our bundled customers. The amount allocated to voice revenue in the bundled rate decreased for the three and six months ended June 30, 2015 because video and high-speed Internet rates increased while voice rates remained relatively flat.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Business services revenue increased 20.4% and 20.9% for the three and six months ended June 30, 2015, respectively, compared to the same periods in 2014. The increases were primarily due to rate adjustments as well as increases in the number of small business customers receiving our high-speed Internet and voice services. The remaining increases in both periods were primarily due to continued growth in our medium-sized business services, including Ethernet network and advanced voice services. For both the three and six months ended June 30, 2015, revenue from our medium-sized business customers represented 23% of total business services revenue. We believe the increases in the number of business customers are primarily the result of our efforts to gain market share from competitors by offering competitive services and pricing.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slightly for the three and six months ended June 30, 2015 compared to the same periods in 2014 primarily due to decreases in political advertising revenue. Excluding political advertising revenue, advertising revenue increased 2.5% and 1.9% for the three and six months ended June 30, 2015, respectively, compared to the same periods in 2014.</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Other revenue increased 10.9% and 10.2% for the three and six months ended June 30, 2015, respectively, compared to the same periods in 2014 primarily due to increases in revenue from our home security and automation services, as well as increases in cable franchise and other regulatory fees.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most significant operating cost is the programming expense we incur to provide content to our video customers. We anticipate that our programming expenses will continue to increase. We have and will continue to attempt to maintain a consistent operating margin through rate adjustments, the sale of additional cable services, including advanced services, and the continued growth of our business services, as well as by achieving operating efficiencies.</w:t>
      </w:r>
    </w:p>
    <w:p>
      <w:pPr>
        <w:spacing w:after="0" w:line="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Programming expenses increased for the three and six months ended June 30, 2015 compared to the same periods in 2014 primarily due to increases in programming license fees, including sports programming costs and retransmission consent fees, fees to secure rights for additional programming for our customers across an increasing number of platforms, and fees associated with a boxing event available on pay-per-view.</w:t>
      </w:r>
    </w:p>
    <w:p>
      <w:pPr>
        <w:spacing w:after="0" w:line="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Technical and product support expenses increased for the three and six months ended June 30, 2015 compared to the same periods in 2014 primarily due to expenses related to improving the customer experience, the development, delivery and support of our enhanced devices, including our X1 platform, Cloud DVR technology and wireless gateways, and the continued growth in business services and home security and automation services.</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 service expenses increased for the three and six months ended June 30, 2015 compared to the same periods in 2014 primarily due to increased support for improving the customer experience and resolving service issues. The increases in customer service expenses were also due to support activities associated with the continued deployment of our enhanced devices and services, which include our X1 platform, Cloud DVR technology, wireless gateways, and home security and automation services, and the continued growth in business services.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and six months ended June 30, 2015 compared to the same periods in 2014 primarily due to increases in the revenue on which the fees apply.</w:t>
      </w:r>
    </w:p>
    <w:p>
      <w:pPr>
        <w:spacing w:after="0" w:line="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Advertising, marketing and promotion expenses increased for the three and six months ended June 30, 2015 compared to the same periods in 2014 primarily due to increases in spending associated with attracting new residential and business services customers and encouraging existing customers to add additional or higher-tier services.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costs and expenses increased for the three and six months ended June 30, 2015 compared to the same periods in 2014 primarily due to increases in costs to support our advertising sales business, as well as increases in other administrative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4"/>
              <w:spacing w:after="0"/>
              <w:rPr>
                <w:sz w:val="20"/>
                <w:szCs w:val="20"/>
                <w:color w:val="auto"/>
              </w:rPr>
            </w:pPr>
            <w:r>
              <w:rPr>
                <w:rFonts w:ascii="Arial" w:cs="Arial" w:eastAsia="Arial" w:hAnsi="Arial"/>
                <w:sz w:val="14"/>
                <w:szCs w:val="14"/>
                <w:color w:val="auto"/>
                <w:w w:val="94"/>
              </w:rPr>
              <w:t>Three Months Ended</w:t>
            </w:r>
          </w:p>
        </w:tc>
        <w:tc>
          <w:tcPr>
            <w:tcW w:w="340" w:type="dxa"/>
            <w:vAlign w:val="bottom"/>
          </w:tcPr>
          <w:p>
            <w:pPr>
              <w:spacing w:after="0"/>
              <w:rPr>
                <w:sz w:val="14"/>
                <w:szCs w:val="14"/>
                <w:color w:val="auto"/>
              </w:rPr>
            </w:pPr>
          </w:p>
        </w:tc>
        <w:tc>
          <w:tcPr>
            <w:tcW w:w="1400" w:type="dxa"/>
            <w:vAlign w:val="bottom"/>
            <w:gridSpan w:val="2"/>
          </w:tcPr>
          <w:p>
            <w:pPr>
              <w:jc w:val="right"/>
              <w:ind w:right="5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5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53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color w:val="auto"/>
                <w:w w:val="89"/>
              </w:rPr>
              <w:t>2015</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16"/>
              <w:spacing w:after="0"/>
              <w:rPr>
                <w:sz w:val="20"/>
                <w:szCs w:val="20"/>
                <w:color w:val="auto"/>
              </w:rPr>
            </w:pPr>
            <w:r>
              <w:rPr>
                <w:rFonts w:ascii="Arial" w:cs="Arial" w:eastAsia="Arial" w:hAnsi="Arial"/>
                <w:sz w:val="18"/>
                <w:szCs w:val="18"/>
                <w:color w:val="auto"/>
                <w:w w:val="88"/>
              </w:rPr>
              <w:t>2,450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2,476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w w:val="88"/>
              </w:rPr>
              <w:t>1,813</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1,816</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(3)</w:t>
            </w: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w w:val="88"/>
              </w:rPr>
              <w:t>2,266</w:t>
            </w:r>
          </w:p>
        </w:tc>
        <w:tc>
          <w:tcPr>
            <w:tcW w:w="1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1,176</w:t>
            </w:r>
          </w:p>
        </w:tc>
        <w:tc>
          <w:tcPr>
            <w:tcW w:w="34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w w:val="84"/>
              </w:rPr>
              <w:t>1,090</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158</w:t>
            </w:r>
          </w:p>
        </w:tc>
        <w:tc>
          <w:tcPr>
            <w:tcW w:w="8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w:t>
            </w: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80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416"/>
              <w:spacing w:after="0"/>
              <w:rPr>
                <w:sz w:val="20"/>
                <w:szCs w:val="20"/>
                <w:color w:val="auto"/>
              </w:rPr>
            </w:pPr>
            <w:r>
              <w:rPr>
                <w:rFonts w:ascii="Arial" w:cs="Arial" w:eastAsia="Arial" w:hAnsi="Arial"/>
                <w:sz w:val="18"/>
                <w:szCs w:val="18"/>
                <w:b w:val="1"/>
                <w:bCs w:val="1"/>
                <w:color w:val="auto"/>
                <w:w w:val="88"/>
              </w:rPr>
              <w:t>7,230</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3"/>
              </w:rPr>
              <w:t>6,016</w:t>
            </w:r>
          </w:p>
        </w:tc>
        <w:tc>
          <w:tcPr>
            <w:tcW w:w="900" w:type="dxa"/>
            <w:vAlign w:val="bottom"/>
            <w:tcBorders>
              <w:bottom w:val="single" w:sz="8" w:color="auto"/>
            </w:tcBorders>
            <w:gridSpan w:val="2"/>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$1,214</w:t>
            </w:r>
          </w:p>
        </w:tc>
        <w:tc>
          <w:tcPr>
            <w:tcW w:w="8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8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914</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(42)</w:t>
            </w:r>
          </w:p>
        </w:tc>
        <w:tc>
          <w:tcPr>
            <w:tcW w:w="8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195</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227</w:t>
            </w:r>
          </w:p>
        </w:tc>
        <w:tc>
          <w:tcPr>
            <w:tcW w:w="8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110</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56"/>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Total operating income before depreciation and amortization</w:t>
            </w:r>
          </w:p>
        </w:tc>
        <w:tc>
          <w:tcPr>
            <w:tcW w:w="2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w w:val="88"/>
              </w:rPr>
              <w:t>1,712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3"/>
              </w:rPr>
              <w:t>1,434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278</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363"/>
        </w:trPr>
        <w:tc>
          <w:tcPr>
            <w:tcW w:w="5100" w:type="dxa"/>
            <w:vAlign w:val="bottom"/>
          </w:tcPr>
          <w:p>
            <w:pPr>
              <w:spacing w:after="0"/>
              <w:rPr>
                <w:sz w:val="24"/>
                <w:szCs w:val="24"/>
                <w:color w:val="auto"/>
              </w:rPr>
            </w:pPr>
          </w:p>
        </w:tc>
        <w:tc>
          <w:tcPr>
            <w:tcW w:w="2260" w:type="dxa"/>
            <w:vAlign w:val="bottom"/>
          </w:tcPr>
          <w:p>
            <w:pPr>
              <w:jc w:val="right"/>
              <w:ind w:right="1452"/>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454"/>
              <w:spacing w:after="0"/>
              <w:rPr>
                <w:sz w:val="20"/>
                <w:szCs w:val="20"/>
                <w:color w:val="auto"/>
              </w:rPr>
            </w:pPr>
            <w:r>
              <w:rPr>
                <w:rFonts w:ascii="Arial" w:cs="Arial" w:eastAsia="Arial" w:hAnsi="Arial"/>
                <w:sz w:val="14"/>
                <w:szCs w:val="14"/>
                <w:color w:val="auto"/>
              </w:rPr>
              <w:t>Six Months Ended</w:t>
            </w:r>
          </w:p>
        </w:tc>
        <w:tc>
          <w:tcPr>
            <w:tcW w:w="300" w:type="dxa"/>
            <w:vAlign w:val="bottom"/>
          </w:tcPr>
          <w:p>
            <w:pPr>
              <w:spacing w:after="0"/>
              <w:rPr>
                <w:sz w:val="14"/>
                <w:szCs w:val="14"/>
                <w:color w:val="auto"/>
              </w:rPr>
            </w:pPr>
          </w:p>
        </w:tc>
        <w:tc>
          <w:tcPr>
            <w:tcW w:w="124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7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4,809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4,981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(172)</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4,437</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(376)</w:t>
            </w: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42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8"/>
                <w:szCs w:val="18"/>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w w:val="84"/>
              </w:rPr>
              <w:t>1,185</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1,102</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322</w:t>
            </w: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(155)</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b w:val="1"/>
                <w:bCs w:val="1"/>
                <w:color w:val="auto"/>
                <w:w w:val="87"/>
              </w:rPr>
              <w:t>13,834</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7"/>
              </w:rPr>
              <w:t>12,892</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942</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1,809</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(39)</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42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18"/>
                <w:szCs w:val="18"/>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51</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232</w:t>
            </w: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42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8"/>
                <w:szCs w:val="18"/>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203</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(323)</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3,206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2,745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461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right"/>
              <w:ind w:right="355"/>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320" w:type="dxa"/>
            <w:vAlign w:val="bottom"/>
            <w:gridSpan w:val="2"/>
          </w:tcPr>
          <w:p>
            <w:pPr>
              <w:jc w:val="right"/>
              <w:ind w:right="4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15"/>
              <w:spacing w:after="0" w:line="159" w:lineRule="exact"/>
              <w:rPr>
                <w:sz w:val="20"/>
                <w:szCs w:val="20"/>
                <w:color w:val="auto"/>
              </w:rPr>
            </w:pPr>
            <w:r>
              <w:rPr>
                <w:rFonts w:ascii="Arial" w:cs="Arial" w:eastAsia="Arial" w:hAnsi="Arial"/>
                <w:sz w:val="14"/>
                <w:szCs w:val="14"/>
                <w:color w:val="auto"/>
                <w:w w:val="84"/>
              </w:rPr>
              <w:t>June 30</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1240" w:type="dxa"/>
            <w:vAlign w:val="bottom"/>
          </w:tcPr>
          <w:p>
            <w:pPr>
              <w:jc w:val="right"/>
              <w:ind w:right="275"/>
              <w:spacing w:after="0" w:line="142" w:lineRule="exact"/>
              <w:rPr>
                <w:sz w:val="20"/>
                <w:szCs w:val="20"/>
                <w:color w:val="auto"/>
              </w:rPr>
            </w:pPr>
            <w:r>
              <w:rPr>
                <w:rFonts w:ascii="Arial" w:cs="Arial" w:eastAsia="Arial" w:hAnsi="Arial"/>
                <w:sz w:val="14"/>
                <w:szCs w:val="14"/>
                <w:color w:val="auto"/>
              </w:rPr>
              <w:t>2014</w:t>
            </w:r>
          </w:p>
        </w:tc>
        <w:tc>
          <w:tcPr>
            <w:tcW w:w="300" w:type="dxa"/>
            <w:vAlign w:val="bottom"/>
          </w:tcPr>
          <w:p>
            <w:pPr>
              <w:spacing w:after="0"/>
              <w:rPr>
                <w:sz w:val="12"/>
                <w:szCs w:val="12"/>
                <w:color w:val="auto"/>
              </w:rPr>
            </w:pPr>
          </w:p>
        </w:tc>
        <w:tc>
          <w:tcPr>
            <w:tcW w:w="500" w:type="dxa"/>
            <w:vAlign w:val="bottom"/>
          </w:tcPr>
          <w:p>
            <w:pPr>
              <w:jc w:val="right"/>
              <w:ind w:right="218"/>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8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12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660" w:type="dxa"/>
            <w:vAlign w:val="bottom"/>
            <w:gridSpan w:val="3"/>
          </w:tcPr>
          <w:p>
            <w:pPr>
              <w:jc w:val="right"/>
              <w:spacing w:after="0"/>
              <w:rPr>
                <w:sz w:val="20"/>
                <w:szCs w:val="20"/>
                <w:color w:val="auto"/>
              </w:rPr>
            </w:pPr>
            <w:r>
              <w:rPr>
                <w:rFonts w:ascii="Arial" w:cs="Arial" w:eastAsia="Arial" w:hAnsi="Arial"/>
                <w:sz w:val="18"/>
                <w:szCs w:val="18"/>
                <w:color w:val="auto"/>
              </w:rPr>
              <w:t>$ 1,341</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$ 1,270</w:t>
            </w:r>
          </w:p>
        </w:tc>
        <w:tc>
          <w:tcPr>
            <w:tcW w:w="800" w:type="dxa"/>
            <w:vAlign w:val="bottom"/>
            <w:gridSpan w:val="2"/>
          </w:tcPr>
          <w:p>
            <w:pPr>
              <w:jc w:val="right"/>
              <w:ind w:right="78"/>
              <w:spacing w:after="0"/>
              <w:rPr>
                <w:sz w:val="20"/>
                <w:szCs w:val="20"/>
                <w:color w:val="auto"/>
              </w:rPr>
            </w:pPr>
            <w:r>
              <w:rPr>
                <w:rFonts w:ascii="Arial" w:cs="Arial" w:eastAsia="Arial" w:hAnsi="Arial"/>
                <w:sz w:val="18"/>
                <w:szCs w:val="18"/>
                <w:color w:val="auto"/>
              </w:rPr>
              <w:t>$ 71</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66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917</w:t>
            </w:r>
          </w:p>
        </w:tc>
        <w:tc>
          <w:tcPr>
            <w:tcW w:w="12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945</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(28)</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3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192</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261</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(69)</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660" w:type="dxa"/>
            <w:vAlign w:val="bottom"/>
            <w:gridSpan w:val="3"/>
            <w:shd w:val="clear" w:color="auto" w:fill="E5E5E5"/>
          </w:tcPr>
          <w:p>
            <w:pPr>
              <w:jc w:val="right"/>
              <w:spacing w:after="0"/>
              <w:rPr>
                <w:sz w:val="20"/>
                <w:szCs w:val="20"/>
                <w:color w:val="auto"/>
              </w:rPr>
            </w:pPr>
            <w:r>
              <w:rPr>
                <w:rFonts w:ascii="Arial" w:cs="Arial" w:eastAsia="Arial" w:hAnsi="Arial"/>
                <w:sz w:val="18"/>
                <w:szCs w:val="18"/>
                <w:b w:val="1"/>
                <w:bCs w:val="1"/>
                <w:color w:val="auto"/>
              </w:rPr>
              <w:t>2,450</w:t>
            </w:r>
          </w:p>
        </w:tc>
        <w:tc>
          <w:tcPr>
            <w:tcW w:w="1240" w:type="dxa"/>
            <w:vAlign w:val="bottom"/>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2,476</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(26)</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66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1,125</w:t>
            </w:r>
          </w:p>
        </w:tc>
        <w:tc>
          <w:tcPr>
            <w:tcW w:w="12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1,124</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1</w:t>
            </w:r>
          </w:p>
        </w:tc>
        <w:tc>
          <w:tcPr>
            <w:tcW w:w="8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66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8"/>
                <w:szCs w:val="18"/>
                <w:color w:val="auto"/>
              </w:rPr>
            </w:pPr>
          </w:p>
        </w:tc>
        <w:tc>
          <w:tcPr>
            <w:tcW w:w="500" w:type="dxa"/>
            <w:vAlign w:val="bottom"/>
          </w:tcPr>
          <w:p>
            <w:pPr>
              <w:jc w:val="right"/>
              <w:ind w:right="78"/>
              <w:spacing w:after="0"/>
              <w:rPr>
                <w:sz w:val="20"/>
                <w:szCs w:val="20"/>
                <w:color w:val="auto"/>
              </w:rPr>
            </w:pPr>
            <w:r>
              <w:rPr>
                <w:rFonts w:ascii="Arial" w:cs="Arial" w:eastAsia="Arial" w:hAnsi="Arial"/>
                <w:sz w:val="18"/>
                <w:szCs w:val="18"/>
                <w:color w:val="auto"/>
              </w:rPr>
              <w:t>11</w:t>
            </w:r>
          </w:p>
        </w:tc>
        <w:tc>
          <w:tcPr>
            <w:tcW w:w="820" w:type="dxa"/>
            <w:vAlign w:val="bottom"/>
          </w:tcPr>
          <w:p>
            <w:pPr>
              <w:jc w:val="right"/>
              <w:ind w:right="25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66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color w:val="auto"/>
              </w:rPr>
              <w:t>133</w:t>
            </w:r>
          </w:p>
        </w:tc>
        <w:tc>
          <w:tcPr>
            <w:tcW w:w="12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129</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4</w:t>
            </w:r>
          </w:p>
        </w:tc>
        <w:tc>
          <w:tcPr>
            <w:tcW w:w="8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3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1,578</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1,562</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16</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66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b w:val="1"/>
                <w:bCs w:val="1"/>
                <w:color w:val="auto"/>
              </w:rPr>
              <w:t>$  872</w:t>
            </w:r>
          </w:p>
        </w:tc>
        <w:tc>
          <w:tcPr>
            <w:tcW w:w="12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  914</w:t>
            </w:r>
          </w:p>
        </w:tc>
        <w:tc>
          <w:tcPr>
            <w:tcW w:w="800" w:type="dxa"/>
            <w:vAlign w:val="bottom"/>
            <w:tcBorders>
              <w:bottom w:val="single" w:sz="8" w:color="auto"/>
            </w:tcBorders>
            <w:gridSpan w:val="2"/>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$(42)</w:t>
            </w:r>
          </w:p>
        </w:tc>
        <w:tc>
          <w:tcPr>
            <w:tcW w:w="8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20" w:type="dxa"/>
            <w:vAlign w:val="bottom"/>
            <w:gridSpan w:val="2"/>
          </w:tcPr>
          <w:p>
            <w:pPr>
              <w:jc w:val="right"/>
              <w:ind w:right="515"/>
              <w:spacing w:after="0"/>
              <w:rPr>
                <w:sz w:val="20"/>
                <w:szCs w:val="20"/>
                <w:color w:val="auto"/>
              </w:rPr>
            </w:pPr>
            <w:r>
              <w:rPr>
                <w:rFonts w:ascii="Arial" w:cs="Arial" w:eastAsia="Arial" w:hAnsi="Arial"/>
                <w:sz w:val="14"/>
                <w:szCs w:val="14"/>
                <w:color w:val="auto"/>
              </w:rPr>
              <w:t>Six Months Ended</w:t>
            </w:r>
          </w:p>
        </w:tc>
        <w:tc>
          <w:tcPr>
            <w:tcW w:w="300" w:type="dxa"/>
            <w:vAlign w:val="bottom"/>
          </w:tcPr>
          <w:p>
            <w:pPr>
              <w:spacing w:after="0"/>
              <w:rPr>
                <w:sz w:val="23"/>
                <w:szCs w:val="23"/>
                <w:color w:val="auto"/>
              </w:rPr>
            </w:pPr>
          </w:p>
        </w:tc>
        <w:tc>
          <w:tcPr>
            <w:tcW w:w="1320" w:type="dxa"/>
            <w:vAlign w:val="bottom"/>
            <w:gridSpan w:val="2"/>
          </w:tcPr>
          <w:p>
            <w:pPr>
              <w:jc w:val="right"/>
              <w:ind w:right="5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jc w:val="right"/>
              <w:ind w:right="795"/>
              <w:spacing w:after="0"/>
              <w:rPr>
                <w:sz w:val="20"/>
                <w:szCs w:val="20"/>
                <w:color w:val="auto"/>
              </w:rPr>
            </w:pPr>
            <w:r>
              <w:rPr>
                <w:rFonts w:ascii="Arial" w:cs="Arial" w:eastAsia="Arial" w:hAnsi="Arial"/>
                <w:sz w:val="14"/>
                <w:szCs w:val="14"/>
                <w:color w:val="auto"/>
              </w:rPr>
              <w:t>June 30</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1080" w:type="dxa"/>
            <w:vAlign w:val="bottom"/>
            <w:gridSpan w:val="2"/>
          </w:tcPr>
          <w:p>
            <w:pPr>
              <w:jc w:val="right"/>
              <w:ind w:right="172"/>
              <w:spacing w:after="0" w:line="142" w:lineRule="exact"/>
              <w:rPr>
                <w:sz w:val="20"/>
                <w:szCs w:val="20"/>
                <w:color w:val="auto"/>
              </w:rPr>
            </w:pPr>
            <w:r>
              <w:rPr>
                <w:rFonts w:ascii="Arial" w:cs="Arial" w:eastAsia="Arial" w:hAnsi="Arial"/>
                <w:sz w:val="14"/>
                <w:szCs w:val="14"/>
                <w:color w:val="auto"/>
              </w:rPr>
              <w:t>2015</w:t>
            </w:r>
          </w:p>
        </w:tc>
        <w:tc>
          <w:tcPr>
            <w:tcW w:w="1240" w:type="dxa"/>
            <w:vAlign w:val="bottom"/>
          </w:tcPr>
          <w:p>
            <w:pPr>
              <w:jc w:val="right"/>
              <w:ind w:right="355"/>
              <w:spacing w:after="0" w:line="142" w:lineRule="exact"/>
              <w:rPr>
                <w:sz w:val="20"/>
                <w:szCs w:val="20"/>
                <w:color w:val="auto"/>
              </w:rPr>
            </w:pPr>
            <w:r>
              <w:rPr>
                <w:rFonts w:ascii="Arial" w:cs="Arial" w:eastAsia="Arial" w:hAnsi="Arial"/>
                <w:sz w:val="14"/>
                <w:szCs w:val="14"/>
                <w:color w:val="auto"/>
              </w:rPr>
              <w:t>2014</w:t>
            </w:r>
          </w:p>
        </w:tc>
        <w:tc>
          <w:tcPr>
            <w:tcW w:w="300" w:type="dxa"/>
            <w:vAlign w:val="bottom"/>
          </w:tcPr>
          <w:p>
            <w:pPr>
              <w:spacing w:after="0"/>
              <w:rPr>
                <w:sz w:val="12"/>
                <w:szCs w:val="12"/>
                <w:color w:val="auto"/>
              </w:rPr>
            </w:pPr>
          </w:p>
        </w:tc>
        <w:tc>
          <w:tcPr>
            <w:tcW w:w="500" w:type="dxa"/>
            <w:vAlign w:val="bottom"/>
          </w:tcPr>
          <w:p>
            <w:pPr>
              <w:jc w:val="right"/>
              <w:ind w:right="258"/>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8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12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660" w:type="dxa"/>
            <w:vAlign w:val="bottom"/>
            <w:gridSpan w:val="3"/>
          </w:tcPr>
          <w:p>
            <w:pPr>
              <w:jc w:val="right"/>
              <w:ind w:right="52"/>
              <w:spacing w:after="0"/>
              <w:rPr>
                <w:sz w:val="20"/>
                <w:szCs w:val="20"/>
                <w:color w:val="auto"/>
              </w:rPr>
            </w:pPr>
            <w:r>
              <w:rPr>
                <w:rFonts w:ascii="Arial" w:cs="Arial" w:eastAsia="Arial" w:hAnsi="Arial"/>
                <w:sz w:val="18"/>
                <w:szCs w:val="18"/>
                <w:color w:val="auto"/>
              </w:rPr>
              <w:t>$ 2,699</w:t>
            </w:r>
          </w:p>
        </w:tc>
        <w:tc>
          <w:tcPr>
            <w:tcW w:w="1240" w:type="dxa"/>
            <w:vAlign w:val="bottom"/>
          </w:tcPr>
          <w:p>
            <w:pPr>
              <w:jc w:val="right"/>
              <w:ind w:right="215"/>
              <w:spacing w:after="0"/>
              <w:rPr>
                <w:sz w:val="20"/>
                <w:szCs w:val="20"/>
                <w:color w:val="auto"/>
              </w:rPr>
            </w:pPr>
            <w:r>
              <w:rPr>
                <w:rFonts w:ascii="Arial" w:cs="Arial" w:eastAsia="Arial" w:hAnsi="Arial"/>
                <w:sz w:val="18"/>
                <w:szCs w:val="18"/>
                <w:color w:val="auto"/>
              </w:rPr>
              <w:t>$ 2,743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(44)</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660" w:type="dxa"/>
            <w:vAlign w:val="bottom"/>
            <w:gridSpan w:val="3"/>
            <w:shd w:val="clear" w:color="auto" w:fill="E5E5E5"/>
          </w:tcPr>
          <w:p>
            <w:pPr>
              <w:jc w:val="right"/>
              <w:ind w:right="52"/>
              <w:spacing w:after="0"/>
              <w:rPr>
                <w:sz w:val="20"/>
                <w:szCs w:val="20"/>
                <w:color w:val="auto"/>
              </w:rPr>
            </w:pPr>
            <w:r>
              <w:rPr>
                <w:rFonts w:ascii="Arial" w:cs="Arial" w:eastAsia="Arial" w:hAnsi="Arial"/>
                <w:sz w:val="18"/>
                <w:szCs w:val="18"/>
                <w:color w:val="auto"/>
              </w:rPr>
              <w:t>1,768</w:t>
            </w:r>
          </w:p>
        </w:tc>
        <w:tc>
          <w:tcPr>
            <w:tcW w:w="124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1,841</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(73)</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36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color w:val="auto"/>
              </w:rPr>
              <w:t>342</w:t>
            </w: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397</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(55)</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660" w:type="dxa"/>
            <w:vAlign w:val="bottom"/>
            <w:gridSpan w:val="3"/>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4,809</w:t>
            </w:r>
          </w:p>
        </w:tc>
        <w:tc>
          <w:tcPr>
            <w:tcW w:w="1240" w:type="dxa"/>
            <w:vAlign w:val="bottom"/>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4,981</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8"/>
              <w:spacing w:after="0"/>
              <w:rPr>
                <w:sz w:val="20"/>
                <w:szCs w:val="20"/>
                <w:color w:val="auto"/>
              </w:rPr>
            </w:pPr>
            <w:r>
              <w:rPr>
                <w:rFonts w:ascii="Arial" w:cs="Arial" w:eastAsia="Arial" w:hAnsi="Arial"/>
                <w:sz w:val="18"/>
                <w:szCs w:val="18"/>
                <w:b w:val="1"/>
                <w:bCs w:val="1"/>
                <w:color w:val="auto"/>
                <w:w w:val="90"/>
              </w:rPr>
              <w:t>(172)</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660" w:type="dxa"/>
            <w:vAlign w:val="bottom"/>
            <w:gridSpan w:val="3"/>
            <w:shd w:val="clear" w:color="auto" w:fill="E5E5E5"/>
          </w:tcPr>
          <w:p>
            <w:pPr>
              <w:jc w:val="right"/>
              <w:ind w:right="52"/>
              <w:spacing w:after="0"/>
              <w:rPr>
                <w:sz w:val="20"/>
                <w:szCs w:val="20"/>
                <w:color w:val="auto"/>
              </w:rPr>
            </w:pPr>
            <w:r>
              <w:rPr>
                <w:rFonts w:ascii="Arial" w:cs="Arial" w:eastAsia="Arial" w:hAnsi="Arial"/>
                <w:sz w:val="18"/>
                <w:szCs w:val="18"/>
                <w:color w:val="auto"/>
              </w:rPr>
              <w:t>2,148</w:t>
            </w:r>
          </w:p>
        </w:tc>
        <w:tc>
          <w:tcPr>
            <w:tcW w:w="124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2,311</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w w:val="90"/>
              </w:rPr>
              <w:t>(163)</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660" w:type="dxa"/>
            <w:vAlign w:val="bottom"/>
            <w:gridSpan w:val="3"/>
          </w:tcPr>
          <w:p>
            <w:pPr>
              <w:jc w:val="right"/>
              <w:ind w:right="52"/>
              <w:spacing w:after="0"/>
              <w:rPr>
                <w:sz w:val="20"/>
                <w:szCs w:val="20"/>
                <w:color w:val="auto"/>
              </w:rPr>
            </w:pPr>
            <w:r>
              <w:rPr>
                <w:rFonts w:ascii="Arial" w:cs="Arial" w:eastAsia="Arial" w:hAnsi="Arial"/>
                <w:sz w:val="18"/>
                <w:szCs w:val="18"/>
                <w:color w:val="auto"/>
              </w:rPr>
              <w:t>625</w:t>
            </w:r>
          </w:p>
        </w:tc>
        <w:tc>
          <w:tcPr>
            <w:tcW w:w="1240" w:type="dxa"/>
            <w:vAlign w:val="bottom"/>
          </w:tcPr>
          <w:p>
            <w:pPr>
              <w:jc w:val="right"/>
              <w:ind w:right="215"/>
              <w:spacing w:after="0"/>
              <w:rPr>
                <w:sz w:val="20"/>
                <w:szCs w:val="20"/>
                <w:color w:val="auto"/>
              </w:rPr>
            </w:pPr>
            <w:r>
              <w:rPr>
                <w:rFonts w:ascii="Arial" w:cs="Arial" w:eastAsia="Arial" w:hAnsi="Arial"/>
                <w:sz w:val="18"/>
                <w:szCs w:val="18"/>
                <w:color w:val="auto"/>
              </w:rPr>
              <w:t>612</w:t>
            </w:r>
          </w:p>
        </w:tc>
        <w:tc>
          <w:tcPr>
            <w:tcW w:w="300" w:type="dxa"/>
            <w:vAlign w:val="bottom"/>
          </w:tcPr>
          <w:p>
            <w:pPr>
              <w:spacing w:after="0"/>
              <w:rPr>
                <w:sz w:val="18"/>
                <w:szCs w:val="18"/>
                <w:color w:val="auto"/>
              </w:rPr>
            </w:pPr>
          </w:p>
        </w:tc>
        <w:tc>
          <w:tcPr>
            <w:tcW w:w="500" w:type="dxa"/>
            <w:vAlign w:val="bottom"/>
          </w:tcPr>
          <w:p>
            <w:pPr>
              <w:jc w:val="right"/>
              <w:ind w:right="78"/>
              <w:spacing w:after="0"/>
              <w:rPr>
                <w:sz w:val="20"/>
                <w:szCs w:val="20"/>
                <w:color w:val="auto"/>
              </w:rPr>
            </w:pPr>
            <w:r>
              <w:rPr>
                <w:rFonts w:ascii="Arial" w:cs="Arial" w:eastAsia="Arial" w:hAnsi="Arial"/>
                <w:sz w:val="18"/>
                <w:szCs w:val="18"/>
                <w:color w:val="auto"/>
              </w:rPr>
              <w:t>13</w:t>
            </w:r>
          </w:p>
        </w:tc>
        <w:tc>
          <w:tcPr>
            <w:tcW w:w="820" w:type="dxa"/>
            <w:vAlign w:val="bottom"/>
          </w:tcPr>
          <w:p>
            <w:pPr>
              <w:jc w:val="right"/>
              <w:ind w:right="25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660" w:type="dxa"/>
            <w:vAlign w:val="bottom"/>
            <w:tcBorders>
              <w:bottom w:val="single" w:sz="8" w:color="auto"/>
            </w:tcBorders>
            <w:gridSpan w:val="3"/>
            <w:shd w:val="clear" w:color="auto" w:fill="E5E5E5"/>
          </w:tcPr>
          <w:p>
            <w:pPr>
              <w:jc w:val="right"/>
              <w:ind w:right="52"/>
              <w:spacing w:after="0"/>
              <w:rPr>
                <w:sz w:val="20"/>
                <w:szCs w:val="20"/>
                <w:color w:val="auto"/>
              </w:rPr>
            </w:pPr>
            <w:r>
              <w:rPr>
                <w:rFonts w:ascii="Arial" w:cs="Arial" w:eastAsia="Arial" w:hAnsi="Arial"/>
                <w:sz w:val="18"/>
                <w:szCs w:val="18"/>
                <w:color w:val="auto"/>
              </w:rPr>
              <w:t>266</w:t>
            </w:r>
          </w:p>
        </w:tc>
        <w:tc>
          <w:tcPr>
            <w:tcW w:w="12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249</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17</w:t>
            </w:r>
          </w:p>
        </w:tc>
        <w:tc>
          <w:tcPr>
            <w:tcW w:w="8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36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color w:val="auto"/>
              </w:rPr>
              <w:t>3,039</w:t>
            </w: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3,172</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90"/>
              </w:rPr>
              <w:t>(133)</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660" w:type="dxa"/>
            <w:vAlign w:val="bottom"/>
            <w:tcBorders>
              <w:bottom w:val="single" w:sz="8" w:color="auto"/>
            </w:tcBorders>
            <w:gridSpan w:val="3"/>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$ 1,770</w:t>
            </w:r>
          </w:p>
        </w:tc>
        <w:tc>
          <w:tcPr>
            <w:tcW w:w="12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$ 1,809</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(39)</w:t>
            </w:r>
          </w:p>
        </w:tc>
        <w:tc>
          <w:tcPr>
            <w:tcW w:w="8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580" w:type="dxa"/>
            <w:vAlign w:val="bottom"/>
          </w:tcPr>
          <w:p>
            <w:pPr>
              <w:jc w:val="right"/>
              <w:ind w:right="15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Cable Networks revenue decreased slightly for the three months ended June 30, 2015 compared to the same period in 2014 due to decreases in content licensing and other revenue and advertising revenue, which were partially offset by an increase in distribution revenue. The decrease in content licensing and other revenue was primarily due to the timing of content provided under our licensing agreements. The decrease in advertising revenue was primarily due to continued declines in audience ratings at our networks, which was partially offset by higher prices for, and an increase in the volume of, advertising units sold. The increase in distribution revenue was primarily due to increases in the contractual rates charged under distribution agreements.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Cable Networks revenue decreased for the six months ended June 30, 2015 compared to the same period in 2014 due to decreases in advertising revenue, content licensing and other revenue, and distribution revenue. The decrease in advertising revenue was primarily due to $80 million in revenue in the prior year period associated with our broadcast of the 2014 Sochi Olympics, which was partially offset by the benefit from a reduction in deferred advertising revenue in the current year period. In addition, while we continued to experience audience ratings declines that negatively affected advertising revenue, higher prices for, and an increase in the volume of, advertising units sold partially offset the impact of audience ratings. The decrease in content licensing and other revenue was primarily due to the timing of content provided under our licensing agreements. The decrease in distribution revenue was primarily due to $177 million in revenue in the prior year period associated with our broadcast of the 2014 Sochi Olympics, which was partially offset by an increase in distribution revenue related to the contractual rates charged under distribution agreements in the current year period. Excluding $257 million of revenue associated with our broadcast of the 2014 Sochi Olympics in the prior year period, Cable Networks revenue increased 1.8% for the six months ended June 30, 2015.</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For both the three and six months ended June 30, 2015, 13% of our Cable Networks segment revenue was generated from our Cable Communications segment.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both the three and six months ended June 30, 2014, 12% of our Cable Networks segment revenue was generated from our Cable Communications segment.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eliminated in our condensed consolidated financial statements but are included in the amounts presented above.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Operating costs and expenses increased slightly for the three months ended June 30, 2015 compared to the same period in 2014. Operating costs and expenses decreased for the six months ended June 30, 2015 compared to the same period in 2014 due to a decrease in programming and production costs, which was partially offset by increases in advertising, marketing and promotion expenses and other operating and administrative expenses. The decrease in programming and production costs for the six months ended June 30, 2015 was primarily due to costs associated with our broadcast of the 2014 Sochi Olympics in the prior year period, which was partially offset by our continued investment in programming, including sports programming rights costs.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right"/>
              <w:ind w:right="394"/>
              <w:spacing w:after="0"/>
              <w:rPr>
                <w:sz w:val="20"/>
                <w:szCs w:val="20"/>
                <w:color w:val="auto"/>
              </w:rPr>
            </w:pPr>
            <w:r>
              <w:rPr>
                <w:rFonts w:ascii="Arial" w:cs="Arial" w:eastAsia="Arial" w:hAnsi="Arial"/>
                <w:sz w:val="14"/>
                <w:szCs w:val="14"/>
                <w:color w:val="auto"/>
                <w:w w:val="94"/>
              </w:rPr>
              <w:t>Three Months Ended</w:t>
            </w:r>
          </w:p>
        </w:tc>
        <w:tc>
          <w:tcPr>
            <w:tcW w:w="360" w:type="dxa"/>
            <w:vAlign w:val="bottom"/>
          </w:tcPr>
          <w:p>
            <w:pPr>
              <w:spacing w:after="0"/>
              <w:rPr>
                <w:sz w:val="14"/>
                <w:szCs w:val="14"/>
                <w:color w:val="auto"/>
              </w:rPr>
            </w:pPr>
          </w:p>
        </w:tc>
        <w:tc>
          <w:tcPr>
            <w:tcW w:w="1200" w:type="dxa"/>
            <w:vAlign w:val="bottom"/>
            <w:gridSpan w:val="2"/>
          </w:tcPr>
          <w:p>
            <w:pPr>
              <w:jc w:val="right"/>
              <w:ind w:right="45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7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w w:val="98"/>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color w:val="auto"/>
                <w:w w:val="89"/>
              </w:rPr>
              <w:t>2015</w:t>
            </w:r>
          </w:p>
        </w:tc>
        <w:tc>
          <w:tcPr>
            <w:tcW w:w="60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2014</w:t>
            </w:r>
          </w:p>
        </w:tc>
        <w:tc>
          <w:tcPr>
            <w:tcW w:w="360" w:type="dxa"/>
            <w:vAlign w:val="bottom"/>
          </w:tcPr>
          <w:p>
            <w:pPr>
              <w:spacing w:after="0"/>
              <w:rPr>
                <w:sz w:val="12"/>
                <w:szCs w:val="12"/>
                <w:color w:val="auto"/>
              </w:rPr>
            </w:pPr>
          </w:p>
        </w:tc>
        <w:tc>
          <w:tcPr>
            <w:tcW w:w="46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7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1,245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7"/>
              <w:spacing w:after="0"/>
              <w:rPr>
                <w:sz w:val="20"/>
                <w:szCs w:val="20"/>
                <w:color w:val="auto"/>
              </w:rPr>
            </w:pPr>
            <w:r>
              <w:rPr>
                <w:rFonts w:ascii="Arial" w:cs="Arial" w:eastAsia="Arial" w:hAnsi="Arial"/>
                <w:sz w:val="18"/>
                <w:szCs w:val="18"/>
                <w:color w:val="auto"/>
              </w:rPr>
              <w:t>5</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7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w w:val="87"/>
              </w:rPr>
              <w:t>(24)</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227</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7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1,813</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93"/>
              </w:rPr>
              <w:t>1,816</w:t>
            </w:r>
          </w:p>
        </w:tc>
        <w:tc>
          <w:tcPr>
            <w:tcW w:w="3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(3)</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7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1,150</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1,183</w:t>
            </w:r>
          </w:p>
        </w:tc>
        <w:tc>
          <w:tcPr>
            <w:tcW w:w="3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w w:val="87"/>
              </w:rPr>
              <w:t>(33)</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288</w:t>
            </w:r>
          </w:p>
        </w:tc>
        <w:tc>
          <w:tcPr>
            <w:tcW w:w="360" w:type="dxa"/>
            <w:vAlign w:val="bottom"/>
          </w:tcPr>
          <w:p>
            <w:pPr>
              <w:spacing w:after="0"/>
              <w:rPr>
                <w:sz w:val="18"/>
                <w:szCs w:val="18"/>
                <w:color w:val="auto"/>
              </w:rPr>
            </w:pPr>
          </w:p>
        </w:tc>
        <w:tc>
          <w:tcPr>
            <w:tcW w:w="460" w:type="dxa"/>
            <w:vAlign w:val="bottom"/>
          </w:tcPr>
          <w:p>
            <w:pPr>
              <w:jc w:val="right"/>
              <w:ind w:right="137"/>
              <w:spacing w:after="0"/>
              <w:rPr>
                <w:sz w:val="20"/>
                <w:szCs w:val="20"/>
                <w:color w:val="auto"/>
              </w:rPr>
            </w:pPr>
            <w:r>
              <w:rPr>
                <w:rFonts w:ascii="Arial" w:cs="Arial" w:eastAsia="Arial" w:hAnsi="Arial"/>
                <w:sz w:val="18"/>
                <w:szCs w:val="18"/>
                <w:color w:val="auto"/>
              </w:rPr>
              <w:t>33</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7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111</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6</w:t>
            </w:r>
          </w:p>
        </w:tc>
        <w:tc>
          <w:tcPr>
            <w:tcW w:w="7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1,582</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3"/>
              </w:rPr>
              <w:t>1,576</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w:t>
            </w: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22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231</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240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(9)</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700" w:type="dxa"/>
            <w:vAlign w:val="bottom"/>
          </w:tcPr>
          <w:p>
            <w:pPr>
              <w:jc w:val="right"/>
              <w:ind w:right="1692"/>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right"/>
              <w:ind w:right="454"/>
              <w:spacing w:after="0"/>
              <w:rPr>
                <w:sz w:val="20"/>
                <w:szCs w:val="20"/>
                <w:color w:val="auto"/>
              </w:rPr>
            </w:pPr>
            <w:r>
              <w:rPr>
                <w:rFonts w:ascii="Arial" w:cs="Arial" w:eastAsia="Arial" w:hAnsi="Arial"/>
                <w:sz w:val="14"/>
                <w:szCs w:val="14"/>
                <w:color w:val="auto"/>
              </w:rPr>
              <w:t>Six Months Ended</w:t>
            </w:r>
          </w:p>
        </w:tc>
        <w:tc>
          <w:tcPr>
            <w:tcW w:w="1680" w:type="dxa"/>
            <w:vAlign w:val="bottom"/>
            <w:gridSpan w:val="2"/>
          </w:tcPr>
          <w:p>
            <w:pPr>
              <w:jc w:val="right"/>
              <w:ind w:right="51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color w:val="auto"/>
                <w:w w:val="89"/>
              </w:rPr>
              <w:t>2015</w:t>
            </w:r>
          </w:p>
        </w:tc>
        <w:tc>
          <w:tcPr>
            <w:tcW w:w="60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2014</w:t>
            </w:r>
          </w:p>
        </w:tc>
        <w:tc>
          <w:tcPr>
            <w:tcW w:w="900" w:type="dxa"/>
            <w:vAlign w:val="bottom"/>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2,789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w w:val="88"/>
              </w:rPr>
              <w:t>3,078</w:t>
            </w: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$(289)</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805</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840</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(35)</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519</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(52)</w:t>
            </w: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4,061</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4,437</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(376)</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2,776</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8"/>
              </w:rPr>
              <w:t>3,211</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(435)</w:t>
            </w:r>
          </w:p>
        </w:tc>
        <w:tc>
          <w:tcPr>
            <w:tcW w:w="7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631</w:t>
            </w:r>
          </w:p>
        </w:tc>
        <w:tc>
          <w:tcPr>
            <w:tcW w:w="60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611</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20</w:t>
            </w:r>
          </w:p>
        </w:tc>
        <w:tc>
          <w:tcPr>
            <w:tcW w:w="780" w:type="dxa"/>
            <w:vAlign w:val="bottom"/>
          </w:tcPr>
          <w:p>
            <w:pPr>
              <w:jc w:val="right"/>
              <w:ind w:right="17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241</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253</w:t>
            </w:r>
          </w:p>
        </w:tc>
        <w:tc>
          <w:tcPr>
            <w:tcW w:w="90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(12)</w:t>
            </w:r>
          </w:p>
        </w:tc>
        <w:tc>
          <w:tcPr>
            <w:tcW w:w="7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3,648</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8"/>
              </w:rPr>
              <w:t>4,075</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(427)</w:t>
            </w: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413</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362</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  51</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Broadcast Television revenue remained relatively flat for the three months ended June 30, 2015 compared to the same period in 2014 primarily due to a decrease in content licensing revenue, which was partially offset by an increase in other revenue. The decrease in content licensing revenue was primarily due to the timing of content provided under our licensing agreements. The increase in other revenue was primarily due to an increase in fees recognized under our retransmission consent agreements.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Broadcast Television revenue decreased for the six months ended June 30, 2015 compared to the same period in 2014 due to decreases in advertising revenue, other revenue and content licensing revenue. The decrease in advertising revenue was primarily due to additional advertising revenue in the prior year period associated with our broadcast of the 2014 Sochi Olympics, which was partially offset by an increase in advertising revenue in the current year period associated with our broadcast of the 2015 Super Bowl. The decrease in other revenue was primarily related to distribution revenue in the prior year period associated with our broadcast of the 2014 Sochi Olympics, which was partially offset by an increase in fees recognized under our retransmission consent agreements. The decrease in content licensing revenue was primarily due to the timing of content provided under our licensing agreements. Excluding $846 million of revenue associated with our broadcast of the 2014 Sochi Olympics in the prior year period and $376 million of revenue associated with our broadcast of the 2015 Super Bowl in the current year period, revenue increased 2.6% primarily due to higher prices for, and an increase in the volume of, advertising units sold, in addition to the increase in fees recognized under our retransmission consent agreements.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costs and expenses increased slightly for the three months ended June 30, 2015 compared to the same period in 2014 primarily due to an increase in other operating and administrative expenses, which was offset by a decrease in programming and production costs. The decrease in programming and production costs was primarily due to the timing of when certain shows in our primetime schedule were aired compared to the prior year period.</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six months ended June 30, 2015 compared to the same period in 2014 primarily due to our broadcast of the 2014 Sochi Olympics in the prior year period. The decrease was partially offset by an increase in programming and production costs associated with our broadcast of the 2015 Super Bowl.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3"/>
          </w:tcPr>
          <w:p>
            <w:pPr>
              <w:jc w:val="center"/>
              <w:ind w:right="314"/>
              <w:spacing w:after="0"/>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4"/>
                <w:szCs w:val="14"/>
                <w:color w:val="auto"/>
              </w:rPr>
            </w:pPr>
          </w:p>
        </w:tc>
        <w:tc>
          <w:tcPr>
            <w:tcW w:w="140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4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5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83"/>
              </w:rPr>
              <w:t>2015</w:t>
            </w: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1,406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195</w:t>
            </w:r>
          </w:p>
        </w:tc>
        <w:tc>
          <w:tcPr>
            <w:tcW w:w="960" w:type="dxa"/>
            <w:vAlign w:val="bottom"/>
            <w:gridSpan w:val="2"/>
          </w:tcPr>
          <w:p>
            <w:pPr>
              <w:jc w:val="right"/>
              <w:ind w:right="137"/>
              <w:spacing w:after="0"/>
              <w:rPr>
                <w:sz w:val="20"/>
                <w:szCs w:val="20"/>
                <w:color w:val="auto"/>
              </w:rPr>
            </w:pPr>
            <w:r>
              <w:rPr>
                <w:rFonts w:ascii="Arial" w:cs="Arial" w:eastAsia="Arial" w:hAnsi="Arial"/>
                <w:sz w:val="18"/>
                <w:szCs w:val="18"/>
                <w:color w:val="auto"/>
              </w:rPr>
              <w:t>$ 1,211</w:t>
            </w:r>
          </w:p>
        </w:tc>
        <w:tc>
          <w:tcPr>
            <w:tcW w:w="780" w:type="dxa"/>
            <w:vAlign w:val="bottom"/>
          </w:tcPr>
          <w:p>
            <w:pPr>
              <w:jc w:val="right"/>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6"/>
        </w:trPr>
        <w:tc>
          <w:tcPr>
            <w:tcW w:w="7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367</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462</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(95)</w:t>
            </w:r>
          </w:p>
        </w:tc>
        <w:tc>
          <w:tcPr>
            <w:tcW w:w="7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364</w:t>
            </w:r>
          </w:p>
        </w:tc>
        <w:tc>
          <w:tcPr>
            <w:tcW w:w="340" w:type="dxa"/>
            <w:vAlign w:val="bottom"/>
          </w:tcPr>
          <w:p>
            <w:pPr>
              <w:spacing w:after="0"/>
              <w:rPr>
                <w:sz w:val="18"/>
                <w:szCs w:val="18"/>
                <w:color w:val="auto"/>
              </w:rPr>
            </w:pPr>
          </w:p>
        </w:tc>
        <w:tc>
          <w:tcPr>
            <w:tcW w:w="620" w:type="dxa"/>
            <w:vAlign w:val="bottom"/>
          </w:tcPr>
          <w:p>
            <w:pPr>
              <w:jc w:val="right"/>
              <w:ind w:right="77"/>
              <w:spacing w:after="0"/>
              <w:rPr>
                <w:sz w:val="20"/>
                <w:szCs w:val="20"/>
                <w:color w:val="auto"/>
              </w:rPr>
            </w:pPr>
            <w:r>
              <w:rPr>
                <w:rFonts w:ascii="Arial" w:cs="Arial" w:eastAsia="Arial" w:hAnsi="Arial"/>
                <w:sz w:val="18"/>
                <w:szCs w:val="18"/>
                <w:color w:val="auto"/>
              </w:rPr>
              <w:t>(42)</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155</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16</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2,266</w:t>
            </w:r>
          </w:p>
        </w:tc>
        <w:tc>
          <w:tcPr>
            <w:tcW w:w="6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b w:val="1"/>
                <w:bCs w:val="1"/>
                <w:color w:val="auto"/>
                <w:w w:val="88"/>
              </w:rPr>
              <w:t>1,176</w:t>
            </w:r>
          </w:p>
        </w:tc>
        <w:tc>
          <w:tcPr>
            <w:tcW w:w="340" w:type="dxa"/>
            <w:vAlign w:val="bottom"/>
          </w:tcPr>
          <w:p>
            <w:pPr>
              <w:spacing w:after="0"/>
              <w:rPr>
                <w:sz w:val="18"/>
                <w:szCs w:val="18"/>
                <w:color w:val="auto"/>
              </w:rPr>
            </w:pPr>
          </w:p>
        </w:tc>
        <w:tc>
          <w:tcPr>
            <w:tcW w:w="620" w:type="dxa"/>
            <w:vAlign w:val="bottom"/>
          </w:tcPr>
          <w:p>
            <w:pPr>
              <w:jc w:val="right"/>
              <w:ind w:right="137"/>
              <w:spacing w:after="0"/>
              <w:rPr>
                <w:sz w:val="20"/>
                <w:szCs w:val="20"/>
                <w:color w:val="auto"/>
              </w:rPr>
            </w:pPr>
            <w:r>
              <w:rPr>
                <w:rFonts w:ascii="Arial" w:cs="Arial" w:eastAsia="Arial" w:hAnsi="Arial"/>
                <w:sz w:val="18"/>
                <w:szCs w:val="18"/>
                <w:b w:val="1"/>
                <w:bCs w:val="1"/>
                <w:color w:val="auto"/>
                <w:w w:val="84"/>
              </w:rPr>
              <w:t>1,090</w:t>
            </w:r>
          </w:p>
        </w:tc>
        <w:tc>
          <w:tcPr>
            <w:tcW w:w="780" w:type="dxa"/>
            <w:vAlign w:val="bottom"/>
          </w:tcPr>
          <w:p>
            <w:pPr>
              <w:jc w:val="right"/>
              <w:ind w:right="134"/>
              <w:spacing w:after="0"/>
              <w:rPr>
                <w:sz w:val="20"/>
                <w:szCs w:val="20"/>
                <w:color w:val="auto"/>
              </w:rPr>
            </w:pPr>
            <w:r>
              <w:rPr>
                <w:rFonts w:ascii="Arial" w:cs="Arial" w:eastAsia="Arial" w:hAnsi="Arial"/>
                <w:sz w:val="18"/>
                <w:szCs w:val="18"/>
                <w:b w:val="1"/>
                <w:bCs w:val="1"/>
                <w:color w:val="auto"/>
              </w:rPr>
              <w:t>92.7</w:t>
            </w:r>
          </w:p>
        </w:tc>
        <w:tc>
          <w:tcPr>
            <w:tcW w:w="0" w:type="dxa"/>
            <w:vAlign w:val="bottom"/>
          </w:tcPr>
          <w:p>
            <w:pPr>
              <w:spacing w:after="0"/>
              <w:rPr>
                <w:sz w:val="1"/>
                <w:szCs w:val="1"/>
                <w:color w:val="auto"/>
              </w:rPr>
            </w:pPr>
          </w:p>
        </w:tc>
      </w:tr>
      <w:tr>
        <w:trPr>
          <w:trHeight w:val="216"/>
        </w:trPr>
        <w:tc>
          <w:tcPr>
            <w:tcW w:w="7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1,149</w:t>
            </w:r>
          </w:p>
        </w:tc>
        <w:tc>
          <w:tcPr>
            <w:tcW w:w="6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547</w:t>
            </w:r>
          </w:p>
        </w:tc>
        <w:tc>
          <w:tcPr>
            <w:tcW w:w="340" w:type="dxa"/>
            <w:vAlign w:val="bottom"/>
          </w:tcPr>
          <w:p>
            <w:pPr>
              <w:spacing w:after="0"/>
              <w:rPr>
                <w:sz w:val="18"/>
                <w:szCs w:val="18"/>
                <w:color w:val="auto"/>
              </w:rPr>
            </w:pP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602</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7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214</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225</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256</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1,844</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981</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863</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195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227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w:t>
            </w:r>
          </w:p>
        </w:tc>
        <w:tc>
          <w:tcPr>
            <w:tcW w:w="0" w:type="dxa"/>
            <w:vAlign w:val="bottom"/>
          </w:tcPr>
          <w:p>
            <w:pPr>
              <w:spacing w:after="0"/>
              <w:rPr>
                <w:sz w:val="1"/>
                <w:szCs w:val="1"/>
                <w:color w:val="auto"/>
              </w:rPr>
            </w:pPr>
          </w:p>
        </w:tc>
      </w:tr>
      <w:tr>
        <w:trPr>
          <w:trHeight w:val="273"/>
        </w:trPr>
        <w:tc>
          <w:tcPr>
            <w:tcW w:w="7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gridSpan w:val="3"/>
          </w:tcPr>
          <w:p>
            <w:pPr>
              <w:jc w:val="center"/>
              <w:ind w:right="294"/>
              <w:spacing w:after="0"/>
              <w:rPr>
                <w:sz w:val="20"/>
                <w:szCs w:val="20"/>
                <w:color w:val="auto"/>
              </w:rPr>
            </w:pPr>
            <w:r>
              <w:rPr>
                <w:rFonts w:ascii="Arial" w:cs="Arial" w:eastAsia="Arial" w:hAnsi="Arial"/>
                <w:sz w:val="14"/>
                <w:szCs w:val="14"/>
                <w:color w:val="auto"/>
                <w:w w:val="87"/>
              </w:rPr>
              <w:t>Six Months Ended</w:t>
            </w:r>
          </w:p>
        </w:tc>
        <w:tc>
          <w:tcPr>
            <w:tcW w:w="340" w:type="dxa"/>
            <w:vAlign w:val="bottom"/>
          </w:tcPr>
          <w:p>
            <w:pPr>
              <w:spacing w:after="0"/>
              <w:rPr>
                <w:sz w:val="23"/>
                <w:szCs w:val="23"/>
                <w:color w:val="auto"/>
              </w:rPr>
            </w:pPr>
          </w:p>
        </w:tc>
        <w:tc>
          <w:tcPr>
            <w:tcW w:w="140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73"/>
        </w:trPr>
        <w:tc>
          <w:tcPr>
            <w:tcW w:w="74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4"/>
              </w:rPr>
              <w:t>June 30</w:t>
            </w: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14"/>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89"/>
              </w:rPr>
              <w:t>2015</w:t>
            </w: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1,777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4"/>
              <w:spacing w:after="0"/>
              <w:rPr>
                <w:sz w:val="20"/>
                <w:szCs w:val="20"/>
                <w:color w:val="auto"/>
              </w:rPr>
            </w:pPr>
            <w:r>
              <w:rPr>
                <w:rFonts w:ascii="Arial" w:cs="Arial" w:eastAsia="Arial" w:hAnsi="Arial"/>
                <w:sz w:val="18"/>
                <w:szCs w:val="18"/>
                <w:color w:val="auto"/>
              </w:rPr>
              <w:t>571</w:t>
            </w:r>
          </w:p>
        </w:tc>
        <w:tc>
          <w:tcPr>
            <w:tcW w:w="960" w:type="dxa"/>
            <w:vAlign w:val="bottom"/>
            <w:gridSpan w:val="2"/>
          </w:tcPr>
          <w:p>
            <w:pPr>
              <w:jc w:val="right"/>
              <w:ind w:right="117"/>
              <w:spacing w:after="0"/>
              <w:rPr>
                <w:sz w:val="20"/>
                <w:szCs w:val="20"/>
                <w:color w:val="auto"/>
              </w:rPr>
            </w:pPr>
            <w:r>
              <w:rPr>
                <w:rFonts w:ascii="Arial" w:cs="Arial" w:eastAsia="Arial" w:hAnsi="Arial"/>
                <w:sz w:val="18"/>
                <w:szCs w:val="18"/>
                <w:color w:val="auto"/>
              </w:rPr>
              <w:t>$1,206</w:t>
            </w:r>
          </w:p>
        </w:tc>
        <w:tc>
          <w:tcPr>
            <w:tcW w:w="780" w:type="dxa"/>
            <w:vAlign w:val="bottom"/>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7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905</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927</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(22)</w:t>
            </w:r>
          </w:p>
        </w:tc>
        <w:tc>
          <w:tcPr>
            <w:tcW w:w="7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686</w:t>
            </w:r>
          </w:p>
        </w:tc>
        <w:tc>
          <w:tcPr>
            <w:tcW w:w="600" w:type="dxa"/>
            <w:vAlign w:val="bottom"/>
          </w:tcPr>
          <w:p>
            <w:pPr>
              <w:spacing w:after="0"/>
              <w:rPr>
                <w:sz w:val="18"/>
                <w:szCs w:val="18"/>
                <w:color w:val="auto"/>
              </w:rPr>
            </w:pPr>
          </w:p>
        </w:tc>
        <w:tc>
          <w:tcPr>
            <w:tcW w:w="700" w:type="dxa"/>
            <w:vAlign w:val="bottom"/>
          </w:tcPr>
          <w:p>
            <w:pPr>
              <w:jc w:val="right"/>
              <w:ind w:right="174"/>
              <w:spacing w:after="0"/>
              <w:rPr>
                <w:sz w:val="20"/>
                <w:szCs w:val="20"/>
                <w:color w:val="auto"/>
              </w:rPr>
            </w:pPr>
            <w:r>
              <w:rPr>
                <w:rFonts w:ascii="Arial" w:cs="Arial" w:eastAsia="Arial" w:hAnsi="Arial"/>
                <w:sz w:val="18"/>
                <w:szCs w:val="18"/>
                <w:color w:val="auto"/>
              </w:rPr>
              <w:t>715</w:t>
            </w:r>
          </w:p>
        </w:tc>
        <w:tc>
          <w:tcPr>
            <w:tcW w:w="34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(29)</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344</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314</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3,712</w:t>
            </w:r>
          </w:p>
        </w:tc>
        <w:tc>
          <w:tcPr>
            <w:tcW w:w="600" w:type="dxa"/>
            <w:vAlign w:val="bottom"/>
          </w:tcPr>
          <w:p>
            <w:pPr>
              <w:spacing w:after="0"/>
              <w:rPr>
                <w:sz w:val="18"/>
                <w:szCs w:val="18"/>
                <w:color w:val="auto"/>
              </w:rPr>
            </w:pPr>
          </w:p>
        </w:tc>
        <w:tc>
          <w:tcPr>
            <w:tcW w:w="700" w:type="dxa"/>
            <w:vAlign w:val="bottom"/>
          </w:tcPr>
          <w:p>
            <w:pPr>
              <w:jc w:val="right"/>
              <w:ind w:right="174"/>
              <w:spacing w:after="0"/>
              <w:rPr>
                <w:sz w:val="20"/>
                <w:szCs w:val="20"/>
                <w:color w:val="auto"/>
              </w:rPr>
            </w:pPr>
            <w:r>
              <w:rPr>
                <w:rFonts w:ascii="Arial" w:cs="Arial" w:eastAsia="Arial" w:hAnsi="Arial"/>
                <w:sz w:val="18"/>
                <w:szCs w:val="18"/>
                <w:b w:val="1"/>
                <w:bCs w:val="1"/>
                <w:color w:val="auto"/>
                <w:w w:val="93"/>
              </w:rPr>
              <w:t>2,527</w:t>
            </w:r>
          </w:p>
        </w:tc>
        <w:tc>
          <w:tcPr>
            <w:tcW w:w="340" w:type="dxa"/>
            <w:vAlign w:val="bottom"/>
          </w:tcPr>
          <w:p>
            <w:pPr>
              <w:spacing w:after="0"/>
              <w:rPr>
                <w:sz w:val="18"/>
                <w:szCs w:val="18"/>
                <w:color w:val="auto"/>
              </w:rPr>
            </w:pPr>
          </w:p>
        </w:tc>
        <w:tc>
          <w:tcPr>
            <w:tcW w:w="620" w:type="dxa"/>
            <w:vAlign w:val="bottom"/>
          </w:tcPr>
          <w:p>
            <w:pPr>
              <w:jc w:val="right"/>
              <w:ind w:right="117"/>
              <w:spacing w:after="0"/>
              <w:rPr>
                <w:sz w:val="20"/>
                <w:szCs w:val="20"/>
                <w:color w:val="auto"/>
              </w:rPr>
            </w:pPr>
            <w:r>
              <w:rPr>
                <w:rFonts w:ascii="Arial" w:cs="Arial" w:eastAsia="Arial" w:hAnsi="Arial"/>
                <w:sz w:val="18"/>
                <w:szCs w:val="18"/>
                <w:b w:val="1"/>
                <w:bCs w:val="1"/>
                <w:color w:val="auto"/>
                <w:w w:val="88"/>
              </w:rPr>
              <w:t>1,185</w:t>
            </w:r>
          </w:p>
        </w:tc>
        <w:tc>
          <w:tcPr>
            <w:tcW w:w="780" w:type="dxa"/>
            <w:vAlign w:val="bottom"/>
          </w:tcPr>
          <w:p>
            <w:pPr>
              <w:jc w:val="right"/>
              <w:ind w:right="134"/>
              <w:spacing w:after="0"/>
              <w:rPr>
                <w:sz w:val="20"/>
                <w:szCs w:val="20"/>
                <w:color w:val="auto"/>
              </w:rPr>
            </w:pPr>
            <w:r>
              <w:rPr>
                <w:rFonts w:ascii="Arial" w:cs="Arial" w:eastAsia="Arial" w:hAnsi="Arial"/>
                <w:sz w:val="18"/>
                <w:szCs w:val="18"/>
                <w:b w:val="1"/>
                <w:bCs w:val="1"/>
                <w:color w:val="auto"/>
              </w:rPr>
              <w:t>46.9</w:t>
            </w:r>
          </w:p>
        </w:tc>
        <w:tc>
          <w:tcPr>
            <w:tcW w:w="0" w:type="dxa"/>
            <w:vAlign w:val="bottom"/>
          </w:tcPr>
          <w:p>
            <w:pPr>
              <w:spacing w:after="0"/>
              <w:rPr>
                <w:sz w:val="1"/>
                <w:szCs w:val="1"/>
                <w:color w:val="auto"/>
              </w:rPr>
            </w:pPr>
          </w:p>
        </w:tc>
      </w:tr>
      <w:tr>
        <w:trPr>
          <w:trHeight w:val="216"/>
        </w:trPr>
        <w:tc>
          <w:tcPr>
            <w:tcW w:w="7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1,760</w:t>
            </w:r>
          </w:p>
        </w:tc>
        <w:tc>
          <w:tcPr>
            <w:tcW w:w="600" w:type="dxa"/>
            <w:vAlign w:val="bottom"/>
          </w:tcPr>
          <w:p>
            <w:pPr>
              <w:spacing w:after="0"/>
              <w:rPr>
                <w:sz w:val="18"/>
                <w:szCs w:val="18"/>
                <w:color w:val="auto"/>
              </w:rPr>
            </w:pPr>
          </w:p>
        </w:tc>
        <w:tc>
          <w:tcPr>
            <w:tcW w:w="700" w:type="dxa"/>
            <w:vAlign w:val="bottom"/>
          </w:tcPr>
          <w:p>
            <w:pPr>
              <w:jc w:val="right"/>
              <w:ind w:right="174"/>
              <w:spacing w:after="0"/>
              <w:rPr>
                <w:sz w:val="20"/>
                <w:szCs w:val="20"/>
                <w:color w:val="auto"/>
              </w:rPr>
            </w:pPr>
            <w:r>
              <w:rPr>
                <w:rFonts w:ascii="Arial" w:cs="Arial" w:eastAsia="Arial" w:hAnsi="Arial"/>
                <w:sz w:val="18"/>
                <w:szCs w:val="18"/>
                <w:color w:val="auto"/>
                <w:w w:val="93"/>
              </w:rPr>
              <w:t>1,151</w:t>
            </w:r>
          </w:p>
        </w:tc>
        <w:tc>
          <w:tcPr>
            <w:tcW w:w="340" w:type="dxa"/>
            <w:vAlign w:val="bottom"/>
          </w:tcPr>
          <w:p>
            <w:pPr>
              <w:spacing w:after="0"/>
              <w:rPr>
                <w:sz w:val="18"/>
                <w:szCs w:val="18"/>
                <w:color w:val="auto"/>
              </w:rPr>
            </w:pPr>
          </w:p>
        </w:tc>
        <w:tc>
          <w:tcPr>
            <w:tcW w:w="620" w:type="dxa"/>
            <w:vAlign w:val="bottom"/>
          </w:tcPr>
          <w:p>
            <w:pPr>
              <w:jc w:val="right"/>
              <w:ind w:right="117"/>
              <w:spacing w:after="0"/>
              <w:rPr>
                <w:sz w:val="20"/>
                <w:szCs w:val="20"/>
                <w:color w:val="auto"/>
              </w:rPr>
            </w:pPr>
            <w:r>
              <w:rPr>
                <w:rFonts w:ascii="Arial" w:cs="Arial" w:eastAsia="Arial" w:hAnsi="Arial"/>
                <w:sz w:val="18"/>
                <w:szCs w:val="18"/>
                <w:color w:val="auto"/>
              </w:rPr>
              <w:t>609</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7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410</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397</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13</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496</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331</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2,997</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93"/>
              </w:rPr>
              <w:t>2,044</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953</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232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Filmed Entertainment revenue increased for the three and six months ended June 30, 2015 compared to the same periods in 2014 primarily due to increases in theatrical revenue, which were partially offset by decreases in home entertainment revenue and content licensing revenue. The increases in theatrical revenue were primarily due to the strong performance of our current period releases, including </w:t>
      </w:r>
      <w:r>
        <w:rPr>
          <w:rFonts w:ascii="Arial" w:cs="Arial" w:eastAsia="Arial" w:hAnsi="Arial"/>
          <w:sz w:val="16"/>
          <w:szCs w:val="16"/>
          <w:i w:val="1"/>
          <w:iCs w:val="1"/>
          <w:color w:val="auto"/>
        </w:rPr>
        <w:t>Furious 7</w:t>
      </w:r>
      <w:r>
        <w:rPr>
          <w:rFonts w:ascii="Arial" w:cs="Arial" w:eastAsia="Arial" w:hAnsi="Arial"/>
          <w:sz w:val="16"/>
          <w:szCs w:val="16"/>
          <w:color w:val="auto"/>
        </w:rPr>
        <w:t xml:space="preserve"> and </w:t>
      </w:r>
      <w:r>
        <w:rPr>
          <w:rFonts w:ascii="Arial" w:cs="Arial" w:eastAsia="Arial" w:hAnsi="Arial"/>
          <w:sz w:val="16"/>
          <w:szCs w:val="16"/>
          <w:i w:val="1"/>
          <w:iCs w:val="1"/>
          <w:color w:val="auto"/>
        </w:rPr>
        <w:t>Jurassic World.</w:t>
      </w:r>
      <w:r>
        <w:rPr>
          <w:rFonts w:ascii="Arial" w:cs="Arial" w:eastAsia="Arial" w:hAnsi="Arial"/>
          <w:sz w:val="16"/>
          <w:szCs w:val="16"/>
          <w:color w:val="auto"/>
        </w:rPr>
        <w:t xml:space="preserve"> The decreases in content licensing revenue in both periods were primarily due to the timing of availability of content from our film library under licensing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Operating costs and expenses increased for the three and six months ended June 30, 2015 compared to the same periods in 2014 primarily due to increases in programming and production expenses and advertising, marketing and promotion expenses. The increases in programming and production expenses were primarily due to higher amortization of film production costs associated with our larger film slate, which included </w:t>
      </w:r>
      <w:r>
        <w:rPr>
          <w:rFonts w:ascii="Arial" w:cs="Arial" w:eastAsia="Arial" w:hAnsi="Arial"/>
          <w:sz w:val="16"/>
          <w:szCs w:val="16"/>
          <w:i w:val="1"/>
          <w:iCs w:val="1"/>
          <w:color w:val="auto"/>
        </w:rPr>
        <w:t>Furious 7</w:t>
      </w:r>
      <w:r>
        <w:rPr>
          <w:rFonts w:ascii="Arial" w:cs="Arial" w:eastAsia="Arial" w:hAnsi="Arial"/>
          <w:sz w:val="16"/>
          <w:szCs w:val="16"/>
          <w:color w:val="auto"/>
        </w:rPr>
        <w:t xml:space="preserve"> and </w:t>
      </w:r>
      <w:r>
        <w:rPr>
          <w:rFonts w:ascii="Arial" w:cs="Arial" w:eastAsia="Arial" w:hAnsi="Arial"/>
          <w:sz w:val="16"/>
          <w:szCs w:val="16"/>
          <w:i w:val="1"/>
          <w:iCs w:val="1"/>
          <w:color w:val="auto"/>
        </w:rPr>
        <w:t>Jurassic World</w:t>
      </w:r>
      <w:r>
        <w:rPr>
          <w:rFonts w:ascii="Arial" w:cs="Arial" w:eastAsia="Arial" w:hAnsi="Arial"/>
          <w:sz w:val="16"/>
          <w:szCs w:val="16"/>
          <w:color w:val="auto"/>
        </w:rPr>
        <w:t xml:space="preserve">, compared to the same periods in 2014. The increases in advertising, marketing and promotion expenses were primarily due to higher costs associated with our larger film slate, as well as an increase in marketing costs associated with our future theatrical releases, including </w:t>
      </w:r>
      <w:r>
        <w:rPr>
          <w:rFonts w:ascii="Arial" w:cs="Arial" w:eastAsia="Arial" w:hAnsi="Arial"/>
          <w:sz w:val="16"/>
          <w:szCs w:val="16"/>
          <w:i w:val="1"/>
          <w:iCs w:val="1"/>
          <w:color w:val="auto"/>
        </w:rPr>
        <w:t>Minions</w:t>
      </w:r>
      <w:r>
        <w:rPr>
          <w:rFonts w:ascii="Arial" w:cs="Arial" w:eastAsia="Arial" w:hAnsi="Arial"/>
          <w:sz w:val="16"/>
          <w:szCs w:val="16"/>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496"/>
              <w:spacing w:after="0"/>
              <w:rPr>
                <w:sz w:val="20"/>
                <w:szCs w:val="20"/>
                <w:color w:val="auto"/>
              </w:rPr>
            </w:pPr>
            <w:r>
              <w:rPr>
                <w:rFonts w:ascii="Arial" w:cs="Arial" w:eastAsia="Arial" w:hAnsi="Arial"/>
                <w:sz w:val="14"/>
                <w:szCs w:val="14"/>
                <w:color w:val="auto"/>
                <w:w w:val="94"/>
              </w:rPr>
              <w:t>Three Months Ended</w:t>
            </w:r>
          </w:p>
        </w:tc>
        <w:tc>
          <w:tcPr>
            <w:tcW w:w="1420" w:type="dxa"/>
            <w:vAlign w:val="bottom"/>
            <w:gridSpan w:val="2"/>
          </w:tcPr>
          <w:p>
            <w:pPr>
              <w:ind w:left="440"/>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39"/>
              <w:spacing w:after="0" w:line="159" w:lineRule="exact"/>
              <w:rPr>
                <w:sz w:val="20"/>
                <w:szCs w:val="20"/>
                <w:color w:val="auto"/>
              </w:rPr>
            </w:pPr>
            <w:r>
              <w:rPr>
                <w:rFonts w:ascii="Arial" w:cs="Arial" w:eastAsia="Arial" w:hAnsi="Arial"/>
                <w:sz w:val="14"/>
                <w:szCs w:val="14"/>
                <w:color w:val="auto"/>
              </w:rPr>
              <w:t>June 30</w:t>
            </w:r>
          </w:p>
        </w:tc>
        <w:tc>
          <w:tcPr>
            <w:tcW w:w="6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37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76"/>
              </w:rPr>
              <w:t>2015</w:t>
            </w: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396"/>
              <w:spacing w:after="0" w:line="142" w:lineRule="exact"/>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ind w:left="180"/>
              <w:spacing w:after="0"/>
              <w:rPr>
                <w:sz w:val="20"/>
                <w:szCs w:val="20"/>
                <w:color w:val="auto"/>
              </w:rPr>
            </w:pPr>
            <w:r>
              <w:rPr>
                <w:rFonts w:ascii="Arial" w:cs="Arial" w:eastAsia="Arial" w:hAnsi="Arial"/>
                <w:sz w:val="18"/>
                <w:szCs w:val="18"/>
                <w:color w:val="auto"/>
              </w:rPr>
              <w:t>773</w:t>
            </w:r>
          </w:p>
        </w:tc>
        <w:tc>
          <w:tcPr>
            <w:tcW w:w="50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w w:val="86"/>
              </w:rPr>
              <w:t>615</w:t>
            </w:r>
          </w:p>
        </w:tc>
        <w:tc>
          <w:tcPr>
            <w:tcW w:w="760" w:type="dxa"/>
            <w:vAlign w:val="bottom"/>
            <w:shd w:val="clear" w:color="auto" w:fill="E5E5E5"/>
          </w:tcPr>
          <w:p>
            <w:pPr>
              <w:jc w:val="center"/>
              <w:ind w:right="2"/>
              <w:spacing w:after="0"/>
              <w:rPr>
                <w:sz w:val="20"/>
                <w:szCs w:val="20"/>
                <w:color w:val="auto"/>
              </w:rPr>
            </w:pPr>
            <w:r>
              <w:rPr>
                <w:rFonts w:ascii="Arial" w:cs="Arial" w:eastAsia="Arial" w:hAnsi="Arial"/>
                <w:sz w:val="18"/>
                <w:szCs w:val="18"/>
                <w:color w:val="auto"/>
                <w:w w:val="89"/>
              </w:rPr>
              <w:t>$158</w:t>
            </w:r>
          </w:p>
        </w:tc>
        <w:tc>
          <w:tcPr>
            <w:tcW w:w="660" w:type="dxa"/>
            <w:vAlign w:val="bottom"/>
            <w:shd w:val="clear" w:color="auto" w:fill="E5E5E5"/>
          </w:tcPr>
          <w:p>
            <w:pPr>
              <w:ind w:left="1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419</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86"/>
              </w:rPr>
              <w:t>371</w:t>
            </w:r>
          </w:p>
        </w:tc>
        <w:tc>
          <w:tcPr>
            <w:tcW w:w="760" w:type="dxa"/>
            <w:vAlign w:val="bottom"/>
            <w:tcBorders>
              <w:bottom w:val="single" w:sz="8" w:color="auto"/>
            </w:tcBorders>
          </w:tcPr>
          <w:p>
            <w:pPr>
              <w:jc w:val="center"/>
              <w:ind w:left="42"/>
              <w:spacing w:after="0"/>
              <w:rPr>
                <w:sz w:val="20"/>
                <w:szCs w:val="20"/>
                <w:color w:val="auto"/>
              </w:rPr>
            </w:pPr>
            <w:r>
              <w:rPr>
                <w:rFonts w:ascii="Arial" w:cs="Arial" w:eastAsia="Arial" w:hAnsi="Arial"/>
                <w:sz w:val="18"/>
                <w:szCs w:val="18"/>
                <w:color w:val="auto"/>
                <w:w w:val="79"/>
              </w:rPr>
              <w:t>48</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2"/>
            <w:shd w:val="clear" w:color="auto" w:fill="E5E5E5"/>
          </w:tcPr>
          <w:p>
            <w:pPr>
              <w:ind w:left="180"/>
              <w:spacing w:after="0"/>
              <w:rPr>
                <w:sz w:val="20"/>
                <w:szCs w:val="20"/>
                <w:color w:val="auto"/>
              </w:rPr>
            </w:pPr>
            <w:r>
              <w:rPr>
                <w:rFonts w:ascii="Arial" w:cs="Arial" w:eastAsia="Arial" w:hAnsi="Arial"/>
                <w:sz w:val="18"/>
                <w:szCs w:val="18"/>
                <w:b w:val="1"/>
                <w:bCs w:val="1"/>
                <w:color w:val="auto"/>
              </w:rPr>
              <w:t>354</w:t>
            </w:r>
          </w:p>
        </w:tc>
        <w:tc>
          <w:tcPr>
            <w:tcW w:w="50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b w:val="1"/>
                <w:bCs w:val="1"/>
                <w:color w:val="auto"/>
                <w:w w:val="86"/>
              </w:rPr>
              <w:t>244</w:t>
            </w:r>
          </w:p>
        </w:tc>
        <w:tc>
          <w:tcPr>
            <w:tcW w:w="760" w:type="dxa"/>
            <w:vAlign w:val="bottom"/>
            <w:tcBorders>
              <w:bottom w:val="single" w:sz="8" w:color="auto"/>
            </w:tcBorders>
            <w:shd w:val="clear" w:color="auto" w:fill="E5E5E5"/>
          </w:tcPr>
          <w:p>
            <w:pPr>
              <w:jc w:val="center"/>
              <w:ind w:right="2"/>
              <w:spacing w:after="0"/>
              <w:rPr>
                <w:sz w:val="20"/>
                <w:szCs w:val="20"/>
                <w:color w:val="auto"/>
              </w:rPr>
            </w:pPr>
            <w:r>
              <w:rPr>
                <w:rFonts w:ascii="Arial" w:cs="Arial" w:eastAsia="Arial" w:hAnsi="Arial"/>
                <w:sz w:val="18"/>
                <w:szCs w:val="18"/>
                <w:b w:val="1"/>
                <w:bCs w:val="1"/>
                <w:color w:val="auto"/>
                <w:w w:val="79"/>
              </w:rPr>
              <w:t>$ 110</w:t>
            </w:r>
          </w:p>
        </w:tc>
        <w:tc>
          <w:tcPr>
            <w:tcW w:w="6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73"/>
        </w:trPr>
        <w:tc>
          <w:tcPr>
            <w:tcW w:w="7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ind w:right="316"/>
              <w:spacing w:after="0"/>
              <w:rPr>
                <w:sz w:val="20"/>
                <w:szCs w:val="20"/>
                <w:color w:val="auto"/>
              </w:rPr>
            </w:pPr>
            <w:r>
              <w:rPr>
                <w:rFonts w:ascii="Arial" w:cs="Arial" w:eastAsia="Arial" w:hAnsi="Arial"/>
                <w:sz w:val="14"/>
                <w:szCs w:val="14"/>
                <w:color w:val="auto"/>
                <w:w w:val="98"/>
              </w:rPr>
              <w:t>Six Months Ended</w:t>
            </w:r>
          </w:p>
        </w:tc>
        <w:tc>
          <w:tcPr>
            <w:tcW w:w="1420" w:type="dxa"/>
            <w:vAlign w:val="bottom"/>
            <w:gridSpan w:val="2"/>
          </w:tcPr>
          <w:p>
            <w:pPr>
              <w:jc w:val="right"/>
              <w:ind w:right="37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0"/>
              </w:rPr>
              <w:t>June 30</w:t>
            </w:r>
          </w:p>
        </w:tc>
        <w:tc>
          <w:tcPr>
            <w:tcW w:w="6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44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3"/>
              </w:rPr>
              <w:t>2015</w:t>
            </w: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color w:val="auto"/>
                <w:w w:val="96"/>
              </w:rPr>
              <w:t>2014</w:t>
            </w:r>
          </w:p>
        </w:tc>
        <w:tc>
          <w:tcPr>
            <w:tcW w:w="760" w:type="dxa"/>
            <w:vAlign w:val="bottom"/>
            <w:tcBorders>
              <w:bottom w:val="single" w:sz="8" w:color="auto"/>
            </w:tcBorders>
          </w:tcPr>
          <w:p>
            <w:pPr>
              <w:jc w:val="center"/>
              <w:ind w:left="4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00" w:type="dxa"/>
            <w:vAlign w:val="bottom"/>
            <w:shd w:val="clear" w:color="auto" w:fill="E5E5E5"/>
          </w:tcPr>
          <w:p>
            <w:pPr>
              <w:ind w:left="1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1,424</w:t>
            </w:r>
          </w:p>
        </w:tc>
        <w:tc>
          <w:tcPr>
            <w:tcW w:w="11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$ 1,102</w:t>
            </w:r>
          </w:p>
        </w:tc>
        <w:tc>
          <w:tcPr>
            <w:tcW w:w="760" w:type="dxa"/>
            <w:vAlign w:val="bottom"/>
            <w:shd w:val="clear" w:color="auto" w:fill="E5E5E5"/>
          </w:tcPr>
          <w:p>
            <w:pPr>
              <w:jc w:val="center"/>
              <w:ind w:left="42"/>
              <w:spacing w:after="0"/>
              <w:rPr>
                <w:sz w:val="20"/>
                <w:szCs w:val="20"/>
                <w:color w:val="auto"/>
              </w:rPr>
            </w:pPr>
            <w:r>
              <w:rPr>
                <w:rFonts w:ascii="Arial" w:cs="Arial" w:eastAsia="Arial" w:hAnsi="Arial"/>
                <w:sz w:val="18"/>
                <w:szCs w:val="18"/>
                <w:color w:val="auto"/>
                <w:w w:val="89"/>
              </w:rPr>
              <w:t>$322</w:t>
            </w:r>
          </w:p>
        </w:tc>
        <w:tc>
          <w:tcPr>
            <w:tcW w:w="660" w:type="dxa"/>
            <w:vAlign w:val="bottom"/>
            <w:shd w:val="clear" w:color="auto" w:fill="E5E5E5"/>
          </w:tcPr>
          <w:p>
            <w:pPr>
              <w:ind w:left="1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688</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119</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80" w:type="dxa"/>
            <w:vAlign w:val="bottom"/>
            <w:tcBorders>
              <w:bottom w:val="single" w:sz="8" w:color="auto"/>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617</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414</w:t>
            </w:r>
          </w:p>
        </w:tc>
        <w:tc>
          <w:tcPr>
            <w:tcW w:w="760" w:type="dxa"/>
            <w:vAlign w:val="bottom"/>
            <w:tcBorders>
              <w:bottom w:val="single" w:sz="8" w:color="auto"/>
            </w:tcBorders>
            <w:shd w:val="clear" w:color="auto" w:fill="E5E5E5"/>
          </w:tcPr>
          <w:p>
            <w:pPr>
              <w:jc w:val="center"/>
              <w:ind w:left="42"/>
              <w:spacing w:after="0"/>
              <w:rPr>
                <w:sz w:val="20"/>
                <w:szCs w:val="20"/>
                <w:color w:val="auto"/>
              </w:rPr>
            </w:pPr>
            <w:r>
              <w:rPr>
                <w:rFonts w:ascii="Arial" w:cs="Arial" w:eastAsia="Arial" w:hAnsi="Arial"/>
                <w:sz w:val="18"/>
                <w:szCs w:val="18"/>
                <w:b w:val="1"/>
                <w:bCs w:val="1"/>
                <w:color w:val="auto"/>
                <w:w w:val="89"/>
              </w:rPr>
              <w:t>$203</w:t>
            </w:r>
          </w:p>
        </w:tc>
        <w:tc>
          <w:tcPr>
            <w:tcW w:w="6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Theme Parks revenue increased for the three and six months ended June 30, 2015 compared to the same periods in 2014 primarily due to higher guest attendance and increases in per capita spending as a result of the continued success of our attractions, including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w:t>
      </w:r>
      <w:r>
        <w:rPr>
          <w:rFonts w:ascii="Arial" w:cs="Arial" w:eastAsia="Arial" w:hAnsi="Arial"/>
          <w:sz w:val="18"/>
          <w:szCs w:val="18"/>
          <w:i w:val="1"/>
          <w:iCs w:val="1"/>
          <w:color w:val="auto"/>
        </w:rPr>
        <w:t>Diagon Alley</w:t>
      </w:r>
      <w:r>
        <w:rPr>
          <w:rFonts w:ascii="Arial" w:cs="Arial" w:eastAsia="Arial" w:hAnsi="Arial"/>
          <w:sz w:val="18"/>
          <w:szCs w:val="18"/>
          <w:color w:val="auto"/>
        </w:rPr>
        <w:t>™ in Orlando, which opened in July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Operating costs and expenses increased for the three and six months ended June 30, 2015 compared to the same periods in 2014 primarily due to additional costs associated with newer attractions, such as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w:t>
      </w:r>
      <w:r>
        <w:rPr>
          <w:rFonts w:ascii="Arial" w:cs="Arial" w:eastAsia="Arial" w:hAnsi="Arial"/>
          <w:sz w:val="18"/>
          <w:szCs w:val="18"/>
          <w:i w:val="1"/>
          <w:iCs w:val="1"/>
          <w:color w:val="auto"/>
        </w:rPr>
        <w:t>Diagon Alley</w:t>
      </w:r>
      <w:r>
        <w:rPr>
          <w:rFonts w:ascii="Arial" w:cs="Arial" w:eastAsia="Arial" w:hAnsi="Arial"/>
          <w:sz w:val="18"/>
          <w:szCs w:val="18"/>
          <w:color w:val="auto"/>
        </w:rPr>
        <w:t>™ in Orlando, and costs associated with increased attendance and per capita spending.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changes in operating income (loss) before depreciation and amortization for headquarters, other and eliminations for the three and six months ended June 30, 2015 were not significant compared to the same periods in 2014.</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3"/>
          </w:tcPr>
          <w:p>
            <w:pPr>
              <w:jc w:val="right"/>
              <w:ind w:right="395"/>
              <w:spacing w:after="0"/>
              <w:rPr>
                <w:sz w:val="20"/>
                <w:szCs w:val="20"/>
                <w:color w:val="auto"/>
              </w:rPr>
            </w:pPr>
            <w:r>
              <w:rPr>
                <w:rFonts w:ascii="Arial" w:cs="Arial" w:eastAsia="Arial" w:hAnsi="Arial"/>
                <w:sz w:val="14"/>
                <w:szCs w:val="14"/>
                <w:color w:val="auto"/>
                <w:w w:val="94"/>
              </w:rPr>
              <w:t>Three Months Ended</w:t>
            </w:r>
          </w:p>
        </w:tc>
        <w:tc>
          <w:tcPr>
            <w:tcW w:w="360" w:type="dxa"/>
            <w:vAlign w:val="bottom"/>
          </w:tcPr>
          <w:p>
            <w:pPr>
              <w:spacing w:after="0"/>
              <w:rPr>
                <w:sz w:val="14"/>
                <w:szCs w:val="14"/>
                <w:color w:val="auto"/>
              </w:rPr>
            </w:pPr>
          </w:p>
        </w:tc>
        <w:tc>
          <w:tcPr>
            <w:tcW w:w="1280" w:type="dxa"/>
            <w:vAlign w:val="bottom"/>
            <w:gridSpan w:val="2"/>
          </w:tcPr>
          <w:p>
            <w:pPr>
              <w:jc w:val="right"/>
              <w:ind w:right="49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76"/>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45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00" w:type="dxa"/>
            <w:vAlign w:val="bottom"/>
            <w:tcBorders>
              <w:bottom w:val="single" w:sz="8" w:color="auto"/>
            </w:tcBorders>
            <w:gridSpan w:val="2"/>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1"/>
              <w:spacing w:after="0" w:line="142" w:lineRule="exact"/>
              <w:rPr>
                <w:sz w:val="20"/>
                <w:szCs w:val="20"/>
                <w:color w:val="auto"/>
              </w:rPr>
            </w:pPr>
            <w:r>
              <w:rPr>
                <w:rFonts w:ascii="Arial" w:cs="Arial" w:eastAsia="Arial" w:hAnsi="Arial"/>
                <w:sz w:val="14"/>
                <w:szCs w:val="14"/>
                <w:color w:val="auto"/>
                <w:w w:val="83"/>
              </w:rPr>
              <w:t>2015</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color w:val="auto"/>
                <w:w w:val="89"/>
              </w:rPr>
              <w:t>2014</w:t>
            </w: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41"/>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ind w:right="146"/>
              <w:spacing w:after="0"/>
              <w:rPr>
                <w:sz w:val="20"/>
                <w:szCs w:val="20"/>
                <w:color w:val="auto"/>
              </w:rPr>
            </w:pPr>
            <w:r>
              <w:rPr>
                <w:rFonts w:ascii="Arial" w:cs="Arial" w:eastAsia="Arial" w:hAnsi="Arial"/>
                <w:sz w:val="18"/>
                <w:szCs w:val="18"/>
                <w:color w:val="auto"/>
              </w:rPr>
              <w:t>4</w:t>
            </w:r>
          </w:p>
        </w:tc>
        <w:tc>
          <w:tcPr>
            <w:tcW w:w="80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rPr>
              <w:t>428</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354</w:t>
            </w: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46"/>
              <w:spacing w:after="0"/>
              <w:rPr>
                <w:sz w:val="20"/>
                <w:szCs w:val="20"/>
                <w:color w:val="auto"/>
              </w:rPr>
            </w:pPr>
            <w:r>
              <w:rPr>
                <w:rFonts w:ascii="Arial" w:cs="Arial" w:eastAsia="Arial" w:hAnsi="Arial"/>
                <w:sz w:val="18"/>
                <w:szCs w:val="18"/>
                <w:color w:val="auto"/>
              </w:rPr>
              <w:t>74</w:t>
            </w: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7"/>
        </w:trPr>
        <w:tc>
          <w:tcPr>
            <w:tcW w:w="75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81"/>
              <w:spacing w:after="0"/>
              <w:rPr>
                <w:sz w:val="20"/>
                <w:szCs w:val="20"/>
                <w:color w:val="auto"/>
              </w:rPr>
            </w:pPr>
            <w:r>
              <w:rPr>
                <w:rFonts w:ascii="Arial" w:cs="Arial" w:eastAsia="Arial" w:hAnsi="Arial"/>
                <w:sz w:val="18"/>
                <w:szCs w:val="18"/>
                <w:b w:val="1"/>
                <w:bCs w:val="1"/>
                <w:color w:val="auto"/>
              </w:rPr>
              <w:t>(252)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(182)</w:t>
            </w:r>
          </w:p>
        </w:tc>
        <w:tc>
          <w:tcPr>
            <w:tcW w:w="840" w:type="dxa"/>
            <w:vAlign w:val="bottom"/>
            <w:tcBorders>
              <w:bottom w:val="single" w:sz="8" w:color="auto"/>
            </w:tcBorders>
            <w:gridSpan w:val="2"/>
            <w:shd w:val="clear" w:color="auto" w:fill="E5E5E5"/>
          </w:tcPr>
          <w:p>
            <w:pPr>
              <w:jc w:val="right"/>
              <w:ind w:right="86"/>
              <w:spacing w:after="0"/>
              <w:rPr>
                <w:sz w:val="20"/>
                <w:szCs w:val="20"/>
                <w:color w:val="auto"/>
              </w:rPr>
            </w:pPr>
            <w:r>
              <w:rPr>
                <w:rFonts w:ascii="Arial" w:cs="Arial" w:eastAsia="Arial" w:hAnsi="Arial"/>
                <w:sz w:val="18"/>
                <w:szCs w:val="18"/>
                <w:b w:val="1"/>
                <w:bCs w:val="1"/>
                <w:color w:val="auto"/>
              </w:rPr>
              <w:t>$(70)</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(38.7)%</w:t>
            </w:r>
          </w:p>
        </w:tc>
        <w:tc>
          <w:tcPr>
            <w:tcW w:w="0" w:type="dxa"/>
            <w:vAlign w:val="bottom"/>
          </w:tcPr>
          <w:p>
            <w:pPr>
              <w:spacing w:after="0"/>
              <w:rPr>
                <w:sz w:val="1"/>
                <w:szCs w:val="1"/>
                <w:color w:val="auto"/>
              </w:rPr>
            </w:pPr>
          </w:p>
        </w:tc>
      </w:tr>
      <w:tr>
        <w:trPr>
          <w:trHeight w:val="273"/>
        </w:trPr>
        <w:tc>
          <w:tcPr>
            <w:tcW w:w="7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gridSpan w:val="3"/>
          </w:tcPr>
          <w:p>
            <w:pPr>
              <w:jc w:val="right"/>
              <w:ind w:right="555"/>
              <w:spacing w:after="0"/>
              <w:rPr>
                <w:sz w:val="20"/>
                <w:szCs w:val="20"/>
                <w:color w:val="auto"/>
              </w:rPr>
            </w:pPr>
            <w:r>
              <w:rPr>
                <w:rFonts w:ascii="Arial" w:cs="Arial" w:eastAsia="Arial" w:hAnsi="Arial"/>
                <w:sz w:val="14"/>
                <w:szCs w:val="14"/>
                <w:color w:val="auto"/>
                <w:w w:val="95"/>
              </w:rPr>
              <w:t>Six Months Ended</w:t>
            </w:r>
          </w:p>
        </w:tc>
        <w:tc>
          <w:tcPr>
            <w:tcW w:w="360" w:type="dxa"/>
            <w:vAlign w:val="bottom"/>
          </w:tcPr>
          <w:p>
            <w:pPr>
              <w:spacing w:after="0"/>
              <w:rPr>
                <w:sz w:val="23"/>
                <w:szCs w:val="23"/>
                <w:color w:val="auto"/>
              </w:rPr>
            </w:pPr>
          </w:p>
        </w:tc>
        <w:tc>
          <w:tcPr>
            <w:tcW w:w="1280" w:type="dxa"/>
            <w:vAlign w:val="bottom"/>
            <w:gridSpan w:val="2"/>
          </w:tcPr>
          <w:p>
            <w:pPr>
              <w:jc w:val="right"/>
              <w:ind w:right="53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497"/>
              <w:spacing w:after="0" w:line="159" w:lineRule="exact"/>
              <w:rPr>
                <w:sz w:val="20"/>
                <w:szCs w:val="20"/>
                <w:color w:val="auto"/>
              </w:rPr>
            </w:pPr>
            <w:r>
              <w:rPr>
                <w:rFonts w:ascii="Arial" w:cs="Arial" w:eastAsia="Arial" w:hAnsi="Arial"/>
                <w:sz w:val="14"/>
                <w:szCs w:val="14"/>
                <w:color w:val="auto"/>
                <w:w w:val="98"/>
              </w:rPr>
              <w:t>(Decrease)</w:t>
            </w:r>
          </w:p>
        </w:tc>
        <w:tc>
          <w:tcPr>
            <w:tcW w:w="0" w:type="dxa"/>
            <w:vAlign w:val="bottom"/>
          </w:tcPr>
          <w:p>
            <w:pPr>
              <w:spacing w:after="0"/>
              <w:rPr>
                <w:sz w:val="1"/>
                <w:szCs w:val="1"/>
                <w:color w:val="auto"/>
              </w:rPr>
            </w:pPr>
          </w:p>
        </w:tc>
      </w:tr>
      <w:tr>
        <w:trPr>
          <w:trHeight w:val="142"/>
        </w:trPr>
        <w:tc>
          <w:tcPr>
            <w:tcW w:w="7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561"/>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gridSpan w:val="2"/>
          </w:tcPr>
          <w:p>
            <w:pPr>
              <w:jc w:val="right"/>
              <w:ind w:right="375"/>
              <w:spacing w:after="0" w:line="142"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26"/>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421"/>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ind w:right="146"/>
              <w:spacing w:after="0"/>
              <w:rPr>
                <w:sz w:val="20"/>
                <w:szCs w:val="20"/>
                <w:color w:val="auto"/>
              </w:rPr>
            </w:pPr>
            <w:r>
              <w:rPr>
                <w:rFonts w:ascii="Arial" w:cs="Arial" w:eastAsia="Arial" w:hAnsi="Arial"/>
                <w:sz w:val="18"/>
                <w:szCs w:val="18"/>
                <w:color w:val="auto"/>
              </w:rPr>
              <w:t>34</w:t>
            </w:r>
          </w:p>
        </w:tc>
        <w:tc>
          <w:tcPr>
            <w:tcW w:w="80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8"/>
                <w:szCs w:val="18"/>
                <w:color w:val="auto"/>
              </w:rPr>
              <w:t>857</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681</w:t>
            </w:r>
          </w:p>
        </w:tc>
        <w:tc>
          <w:tcPr>
            <w:tcW w:w="84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8"/>
                <w:szCs w:val="18"/>
                <w:color w:val="auto"/>
              </w:rPr>
              <w:t>176</w:t>
            </w: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7"/>
        </w:trPr>
        <w:tc>
          <w:tcPr>
            <w:tcW w:w="75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4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61"/>
              <w:spacing w:after="0"/>
              <w:rPr>
                <w:sz w:val="20"/>
                <w:szCs w:val="20"/>
                <w:color w:val="auto"/>
              </w:rPr>
            </w:pPr>
            <w:r>
              <w:rPr>
                <w:rFonts w:ascii="Arial" w:cs="Arial" w:eastAsia="Arial" w:hAnsi="Arial"/>
                <w:sz w:val="18"/>
                <w:szCs w:val="18"/>
                <w:b w:val="1"/>
                <w:bCs w:val="1"/>
                <w:color w:val="auto"/>
                <w:w w:val="90"/>
              </w:rPr>
              <w:t>(477)</w:t>
            </w:r>
          </w:p>
        </w:tc>
        <w:tc>
          <w:tcPr>
            <w:tcW w:w="2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w w:val="90"/>
              </w:rPr>
              <w:t>(335)</w:t>
            </w:r>
          </w:p>
        </w:tc>
        <w:tc>
          <w:tcPr>
            <w:tcW w:w="840" w:type="dxa"/>
            <w:vAlign w:val="bottom"/>
            <w:tcBorders>
              <w:bottom w:val="single" w:sz="8" w:color="auto"/>
            </w:tcBorders>
            <w:gridSpan w:val="2"/>
            <w:shd w:val="clear" w:color="auto" w:fill="E5E5E5"/>
          </w:tcPr>
          <w:p>
            <w:pPr>
              <w:jc w:val="right"/>
              <w:ind w:right="86"/>
              <w:spacing w:after="0"/>
              <w:rPr>
                <w:sz w:val="20"/>
                <w:szCs w:val="20"/>
                <w:color w:val="auto"/>
              </w:rPr>
            </w:pPr>
            <w:r>
              <w:rPr>
                <w:rFonts w:ascii="Arial" w:cs="Arial" w:eastAsia="Arial" w:hAnsi="Arial"/>
                <w:sz w:val="18"/>
                <w:szCs w:val="18"/>
                <w:b w:val="1"/>
                <w:bCs w:val="1"/>
                <w:color w:val="auto"/>
              </w:rPr>
              <w:t>$(142)</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(42.6)%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Comcast-Spectacor, which owns the Philadelphia Flyers and the Wells Fargo Center arena in Philadelphia, Pennsylvania and operates arena management-related businesses.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remained relatively flat for the three months ended June 30, 2015 compared to the same period in 2014. Other revenue increased for the six months ended June 30, 2015 compared to the same period in 2014 primarily due to an increase in revenue from food and other services associated with new contracts entered into by our Comcast-Spectacor business.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includes overhead, personnel costs, the costs of corporate initiatives and branding, and operating costs and expenses associated with Comcast-Spectacor.</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and Other operating costs and expenses for the three and six months ended June 30, 2015 included $79 million and $178 million, respectively, of transaction-related costs associated with the Time Warner Cable merger and divestiture transactions. Corporate and Other operating costs and expenses for the three and six months ended June 30, 2014 included $44 million and $61 million, respectively, of transaction-related costs associated with the Time Warner Cable merger and related divestiture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3"/>
          </w:tcPr>
          <w:p>
            <w:pPr>
              <w:jc w:val="right"/>
              <w:ind w:right="296"/>
              <w:spacing w:after="0"/>
              <w:rPr>
                <w:sz w:val="20"/>
                <w:szCs w:val="20"/>
                <w:color w:val="auto"/>
              </w:rPr>
            </w:pPr>
            <w:r>
              <w:rPr>
                <w:rFonts w:ascii="Arial" w:cs="Arial" w:eastAsia="Arial" w:hAnsi="Arial"/>
                <w:sz w:val="14"/>
                <w:szCs w:val="14"/>
                <w:color w:val="auto"/>
                <w:w w:val="91"/>
              </w:rPr>
              <w:t>Three Months Ended</w:t>
            </w:r>
          </w:p>
        </w:tc>
        <w:tc>
          <w:tcPr>
            <w:tcW w:w="1680" w:type="dxa"/>
            <w:vAlign w:val="bottom"/>
            <w:gridSpan w:val="2"/>
          </w:tcPr>
          <w:p>
            <w:pPr>
              <w:jc w:val="right"/>
              <w:ind w:right="2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7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536"/>
              <w:spacing w:after="0" w:line="15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0"/>
              <w:spacing w:after="0" w:line="142" w:lineRule="exact"/>
              <w:rPr>
                <w:sz w:val="20"/>
                <w:szCs w:val="20"/>
                <w:color w:val="auto"/>
              </w:rPr>
            </w:pPr>
            <w:r>
              <w:rPr>
                <w:rFonts w:ascii="Arial" w:cs="Arial" w:eastAsia="Arial" w:hAnsi="Arial"/>
                <w:sz w:val="14"/>
                <w:szCs w:val="14"/>
                <w:color w:val="auto"/>
                <w:w w:val="89"/>
              </w:rPr>
              <w:t>2015</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w w:val="89"/>
              </w:rPr>
              <w:t>2014</w:t>
            </w:r>
          </w:p>
        </w:tc>
        <w:tc>
          <w:tcPr>
            <w:tcW w:w="88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(648)</w:t>
            </w:r>
          </w:p>
        </w:tc>
        <w:tc>
          <w:tcPr>
            <w:tcW w:w="880" w:type="dxa"/>
            <w:vAlign w:val="bottom"/>
            <w:shd w:val="clear" w:color="auto" w:fill="E5E5E5"/>
          </w:tcPr>
          <w:p>
            <w:pPr>
              <w:jc w:val="right"/>
              <w:ind w:right="40"/>
              <w:spacing w:after="0"/>
              <w:rPr>
                <w:sz w:val="20"/>
                <w:szCs w:val="20"/>
                <w:color w:val="auto"/>
              </w:rPr>
            </w:pPr>
            <w:r>
              <w:rPr>
                <w:rFonts w:ascii="Arial" w:cs="Arial" w:eastAsia="Arial" w:hAnsi="Arial"/>
                <w:sz w:val="18"/>
                <w:szCs w:val="18"/>
                <w:color w:val="auto"/>
              </w:rPr>
              <w:t>$(1,369)</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18"/>
                <w:szCs w:val="18"/>
                <w:color w:val="auto"/>
              </w:rPr>
              <w:t>120</w:t>
            </w:r>
          </w:p>
        </w:tc>
        <w:tc>
          <w:tcPr>
            <w:tcW w:w="880" w:type="dxa"/>
            <w:vAlign w:val="bottom"/>
          </w:tcPr>
          <w:p>
            <w:pPr>
              <w:jc w:val="right"/>
              <w:ind w:right="100"/>
              <w:spacing w:after="0"/>
              <w:rPr>
                <w:sz w:val="20"/>
                <w:szCs w:val="20"/>
                <w:color w:val="auto"/>
              </w:rPr>
            </w:pPr>
            <w:r>
              <w:rPr>
                <w:rFonts w:ascii="Arial" w:cs="Arial" w:eastAsia="Arial" w:hAnsi="Arial"/>
                <w:sz w:val="18"/>
                <w:szCs w:val="18"/>
                <w:color w:val="auto"/>
              </w:rPr>
              <w:t>50</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22</w:t>
            </w:r>
          </w:p>
        </w:tc>
        <w:tc>
          <w:tcPr>
            <w:tcW w:w="880" w:type="dxa"/>
            <w:vAlign w:val="bottom"/>
            <w:shd w:val="clear" w:color="auto" w:fill="E5E5E5"/>
          </w:tcPr>
          <w:p>
            <w:pPr>
              <w:jc w:val="right"/>
              <w:ind w:right="40"/>
              <w:spacing w:after="0"/>
              <w:rPr>
                <w:sz w:val="20"/>
                <w:szCs w:val="20"/>
                <w:color w:val="auto"/>
              </w:rPr>
            </w:pPr>
            <w:r>
              <w:rPr>
                <w:rFonts w:ascii="Arial" w:cs="Arial" w:eastAsia="Arial" w:hAnsi="Arial"/>
                <w:sz w:val="18"/>
                <w:szCs w:val="18"/>
                <w:color w:val="auto"/>
              </w:rPr>
              <w:t>(203)</w:t>
            </w:r>
          </w:p>
        </w:tc>
        <w:tc>
          <w:tcPr>
            <w:tcW w:w="8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417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(617)</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(545)</w:t>
            </w:r>
          </w:p>
        </w:tc>
        <w:tc>
          <w:tcPr>
            <w:tcW w:w="88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$(1,105)</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$(1,057)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for the three and six months ended June 30, 2015 compared to the same periods in 2014 primarily due to $47 million of additional interest expense associated with the early redemption in June 2015 of our $750 million aggregate principal amount of 5.85% senior notes due November 2015 and our $1.0 billion aggregate principal amount of 5.90% senior notes due March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2015 and 2014 are presented in a table in Note 6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changes in equity in net income (losses) of investees, net for the three and six months ended June 30, 2015 compared to the same periods in 2014 were primarily due to The Weather Channel recording an impairment charge related to goodwill. We recorded an expense of $252 million representing NBCUniversal’s proportionate share of this impairment charge in equity in net income (losses) of investees, net.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changes in other income (expense), net for the three and six months ended June 30, 2015 compared to the same periods in 2014 were primarily due to gains of $171 million related to the sale of an investment and $240 million on the settlement of a contingent consideration liability with General Electric Company related to the acquisition of NBCUniversal recorded in the current year periods. The change in other income (expense), net for the six months ended June 30, 2015 was also due to a gain of $164 million related to the sale of a business in the current year period and a $27 million favorable settlement of a contingency recorded in the prior year period related to the AT&amp;T Broadband transaction in 2002.</w:t>
      </w:r>
    </w:p>
    <w:p>
      <w:pPr>
        <w:spacing w:after="0" w:line="21"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Other income (expense), net for the three and six months ended June 30, 2015 also included $96 million and $136 million, respectively, of expenses related to fair value adjustments to contractual obligations. These amounts were $41 million and $68 million for the three and six months ended June 30, 2014,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the three and six months ended June 30, 2015 and 2014 reflects an effective income tax rate that differs from the federal statutory rate primarily due to state income taxes and adjustments associated with uncertain tax positions. We expect our 2015 annual effective tax rate to be in the range of 37% to 39%,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absent changes in tax laws or further changes in uncertain tax positions. It is reasonably possible that certain tax contests could be resolved within the next 12 months that may result in a decrease in our effective tax rate.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30, 2015, we entered into an agreement to establish a new, strategic company focused on investing in and operating growth-oriented companies, both domestically and internationally. Michael J. Angelakis, who served as our Chief Financial Officer through June 30, 2015, will serve as the Chief Executive Officer of this company, and the agreement will be exclusively with us as the only non-management investor. The company will have a term of 10 years. We have committed to invest up to $4 billion in the company and also will pay an annual $40 million management fee, subject to certain offsets.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3"/>
          </w:tcPr>
          <w:p>
            <w:pPr>
              <w:jc w:val="right"/>
              <w:ind w:right="374"/>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59"/>
        </w:trPr>
        <w:tc>
          <w:tcPr>
            <w:tcW w:w="9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96"/>
              </w:rPr>
              <w:t>2015</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7,995</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4,227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83"/>
              </w:rPr>
              <w:t>12,222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3"/>
              </w:rPr>
              <w:t>11,342</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54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0"/>
        </w:trPr>
        <w:tc>
          <w:tcPr>
            <w:tcW w:w="928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54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w w:val="83"/>
              </w:rPr>
              <w:t>12,212</w:t>
            </w:r>
          </w:p>
        </w:tc>
        <w:tc>
          <w:tcPr>
            <w:tcW w:w="22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10,703</w:t>
            </w: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91"/>
              </w:rPr>
              <w:t>(1,241)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91"/>
              </w:rPr>
              <w:t>(1,164)</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40" w:type="dxa"/>
            <w:vAlign w:val="bottom"/>
          </w:tcPr>
          <w:p>
            <w:pPr>
              <w:spacing w:after="0"/>
              <w:rPr>
                <w:sz w:val="18"/>
                <w:szCs w:val="18"/>
                <w:color w:val="auto"/>
              </w:rPr>
            </w:pPr>
          </w:p>
        </w:tc>
        <w:tc>
          <w:tcPr>
            <w:tcW w:w="680" w:type="dxa"/>
            <w:vAlign w:val="bottom"/>
          </w:tcPr>
          <w:p>
            <w:pPr>
              <w:jc w:val="right"/>
              <w:ind w:right="57"/>
              <w:spacing w:after="0"/>
              <w:rPr>
                <w:sz w:val="20"/>
                <w:szCs w:val="20"/>
                <w:color w:val="auto"/>
              </w:rPr>
            </w:pPr>
            <w:r>
              <w:rPr>
                <w:rFonts w:ascii="Arial" w:cs="Arial" w:eastAsia="Arial" w:hAnsi="Arial"/>
                <w:sz w:val="18"/>
                <w:szCs w:val="18"/>
                <w:color w:val="auto"/>
                <w:w w:val="91"/>
              </w:rPr>
              <w:t>(1,999)</w:t>
            </w:r>
          </w:p>
        </w:tc>
        <w:tc>
          <w:tcPr>
            <w:tcW w:w="22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w w:val="91"/>
              </w:rPr>
              <w:t>(1,904)</w:t>
            </w: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8,834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7,547</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variance in changes in operating assets and liabilities for the six months ended June 30, 2015 compared to the same period in 2014 was primarily related to our broadcasts of the 2015 Super Bowl in the current year period and the 2014 Sochi Olympics in the prior year period and increases in deferred revenue in the current year period, as well as the timing of payments related to our accounts payable and accrued expenses related to trade creditors.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Net cash used in investing activities for the six months ended June 30, 2015 consisted primarily of cash paid for capital expenditures, intangible assets, acquisitions and the purchases of investments, which was partially offset by proceeds from the sale of businesses and investments. Capital expenditures increased for the six months ended June 30, 2015 compared to the same period in 2014 primarily due to increased spending in our Cable Communications segment on customer premise equipment related to the deployment of our X1 platform and wireless gateways, our continued investment in network infrastructure to increase network capacity, and increased investment in support capital as we expand our cloud-based initiatives.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six months ended June 30, 2015 consisted primarily of repurchases of our common stock, repayments of debt and dividend payments, which was partially offset by proceeds from new borrowings.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June 30, 2015, amounts available under our consolidated revolving credit facilities, net of amounts outstanding under our commercial paper programs and undrawn letters of credit, totaled $6.7 billion, which included $645 million available under NBCUniversal Enterprise’s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2015, our Board of Directors increased our share repurchase program authorization to $10 billion, which does not have an expiration date. Under this authorization, we may repurchase shares in the open market or in private transactions. During the six months ended June 30, 2015, we repurchased a total of 62 million shares of our Class A and Class A Special common stock for $3.585 billion. We expect to make $3.165 billion more in repurchases during the remainder of 2015, subject to market conditions.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our Board of Directors approved an 11.1% increase in our dividend to $1.00 per share on an annualized basis. In each of February and May 2015, our Board of Directors approved a quarterly dividend of $0.25 per share as part of our planned annual dividend.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080" w:type="dxa"/>
            <w:vAlign w:val="bottom"/>
            <w:tcBorders>
              <w:bottom w:val="single" w:sz="8" w:color="auto"/>
            </w:tcBorders>
            <w:gridSpan w:val="2"/>
          </w:tcPr>
          <w:p>
            <w:pPr>
              <w:ind w:left="3220"/>
              <w:spacing w:after="0"/>
              <w:rPr>
                <w:sz w:val="20"/>
                <w:szCs w:val="20"/>
                <w:color w:val="auto"/>
              </w:rPr>
            </w:pPr>
            <w:r>
              <w:rPr>
                <w:rFonts w:ascii="Arial" w:cs="Arial" w:eastAsia="Arial" w:hAnsi="Arial"/>
                <w:sz w:val="14"/>
                <w:szCs w:val="14"/>
                <w:color w:val="auto"/>
              </w:rPr>
              <w:t>Amount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Month of Payment</w:t>
            </w:r>
          </w:p>
        </w:tc>
      </w:tr>
      <w:tr>
        <w:trPr>
          <w:trHeight w:val="210"/>
        </w:trPr>
        <w:tc>
          <w:tcPr>
            <w:tcW w:w="582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2015</w:t>
            </w:r>
          </w:p>
        </w:tc>
        <w:tc>
          <w:tcPr>
            <w:tcW w:w="3340" w:type="dxa"/>
            <w:vAlign w:val="bottom"/>
            <w:shd w:val="clear" w:color="auto" w:fill="E5E5E5"/>
          </w:tcPr>
          <w:p>
            <w:pPr>
              <w:ind w:left="3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9"/>
              </w:rPr>
              <w:t>630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April</w:t>
            </w:r>
          </w:p>
        </w:tc>
      </w:tr>
      <w:tr>
        <w:trPr>
          <w:trHeight w:val="216"/>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2015</w:t>
            </w:r>
          </w:p>
        </w:tc>
        <w:tc>
          <w:tcPr>
            <w:tcW w:w="334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624</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July</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2014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2014 Annual Report on Form 10-K and there have been no significant changes to this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Refer to Note 11 to Comcast’s condensed consolidated financial statements included in this Quarterly Report on Form 10-Q for a discussion of legal proceedings. There have been no material developments in the matter reported in our 2014 Annual Report on Form 10-K regarding the California Attorney General and the Alameda County, California District Attorney’s investigation of certain of our waste disposal policies, procedures and practices.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2014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table below summarizes Comcast’s common stock repurchases under its Board-authorized share repurchase program during the three months ended June 30, 2015.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center"/>
              <w:ind w:right="281"/>
              <w:spacing w:after="0"/>
              <w:rPr>
                <w:sz w:val="20"/>
                <w:szCs w:val="20"/>
                <w:color w:val="auto"/>
              </w:rPr>
            </w:pPr>
            <w:r>
              <w:rPr>
                <w:rFonts w:ascii="Arial" w:cs="Arial" w:eastAsia="Arial" w:hAnsi="Arial"/>
                <w:sz w:val="14"/>
                <w:szCs w:val="14"/>
                <w:color w:val="auto"/>
                <w:w w:val="89"/>
              </w:rPr>
              <w:t>Total Dollar</w:t>
            </w:r>
          </w:p>
        </w:tc>
        <w:tc>
          <w:tcPr>
            <w:tcW w:w="1500" w:type="dxa"/>
            <w:vAlign w:val="bottom"/>
          </w:tcPr>
          <w:p>
            <w:pPr>
              <w:jc w:val="center"/>
              <w:ind w:left="81"/>
              <w:spacing w:after="0"/>
              <w:rPr>
                <w:sz w:val="20"/>
                <w:szCs w:val="20"/>
                <w:color w:val="auto"/>
              </w:rPr>
            </w:pPr>
            <w:r>
              <w:rPr>
                <w:rFonts w:ascii="Arial" w:cs="Arial" w:eastAsia="Arial" w:hAnsi="Arial"/>
                <w:sz w:val="14"/>
                <w:szCs w:val="14"/>
                <w:color w:val="auto"/>
                <w:w w:val="92"/>
              </w:rPr>
              <w:t>Maximum Dollar</w:t>
            </w:r>
          </w:p>
        </w:tc>
      </w:tr>
      <w:tr>
        <w:trPr>
          <w:trHeight w:val="149"/>
        </w:trPr>
        <w:tc>
          <w:tcPr>
            <w:tcW w:w="3140" w:type="dxa"/>
            <w:vAlign w:val="bottom"/>
          </w:tcPr>
          <w:p>
            <w:pPr>
              <w:spacing w:after="0"/>
              <w:rPr>
                <w:sz w:val="12"/>
                <w:szCs w:val="12"/>
                <w:color w:val="auto"/>
              </w:rPr>
            </w:pPr>
          </w:p>
        </w:tc>
        <w:tc>
          <w:tcPr>
            <w:tcW w:w="2180" w:type="dxa"/>
            <w:vAlign w:val="bottom"/>
          </w:tcPr>
          <w:p>
            <w:pPr>
              <w:jc w:val="center"/>
              <w:ind w:left="740"/>
              <w:spacing w:after="0" w:line="149" w:lineRule="exact"/>
              <w:rPr>
                <w:sz w:val="20"/>
                <w:szCs w:val="20"/>
                <w:color w:val="auto"/>
              </w:rPr>
            </w:pPr>
            <w:r>
              <w:rPr>
                <w:rFonts w:ascii="Arial" w:cs="Arial" w:eastAsia="Arial" w:hAnsi="Arial"/>
                <w:sz w:val="14"/>
                <w:szCs w:val="14"/>
                <w:color w:val="auto"/>
                <w:w w:val="89"/>
              </w:rPr>
              <w:t>Total</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28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1"/>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3140" w:type="dxa"/>
            <w:vAlign w:val="bottom"/>
          </w:tcPr>
          <w:p>
            <w:pPr>
              <w:spacing w:after="0"/>
              <w:rPr>
                <w:sz w:val="12"/>
                <w:szCs w:val="12"/>
                <w:color w:val="auto"/>
              </w:rPr>
            </w:pPr>
          </w:p>
        </w:tc>
        <w:tc>
          <w:tcPr>
            <w:tcW w:w="2180" w:type="dxa"/>
            <w:vAlign w:val="bottom"/>
          </w:tcPr>
          <w:p>
            <w:pPr>
              <w:jc w:val="center"/>
              <w:ind w:left="720"/>
              <w:spacing w:after="0" w:line="149" w:lineRule="exact"/>
              <w:rPr>
                <w:sz w:val="20"/>
                <w:szCs w:val="20"/>
                <w:color w:val="auto"/>
              </w:rPr>
            </w:pPr>
            <w:r>
              <w:rPr>
                <w:rFonts w:ascii="Arial" w:cs="Arial" w:eastAsia="Arial" w:hAnsi="Arial"/>
                <w:sz w:val="14"/>
                <w:szCs w:val="14"/>
                <w:color w:val="auto"/>
                <w:w w:val="88"/>
              </w:rPr>
              <w:t>Number of</w:t>
            </w:r>
          </w:p>
        </w:tc>
        <w:tc>
          <w:tcPr>
            <w:tcW w:w="360" w:type="dxa"/>
            <w:vAlign w:val="bottom"/>
          </w:tcPr>
          <w:p>
            <w:pPr>
              <w:spacing w:after="0"/>
              <w:rPr>
                <w:sz w:val="12"/>
                <w:szCs w:val="12"/>
                <w:color w:val="auto"/>
              </w:rPr>
            </w:pPr>
          </w:p>
        </w:tc>
        <w:tc>
          <w:tcPr>
            <w:tcW w:w="680" w:type="dxa"/>
            <w:vAlign w:val="bottom"/>
          </w:tcPr>
          <w:p>
            <w:pPr>
              <w:jc w:val="center"/>
              <w:ind w:right="278"/>
              <w:spacing w:after="0" w:line="149" w:lineRule="exact"/>
              <w:rPr>
                <w:sz w:val="20"/>
                <w:szCs w:val="20"/>
                <w:color w:val="auto"/>
              </w:rPr>
            </w:pPr>
            <w:r>
              <w:rPr>
                <w:rFonts w:ascii="Arial" w:cs="Arial" w:eastAsia="Arial" w:hAnsi="Arial"/>
                <w:sz w:val="14"/>
                <w:szCs w:val="14"/>
                <w:color w:val="auto"/>
                <w:w w:val="87"/>
              </w:rPr>
              <w:t>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 Purchased</w:t>
            </w:r>
          </w:p>
        </w:tc>
        <w:tc>
          <w:tcPr>
            <w:tcW w:w="360" w:type="dxa"/>
            <w:vAlign w:val="bottom"/>
          </w:tcPr>
          <w:p>
            <w:pPr>
              <w:spacing w:after="0"/>
              <w:rPr>
                <w:sz w:val="12"/>
                <w:szCs w:val="12"/>
                <w:color w:val="auto"/>
              </w:rPr>
            </w:pPr>
          </w:p>
        </w:tc>
        <w:tc>
          <w:tcPr>
            <w:tcW w:w="128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1"/>
              <w:spacing w:after="0" w:line="149" w:lineRule="exact"/>
              <w:rPr>
                <w:sz w:val="20"/>
                <w:szCs w:val="20"/>
                <w:color w:val="auto"/>
              </w:rPr>
            </w:pPr>
            <w:r>
              <w:rPr>
                <w:rFonts w:ascii="Arial" w:cs="Arial" w:eastAsia="Arial" w:hAnsi="Arial"/>
                <w:sz w:val="14"/>
                <w:szCs w:val="14"/>
                <w:color w:val="auto"/>
                <w:w w:val="88"/>
              </w:rPr>
              <w:t>May Yet Be</w:t>
            </w:r>
          </w:p>
        </w:tc>
      </w:tr>
      <w:tr>
        <w:trPr>
          <w:trHeight w:val="146"/>
        </w:trPr>
        <w:tc>
          <w:tcPr>
            <w:tcW w:w="3140" w:type="dxa"/>
            <w:vAlign w:val="bottom"/>
          </w:tcPr>
          <w:p>
            <w:pPr>
              <w:spacing w:after="0"/>
              <w:rPr>
                <w:sz w:val="12"/>
                <w:szCs w:val="12"/>
                <w:color w:val="auto"/>
              </w:rPr>
            </w:pPr>
          </w:p>
        </w:tc>
        <w:tc>
          <w:tcPr>
            <w:tcW w:w="2180" w:type="dxa"/>
            <w:vAlign w:val="bottom"/>
          </w:tcPr>
          <w:p>
            <w:pPr>
              <w:jc w:val="center"/>
              <w:ind w:left="740"/>
              <w:spacing w:after="0" w:line="146" w:lineRule="exact"/>
              <w:rPr>
                <w:sz w:val="20"/>
                <w:szCs w:val="20"/>
                <w:color w:val="auto"/>
              </w:rPr>
            </w:pPr>
            <w:r>
              <w:rPr>
                <w:rFonts w:ascii="Arial" w:cs="Arial" w:eastAsia="Arial" w:hAnsi="Arial"/>
                <w:sz w:val="14"/>
                <w:szCs w:val="14"/>
                <w:color w:val="auto"/>
                <w:w w:val="81"/>
              </w:rPr>
              <w:t>Shares</w:t>
            </w:r>
          </w:p>
        </w:tc>
        <w:tc>
          <w:tcPr>
            <w:tcW w:w="360" w:type="dxa"/>
            <w:vAlign w:val="bottom"/>
          </w:tcPr>
          <w:p>
            <w:pPr>
              <w:spacing w:after="0"/>
              <w:rPr>
                <w:sz w:val="12"/>
                <w:szCs w:val="12"/>
                <w:color w:val="auto"/>
              </w:rPr>
            </w:pPr>
          </w:p>
        </w:tc>
        <w:tc>
          <w:tcPr>
            <w:tcW w:w="680" w:type="dxa"/>
            <w:vAlign w:val="bottom"/>
          </w:tcPr>
          <w:p>
            <w:pPr>
              <w:jc w:val="center"/>
              <w:ind w:right="298"/>
              <w:spacing w:after="0" w:line="146"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46" w:lineRule="exact"/>
              <w:rPr>
                <w:sz w:val="20"/>
                <w:szCs w:val="20"/>
                <w:color w:val="auto"/>
              </w:rPr>
            </w:pPr>
            <w:r>
              <w:rPr>
                <w:rFonts w:ascii="Arial" w:cs="Arial" w:eastAsia="Arial" w:hAnsi="Arial"/>
                <w:sz w:val="14"/>
                <w:szCs w:val="14"/>
                <w:color w:val="auto"/>
                <w:w w:val="90"/>
              </w:rPr>
              <w:t>as Part of Publicly</w:t>
            </w:r>
          </w:p>
        </w:tc>
        <w:tc>
          <w:tcPr>
            <w:tcW w:w="360" w:type="dxa"/>
            <w:vAlign w:val="bottom"/>
          </w:tcPr>
          <w:p>
            <w:pPr>
              <w:spacing w:after="0"/>
              <w:rPr>
                <w:sz w:val="12"/>
                <w:szCs w:val="12"/>
                <w:color w:val="auto"/>
              </w:rPr>
            </w:pPr>
          </w:p>
        </w:tc>
        <w:tc>
          <w:tcPr>
            <w:tcW w:w="1280" w:type="dxa"/>
            <w:vAlign w:val="bottom"/>
          </w:tcPr>
          <w:p>
            <w:pPr>
              <w:jc w:val="center"/>
              <w:ind w:right="301"/>
              <w:spacing w:after="0" w:line="146"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1"/>
              <w:spacing w:after="0" w:line="146" w:lineRule="exact"/>
              <w:rPr>
                <w:sz w:val="20"/>
                <w:szCs w:val="20"/>
                <w:color w:val="auto"/>
              </w:rPr>
            </w:pPr>
            <w:r>
              <w:rPr>
                <w:rFonts w:ascii="Arial" w:cs="Arial" w:eastAsia="Arial" w:hAnsi="Arial"/>
                <w:sz w:val="14"/>
                <w:szCs w:val="14"/>
                <w:color w:val="auto"/>
                <w:w w:val="84"/>
              </w:rPr>
              <w:t>Purchased Under the</w:t>
            </w:r>
          </w:p>
        </w:tc>
      </w:tr>
      <w:tr>
        <w:trPr>
          <w:trHeight w:val="176"/>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180" w:type="dxa"/>
            <w:vAlign w:val="bottom"/>
            <w:tcBorders>
              <w:bottom w:val="single" w:sz="8" w:color="auto"/>
            </w:tcBorders>
          </w:tcPr>
          <w:p>
            <w:pPr>
              <w:jc w:val="center"/>
              <w:ind w:left="740"/>
              <w:spacing w:after="0"/>
              <w:rPr>
                <w:sz w:val="20"/>
                <w:szCs w:val="20"/>
                <w:color w:val="auto"/>
              </w:rPr>
            </w:pPr>
            <w:r>
              <w:rPr>
                <w:rFonts w:ascii="Arial" w:cs="Arial" w:eastAsia="Arial" w:hAnsi="Arial"/>
                <w:sz w:val="14"/>
                <w:szCs w:val="14"/>
                <w:color w:val="auto"/>
                <w:w w:val="83"/>
              </w:rPr>
              <w:t>Purchased</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1"/>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April 1-30, 2015</w:t>
            </w:r>
          </w:p>
        </w:tc>
        <w:tc>
          <w:tcPr>
            <w:tcW w:w="21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9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Comcast Class A</w:t>
            </w:r>
          </w:p>
        </w:tc>
        <w:tc>
          <w:tcPr>
            <w:tcW w:w="2180" w:type="dxa"/>
            <w:vAlign w:val="bottom"/>
          </w:tcPr>
          <w:p>
            <w:pPr>
              <w:jc w:val="right"/>
              <w:ind w:right="180"/>
              <w:spacing w:after="0"/>
              <w:rPr>
                <w:sz w:val="20"/>
                <w:szCs w:val="20"/>
                <w:color w:val="auto"/>
              </w:rPr>
            </w:pPr>
            <w:r>
              <w:rPr>
                <w:rFonts w:ascii="Arial" w:cs="Arial" w:eastAsia="Arial" w:hAnsi="Arial"/>
                <w:sz w:val="18"/>
                <w:szCs w:val="18"/>
                <w:color w:val="auto"/>
              </w:rPr>
              <w:t>575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8"/>
              <w:spacing w:after="0"/>
              <w:rPr>
                <w:sz w:val="20"/>
                <w:szCs w:val="20"/>
                <w:color w:val="auto"/>
              </w:rPr>
            </w:pPr>
            <w:r>
              <w:rPr>
                <w:rFonts w:ascii="Arial" w:cs="Arial" w:eastAsia="Arial" w:hAnsi="Arial"/>
                <w:sz w:val="18"/>
                <w:szCs w:val="18"/>
                <w:color w:val="auto"/>
                <w:w w:val="84"/>
              </w:rPr>
              <w:t>59.39</w:t>
            </w:r>
          </w:p>
        </w:tc>
        <w:tc>
          <w:tcPr>
            <w:tcW w:w="192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$ 8,000,000,000</w:t>
            </w:r>
          </w:p>
        </w:tc>
      </w:tr>
      <w:tr>
        <w:trPr>
          <w:trHeight w:val="216"/>
        </w:trPr>
        <w:tc>
          <w:tcPr>
            <w:tcW w:w="31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Comcast Class A Special</w:t>
            </w:r>
          </w:p>
        </w:tc>
        <w:tc>
          <w:tcPr>
            <w:tcW w:w="218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1"/>
              <w:spacing w:after="0"/>
              <w:rPr>
                <w:sz w:val="20"/>
                <w:szCs w:val="20"/>
                <w:color w:val="auto"/>
              </w:rPr>
            </w:pPr>
            <w:r>
              <w:rPr>
                <w:rFonts w:ascii="Arial" w:cs="Arial" w:eastAsia="Arial" w:hAnsi="Arial"/>
                <w:sz w:val="18"/>
                <w:szCs w:val="18"/>
                <w:color w:val="auto"/>
                <w:w w:val="86"/>
              </w:rPr>
              <w:t>$ 8,000,000,000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May 1-31, 2015</w:t>
            </w: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1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Comcast Class A</w:t>
            </w:r>
          </w:p>
        </w:tc>
        <w:tc>
          <w:tcPr>
            <w:tcW w:w="218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1"/>
              <w:spacing w:after="0"/>
              <w:rPr>
                <w:sz w:val="20"/>
                <w:szCs w:val="20"/>
                <w:color w:val="auto"/>
              </w:rPr>
            </w:pPr>
            <w:r>
              <w:rPr>
                <w:rFonts w:ascii="Arial" w:cs="Arial" w:eastAsia="Arial" w:hAnsi="Arial"/>
                <w:sz w:val="18"/>
                <w:szCs w:val="18"/>
                <w:color w:val="auto"/>
                <w:w w:val="86"/>
              </w:rPr>
              <w:t>$ 8,000,000,000</w:t>
            </w: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Comcast Class A Special</w:t>
            </w:r>
          </w:p>
        </w:tc>
        <w:tc>
          <w:tcPr>
            <w:tcW w:w="218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$ 8,000,000,000</w:t>
            </w:r>
          </w:p>
        </w:tc>
      </w:tr>
      <w:tr>
        <w:trPr>
          <w:trHeight w:val="216"/>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June 1-30, 2015</w:t>
            </w:r>
          </w:p>
        </w:tc>
        <w:tc>
          <w:tcPr>
            <w:tcW w:w="21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9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Comcast Class A</w:t>
            </w:r>
          </w:p>
        </w:tc>
        <w:tc>
          <w:tcPr>
            <w:tcW w:w="2180" w:type="dxa"/>
            <w:vAlign w:val="bottom"/>
          </w:tcPr>
          <w:p>
            <w:pPr>
              <w:jc w:val="right"/>
              <w:ind w:right="180"/>
              <w:spacing w:after="0"/>
              <w:rPr>
                <w:sz w:val="20"/>
                <w:szCs w:val="20"/>
                <w:color w:val="auto"/>
              </w:rPr>
            </w:pPr>
            <w:r>
              <w:rPr>
                <w:rFonts w:ascii="Arial" w:cs="Arial" w:eastAsia="Arial" w:hAnsi="Arial"/>
                <w:sz w:val="18"/>
                <w:szCs w:val="18"/>
                <w:color w:val="auto"/>
              </w:rPr>
              <w:t>14,420,373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8"/>
              <w:spacing w:after="0"/>
              <w:rPr>
                <w:sz w:val="20"/>
                <w:szCs w:val="20"/>
                <w:color w:val="auto"/>
              </w:rPr>
            </w:pPr>
            <w:r>
              <w:rPr>
                <w:rFonts w:ascii="Arial" w:cs="Arial" w:eastAsia="Arial" w:hAnsi="Arial"/>
                <w:sz w:val="18"/>
                <w:szCs w:val="18"/>
                <w:color w:val="auto"/>
                <w:w w:val="84"/>
              </w:rPr>
              <w:t>57.90</w:t>
            </w:r>
          </w:p>
        </w:tc>
        <w:tc>
          <w:tcPr>
            <w:tcW w:w="1920" w:type="dxa"/>
            <w:vAlign w:val="bottom"/>
          </w:tcPr>
          <w:p>
            <w:pPr>
              <w:jc w:val="right"/>
              <w:ind w:right="180"/>
              <w:spacing w:after="0"/>
              <w:rPr>
                <w:sz w:val="20"/>
                <w:szCs w:val="20"/>
                <w:color w:val="auto"/>
              </w:rPr>
            </w:pPr>
            <w:r>
              <w:rPr>
                <w:rFonts w:ascii="Arial" w:cs="Arial" w:eastAsia="Arial" w:hAnsi="Arial"/>
                <w:sz w:val="18"/>
                <w:szCs w:val="18"/>
                <w:color w:val="auto"/>
              </w:rPr>
              <w:t>14,420,373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1"/>
              <w:spacing w:after="0"/>
              <w:rPr>
                <w:sz w:val="20"/>
                <w:szCs w:val="20"/>
                <w:color w:val="auto"/>
              </w:rPr>
            </w:pPr>
            <w:r>
              <w:rPr>
                <w:rFonts w:ascii="Arial" w:cs="Arial" w:eastAsia="Arial" w:hAnsi="Arial"/>
                <w:sz w:val="18"/>
                <w:szCs w:val="18"/>
                <w:color w:val="auto"/>
                <w:w w:val="99"/>
              </w:rPr>
              <w:t>835,000,000</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$ 7,165,000,000</w:t>
            </w:r>
          </w:p>
        </w:tc>
      </w:tr>
      <w:tr>
        <w:trPr>
          <w:trHeight w:val="216"/>
        </w:trPr>
        <w:tc>
          <w:tcPr>
            <w:tcW w:w="31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Comcast Class A Special</w:t>
            </w:r>
          </w:p>
        </w:tc>
        <w:tc>
          <w:tcPr>
            <w:tcW w:w="218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12,984,017</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w w:val="84"/>
              </w:rPr>
              <w:t>57.76</w:t>
            </w:r>
          </w:p>
        </w:tc>
        <w:tc>
          <w:tcPr>
            <w:tcW w:w="192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12,984,017</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w w:val="99"/>
              </w:rPr>
              <w:t>750,000,000</w:t>
            </w:r>
          </w:p>
        </w:tc>
        <w:tc>
          <w:tcPr>
            <w:tcW w:w="1500" w:type="dxa"/>
            <w:vAlign w:val="bottom"/>
            <w:tcBorders>
              <w:bottom w:val="single" w:sz="8" w:color="auto"/>
            </w:tcBorders>
            <w:shd w:val="clear" w:color="auto" w:fill="E5E5E5"/>
          </w:tcPr>
          <w:p>
            <w:pPr>
              <w:jc w:val="center"/>
              <w:ind w:left="101"/>
              <w:spacing w:after="0"/>
              <w:rPr>
                <w:sz w:val="20"/>
                <w:szCs w:val="20"/>
                <w:color w:val="auto"/>
              </w:rPr>
            </w:pPr>
            <w:r>
              <w:rPr>
                <w:rFonts w:ascii="Arial" w:cs="Arial" w:eastAsia="Arial" w:hAnsi="Arial"/>
                <w:sz w:val="18"/>
                <w:szCs w:val="18"/>
                <w:color w:val="auto"/>
                <w:w w:val="86"/>
              </w:rPr>
              <w:t>$ 6,415,000,000</w:t>
            </w: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1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b w:val="1"/>
                <w:bCs w:val="1"/>
                <w:color w:val="auto"/>
              </w:rPr>
              <w:t>27,404,965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w w:val="84"/>
              </w:rPr>
              <w:t>57.84</w:t>
            </w:r>
          </w:p>
        </w:tc>
        <w:tc>
          <w:tcPr>
            <w:tcW w:w="192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b w:val="1"/>
                <w:bCs w:val="1"/>
                <w:color w:val="auto"/>
              </w:rPr>
              <w:t>27,404,390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86"/>
              </w:rPr>
              <w:t>1,585,000,000</w:t>
            </w:r>
          </w:p>
        </w:tc>
        <w:tc>
          <w:tcPr>
            <w:tcW w:w="1500" w:type="dxa"/>
            <w:vAlign w:val="bottom"/>
            <w:tcBorders>
              <w:bottom w:val="single" w:sz="8" w:color="auto"/>
            </w:tcBorders>
          </w:tcPr>
          <w:p>
            <w:pPr>
              <w:jc w:val="center"/>
              <w:ind w:left="101"/>
              <w:spacing w:after="0"/>
              <w:rPr>
                <w:sz w:val="20"/>
                <w:szCs w:val="20"/>
                <w:color w:val="auto"/>
              </w:rPr>
            </w:pPr>
            <w:r>
              <w:rPr>
                <w:rFonts w:ascii="Arial" w:cs="Arial" w:eastAsia="Arial" w:hAnsi="Arial"/>
                <w:sz w:val="18"/>
                <w:szCs w:val="18"/>
                <w:b w:val="1"/>
                <w:bCs w:val="1"/>
                <w:color w:val="auto"/>
                <w:w w:val="86"/>
              </w:rPr>
              <w:t>$ 6,415,000,000</w:t>
            </w:r>
          </w:p>
        </w:tc>
      </w:tr>
    </w:tbl>
    <w:p>
      <w:pPr>
        <w:spacing w:after="0" w:line="57" w:lineRule="exact"/>
        <w:rPr>
          <w:sz w:val="20"/>
          <w:szCs w:val="20"/>
          <w:color w:val="auto"/>
        </w:rPr>
      </w:pPr>
    </w:p>
    <w:p>
      <w:pPr>
        <w:ind w:left="3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February 2015, our Board of Directors increased our share repurchase authorization to $10 billion, which does not have an expiration date. Under this authorization, we may repurchase shares in the open market or in private transactions. We expect to make $3.165 billion more in repurchases during the remainder of 2015, subject to market conditions.</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2015 includes 575 shares received in the administration of employee share-based compensation plans.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Equity Securities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11, 2015, we issued 2,655,008 shares of our Class A common stock in connection with our acquisition of a closely-held company in a private transaction exempt from registration under the Securities Act of 1933, as amended, in accordance with Section 4(a)(2) thereof.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722"/>
        <w:spacing w:after="0" w:line="249"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Agreement with Michael J. Cavanagh dated May 10, 2015 (incorporated by reference to Exhibit 99.1 to Comcast’s Current Report on Form 8-K filed on May 11, 2015).</w:t>
      </w:r>
    </w:p>
    <w:p>
      <w:pPr>
        <w:spacing w:after="0" w:line="1" w:lineRule="exact"/>
        <w:rPr>
          <w:sz w:val="20"/>
          <w:szCs w:val="20"/>
          <w:color w:val="auto"/>
        </w:rPr>
      </w:pPr>
    </w:p>
    <w:p>
      <w:pPr>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14 to Employment Agreement with Brian L. Roberts dated June 30, 2015 (incorporated by reference to Exhibit 99.1 to Comcast’s Current Report on Form 8-K filed on July 7, 2015).</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Termination Agreement, dated as of April 24, 2015, among Comcast Corporation and Time Warner Cable Inc. (incorporated by reference to Exhibit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 to Comcast’s Current Report on Form 8-K filed on April 24, 2015).</w:t>
      </w:r>
    </w:p>
    <w:p>
      <w:pPr>
        <w:spacing w:after="0" w:line="9" w:lineRule="exact"/>
        <w:rPr>
          <w:sz w:val="20"/>
          <w:szCs w:val="20"/>
          <w:color w:val="auto"/>
        </w:rPr>
      </w:pPr>
    </w:p>
    <w:p>
      <w:pPr>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Notice of Termination of the Transactions Agreement, dated as of April 24, 2015 (incorporated by reference to Exhibit 10.2 to Comcast’s Current Report on Form 8-K filed on April 24, 2015).</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Comcast Corporation 2005 Deferred Compensation Plan, as amended and restated effective May 20, 2015.</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six months ended June 30, 2015, filed with the Securities and Exchange Commission on July 23, 2015,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and six months ended June 30, 2015, filed with the Securities and Exchange Commission on July 23, 2015,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48">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46</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47</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48</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49</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50</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51</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20" w:type="dxa"/>
            <w:vAlign w:val="bottom"/>
            <w:gridSpan w:val="2"/>
          </w:tcPr>
          <w:p>
            <w:pPr>
              <w:jc w:val="right"/>
              <w:ind w:right="293"/>
              <w:spacing w:after="0"/>
              <w:rPr>
                <w:sz w:val="20"/>
                <w:szCs w:val="20"/>
                <w:color w:val="auto"/>
              </w:rPr>
            </w:pPr>
            <w:r>
              <w:rPr>
                <w:rFonts w:ascii="Arial" w:cs="Arial" w:eastAsia="Arial" w:hAnsi="Arial"/>
                <w:sz w:val="14"/>
                <w:szCs w:val="14"/>
                <w:color w:val="auto"/>
              </w:rPr>
              <w:t>June 30,</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74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3"/>
                <w:szCs w:val="13"/>
                <w:color w:val="auto"/>
              </w:rPr>
            </w:pPr>
          </w:p>
        </w:tc>
        <w:tc>
          <w:tcPr>
            <w:tcW w:w="800" w:type="dxa"/>
            <w:vAlign w:val="bottom"/>
          </w:tcPr>
          <w:p>
            <w:pPr>
              <w:jc w:val="right"/>
              <w:ind w:right="373"/>
              <w:spacing w:after="0" w:line="159" w:lineRule="exact"/>
              <w:rPr>
                <w:sz w:val="20"/>
                <w:szCs w:val="20"/>
                <w:color w:val="auto"/>
              </w:rPr>
            </w:pPr>
            <w:r>
              <w:rPr>
                <w:rFonts w:ascii="Arial" w:cs="Arial" w:eastAsia="Arial" w:hAnsi="Arial"/>
                <w:sz w:val="14"/>
                <w:szCs w:val="14"/>
                <w:color w:val="auto"/>
              </w:rPr>
              <w:t>2015</w:t>
            </w:r>
          </w:p>
        </w:tc>
        <w:tc>
          <w:tcPr>
            <w:tcW w:w="42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2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1,013</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5,548</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831</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668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8,060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5,744</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741</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$2,460 and $2,167</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8,325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14,950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$5,238 and $4,829</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13,820</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1,076</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3"/>
              </w:rPr>
              <w:t>52,716</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52,617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1,365</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1,583</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567</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1,345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Note payable to Comcast</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597</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1,021</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7,503</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8,222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20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1,203</w:t>
            </w:r>
          </w:p>
        </w:tc>
        <w:tc>
          <w:tcPr>
            <w:tcW w:w="4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3,828</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337</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Equity:</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31,553</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(186)</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20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31,367</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256</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0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w w:val="83"/>
              </w:rPr>
              <w:t>31,623</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30,637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3"/>
              </w:rPr>
              <w:t>52,716</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52,617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3"/>
          </w:tcPr>
          <w:p>
            <w:pPr>
              <w:jc w:val="right"/>
              <w:ind w:right="353"/>
              <w:spacing w:after="0"/>
              <w:rPr>
                <w:sz w:val="20"/>
                <w:szCs w:val="20"/>
                <w:color w:val="auto"/>
              </w:rPr>
            </w:pPr>
            <w:r>
              <w:rPr>
                <w:rFonts w:ascii="Arial" w:cs="Arial" w:eastAsia="Arial" w:hAnsi="Arial"/>
                <w:sz w:val="14"/>
                <w:szCs w:val="14"/>
                <w:color w:val="auto"/>
                <w:w w:val="90"/>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25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83"/>
              </w:rPr>
              <w:t>2015</w:t>
            </w:r>
          </w:p>
        </w:tc>
        <w:tc>
          <w:tcPr>
            <w:tcW w:w="10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89"/>
              </w:rPr>
              <w:t>2014</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w w:val="88"/>
              </w:rPr>
              <w:t>7,230</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3"/>
              </w:rPr>
              <w:t>6,016</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13,834</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w w:val="88"/>
              </w:rPr>
              <w:t>3,339</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3"/>
              </w:rPr>
              <w:t>2,742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6,510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tcPr>
          <w:p>
            <w:pPr>
              <w:spacing w:after="0"/>
              <w:rPr>
                <w:sz w:val="18"/>
                <w:szCs w:val="18"/>
                <w:color w:val="auto"/>
              </w:rPr>
            </w:pPr>
          </w:p>
        </w:tc>
        <w:tc>
          <w:tcPr>
            <w:tcW w:w="860" w:type="dxa"/>
            <w:vAlign w:val="bottom"/>
          </w:tcPr>
          <w:p>
            <w:pPr>
              <w:jc w:val="right"/>
              <w:ind w:right="355"/>
              <w:spacing w:after="0"/>
              <w:rPr>
                <w:sz w:val="20"/>
                <w:szCs w:val="20"/>
                <w:color w:val="auto"/>
              </w:rPr>
            </w:pPr>
            <w:r>
              <w:rPr>
                <w:rFonts w:ascii="Arial" w:cs="Arial" w:eastAsia="Arial" w:hAnsi="Arial"/>
                <w:sz w:val="18"/>
                <w:szCs w:val="18"/>
                <w:color w:val="auto"/>
                <w:w w:val="88"/>
              </w:rPr>
              <w:t>1,438</w:t>
            </w:r>
          </w:p>
        </w:tc>
        <w:tc>
          <w:tcPr>
            <w:tcW w:w="1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w w:val="93"/>
              </w:rPr>
              <w:t>1,340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2,772</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1,346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860" w:type="dxa"/>
            <w:vAlign w:val="bottom"/>
          </w:tcPr>
          <w:p>
            <w:pPr>
              <w:jc w:val="right"/>
              <w:ind w:right="355"/>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w w:val="88"/>
              </w:rPr>
              <w:t>5,923</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3"/>
              </w:rPr>
              <w:t>4,952</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11,397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10,882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w w:val="88"/>
              </w:rPr>
              <w:t>1,307</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3"/>
              </w:rPr>
              <w:t>1,064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2,437</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(464)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860" w:type="dxa"/>
            <w:vAlign w:val="bottom"/>
          </w:tcPr>
          <w:p>
            <w:pPr>
              <w:jc w:val="right"/>
              <w:ind w:right="355"/>
              <w:spacing w:after="0"/>
              <w:rPr>
                <w:sz w:val="20"/>
                <w:szCs w:val="20"/>
                <w:color w:val="auto"/>
              </w:rPr>
            </w:pPr>
            <w:r>
              <w:rPr>
                <w:rFonts w:ascii="Arial" w:cs="Arial" w:eastAsia="Arial" w:hAnsi="Arial"/>
                <w:sz w:val="18"/>
                <w:szCs w:val="18"/>
                <w:color w:val="auto"/>
                <w:w w:val="88"/>
              </w:rPr>
              <w:t>1,007</w:t>
            </w:r>
          </w:p>
        </w:tc>
        <w:tc>
          <w:tcPr>
            <w:tcW w:w="1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916</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860" w:type="dxa"/>
            <w:vAlign w:val="bottom"/>
          </w:tcPr>
          <w:p>
            <w:pPr>
              <w:jc w:val="right"/>
              <w:ind w:right="355"/>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842</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1,862</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912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1,764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1,496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3"/>
          </w:tcPr>
          <w:p>
            <w:pPr>
              <w:jc w:val="right"/>
              <w:ind w:right="415"/>
              <w:spacing w:after="0"/>
              <w:rPr>
                <w:sz w:val="20"/>
                <w:szCs w:val="20"/>
                <w:color w:val="auto"/>
              </w:rPr>
            </w:pPr>
            <w:r>
              <w:rPr>
                <w:rFonts w:ascii="Arial" w:cs="Arial" w:eastAsia="Arial" w:hAnsi="Arial"/>
                <w:sz w:val="14"/>
                <w:szCs w:val="14"/>
                <w:color w:val="auto"/>
                <w:w w:val="94"/>
              </w:rPr>
              <w:t>Three Months Ended</w:t>
            </w:r>
          </w:p>
        </w:tc>
        <w:tc>
          <w:tcPr>
            <w:tcW w:w="1840" w:type="dxa"/>
            <w:vAlign w:val="bottom"/>
            <w:gridSpan w:val="2"/>
          </w:tcPr>
          <w:p>
            <w:pPr>
              <w:jc w:val="right"/>
              <w:ind w:right="27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8"/>
              <w:spacing w:after="0" w:line="142" w:lineRule="exact"/>
              <w:rPr>
                <w:sz w:val="20"/>
                <w:szCs w:val="20"/>
                <w:color w:val="auto"/>
              </w:rPr>
            </w:pPr>
            <w:r>
              <w:rPr>
                <w:rFonts w:ascii="Arial" w:cs="Arial" w:eastAsia="Arial" w:hAnsi="Arial"/>
                <w:sz w:val="14"/>
                <w:szCs w:val="14"/>
                <w:color w:val="auto"/>
                <w:w w:val="89"/>
              </w:rPr>
              <w:t>2015</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color w:val="auto"/>
                <w:w w:val="83"/>
              </w:rPr>
              <w:t>2014</w:t>
            </w:r>
          </w:p>
        </w:tc>
        <w:tc>
          <w:tcPr>
            <w:tcW w:w="120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73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418"/>
              <w:spacing w:after="0"/>
              <w:rPr>
                <w:sz w:val="20"/>
                <w:szCs w:val="20"/>
                <w:color w:val="auto"/>
              </w:rPr>
            </w:pPr>
            <w:r>
              <w:rPr>
                <w:rFonts w:ascii="Arial" w:cs="Arial" w:eastAsia="Arial" w:hAnsi="Arial"/>
                <w:sz w:val="18"/>
                <w:szCs w:val="18"/>
                <w:color w:val="auto"/>
              </w:rPr>
              <w:t>944</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842</w:t>
            </w:r>
          </w:p>
        </w:tc>
        <w:tc>
          <w:tcPr>
            <w:tcW w:w="120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$ 1,862</w:t>
            </w:r>
          </w:p>
        </w:tc>
        <w:tc>
          <w:tcPr>
            <w:tcW w:w="6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86"/>
              </w:rPr>
              <w:t>$ 1,583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Unrealized gains (losses) on marketable securities, net</w:t>
            </w:r>
          </w:p>
        </w:tc>
        <w:tc>
          <w:tcPr>
            <w:tcW w:w="520" w:type="dxa"/>
            <w:vAlign w:val="bottom"/>
          </w:tcPr>
          <w:p>
            <w:pPr>
              <w:spacing w:after="0"/>
              <w:rPr>
                <w:sz w:val="18"/>
                <w:szCs w:val="18"/>
                <w:color w:val="auto"/>
              </w:rPr>
            </w:pPr>
          </w:p>
        </w:tc>
        <w:tc>
          <w:tcPr>
            <w:tcW w:w="92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ind w:right="195"/>
              <w:spacing w:after="0"/>
              <w:rPr>
                <w:sz w:val="20"/>
                <w:szCs w:val="20"/>
                <w:color w:val="auto"/>
              </w:rPr>
            </w:pPr>
            <w:r>
              <w:rPr>
                <w:rFonts w:ascii="Arial" w:cs="Arial" w:eastAsia="Arial" w:hAnsi="Arial"/>
                <w:sz w:val="18"/>
                <w:szCs w:val="18"/>
                <w:color w:val="auto"/>
              </w:rPr>
              <w:t>5</w:t>
            </w:r>
          </w:p>
        </w:tc>
        <w:tc>
          <w:tcPr>
            <w:tcW w:w="120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0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(18)</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w:t>
            </w:r>
          </w:p>
        </w:tc>
        <w:tc>
          <w:tcPr>
            <w:tcW w:w="12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(6)</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(21)</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730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18"/>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860</w:t>
            </w:r>
          </w:p>
        </w:tc>
        <w:tc>
          <w:tcPr>
            <w:tcW w:w="120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1,835</w:t>
            </w:r>
          </w:p>
        </w:tc>
        <w:tc>
          <w:tcPr>
            <w:tcW w:w="6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(98)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7"/>
        </w:trPr>
        <w:tc>
          <w:tcPr>
            <w:tcW w:w="7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b w:val="1"/>
                <w:bCs w:val="1"/>
                <w:color w:val="auto"/>
              </w:rPr>
              <w:t>936</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832</w:t>
            </w:r>
          </w:p>
        </w:tc>
        <w:tc>
          <w:tcPr>
            <w:tcW w:w="1200" w:type="dxa"/>
            <w:vAlign w:val="bottom"/>
            <w:tcBorders>
              <w:bottom w:val="single" w:sz="8" w:color="auto"/>
            </w:tcBorders>
            <w:shd w:val="clear" w:color="auto" w:fill="E5E5E5"/>
          </w:tcPr>
          <w:p>
            <w:pPr>
              <w:jc w:val="right"/>
              <w:ind w:right="338"/>
              <w:spacing w:after="0"/>
              <w:rPr>
                <w:sz w:val="20"/>
                <w:szCs w:val="20"/>
                <w:color w:val="auto"/>
              </w:rPr>
            </w:pPr>
            <w:r>
              <w:rPr>
                <w:rFonts w:ascii="Arial" w:cs="Arial" w:eastAsia="Arial" w:hAnsi="Arial"/>
                <w:sz w:val="18"/>
                <w:szCs w:val="18"/>
                <w:b w:val="1"/>
                <w:bCs w:val="1"/>
                <w:color w:val="auto"/>
              </w:rPr>
              <w:t>$ 1,737</w:t>
            </w:r>
          </w:p>
        </w:tc>
        <w:tc>
          <w:tcPr>
            <w:tcW w:w="6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w w:val="86"/>
              </w:rPr>
              <w:t>$ 1,517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3"/>
          </w:tcPr>
          <w:p>
            <w:pPr>
              <w:jc w:val="right"/>
              <w:ind w:right="33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20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8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top w:val="single" w:sz="8" w:color="auto"/>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$ 2,621</w:t>
            </w:r>
          </w:p>
        </w:tc>
        <w:tc>
          <w:tcPr>
            <w:tcW w:w="2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7"/>
              </w:rPr>
              <w:t>1,789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(470)</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(repayments of) borrowings from Comcast, net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member</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(2,386)</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(1,086)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$ 1,013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827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Changes in Equity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488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514"/>
              <w:spacing w:after="0" w:line="149" w:lineRule="exact"/>
              <w:rPr>
                <w:sz w:val="20"/>
                <w:szCs w:val="20"/>
                <w:color w:val="auto"/>
              </w:rPr>
            </w:pPr>
            <w:r>
              <w:rPr>
                <w:rFonts w:ascii="Arial" w:cs="Arial" w:eastAsia="Arial" w:hAnsi="Arial"/>
                <w:sz w:val="14"/>
                <w:szCs w:val="14"/>
                <w:color w:val="auto"/>
              </w:rPr>
              <w:t>Redeemable</w:t>
            </w:r>
          </w:p>
        </w:tc>
        <w:tc>
          <w:tcPr>
            <w:tcW w:w="1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ind w:right="315"/>
              <w:spacing w:after="0" w:line="149" w:lineRule="exact"/>
              <w:rPr>
                <w:sz w:val="20"/>
                <w:szCs w:val="20"/>
                <w:color w:val="auto"/>
              </w:rPr>
            </w:pPr>
            <w:r>
              <w:rPr>
                <w:rFonts w:ascii="Arial" w:cs="Arial" w:eastAsia="Arial" w:hAnsi="Arial"/>
                <w:sz w:val="14"/>
                <w:szCs w:val="14"/>
                <w:color w:val="auto"/>
                <w:w w:val="91"/>
              </w:rPr>
              <w:t>Other</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880" w:type="dxa"/>
            <w:vAlign w:val="bottom"/>
          </w:tcPr>
          <w:p>
            <w:pPr>
              <w:spacing w:after="0"/>
              <w:rPr>
                <w:sz w:val="12"/>
                <w:szCs w:val="12"/>
                <w:color w:val="auto"/>
              </w:rPr>
            </w:pPr>
          </w:p>
        </w:tc>
        <w:tc>
          <w:tcPr>
            <w:tcW w:w="1640" w:type="dxa"/>
            <w:vAlign w:val="bottom"/>
            <w:tcBorders>
              <w:right w:val="single" w:sz="8" w:color="auto"/>
            </w:tcBorders>
            <w:gridSpan w:val="2"/>
          </w:tcPr>
          <w:p>
            <w:pPr>
              <w:ind w:left="300"/>
              <w:spacing w:after="0" w:line="149" w:lineRule="exact"/>
              <w:rPr>
                <w:sz w:val="20"/>
                <w:szCs w:val="20"/>
                <w:color w:val="auto"/>
              </w:rPr>
            </w:pPr>
            <w:r>
              <w:rPr>
                <w:rFonts w:ascii="Arial" w:cs="Arial" w:eastAsia="Arial" w:hAnsi="Arial"/>
                <w:sz w:val="14"/>
                <w:szCs w:val="14"/>
                <w:color w:val="auto"/>
              </w:rPr>
              <w:t>Noncontrolling</w:t>
            </w:r>
          </w:p>
        </w:tc>
        <w:tc>
          <w:tcPr>
            <w:tcW w:w="146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Member’s</w:t>
            </w:r>
          </w:p>
        </w:tc>
        <w:tc>
          <w:tcPr>
            <w:tcW w:w="1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Comprehensive</w:t>
            </w:r>
          </w:p>
        </w:tc>
        <w:tc>
          <w:tcPr>
            <w:tcW w:w="1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614"/>
              <w:spacing w:after="0" w:line="159" w:lineRule="exact"/>
              <w:rPr>
                <w:sz w:val="20"/>
                <w:szCs w:val="20"/>
                <w:color w:val="auto"/>
              </w:rPr>
            </w:pPr>
            <w:r>
              <w:rPr>
                <w:rFonts w:ascii="Arial" w:cs="Arial" w:eastAsia="Arial" w:hAnsi="Arial"/>
                <w:sz w:val="14"/>
                <w:szCs w:val="14"/>
                <w:color w:val="auto"/>
                <w:w w:val="93"/>
              </w:rPr>
              <w:t>Interests</w:t>
            </w:r>
          </w:p>
        </w:tc>
        <w:tc>
          <w:tcPr>
            <w:tcW w:w="1460" w:type="dxa"/>
            <w:vAlign w:val="bottom"/>
            <w:tcBorders>
              <w:bottom w:val="single" w:sz="8" w:color="auto"/>
            </w:tcBorders>
          </w:tcPr>
          <w:p>
            <w:pPr>
              <w:jc w:val="right"/>
              <w:ind w:right="235"/>
              <w:spacing w:after="0" w:line="159" w:lineRule="exact"/>
              <w:rPr>
                <w:sz w:val="20"/>
                <w:szCs w:val="20"/>
                <w:color w:val="auto"/>
              </w:rPr>
            </w:pPr>
            <w:r>
              <w:rPr>
                <w:rFonts w:ascii="Arial" w:cs="Arial" w:eastAsia="Arial" w:hAnsi="Arial"/>
                <w:sz w:val="14"/>
                <w:szCs w:val="14"/>
                <w:color w:val="auto"/>
              </w:rPr>
              <w:t>Capital</w:t>
            </w:r>
          </w:p>
        </w:tc>
        <w:tc>
          <w:tcPr>
            <w:tcW w:w="12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4"/>
                <w:szCs w:val="14"/>
                <w:color w:val="auto"/>
                <w:w w:val="89"/>
              </w:rPr>
              <w:t>Interests</w:t>
            </w:r>
          </w:p>
        </w:tc>
        <w:tc>
          <w:tcPr>
            <w:tcW w:w="960" w:type="dxa"/>
            <w:vAlign w:val="bottom"/>
            <w:tcBorders>
              <w:bottom w:val="single" w:sz="8" w:color="auto"/>
            </w:tcBorders>
            <w:gridSpan w:val="2"/>
          </w:tcPr>
          <w:p>
            <w:pPr>
              <w:ind w:left="18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2013</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231</w:t>
            </w:r>
          </w:p>
        </w:tc>
        <w:tc>
          <w:tcPr>
            <w:tcW w:w="14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$29,056</w:t>
            </w:r>
          </w:p>
        </w:tc>
        <w:tc>
          <w:tcPr>
            <w:tcW w:w="3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(16)</w:t>
            </w:r>
          </w:p>
        </w:tc>
        <w:tc>
          <w:tcPr>
            <w:tcW w:w="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29,327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Issuance of subsidiary shares to noncontrolling interests</w:t>
            </w:r>
          </w:p>
        </w:tc>
        <w:tc>
          <w:tcPr>
            <w:tcW w:w="420" w:type="dxa"/>
            <w:vAlign w:val="bottom"/>
          </w:tcPr>
          <w:p>
            <w:pPr>
              <w:spacing w:after="0"/>
              <w:rPr>
                <w:sz w:val="18"/>
                <w:szCs w:val="18"/>
                <w:color w:val="auto"/>
              </w:rPr>
            </w:pPr>
          </w:p>
        </w:tc>
        <w:tc>
          <w:tcPr>
            <w:tcW w:w="1220" w:type="dxa"/>
            <w:vAlign w:val="bottom"/>
            <w:tcBorders>
              <w:right w:val="single" w:sz="8" w:color="auto"/>
            </w:tcBorders>
          </w:tcPr>
          <w:p>
            <w:pPr>
              <w:jc w:val="right"/>
              <w:ind w:right="434"/>
              <w:spacing w:after="0"/>
              <w:rPr>
                <w:sz w:val="20"/>
                <w:szCs w:val="20"/>
                <w:color w:val="auto"/>
              </w:rPr>
            </w:pPr>
            <w:r>
              <w:rPr>
                <w:rFonts w:ascii="Arial" w:cs="Arial" w:eastAsia="Arial" w:hAnsi="Arial"/>
                <w:sz w:val="18"/>
                <w:szCs w:val="18"/>
                <w:color w:val="auto"/>
              </w:rPr>
              <w:t>85</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20" w:type="dxa"/>
            <w:vAlign w:val="bottom"/>
            <w:shd w:val="clear" w:color="auto" w:fill="E5E5E5"/>
          </w:tcPr>
          <w:p>
            <w:pPr>
              <w:spacing w:after="0"/>
              <w:rPr>
                <w:sz w:val="18"/>
                <w:szCs w:val="18"/>
                <w:color w:val="auto"/>
              </w:rPr>
            </w:pPr>
          </w:p>
        </w:tc>
        <w:tc>
          <w:tcPr>
            <w:tcW w:w="1220" w:type="dxa"/>
            <w:vAlign w:val="bottom"/>
            <w:tcBorders>
              <w:right w:val="single" w:sz="8" w:color="auto"/>
            </w:tcBorders>
            <w:shd w:val="clear" w:color="auto" w:fill="E5E5E5"/>
          </w:tcPr>
          <w:p>
            <w:pPr>
              <w:spacing w:after="0"/>
              <w:rPr>
                <w:sz w:val="18"/>
                <w:szCs w:val="18"/>
                <w:color w:val="auto"/>
              </w:rPr>
            </w:pPr>
          </w:p>
        </w:tc>
        <w:tc>
          <w:tcPr>
            <w:tcW w:w="14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420" w:type="dxa"/>
            <w:vAlign w:val="bottom"/>
          </w:tcPr>
          <w:p>
            <w:pPr>
              <w:spacing w:after="0"/>
              <w:rPr>
                <w:sz w:val="18"/>
                <w:szCs w:val="18"/>
                <w:color w:val="auto"/>
              </w:rPr>
            </w:pPr>
          </w:p>
        </w:tc>
        <w:tc>
          <w:tcPr>
            <w:tcW w:w="1220" w:type="dxa"/>
            <w:vAlign w:val="bottom"/>
            <w:tcBorders>
              <w:right w:val="single" w:sz="8" w:color="auto"/>
            </w:tcBorders>
          </w:tcPr>
          <w:p>
            <w:pPr>
              <w:jc w:val="right"/>
              <w:ind w:right="374"/>
              <w:spacing w:after="0"/>
              <w:rPr>
                <w:sz w:val="20"/>
                <w:szCs w:val="20"/>
                <w:color w:val="auto"/>
              </w:rPr>
            </w:pPr>
            <w:r>
              <w:rPr>
                <w:rFonts w:ascii="Arial" w:cs="Arial" w:eastAsia="Arial" w:hAnsi="Arial"/>
                <w:sz w:val="18"/>
                <w:szCs w:val="18"/>
                <w:color w:val="auto"/>
              </w:rPr>
              <w:t>(13)</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E5E5E5"/>
          </w:tcPr>
          <w:p>
            <w:pPr>
              <w:spacing w:after="0"/>
              <w:rPr>
                <w:sz w:val="18"/>
                <w:szCs w:val="18"/>
                <w:color w:val="auto"/>
              </w:rPr>
            </w:pPr>
          </w:p>
        </w:tc>
        <w:tc>
          <w:tcPr>
            <w:tcW w:w="1220" w:type="dxa"/>
            <w:vAlign w:val="bottom"/>
            <w:tcBorders>
              <w:right w:val="single" w:sz="8" w:color="auto"/>
            </w:tcBorders>
            <w:shd w:val="clear" w:color="auto" w:fill="E5E5E5"/>
          </w:tcPr>
          <w:p>
            <w:pPr>
              <w:spacing w:after="0"/>
              <w:rPr>
                <w:sz w:val="18"/>
                <w:szCs w:val="18"/>
                <w:color w:val="auto"/>
              </w:rPr>
            </w:pPr>
          </w:p>
        </w:tc>
        <w:tc>
          <w:tcPr>
            <w:tcW w:w="14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right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16</w:t>
            </w:r>
          </w:p>
        </w:tc>
        <w:tc>
          <w:tcPr>
            <w:tcW w:w="14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1,496</w:t>
            </w:r>
          </w:p>
        </w:tc>
        <w:tc>
          <w:tcPr>
            <w:tcW w:w="3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71</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1,567</w:t>
            </w:r>
          </w:p>
        </w:tc>
      </w:tr>
      <w:tr>
        <w:trPr>
          <w:trHeight w:val="21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2014</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319</w:t>
            </w: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$29,734</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280</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30,019</w:t>
            </w: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330</w:t>
            </w:r>
          </w:p>
        </w:tc>
        <w:tc>
          <w:tcPr>
            <w:tcW w:w="14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$30,529</w:t>
            </w:r>
          </w:p>
        </w:tc>
        <w:tc>
          <w:tcPr>
            <w:tcW w:w="3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30,637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420" w:type="dxa"/>
            <w:vAlign w:val="bottom"/>
            <w:shd w:val="clear" w:color="auto" w:fill="E5E5E5"/>
          </w:tcPr>
          <w:p>
            <w:pPr>
              <w:spacing w:after="0"/>
              <w:rPr>
                <w:sz w:val="18"/>
                <w:szCs w:val="18"/>
                <w:color w:val="auto"/>
              </w:rPr>
            </w:pPr>
          </w:p>
        </w:tc>
        <w:tc>
          <w:tcPr>
            <w:tcW w:w="1220" w:type="dxa"/>
            <w:vAlign w:val="bottom"/>
            <w:tcBorders>
              <w:right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(79)</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Contribution from member</w:t>
            </w:r>
          </w:p>
        </w:tc>
        <w:tc>
          <w:tcPr>
            <w:tcW w:w="4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252</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252</w:t>
            </w: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420" w:type="dxa"/>
            <w:vAlign w:val="bottom"/>
            <w:shd w:val="clear" w:color="auto" w:fill="E5E5E5"/>
          </w:tcPr>
          <w:p>
            <w:pPr>
              <w:spacing w:after="0"/>
              <w:rPr>
                <w:sz w:val="18"/>
                <w:szCs w:val="18"/>
                <w:color w:val="auto"/>
              </w:rPr>
            </w:pPr>
          </w:p>
        </w:tc>
        <w:tc>
          <w:tcPr>
            <w:tcW w:w="1220" w:type="dxa"/>
            <w:vAlign w:val="bottom"/>
            <w:tcBorders>
              <w:right w:val="single" w:sz="8" w:color="auto"/>
            </w:tcBorders>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(27)</w:t>
            </w:r>
          </w:p>
        </w:tc>
        <w:tc>
          <w:tcPr>
            <w:tcW w:w="3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right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21</w:t>
            </w:r>
          </w:p>
        </w:tc>
        <w:tc>
          <w:tcPr>
            <w:tcW w:w="14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1,764</w:t>
            </w:r>
          </w:p>
        </w:tc>
        <w:tc>
          <w:tcPr>
            <w:tcW w:w="3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1,841</w:t>
            </w:r>
          </w:p>
        </w:tc>
      </w:tr>
      <w:tr>
        <w:trPr>
          <w:trHeight w:val="21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2015</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337</w:t>
            </w: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$31,553</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(186)</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256</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31,623</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2014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In July 2015, FASB voted to defer the effective date by one year to December 15, 2017 for annual reporting periods beginning after that date.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April 2015, FASB updated the accounting guidance related to the balance sheet presentation of debt issuance costs. The updated accounting guidance requires that debt issuance costs be presented as a direct deduction from the associated debt liability. The updated accounting guidance will be effective for us on January 1, 2016, and early adoption is permitted. The updated accounting guidance will be applied retrospectively to all prior periods presented. The updated accounting guidance will not have a material impact on our consolidated balance sheet.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 is also the counterparty to one of our contractual obligations. As of June 30, 2015, the carrying value of the liability associated with this contractual obligation was $383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580"/>
              <w:spacing w:after="0"/>
              <w:rPr>
                <w:sz w:val="20"/>
                <w:szCs w:val="20"/>
                <w:color w:val="auto"/>
              </w:rPr>
            </w:pPr>
            <w:r>
              <w:rPr>
                <w:rFonts w:ascii="Arial" w:cs="Arial" w:eastAsia="Arial" w:hAnsi="Arial"/>
                <w:sz w:val="14"/>
                <w:szCs w:val="14"/>
                <w:color w:val="auto"/>
              </w:rPr>
              <w:t>June 30,</w:t>
            </w:r>
          </w:p>
        </w:tc>
        <w:tc>
          <w:tcPr>
            <w:tcW w:w="1460" w:type="dxa"/>
            <w:vAlign w:val="bottom"/>
            <w:gridSpan w:val="3"/>
          </w:tcPr>
          <w:p>
            <w:pPr>
              <w:ind w:left="600"/>
              <w:spacing w:after="0"/>
              <w:rPr>
                <w:sz w:val="20"/>
                <w:szCs w:val="20"/>
                <w:color w:val="auto"/>
              </w:rPr>
            </w:pPr>
            <w:r>
              <w:rPr>
                <w:rFonts w:ascii="Arial" w:cs="Arial" w:eastAsia="Arial" w:hAnsi="Arial"/>
                <w:sz w:val="14"/>
                <w:szCs w:val="14"/>
                <w:color w:val="auto"/>
                <w:w w:val="95"/>
              </w:rPr>
              <w:t>December 31,</w:t>
            </w:r>
          </w:p>
        </w:tc>
      </w:tr>
      <w:tr>
        <w:trPr>
          <w:trHeight w:val="159"/>
        </w:trPr>
        <w:tc>
          <w:tcPr>
            <w:tcW w:w="5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5"/>
              <w:spacing w:after="0" w:line="159" w:lineRule="exact"/>
              <w:rPr>
                <w:sz w:val="20"/>
                <w:szCs w:val="20"/>
                <w:color w:val="auto"/>
              </w:rPr>
            </w:pPr>
            <w:r>
              <w:rPr>
                <w:rFonts w:ascii="Arial" w:cs="Arial" w:eastAsia="Arial" w:hAnsi="Arial"/>
                <w:sz w:val="14"/>
                <w:szCs w:val="14"/>
                <w:color w:val="auto"/>
                <w:w w:val="83"/>
              </w:rPr>
              <w:t>2015</w:t>
            </w:r>
          </w:p>
        </w:tc>
        <w:tc>
          <w:tcPr>
            <w:tcW w:w="8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w w:val="96"/>
              </w:rPr>
              <w:t>2014</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55"/>
              <w:spacing w:after="0"/>
              <w:rPr>
                <w:sz w:val="20"/>
                <w:szCs w:val="20"/>
                <w:color w:val="auto"/>
              </w:rPr>
            </w:pPr>
            <w:r>
              <w:rPr>
                <w:rFonts w:ascii="Arial" w:cs="Arial" w:eastAsia="Arial" w:hAnsi="Arial"/>
                <w:sz w:val="18"/>
                <w:szCs w:val="18"/>
                <w:color w:val="auto"/>
              </w:rPr>
              <w:t>236</w:t>
            </w:r>
          </w:p>
        </w:tc>
        <w:tc>
          <w:tcPr>
            <w:tcW w:w="80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229</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1"/>
              </w:rPr>
              <w:t>Accounts payable and accrued expenses related to trade creditors</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34</w:t>
            </w:r>
          </w:p>
        </w:tc>
        <w:tc>
          <w:tcPr>
            <w:tcW w:w="80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55"/>
              <w:spacing w:after="0"/>
              <w:rPr>
                <w:sz w:val="20"/>
                <w:szCs w:val="20"/>
                <w:color w:val="auto"/>
              </w:rPr>
            </w:pPr>
            <w:r>
              <w:rPr>
                <w:rFonts w:ascii="Arial" w:cs="Arial" w:eastAsia="Arial" w:hAnsi="Arial"/>
                <w:sz w:val="18"/>
                <w:szCs w:val="18"/>
                <w:color w:val="auto"/>
              </w:rPr>
              <w:t>6</w:t>
            </w:r>
          </w:p>
        </w:tc>
        <w:tc>
          <w:tcPr>
            <w:tcW w:w="80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payable to Comcast</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597</w:t>
            </w:r>
          </w:p>
        </w:tc>
        <w:tc>
          <w:tcPr>
            <w:tcW w:w="80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865</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noncurrent liabilities</w:t>
            </w:r>
          </w:p>
        </w:tc>
        <w:tc>
          <w:tcPr>
            <w:tcW w:w="1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411</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383</w:t>
            </w:r>
          </w:p>
        </w:tc>
      </w:tr>
      <w:tr>
        <w:trPr>
          <w:trHeight w:val="397"/>
        </w:trPr>
        <w:tc>
          <w:tcPr>
            <w:tcW w:w="7760" w:type="dxa"/>
            <w:vAlign w:val="bottom"/>
            <w:gridSpan w:val="3"/>
          </w:tcPr>
          <w:p>
            <w:pPr>
              <w:jc w:val="center"/>
              <w:ind w:left="3573"/>
              <w:spacing w:after="0"/>
              <w:rPr>
                <w:sz w:val="20"/>
                <w:szCs w:val="20"/>
                <w:color w:val="auto"/>
              </w:rPr>
            </w:pPr>
            <w:r>
              <w:rPr>
                <w:rFonts w:ascii="Arial" w:cs="Arial" w:eastAsia="Arial" w:hAnsi="Arial"/>
                <w:sz w:val="18"/>
                <w:szCs w:val="18"/>
                <w:b w:val="1"/>
                <w:bCs w:val="1"/>
                <w:color w:val="auto"/>
                <w:w w:val="97"/>
              </w:rPr>
              <w:t>Condensed Consolidated Statement of Income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5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00" w:type="dxa"/>
            <w:vAlign w:val="bottom"/>
            <w:gridSpan w:val="3"/>
          </w:tcPr>
          <w:p>
            <w:pPr>
              <w:jc w:val="right"/>
              <w:ind w:right="357"/>
              <w:spacing w:after="0"/>
              <w:rPr>
                <w:sz w:val="20"/>
                <w:szCs w:val="20"/>
                <w:color w:val="auto"/>
              </w:rPr>
            </w:pPr>
            <w:r>
              <w:rPr>
                <w:rFonts w:ascii="Arial" w:cs="Arial" w:eastAsia="Arial" w:hAnsi="Arial"/>
                <w:sz w:val="14"/>
                <w:szCs w:val="14"/>
                <w:color w:val="auto"/>
                <w:w w:val="94"/>
              </w:rPr>
              <w:t>Three Months Ended</w:t>
            </w:r>
          </w:p>
        </w:tc>
        <w:tc>
          <w:tcPr>
            <w:tcW w:w="500" w:type="dxa"/>
            <w:vAlign w:val="bottom"/>
          </w:tcPr>
          <w:p>
            <w:pPr>
              <w:spacing w:after="0"/>
              <w:rPr>
                <w:sz w:val="22"/>
                <w:szCs w:val="22"/>
                <w:color w:val="auto"/>
              </w:rPr>
            </w:pPr>
          </w:p>
        </w:tc>
        <w:tc>
          <w:tcPr>
            <w:tcW w:w="1460" w:type="dxa"/>
            <w:vAlign w:val="bottom"/>
            <w:gridSpan w:val="3"/>
          </w:tcPr>
          <w:p>
            <w:pPr>
              <w:jc w:val="right"/>
              <w:ind w:right="313"/>
              <w:spacing w:after="0"/>
              <w:rPr>
                <w:sz w:val="20"/>
                <w:szCs w:val="20"/>
                <w:color w:val="auto"/>
              </w:rPr>
            </w:pPr>
            <w:r>
              <w:rPr>
                <w:rFonts w:ascii="Arial" w:cs="Arial" w:eastAsia="Arial" w:hAnsi="Arial"/>
                <w:sz w:val="14"/>
                <w:szCs w:val="14"/>
                <w:color w:val="auto"/>
                <w:w w:val="91"/>
              </w:rPr>
              <w:t>Six Months Ended</w:t>
            </w:r>
          </w:p>
        </w:tc>
      </w:tr>
      <w:tr>
        <w:trPr>
          <w:trHeight w:val="172"/>
        </w:trPr>
        <w:tc>
          <w:tcPr>
            <w:tcW w:w="5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w w:val="84"/>
              </w:rPr>
              <w:t>June 30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43"/>
        </w:trPr>
        <w:tc>
          <w:tcPr>
            <w:tcW w:w="53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2"/>
              <w:spacing w:after="0" w:line="143" w:lineRule="exact"/>
              <w:rPr>
                <w:sz w:val="20"/>
                <w:szCs w:val="20"/>
                <w:color w:val="auto"/>
              </w:rPr>
            </w:pPr>
            <w:r>
              <w:rPr>
                <w:rFonts w:ascii="Arial" w:cs="Arial" w:eastAsia="Arial" w:hAnsi="Arial"/>
                <w:sz w:val="14"/>
                <w:szCs w:val="14"/>
                <w:color w:val="auto"/>
                <w:w w:val="89"/>
              </w:rPr>
              <w:t>2015</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color w:val="auto"/>
              </w:rPr>
              <w:t>2014</w:t>
            </w:r>
          </w:p>
        </w:tc>
        <w:tc>
          <w:tcPr>
            <w:tcW w:w="1300" w:type="dxa"/>
            <w:vAlign w:val="bottom"/>
            <w:tcBorders>
              <w:bottom w:val="single" w:sz="8" w:color="auto"/>
            </w:tcBorders>
            <w:gridSpan w:val="2"/>
          </w:tcPr>
          <w:p>
            <w:pPr>
              <w:jc w:val="right"/>
              <w:ind w:right="538"/>
              <w:spacing w:after="0" w:line="143"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3" w:lineRule="exact"/>
              <w:rPr>
                <w:sz w:val="20"/>
                <w:szCs w:val="20"/>
                <w:color w:val="auto"/>
              </w:rPr>
            </w:pPr>
            <w:r>
              <w:rPr>
                <w:rFonts w:ascii="Arial" w:cs="Arial" w:eastAsia="Arial" w:hAnsi="Arial"/>
                <w:sz w:val="14"/>
                <w:szCs w:val="14"/>
                <w:color w:val="auto"/>
                <w:w w:val="89"/>
              </w:rPr>
              <w:t>2014</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02"/>
              <w:spacing w:after="0"/>
              <w:rPr>
                <w:sz w:val="20"/>
                <w:szCs w:val="20"/>
                <w:color w:val="auto"/>
              </w:rPr>
            </w:pPr>
            <w:r>
              <w:rPr>
                <w:rFonts w:ascii="Arial" w:cs="Arial" w:eastAsia="Arial" w:hAnsi="Arial"/>
                <w:sz w:val="18"/>
                <w:szCs w:val="18"/>
                <w:color w:val="auto"/>
              </w:rPr>
              <w:t>330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37"/>
              <w:spacing w:after="0"/>
              <w:rPr>
                <w:sz w:val="20"/>
                <w:szCs w:val="20"/>
                <w:color w:val="auto"/>
              </w:rPr>
            </w:pPr>
            <w:r>
              <w:rPr>
                <w:rFonts w:ascii="Arial" w:cs="Arial" w:eastAsia="Arial" w:hAnsi="Arial"/>
                <w:sz w:val="18"/>
                <w:szCs w:val="18"/>
                <w:color w:val="auto"/>
              </w:rPr>
              <w:t>331</w:t>
            </w:r>
          </w:p>
        </w:tc>
        <w:tc>
          <w:tcPr>
            <w:tcW w:w="5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8"/>
              <w:spacing w:after="0"/>
              <w:rPr>
                <w:sz w:val="20"/>
                <w:szCs w:val="20"/>
                <w:color w:val="auto"/>
              </w:rPr>
            </w:pPr>
            <w:r>
              <w:rPr>
                <w:rFonts w:ascii="Arial" w:cs="Arial" w:eastAsia="Arial" w:hAnsi="Arial"/>
                <w:sz w:val="18"/>
                <w:szCs w:val="18"/>
                <w:color w:val="auto"/>
                <w:w w:val="99"/>
              </w:rPr>
              <w:t>672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685</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24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4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(40)</w:t>
            </w:r>
          </w:p>
        </w:tc>
        <w:tc>
          <w:tcPr>
            <w:tcW w:w="5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(93)</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2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436"/>
        </w:trPr>
        <w:tc>
          <w:tcPr>
            <w:tcW w:w="5320" w:type="dxa"/>
            <w:vAlign w:val="bottom"/>
          </w:tcPr>
          <w:p>
            <w:pPr>
              <w:spacing w:after="0"/>
              <w:rPr>
                <w:sz w:val="20"/>
                <w:szCs w:val="20"/>
                <w:color w:val="auto"/>
              </w:rPr>
            </w:pPr>
            <w:r>
              <w:rPr>
                <w:rFonts w:ascii="Arial" w:cs="Arial" w:eastAsia="Arial" w:hAnsi="Arial"/>
                <w:sz w:val="22"/>
                <w:szCs w:val="22"/>
                <w:b w:val="1"/>
                <w:bCs w:val="1"/>
                <w:color w:val="auto"/>
              </w:rPr>
              <w:t>Note 4: Film and Television Costs</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3"/>
        </w:trPr>
        <w:tc>
          <w:tcPr>
            <w:tcW w:w="5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1460" w:type="dxa"/>
            <w:vAlign w:val="bottom"/>
            <w:gridSpan w:val="3"/>
          </w:tcPr>
          <w:p>
            <w:pPr>
              <w:ind w:left="600"/>
              <w:spacing w:after="0"/>
              <w:rPr>
                <w:sz w:val="20"/>
                <w:szCs w:val="20"/>
                <w:color w:val="auto"/>
              </w:rPr>
            </w:pPr>
            <w:r>
              <w:rPr>
                <w:rFonts w:ascii="Arial" w:cs="Arial" w:eastAsia="Arial" w:hAnsi="Arial"/>
                <w:sz w:val="14"/>
                <w:szCs w:val="14"/>
                <w:color w:val="auto"/>
                <w:w w:val="95"/>
              </w:rPr>
              <w:t>December 31,</w:t>
            </w:r>
          </w:p>
        </w:tc>
      </w:tr>
      <w:tr>
        <w:trPr>
          <w:trHeight w:val="159"/>
        </w:trPr>
        <w:tc>
          <w:tcPr>
            <w:tcW w:w="5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5"/>
              <w:spacing w:after="0" w:line="159" w:lineRule="exact"/>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w w:val="96"/>
              </w:rPr>
              <w:t>2014</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$1,499</w:t>
            </w:r>
          </w:p>
        </w:tc>
        <w:tc>
          <w:tcPr>
            <w:tcW w:w="80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1,371</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138</w:t>
            </w: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71</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1,189</w:t>
            </w:r>
          </w:p>
        </w:tc>
      </w:tr>
      <w:tr>
        <w:trPr>
          <w:trHeight w:val="210"/>
        </w:trPr>
        <w:tc>
          <w:tcPr>
            <w:tcW w:w="532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2,493</w:t>
            </w: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2,631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Television Costs:</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1,407</w:t>
            </w: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1,273</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505</w:t>
            </w:r>
          </w:p>
        </w:tc>
      </w:tr>
      <w:tr>
        <w:trPr>
          <w:trHeight w:val="210"/>
        </w:trPr>
        <w:tc>
          <w:tcPr>
            <w:tcW w:w="532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2,031</w:t>
            </w: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1,778</w:t>
            </w: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2,051</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2,130</w:t>
            </w:r>
          </w:p>
        </w:tc>
      </w:tr>
      <w:tr>
        <w:trPr>
          <w:trHeight w:val="210"/>
        </w:trPr>
        <w:tc>
          <w:tcPr>
            <w:tcW w:w="532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6,575</w:t>
            </w: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6,539</w:t>
            </w: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825</w:t>
            </w:r>
          </w:p>
        </w:tc>
      </w:tr>
      <w:tr>
        <w:trPr>
          <w:trHeight w:val="217"/>
        </w:trPr>
        <w:tc>
          <w:tcPr>
            <w:tcW w:w="5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19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$5,744</w:t>
            </w:r>
          </w:p>
        </w:tc>
        <w:tc>
          <w:tcPr>
            <w:tcW w:w="8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3"/>
              </w:rPr>
              <w:t>5,714</w:t>
            </w:r>
          </w:p>
        </w:tc>
      </w:tr>
      <w:tr>
        <w:trPr>
          <w:trHeight w:val="442"/>
        </w:trPr>
        <w:tc>
          <w:tcPr>
            <w:tcW w:w="5320" w:type="dxa"/>
            <w:vAlign w:val="bottom"/>
          </w:tcPr>
          <w:p>
            <w:pPr>
              <w:spacing w:after="0"/>
              <w:rPr>
                <w:sz w:val="20"/>
                <w:szCs w:val="20"/>
                <w:color w:val="auto"/>
              </w:rPr>
            </w:pPr>
            <w:r>
              <w:rPr>
                <w:rFonts w:ascii="Arial" w:cs="Arial" w:eastAsia="Arial" w:hAnsi="Arial"/>
                <w:sz w:val="22"/>
                <w:szCs w:val="22"/>
                <w:b w:val="1"/>
                <w:bCs w:val="1"/>
                <w:color w:val="auto"/>
              </w:rPr>
              <w:t>Note 5: Investments</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3"/>
        </w:trPr>
        <w:tc>
          <w:tcPr>
            <w:tcW w:w="5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580"/>
              <w:spacing w:after="0"/>
              <w:rPr>
                <w:sz w:val="20"/>
                <w:szCs w:val="20"/>
                <w:color w:val="auto"/>
              </w:rPr>
            </w:pPr>
            <w:r>
              <w:rPr>
                <w:rFonts w:ascii="Arial" w:cs="Arial" w:eastAsia="Arial" w:hAnsi="Arial"/>
                <w:sz w:val="14"/>
                <w:szCs w:val="14"/>
                <w:color w:val="auto"/>
              </w:rPr>
              <w:t>June 30,</w:t>
            </w:r>
          </w:p>
        </w:tc>
        <w:tc>
          <w:tcPr>
            <w:tcW w:w="1460" w:type="dxa"/>
            <w:vAlign w:val="bottom"/>
            <w:gridSpan w:val="3"/>
          </w:tcPr>
          <w:p>
            <w:pPr>
              <w:ind w:left="600"/>
              <w:spacing w:after="0"/>
              <w:rPr>
                <w:sz w:val="20"/>
                <w:szCs w:val="20"/>
                <w:color w:val="auto"/>
              </w:rPr>
            </w:pPr>
            <w:r>
              <w:rPr>
                <w:rFonts w:ascii="Arial" w:cs="Arial" w:eastAsia="Arial" w:hAnsi="Arial"/>
                <w:sz w:val="14"/>
                <w:szCs w:val="14"/>
                <w:color w:val="auto"/>
                <w:w w:val="95"/>
              </w:rPr>
              <w:t>December 31,</w:t>
            </w:r>
          </w:p>
        </w:tc>
      </w:tr>
      <w:tr>
        <w:trPr>
          <w:trHeight w:val="159"/>
        </w:trPr>
        <w:tc>
          <w:tcPr>
            <w:tcW w:w="5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5"/>
              <w:spacing w:after="0" w:line="159" w:lineRule="exact"/>
              <w:rPr>
                <w:sz w:val="20"/>
                <w:szCs w:val="20"/>
                <w:color w:val="auto"/>
              </w:rPr>
            </w:pPr>
            <w:r>
              <w:rPr>
                <w:rFonts w:ascii="Arial" w:cs="Arial" w:eastAsia="Arial" w:hAnsi="Arial"/>
                <w:sz w:val="14"/>
                <w:szCs w:val="14"/>
                <w:color w:val="auto"/>
                <w:w w:val="83"/>
              </w:rPr>
              <w:t>2015</w:t>
            </w:r>
          </w:p>
        </w:tc>
        <w:tc>
          <w:tcPr>
            <w:tcW w:w="8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w w:val="96"/>
              </w:rPr>
              <w:t>2014</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10</w:t>
            </w:r>
          </w:p>
        </w:tc>
        <w:tc>
          <w:tcPr>
            <w:tcW w:w="80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Equity Method:</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19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86</w:t>
            </w:r>
          </w:p>
        </w:tc>
        <w:tc>
          <w:tcPr>
            <w:tcW w:w="8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Hulu</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8"/>
                <w:szCs w:val="18"/>
                <w:color w:val="auto"/>
              </w:rPr>
              <w:t>267</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167</w:t>
            </w:r>
          </w:p>
        </w:tc>
      </w:tr>
      <w:tr>
        <w:trPr>
          <w:trHeight w:val="216"/>
        </w:trPr>
        <w:tc>
          <w:tcPr>
            <w:tcW w:w="5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307</w:t>
            </w:r>
          </w:p>
        </w:tc>
        <w:tc>
          <w:tcPr>
            <w:tcW w:w="8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338</w:t>
            </w:r>
          </w:p>
        </w:tc>
      </w:tr>
      <w:tr>
        <w:trPr>
          <w:trHeight w:val="210"/>
        </w:trPr>
        <w:tc>
          <w:tcPr>
            <w:tcW w:w="5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8"/>
                <w:szCs w:val="18"/>
                <w:color w:val="auto"/>
              </w:rPr>
              <w:t>660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840</w:t>
            </w:r>
          </w:p>
        </w:tc>
      </w:tr>
      <w:tr>
        <w:trPr>
          <w:trHeight w:val="216"/>
        </w:trPr>
        <w:tc>
          <w:tcPr>
            <w:tcW w:w="5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w:t>
            </w:r>
          </w:p>
        </w:tc>
        <w:tc>
          <w:tcPr>
            <w:tcW w:w="19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71</w:t>
            </w:r>
          </w:p>
        </w:tc>
        <w:tc>
          <w:tcPr>
            <w:tcW w:w="8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r>
      <w:tr>
        <w:trPr>
          <w:trHeight w:val="21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investments</w:t>
            </w:r>
          </w:p>
        </w:tc>
        <w:tc>
          <w:tcPr>
            <w:tcW w:w="1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741</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882</w:t>
            </w:r>
          </w:p>
        </w:tc>
      </w:tr>
      <w:tr>
        <w:trPr>
          <w:trHeight w:val="363"/>
        </w:trPr>
        <w:tc>
          <w:tcPr>
            <w:tcW w:w="5320" w:type="dxa"/>
            <w:vAlign w:val="bottom"/>
          </w:tcPr>
          <w:p>
            <w:pPr>
              <w:spacing w:after="0"/>
              <w:rPr>
                <w:sz w:val="24"/>
                <w:szCs w:val="24"/>
                <w:color w:val="auto"/>
              </w:rPr>
            </w:pPr>
          </w:p>
        </w:tc>
        <w:tc>
          <w:tcPr>
            <w:tcW w:w="1940" w:type="dxa"/>
            <w:vAlign w:val="bottom"/>
          </w:tcPr>
          <w:p>
            <w:pPr>
              <w:jc w:val="right"/>
              <w:ind w:right="1352"/>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2015, The Weather Channel recorded an impairment charge related to goodwill. We recorded expense of $252 million representing our proportionate share of this impairment charge in equity in net income (losses) of investees, net in our condensed consolidated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2015, our debt, excluding the note payable to Comcast, had a carrying value of $9.2 billion and an estimated fair value of $10.1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repaid at maturity $1 billion aggregate principal amount of 3.65% senior notes due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2013, we, Comcast and certain of Comcast’s 100%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June 30, 2015, we guaranteed $33.9 billion of outstanding debt securities of Comcast and the cable guarantors. We also fully and unconditionally guarantee the $6.25 billion Comcast revolving credit facility due 2017, of which no amounts were outstanding as of June 30, 2015.</w:t>
      </w:r>
    </w:p>
    <w:p>
      <w:pPr>
        <w:spacing w:after="0" w:line="2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Measurements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 except for the liabilities associated with our contractual obligations. The fair values of the contractual obligations in the table below are primarily based on certain expected future discounted cash flows, the determination of which involves the use of significant unobservable inputs. Since the inputs used are not quoted market prices or observable inputs, we classify these contractual obligations as Level 3 financial instruments.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significant unobservable inputs we use include our estimates of the future revenue we expect to generate from certain of our businesses. The discount rates used in the measurements of fair value as of June 30, 2015 were between 12% and 13% and are based on the underlying risk associated with our estimate of future revenue and the terms of the respective contracts. The fair value adjustments to the contractual obligations are sensitive to the assumptions related to future revenue, as well as to current interest rates, and therefore the adjustments are recorded to other income (expense), net in our condensed consolidated statement of income.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40" w:type="dxa"/>
            <w:vAlign w:val="bottom"/>
          </w:tcPr>
          <w:p>
            <w:pPr>
              <w:spacing w:after="0"/>
              <w:rPr>
                <w:sz w:val="20"/>
                <w:szCs w:val="20"/>
                <w:color w:val="auto"/>
              </w:rPr>
            </w:pPr>
          </w:p>
        </w:tc>
        <w:tc>
          <w:tcPr>
            <w:tcW w:w="7760" w:type="dxa"/>
            <w:vAlign w:val="bottom"/>
          </w:tcPr>
          <w:p>
            <w:pPr>
              <w:ind w:left="1080"/>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0"/>
                <w:szCs w:val="20"/>
                <w:color w:val="auto"/>
              </w:rPr>
            </w:pPr>
          </w:p>
        </w:tc>
      </w:tr>
      <w:tr>
        <w:trPr>
          <w:trHeight w:val="261"/>
        </w:trPr>
        <w:tc>
          <w:tcPr>
            <w:tcW w:w="3140" w:type="dxa"/>
            <w:vAlign w:val="bottom"/>
          </w:tcPr>
          <w:p>
            <w:pPr>
              <w:spacing w:after="0"/>
              <w:rPr>
                <w:sz w:val="22"/>
                <w:szCs w:val="22"/>
                <w:color w:val="auto"/>
              </w:rPr>
            </w:pPr>
          </w:p>
        </w:tc>
        <w:tc>
          <w:tcPr>
            <w:tcW w:w="8280" w:type="dxa"/>
            <w:vAlign w:val="bottom"/>
            <w:gridSpan w:val="2"/>
          </w:tcPr>
          <w:p>
            <w:pPr>
              <w:ind w:left="7540"/>
              <w:spacing w:after="0"/>
              <w:rPr>
                <w:sz w:val="20"/>
                <w:szCs w:val="20"/>
                <w:color w:val="auto"/>
              </w:rPr>
            </w:pPr>
            <w:r>
              <w:rPr>
                <w:rFonts w:ascii="Arial" w:cs="Arial" w:eastAsia="Arial" w:hAnsi="Arial"/>
                <w:sz w:val="14"/>
                <w:szCs w:val="14"/>
                <w:color w:val="auto"/>
              </w:rPr>
              <w:t>Contractual</w:t>
            </w:r>
          </w:p>
        </w:tc>
      </w:tr>
      <w:tr>
        <w:trPr>
          <w:trHeight w:val="159"/>
        </w:trPr>
        <w:tc>
          <w:tcPr>
            <w:tcW w:w="3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80" w:type="dxa"/>
            <w:vAlign w:val="bottom"/>
            <w:tcBorders>
              <w:bottom w:val="single" w:sz="8" w:color="auto"/>
            </w:tcBorders>
            <w:gridSpan w:val="2"/>
          </w:tcPr>
          <w:p>
            <w:pPr>
              <w:ind w:left="7540"/>
              <w:spacing w:after="0" w:line="159" w:lineRule="exact"/>
              <w:rPr>
                <w:sz w:val="20"/>
                <w:szCs w:val="20"/>
                <w:color w:val="auto"/>
              </w:rPr>
            </w:pPr>
            <w:r>
              <w:rPr>
                <w:rFonts w:ascii="Arial" w:cs="Arial" w:eastAsia="Arial" w:hAnsi="Arial"/>
                <w:sz w:val="14"/>
                <w:szCs w:val="14"/>
                <w:color w:val="auto"/>
              </w:rPr>
              <w:t>Obligations</w:t>
            </w: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7760" w:type="dxa"/>
            <w:vAlign w:val="bottom"/>
            <w:shd w:val="clear" w:color="auto" w:fill="E5E5E5"/>
          </w:tcPr>
          <w:p>
            <w:pPr>
              <w:ind w:left="7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883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Fair value adjustments</w:t>
            </w:r>
          </w:p>
        </w:tc>
        <w:tc>
          <w:tcPr>
            <w:tcW w:w="776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136</w:t>
            </w:r>
          </w:p>
        </w:tc>
      </w:tr>
      <w:tr>
        <w:trPr>
          <w:trHeight w:val="216"/>
        </w:trPr>
        <w:tc>
          <w:tcPr>
            <w:tcW w:w="3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77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w:t>
            </w: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2015</w:t>
            </w:r>
          </w:p>
        </w:tc>
        <w:tc>
          <w:tcPr>
            <w:tcW w:w="7760" w:type="dxa"/>
            <w:vAlign w:val="bottom"/>
            <w:tcBorders>
              <w:bottom w:val="single" w:sz="8" w:color="auto"/>
            </w:tcBorders>
          </w:tcPr>
          <w:p>
            <w:pPr>
              <w:ind w:left="75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980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to certain employees and directors as part of its approach to long-term incentive compensation. Additionally, through its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3"/>
          </w:tcPr>
          <w:p>
            <w:pPr>
              <w:jc w:val="right"/>
              <w:ind w:right="47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40" w:type="dxa"/>
            <w:vAlign w:val="bottom"/>
            <w:gridSpan w:val="3"/>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3"/>
              </w:rPr>
              <w:t>2015</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3"/>
              </w:rPr>
              <w:t>2014</w:t>
            </w: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3"/>
              </w:rPr>
              <w:t>2015</w:t>
            </w: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694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32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840" w:type="dxa"/>
            <w:vAlign w:val="bottom"/>
          </w:tcPr>
          <w:p>
            <w:pPr>
              <w:jc w:val="right"/>
              <w:ind w:right="478"/>
              <w:spacing w:after="0"/>
              <w:rPr>
                <w:sz w:val="20"/>
                <w:szCs w:val="20"/>
                <w:color w:val="auto"/>
              </w:rPr>
            </w:pPr>
            <w:r>
              <w:rPr>
                <w:rFonts w:ascii="Arial" w:cs="Arial" w:eastAsia="Arial" w:hAnsi="Arial"/>
                <w:sz w:val="14"/>
                <w:szCs w:val="14"/>
                <w:color w:val="auto"/>
              </w:rPr>
              <w:t>June 30,</w:t>
            </w:r>
          </w:p>
        </w:tc>
        <w:tc>
          <w:tcPr>
            <w:tcW w:w="960" w:type="dxa"/>
            <w:vAlign w:val="bottom"/>
            <w:gridSpan w:val="3"/>
          </w:tcPr>
          <w:p>
            <w:pPr>
              <w:ind w:left="100"/>
              <w:spacing w:after="0"/>
              <w:rPr>
                <w:sz w:val="20"/>
                <w:szCs w:val="20"/>
                <w:color w:val="auto"/>
              </w:rPr>
            </w:pPr>
            <w:r>
              <w:rPr>
                <w:rFonts w:ascii="Arial" w:cs="Arial" w:eastAsia="Arial" w:hAnsi="Arial"/>
                <w:sz w:val="14"/>
                <w:szCs w:val="14"/>
                <w:color w:val="auto"/>
                <w:w w:val="95"/>
              </w:rPr>
              <w:t>December 31,</w:t>
            </w:r>
          </w:p>
        </w:tc>
      </w:tr>
      <w:tr>
        <w:trPr>
          <w:trHeight w:val="159"/>
        </w:trPr>
        <w:tc>
          <w:tcPr>
            <w:tcW w:w="8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jc w:val="right"/>
              <w:ind w:right="578"/>
              <w:spacing w:after="0" w:line="159"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5"/>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840" w:type="dxa"/>
            <w:vAlign w:val="bottom"/>
            <w:shd w:val="clear" w:color="auto" w:fill="E5E5E5"/>
          </w:tcPr>
          <w:p>
            <w:pPr>
              <w:jc w:val="right"/>
              <w:ind w:right="458"/>
              <w:spacing w:after="0"/>
              <w:rPr>
                <w:sz w:val="20"/>
                <w:szCs w:val="20"/>
                <w:color w:val="auto"/>
              </w:rPr>
            </w:pPr>
            <w:r>
              <w:rPr>
                <w:rFonts w:ascii="Arial" w:cs="Arial" w:eastAsia="Arial" w:hAnsi="Arial"/>
                <w:sz w:val="18"/>
                <w:szCs w:val="18"/>
                <w:color w:val="auto"/>
              </w:rPr>
              <w:t>$5,897</w:t>
            </w:r>
          </w:p>
        </w:tc>
        <w:tc>
          <w:tcPr>
            <w:tcW w:w="2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15"/>
              <w:spacing w:after="0"/>
              <w:rPr>
                <w:sz w:val="20"/>
                <w:szCs w:val="20"/>
                <w:color w:val="auto"/>
              </w:rPr>
            </w:pPr>
            <w:r>
              <w:rPr>
                <w:rFonts w:ascii="Arial" w:cs="Arial" w:eastAsia="Arial" w:hAnsi="Arial"/>
                <w:sz w:val="18"/>
                <w:szCs w:val="18"/>
                <w:color w:val="auto"/>
              </w:rPr>
              <w:t>5,258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1840" w:type="dxa"/>
            <w:vAlign w:val="bottom"/>
          </w:tcPr>
          <w:p>
            <w:pPr>
              <w:jc w:val="right"/>
              <w:ind w:right="458"/>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356</w:t>
            </w:r>
          </w:p>
        </w:tc>
      </w:tr>
      <w:tr>
        <w:trPr>
          <w:trHeight w:val="216"/>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840" w:type="dxa"/>
            <w:vAlign w:val="bottom"/>
            <w:tcBorders>
              <w:bottom w:val="single" w:sz="8" w:color="auto"/>
            </w:tcBorders>
            <w:shd w:val="clear" w:color="auto" w:fill="E5E5E5"/>
          </w:tcPr>
          <w:p>
            <w:pPr>
              <w:jc w:val="right"/>
              <w:ind w:right="458"/>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60</w:t>
            </w:r>
          </w:p>
        </w:tc>
      </w:tr>
      <w:tr>
        <w:trPr>
          <w:trHeight w:val="21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840" w:type="dxa"/>
            <w:vAlign w:val="bottom"/>
            <w:tcBorders>
              <w:bottom w:val="single" w:sz="8" w:color="auto"/>
            </w:tcBorders>
          </w:tcPr>
          <w:p>
            <w:pPr>
              <w:jc w:val="right"/>
              <w:ind w:right="458"/>
              <w:spacing w:after="0"/>
              <w:rPr>
                <w:sz w:val="20"/>
                <w:szCs w:val="20"/>
                <w:color w:val="auto"/>
              </w:rPr>
            </w:pPr>
            <w:r>
              <w:rPr>
                <w:rFonts w:ascii="Arial" w:cs="Arial" w:eastAsia="Arial" w:hAnsi="Arial"/>
                <w:sz w:val="18"/>
                <w:szCs w:val="18"/>
                <w:b w:val="1"/>
                <w:bCs w:val="1"/>
                <w:color w:val="auto"/>
              </w:rPr>
              <w:t>$5,548</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4,842</w:t>
            </w:r>
          </w:p>
        </w:tc>
      </w:tr>
      <w:tr>
        <w:trPr>
          <w:trHeight w:val="403"/>
        </w:trPr>
        <w:tc>
          <w:tcPr>
            <w:tcW w:w="862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61"/>
        </w:trPr>
        <w:tc>
          <w:tcPr>
            <w:tcW w:w="8620" w:type="dxa"/>
            <w:vAlign w:val="bottom"/>
          </w:tcPr>
          <w:p>
            <w:pPr>
              <w:spacing w:after="0"/>
              <w:rPr>
                <w:sz w:val="22"/>
                <w:szCs w:val="22"/>
                <w:color w:val="auto"/>
              </w:rPr>
            </w:pPr>
          </w:p>
        </w:tc>
        <w:tc>
          <w:tcPr>
            <w:tcW w:w="1840" w:type="dxa"/>
            <w:vAlign w:val="bottom"/>
          </w:tcPr>
          <w:p>
            <w:pPr>
              <w:jc w:val="right"/>
              <w:ind w:right="78"/>
              <w:spacing w:after="0"/>
              <w:rPr>
                <w:sz w:val="20"/>
                <w:szCs w:val="20"/>
                <w:color w:val="auto"/>
              </w:rPr>
            </w:pPr>
            <w:r>
              <w:rPr>
                <w:rFonts w:ascii="Arial" w:cs="Arial" w:eastAsia="Arial" w:hAnsi="Arial"/>
                <w:sz w:val="14"/>
                <w:szCs w:val="14"/>
                <w:color w:val="auto"/>
              </w:rPr>
              <w:t>June 30,</w:t>
            </w:r>
          </w:p>
        </w:tc>
        <w:tc>
          <w:tcPr>
            <w:tcW w:w="260" w:type="dxa"/>
            <w:vAlign w:val="bottom"/>
          </w:tcPr>
          <w:p>
            <w:pPr>
              <w:spacing w:after="0"/>
              <w:rPr>
                <w:sz w:val="22"/>
                <w:szCs w:val="22"/>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June 30,</w:t>
            </w:r>
          </w:p>
        </w:tc>
      </w:tr>
      <w:tr>
        <w:trPr>
          <w:trHeight w:val="159"/>
        </w:trPr>
        <w:tc>
          <w:tcPr>
            <w:tcW w:w="8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jc w:val="right"/>
              <w:ind w:right="158"/>
              <w:spacing w:after="0" w:line="159"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w w:val="83"/>
              </w:rPr>
              <w:t>2014</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184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  —</w:t>
            </w:r>
          </w:p>
        </w:tc>
        <w:tc>
          <w:tcPr>
            <w:tcW w:w="260" w:type="dxa"/>
            <w:vAlign w:val="bottom"/>
            <w:shd w:val="clear" w:color="auto" w:fill="E5E5E5"/>
          </w:tcPr>
          <w:p>
            <w:pPr>
              <w:spacing w:after="0"/>
              <w:rPr>
                <w:sz w:val="18"/>
                <w:szCs w:val="18"/>
                <w:color w:val="auto"/>
              </w:rPr>
            </w:pPr>
          </w:p>
        </w:tc>
        <w:tc>
          <w:tcPr>
            <w:tcW w:w="220" w:type="dxa"/>
            <w:vAlign w:val="bottom"/>
            <w:shd w:val="clear" w:color="auto" w:fill="E5E5E5"/>
          </w:tcPr>
          <w:p>
            <w:pPr>
              <w:ind w:left="1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1840" w:type="dxa"/>
            <w:vAlign w:val="bottom"/>
          </w:tcPr>
          <w:p>
            <w:pPr>
              <w:jc w:val="right"/>
              <w:ind w:right="58"/>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45</w:t>
            </w:r>
          </w:p>
        </w:tc>
      </w:tr>
      <w:tr>
        <w:trPr>
          <w:trHeight w:val="216"/>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7"/>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(186)</w:t>
            </w:r>
          </w:p>
        </w:tc>
        <w:tc>
          <w:tcPr>
            <w:tcW w:w="2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5</w:t>
            </w:r>
          </w:p>
        </w:tc>
      </w:tr>
      <w:tr>
        <w:trPr>
          <w:trHeight w:val="363"/>
        </w:trPr>
        <w:tc>
          <w:tcPr>
            <w:tcW w:w="8620" w:type="dxa"/>
            <w:vAlign w:val="bottom"/>
          </w:tcPr>
          <w:p>
            <w:pPr>
              <w:ind w:left="5620"/>
              <w:spacing w:after="0"/>
              <w:rPr>
                <w:sz w:val="20"/>
                <w:szCs w:val="20"/>
                <w:color w:val="auto"/>
              </w:rPr>
            </w:pPr>
            <w:r>
              <w:rPr>
                <w:rFonts w:ascii="Arial" w:cs="Arial" w:eastAsia="Arial" w:hAnsi="Arial"/>
                <w:sz w:val="18"/>
                <w:szCs w:val="18"/>
                <w:color w:val="auto"/>
              </w:rPr>
              <w:t>54</w:t>
            </w: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3"/>
          </w:tcPr>
          <w:p>
            <w:pPr>
              <w:jc w:val="center"/>
              <w:ind w:right="254"/>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left="118"/>
              <w:spacing w:after="0" w:line="159" w:lineRule="exact"/>
              <w:rPr>
                <w:sz w:val="20"/>
                <w:szCs w:val="20"/>
                <w:color w:val="auto"/>
              </w:rPr>
            </w:pPr>
            <w:r>
              <w:rPr>
                <w:rFonts w:ascii="Arial" w:cs="Arial" w:eastAsia="Arial" w:hAnsi="Arial"/>
                <w:sz w:val="14"/>
                <w:szCs w:val="14"/>
                <w:color w:val="auto"/>
                <w:w w:val="80"/>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color w:val="auto"/>
                <w:w w:val="83"/>
              </w:rPr>
              <w:t>2015</w:t>
            </w:r>
          </w:p>
        </w:tc>
        <w:tc>
          <w:tcPr>
            <w:tcW w:w="88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w w:val="88"/>
              </w:rPr>
              <w:t>1,862</w:t>
            </w:r>
          </w:p>
        </w:tc>
        <w:tc>
          <w:tcPr>
            <w:tcW w:w="880" w:type="dxa"/>
            <w:vAlign w:val="bottom"/>
            <w:gridSpan w:val="2"/>
            <w:shd w:val="clear" w:color="auto" w:fill="E5E5E5"/>
          </w:tcPr>
          <w:p>
            <w:pPr>
              <w:jc w:val="right"/>
              <w:ind w:right="134"/>
              <w:spacing w:after="0"/>
              <w:rPr>
                <w:sz w:val="20"/>
                <w:szCs w:val="20"/>
                <w:color w:val="auto"/>
              </w:rPr>
            </w:pPr>
            <w:r>
              <w:rPr>
                <w:rFonts w:ascii="Arial" w:cs="Arial" w:eastAsia="Arial" w:hAnsi="Arial"/>
                <w:sz w:val="18"/>
                <w:szCs w:val="18"/>
                <w:color w:val="auto"/>
              </w:rPr>
              <w:t>$ 1,583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9"/>
              </w:rPr>
              <w:t>735</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8"/>
                <w:szCs w:val="18"/>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38</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ind w:right="58"/>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(33)</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(726)</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Film and television costs, net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6</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5"/>
              </w:rPr>
              <w:t>(280)</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344</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5"/>
              </w:rPr>
              <w:t>(458)</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b w:val="1"/>
                <w:bCs w:val="1"/>
                <w:color w:val="auto"/>
                <w:w w:val="88"/>
              </w:rPr>
              <w:t>2,621</w:t>
            </w:r>
          </w:p>
        </w:tc>
        <w:tc>
          <w:tcPr>
            <w:tcW w:w="880" w:type="dxa"/>
            <w:vAlign w:val="bottom"/>
            <w:tcBorders>
              <w:bottom w:val="single" w:sz="8" w:color="auto"/>
            </w:tcBorders>
            <w:gridSpan w:val="2"/>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$ 1,789</w:t>
            </w:r>
          </w:p>
        </w:tc>
        <w:tc>
          <w:tcPr>
            <w:tcW w:w="0" w:type="dxa"/>
            <w:vAlign w:val="bottom"/>
          </w:tcPr>
          <w:p>
            <w:pPr>
              <w:spacing w:after="0"/>
              <w:rPr>
                <w:sz w:val="1"/>
                <w:szCs w:val="1"/>
                <w:color w:val="auto"/>
              </w:rPr>
            </w:pPr>
          </w:p>
        </w:tc>
      </w:tr>
      <w:tr>
        <w:trPr>
          <w:trHeight w:val="403"/>
        </w:trPr>
        <w:tc>
          <w:tcPr>
            <w:tcW w:w="7640" w:type="dxa"/>
            <w:vAlign w:val="bottom"/>
            <w:gridSpan w:val="2"/>
          </w:tcPr>
          <w:p>
            <w:pPr>
              <w:ind w:left="3800"/>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3"/>
          </w:tcPr>
          <w:p>
            <w:pPr>
              <w:jc w:val="right"/>
              <w:ind w:right="259"/>
              <w:spacing w:after="0"/>
              <w:rPr>
                <w:sz w:val="20"/>
                <w:szCs w:val="20"/>
                <w:color w:val="auto"/>
              </w:rPr>
            </w:pPr>
            <w:r>
              <w:rPr>
                <w:rFonts w:ascii="Arial" w:cs="Arial" w:eastAsia="Arial" w:hAnsi="Arial"/>
                <w:sz w:val="14"/>
                <w:szCs w:val="14"/>
                <w:color w:val="auto"/>
                <w:w w:val="93"/>
              </w:rPr>
              <w:t>Three Months Ended</w:t>
            </w:r>
          </w:p>
        </w:tc>
        <w:tc>
          <w:tcPr>
            <w:tcW w:w="560" w:type="dxa"/>
            <w:vAlign w:val="bottom"/>
          </w:tcPr>
          <w:p>
            <w:pPr>
              <w:spacing w:after="0"/>
              <w:rPr>
                <w:sz w:val="22"/>
                <w:szCs w:val="22"/>
                <w:color w:val="auto"/>
              </w:rPr>
            </w:pPr>
          </w:p>
        </w:tc>
        <w:tc>
          <w:tcPr>
            <w:tcW w:w="1500" w:type="dxa"/>
            <w:vAlign w:val="bottom"/>
            <w:gridSpan w:val="3"/>
          </w:tcPr>
          <w:p>
            <w:pPr>
              <w:jc w:val="center"/>
              <w:ind w:right="174"/>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73"/>
        </w:trPr>
        <w:tc>
          <w:tcPr>
            <w:tcW w:w="7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3" w:lineRule="exact"/>
              <w:rPr>
                <w:sz w:val="20"/>
                <w:szCs w:val="20"/>
                <w:color w:val="auto"/>
              </w:rPr>
            </w:pPr>
            <w:r>
              <w:rPr>
                <w:rFonts w:ascii="Arial" w:cs="Arial" w:eastAsia="Arial" w:hAnsi="Arial"/>
                <w:sz w:val="14"/>
                <w:szCs w:val="14"/>
                <w:color w:val="auto"/>
                <w:w w:val="89"/>
              </w:rPr>
              <w:t>2015</w:t>
            </w: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9"/>
              <w:spacing w:after="0" w:line="143" w:lineRule="exact"/>
              <w:rPr>
                <w:sz w:val="20"/>
                <w:szCs w:val="20"/>
                <w:color w:val="auto"/>
              </w:rPr>
            </w:pPr>
            <w:r>
              <w:rPr>
                <w:rFonts w:ascii="Arial" w:cs="Arial" w:eastAsia="Arial" w:hAnsi="Arial"/>
                <w:sz w:val="14"/>
                <w:szCs w:val="14"/>
                <w:color w:val="auto"/>
                <w:w w:val="89"/>
              </w:rPr>
              <w:t>2014</w:t>
            </w:r>
          </w:p>
        </w:tc>
        <w:tc>
          <w:tcPr>
            <w:tcW w:w="1180" w:type="dxa"/>
            <w:vAlign w:val="bottom"/>
            <w:tcBorders>
              <w:bottom w:val="single" w:sz="8" w:color="auto"/>
            </w:tcBorders>
            <w:gridSpan w:val="2"/>
          </w:tcPr>
          <w:p>
            <w:pPr>
              <w:jc w:val="right"/>
              <w:ind w:right="298"/>
              <w:spacing w:after="0" w:line="143" w:lineRule="exact"/>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3"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220</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2015:</w:t>
      </w:r>
    </w:p>
    <w:p>
      <w:pPr>
        <w:spacing w:after="0" w:line="77" w:lineRule="exact"/>
        <w:rPr>
          <w:sz w:val="20"/>
          <w:szCs w:val="20"/>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acquired $140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contributed the net assets of $252 million related to a recently acquired business, which was a noncash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the NBC Universo national cable network, and our broadcast television production operations.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color w:val="auto"/>
                <w:w w:val="86"/>
              </w:rPr>
              <w:t>Three Months Ended June 30, 2015</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2"/>
          </w:tcPr>
          <w:p>
            <w:pPr>
              <w:ind w:left="380"/>
              <w:spacing w:after="0" w:line="131" w:lineRule="exact"/>
              <w:rPr>
                <w:sz w:val="20"/>
                <w:szCs w:val="20"/>
                <w:color w:val="auto"/>
              </w:rPr>
            </w:pPr>
            <w:r>
              <w:rPr>
                <w:rFonts w:ascii="Arial" w:cs="Arial" w:eastAsia="Arial" w:hAnsi="Arial"/>
                <w:sz w:val="14"/>
                <w:szCs w:val="14"/>
                <w:color w:val="auto"/>
                <w:w w:val="93"/>
              </w:rPr>
              <w:t>Operating Income (Loss)</w:t>
            </w:r>
          </w:p>
        </w:tc>
        <w:tc>
          <w:tcPr>
            <w:tcW w:w="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1840" w:type="dxa"/>
            <w:vAlign w:val="bottom"/>
            <w:gridSpan w:val="2"/>
          </w:tcPr>
          <w:p>
            <w:pPr>
              <w:ind w:left="400"/>
              <w:spacing w:after="0" w:line="133" w:lineRule="exact"/>
              <w:rPr>
                <w:sz w:val="20"/>
                <w:szCs w:val="20"/>
                <w:color w:val="auto"/>
              </w:rPr>
            </w:pPr>
            <w:r>
              <w:rPr>
                <w:rFonts w:ascii="Arial" w:cs="Arial" w:eastAsia="Arial" w:hAnsi="Arial"/>
                <w:sz w:val="14"/>
                <w:szCs w:val="14"/>
                <w:color w:val="auto"/>
                <w:w w:val="94"/>
              </w:rPr>
              <w:t>Before Depreciation and</w:t>
            </w:r>
          </w:p>
        </w:tc>
        <w:tc>
          <w:tcPr>
            <w:tcW w:w="2140" w:type="dxa"/>
            <w:vAlign w:val="bottom"/>
            <w:gridSpan w:val="2"/>
          </w:tcPr>
          <w:p>
            <w:pPr>
              <w:ind w:left="660"/>
              <w:spacing w:after="0" w:line="133" w:lineRule="exact"/>
              <w:rPr>
                <w:sz w:val="20"/>
                <w:szCs w:val="20"/>
                <w:color w:val="auto"/>
              </w:rPr>
            </w:pPr>
            <w:r>
              <w:rPr>
                <w:rFonts w:ascii="Arial" w:cs="Arial" w:eastAsia="Arial" w:hAnsi="Arial"/>
                <w:sz w:val="14"/>
                <w:szCs w:val="14"/>
                <w:color w:val="auto"/>
              </w:rPr>
              <w:t>Depreciation and</w:t>
            </w:r>
          </w:p>
        </w:tc>
        <w:tc>
          <w:tcPr>
            <w:tcW w:w="160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7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89"/>
              </w:rPr>
              <w:t>Amortization</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780" w:type="dxa"/>
            <w:vAlign w:val="bottom"/>
            <w:shd w:val="clear" w:color="auto" w:fill="E5E5E5"/>
          </w:tcPr>
          <w:p>
            <w:pPr>
              <w:ind w:left="6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2,450</w:t>
            </w:r>
          </w:p>
        </w:tc>
        <w:tc>
          <w:tcPr>
            <w:tcW w:w="5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872</w:t>
            </w:r>
          </w:p>
        </w:tc>
        <w:tc>
          <w:tcPr>
            <w:tcW w:w="760" w:type="dxa"/>
            <w:vAlign w:val="bottom"/>
            <w:shd w:val="clear" w:color="auto" w:fill="E5E5E5"/>
          </w:tcPr>
          <w:p>
            <w:pPr>
              <w:ind w:left="66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661</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Broadcast Television</w:t>
            </w:r>
          </w:p>
        </w:tc>
        <w:tc>
          <w:tcPr>
            <w:tcW w:w="7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1,813</w:t>
            </w:r>
          </w:p>
        </w:tc>
        <w:tc>
          <w:tcPr>
            <w:tcW w:w="52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200" w:type="dxa"/>
            <w:vAlign w:val="bottom"/>
          </w:tcPr>
          <w:p>
            <w:pPr>
              <w:jc w:val="right"/>
              <w:ind w:right="315"/>
              <w:spacing w:after="0"/>
              <w:rPr>
                <w:sz w:val="20"/>
                <w:szCs w:val="20"/>
                <w:color w:val="auto"/>
              </w:rPr>
            </w:pPr>
            <w:r>
              <w:rPr>
                <w:rFonts w:ascii="Arial" w:cs="Arial" w:eastAsia="Arial" w:hAnsi="Arial"/>
                <w:sz w:val="18"/>
                <w:szCs w:val="18"/>
                <w:color w:val="auto"/>
              </w:rPr>
              <w:t>201</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2,266</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422</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416</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Theme Parks</w:t>
            </w:r>
          </w:p>
        </w:tc>
        <w:tc>
          <w:tcPr>
            <w:tcW w:w="7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773</w:t>
            </w:r>
          </w:p>
        </w:tc>
        <w:tc>
          <w:tcPr>
            <w:tcW w:w="52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354</w:t>
            </w:r>
          </w:p>
        </w:tc>
        <w:tc>
          <w:tcPr>
            <w:tcW w:w="76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1200" w:type="dxa"/>
            <w:vAlign w:val="bottom"/>
          </w:tcPr>
          <w:p>
            <w:pPr>
              <w:jc w:val="right"/>
              <w:ind w:right="315"/>
              <w:spacing w:after="0"/>
              <w:rPr>
                <w:sz w:val="20"/>
                <w:szCs w:val="20"/>
                <w:color w:val="auto"/>
              </w:rPr>
            </w:pPr>
            <w:r>
              <w:rPr>
                <w:rFonts w:ascii="Arial" w:cs="Arial" w:eastAsia="Arial" w:hAnsi="Arial"/>
                <w:sz w:val="18"/>
                <w:szCs w:val="18"/>
                <w:color w:val="auto"/>
              </w:rPr>
              <w:t>278</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3</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(169)</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82</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(251)</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(75)</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b w:val="1"/>
                <w:bCs w:val="1"/>
                <w:color w:val="auto"/>
              </w:rPr>
              <w:t>7,230</w:t>
            </w:r>
          </w:p>
        </w:tc>
        <w:tc>
          <w:tcPr>
            <w:tcW w:w="5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1,712</w:t>
            </w:r>
          </w:p>
        </w:tc>
        <w:tc>
          <w:tcPr>
            <w:tcW w:w="76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b w:val="1"/>
                <w:bCs w:val="1"/>
                <w:color w:val="auto"/>
              </w:rPr>
              <w:t>405</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1,307</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color w:val="auto"/>
                <w:w w:val="86"/>
              </w:rPr>
              <w:t>Three Months Ended June 30, 2014</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2"/>
          </w:tcPr>
          <w:p>
            <w:pPr>
              <w:ind w:left="380"/>
              <w:spacing w:after="0" w:line="131" w:lineRule="exact"/>
              <w:rPr>
                <w:sz w:val="20"/>
                <w:szCs w:val="20"/>
                <w:color w:val="auto"/>
              </w:rPr>
            </w:pPr>
            <w:r>
              <w:rPr>
                <w:rFonts w:ascii="Arial" w:cs="Arial" w:eastAsia="Arial" w:hAnsi="Arial"/>
                <w:sz w:val="14"/>
                <w:szCs w:val="14"/>
                <w:color w:val="auto"/>
                <w:w w:val="93"/>
              </w:rPr>
              <w:t>Operating Income (Loss)</w:t>
            </w:r>
          </w:p>
        </w:tc>
        <w:tc>
          <w:tcPr>
            <w:tcW w:w="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1840" w:type="dxa"/>
            <w:vAlign w:val="bottom"/>
            <w:gridSpan w:val="2"/>
          </w:tcPr>
          <w:p>
            <w:pPr>
              <w:ind w:left="400"/>
              <w:spacing w:after="0" w:line="133" w:lineRule="exact"/>
              <w:rPr>
                <w:sz w:val="20"/>
                <w:szCs w:val="20"/>
                <w:color w:val="auto"/>
              </w:rPr>
            </w:pPr>
            <w:r>
              <w:rPr>
                <w:rFonts w:ascii="Arial" w:cs="Arial" w:eastAsia="Arial" w:hAnsi="Arial"/>
                <w:sz w:val="14"/>
                <w:szCs w:val="14"/>
                <w:color w:val="auto"/>
                <w:w w:val="94"/>
              </w:rPr>
              <w:t>Before Depreciation and</w:t>
            </w:r>
          </w:p>
        </w:tc>
        <w:tc>
          <w:tcPr>
            <w:tcW w:w="2140" w:type="dxa"/>
            <w:vAlign w:val="bottom"/>
            <w:gridSpan w:val="2"/>
          </w:tcPr>
          <w:p>
            <w:pPr>
              <w:ind w:left="660"/>
              <w:spacing w:after="0" w:line="133" w:lineRule="exact"/>
              <w:rPr>
                <w:sz w:val="20"/>
                <w:szCs w:val="20"/>
                <w:color w:val="auto"/>
              </w:rPr>
            </w:pPr>
            <w:r>
              <w:rPr>
                <w:rFonts w:ascii="Arial" w:cs="Arial" w:eastAsia="Arial" w:hAnsi="Arial"/>
                <w:sz w:val="14"/>
                <w:szCs w:val="14"/>
                <w:color w:val="auto"/>
              </w:rPr>
              <w:t>Depreciation and</w:t>
            </w:r>
          </w:p>
        </w:tc>
        <w:tc>
          <w:tcPr>
            <w:tcW w:w="160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7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89"/>
              </w:rPr>
              <w:t>Amortization</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780" w:type="dxa"/>
            <w:vAlign w:val="bottom"/>
            <w:shd w:val="clear" w:color="auto" w:fill="E5E5E5"/>
          </w:tcPr>
          <w:p>
            <w:pPr>
              <w:ind w:left="6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2,476</w:t>
            </w:r>
          </w:p>
        </w:tc>
        <w:tc>
          <w:tcPr>
            <w:tcW w:w="5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914</w:t>
            </w:r>
          </w:p>
        </w:tc>
        <w:tc>
          <w:tcPr>
            <w:tcW w:w="760" w:type="dxa"/>
            <w:vAlign w:val="bottom"/>
            <w:shd w:val="clear" w:color="auto" w:fill="E5E5E5"/>
          </w:tcPr>
          <w:p>
            <w:pPr>
              <w:ind w:left="66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734</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Broadcast Television</w:t>
            </w:r>
          </w:p>
        </w:tc>
        <w:tc>
          <w:tcPr>
            <w:tcW w:w="7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1,816</w:t>
            </w:r>
          </w:p>
        </w:tc>
        <w:tc>
          <w:tcPr>
            <w:tcW w:w="52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240</w:t>
            </w:r>
          </w:p>
        </w:tc>
        <w:tc>
          <w:tcPr>
            <w:tcW w:w="76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200" w:type="dxa"/>
            <w:vAlign w:val="bottom"/>
          </w:tcPr>
          <w:p>
            <w:pPr>
              <w:jc w:val="right"/>
              <w:ind w:right="315"/>
              <w:spacing w:after="0"/>
              <w:rPr>
                <w:sz w:val="20"/>
                <w:szCs w:val="20"/>
                <w:color w:val="auto"/>
              </w:rPr>
            </w:pPr>
            <w:r>
              <w:rPr>
                <w:rFonts w:ascii="Arial" w:cs="Arial" w:eastAsia="Arial" w:hAnsi="Arial"/>
                <w:sz w:val="18"/>
                <w:szCs w:val="18"/>
                <w:color w:val="auto"/>
              </w:rPr>
              <w:t>213</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1,176</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195</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5</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190</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Theme Parks</w:t>
            </w:r>
          </w:p>
        </w:tc>
        <w:tc>
          <w:tcPr>
            <w:tcW w:w="7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615</w:t>
            </w:r>
          </w:p>
        </w:tc>
        <w:tc>
          <w:tcPr>
            <w:tcW w:w="52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244</w:t>
            </w:r>
          </w:p>
        </w:tc>
        <w:tc>
          <w:tcPr>
            <w:tcW w:w="76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1200" w:type="dxa"/>
            <w:vAlign w:val="bottom"/>
          </w:tcPr>
          <w:p>
            <w:pPr>
              <w:jc w:val="right"/>
              <w:ind w:right="315"/>
              <w:spacing w:after="0"/>
              <w:rPr>
                <w:sz w:val="20"/>
                <w:szCs w:val="20"/>
                <w:color w:val="auto"/>
              </w:rPr>
            </w:pPr>
            <w:r>
              <w:rPr>
                <w:rFonts w:ascii="Arial" w:cs="Arial" w:eastAsia="Arial" w:hAnsi="Arial"/>
                <w:sz w:val="18"/>
                <w:szCs w:val="18"/>
                <w:color w:val="auto"/>
              </w:rPr>
              <w:t>171</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4</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(159)</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85</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(244)</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(71)</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b w:val="1"/>
                <w:bCs w:val="1"/>
                <w:color w:val="auto"/>
              </w:rPr>
              <w:t>6,016</w:t>
            </w:r>
          </w:p>
        </w:tc>
        <w:tc>
          <w:tcPr>
            <w:tcW w:w="5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1,434</w:t>
            </w:r>
          </w:p>
        </w:tc>
        <w:tc>
          <w:tcPr>
            <w:tcW w:w="76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b w:val="1"/>
                <w:bCs w:val="1"/>
                <w:color w:val="auto"/>
              </w:rPr>
              <w:t>370</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1,064</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298</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color w:val="auto"/>
                <w:w w:val="89"/>
              </w:rPr>
              <w:t>Six Months Ended June 30, 2015</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2"/>
          </w:tcPr>
          <w:p>
            <w:pPr>
              <w:ind w:left="320"/>
              <w:spacing w:after="0" w:line="131" w:lineRule="exact"/>
              <w:rPr>
                <w:sz w:val="20"/>
                <w:szCs w:val="20"/>
                <w:color w:val="auto"/>
              </w:rPr>
            </w:pPr>
            <w:r>
              <w:rPr>
                <w:rFonts w:ascii="Arial" w:cs="Arial" w:eastAsia="Arial" w:hAnsi="Arial"/>
                <w:sz w:val="14"/>
                <w:szCs w:val="14"/>
                <w:color w:val="auto"/>
                <w:w w:val="97"/>
              </w:rPr>
              <w:t>Operating Income (Loss)</w:t>
            </w:r>
          </w:p>
        </w:tc>
        <w:tc>
          <w:tcPr>
            <w:tcW w:w="2140" w:type="dxa"/>
            <w:vAlign w:val="bottom"/>
            <w:gridSpan w:val="2"/>
            <w:vMerge w:val="restart"/>
          </w:tcPr>
          <w:p>
            <w:pPr>
              <w:ind w:left="620"/>
              <w:spacing w:after="0"/>
              <w:rPr>
                <w:sz w:val="20"/>
                <w:szCs w:val="20"/>
                <w:color w:val="auto"/>
              </w:rPr>
            </w:pPr>
            <w:r>
              <w:rPr>
                <w:rFonts w:ascii="Arial" w:cs="Arial" w:eastAsia="Arial" w:hAnsi="Arial"/>
                <w:sz w:val="14"/>
                <w:szCs w:val="14"/>
                <w:color w:val="auto"/>
              </w:rPr>
              <w:t>Depreciation and</w:t>
            </w: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ind w:left="60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1840" w:type="dxa"/>
            <w:vAlign w:val="bottom"/>
            <w:gridSpan w:val="2"/>
          </w:tcPr>
          <w:p>
            <w:pPr>
              <w:ind w:left="340"/>
              <w:spacing w:after="0" w:line="133" w:lineRule="exact"/>
              <w:rPr>
                <w:sz w:val="20"/>
                <w:szCs w:val="20"/>
                <w:color w:val="auto"/>
              </w:rPr>
            </w:pPr>
            <w:r>
              <w:rPr>
                <w:rFonts w:ascii="Arial" w:cs="Arial" w:eastAsia="Arial" w:hAnsi="Arial"/>
                <w:sz w:val="14"/>
                <w:szCs w:val="14"/>
                <w:color w:val="auto"/>
                <w:w w:val="98"/>
              </w:rPr>
              <w:t>Before Depreciation and</w:t>
            </w:r>
          </w:p>
        </w:tc>
        <w:tc>
          <w:tcPr>
            <w:tcW w:w="2140" w:type="dxa"/>
            <w:vAlign w:val="bottom"/>
            <w:gridSpan w:val="2"/>
            <w:vMerge w:val="continue"/>
          </w:tcPr>
          <w:p>
            <w:pPr>
              <w:spacing w:after="0"/>
              <w:rPr>
                <w:sz w:val="11"/>
                <w:szCs w:val="11"/>
                <w:color w:val="auto"/>
              </w:rPr>
            </w:pPr>
          </w:p>
        </w:tc>
        <w:tc>
          <w:tcPr>
            <w:tcW w:w="160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214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Amortization</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780" w:type="dxa"/>
            <w:vAlign w:val="bottom"/>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88"/>
              </w:rPr>
              <w:t>4,809</w:t>
            </w:r>
          </w:p>
        </w:tc>
        <w:tc>
          <w:tcPr>
            <w:tcW w:w="5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1,770</w:t>
            </w:r>
          </w:p>
        </w:tc>
        <w:tc>
          <w:tcPr>
            <w:tcW w:w="760" w:type="dxa"/>
            <w:vAlign w:val="bottom"/>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395</w:t>
            </w:r>
          </w:p>
        </w:tc>
        <w:tc>
          <w:tcPr>
            <w:tcW w:w="40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1,375</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Broadcast Television</w:t>
            </w:r>
          </w:p>
        </w:tc>
        <w:tc>
          <w:tcPr>
            <w:tcW w:w="780" w:type="dxa"/>
            <w:vAlign w:val="bottom"/>
          </w:tcPr>
          <w:p>
            <w:pPr>
              <w:spacing w:after="0"/>
              <w:rPr>
                <w:sz w:val="18"/>
                <w:szCs w:val="18"/>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color w:val="auto"/>
                <w:w w:val="88"/>
              </w:rPr>
              <w:t>4,061</w:t>
            </w:r>
          </w:p>
        </w:tc>
        <w:tc>
          <w:tcPr>
            <w:tcW w:w="52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413</w:t>
            </w:r>
          </w:p>
        </w:tc>
        <w:tc>
          <w:tcPr>
            <w:tcW w:w="76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8"/>
                <w:szCs w:val="18"/>
                <w:color w:val="auto"/>
              </w:rPr>
              <w:t>354</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88"/>
              </w:rPr>
              <w:t>3,712</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715</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704</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Theme Parks</w:t>
            </w:r>
          </w:p>
        </w:tc>
        <w:tc>
          <w:tcPr>
            <w:tcW w:w="780" w:type="dxa"/>
            <w:vAlign w:val="bottom"/>
          </w:tcPr>
          <w:p>
            <w:pPr>
              <w:spacing w:after="0"/>
              <w:rPr>
                <w:sz w:val="18"/>
                <w:szCs w:val="18"/>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color w:val="auto"/>
                <w:w w:val="88"/>
              </w:rPr>
              <w:t>1,424</w:t>
            </w:r>
          </w:p>
        </w:tc>
        <w:tc>
          <w:tcPr>
            <w:tcW w:w="52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617</w:t>
            </w:r>
          </w:p>
        </w:tc>
        <w:tc>
          <w:tcPr>
            <w:tcW w:w="76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8"/>
                <w:szCs w:val="18"/>
                <w:color w:val="auto"/>
              </w:rPr>
              <w:t>475</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7</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(309)</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162</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(471)</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(179)</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gridSpan w:val="2"/>
            <w:shd w:val="clear" w:color="auto" w:fill="E5E5E5"/>
          </w:tcPr>
          <w:p>
            <w:pPr>
              <w:jc w:val="right"/>
              <w:ind w:right="352"/>
              <w:spacing w:after="0"/>
              <w:rPr>
                <w:sz w:val="20"/>
                <w:szCs w:val="20"/>
                <w:color w:val="auto"/>
              </w:rPr>
            </w:pPr>
            <w:r>
              <w:rPr>
                <w:rFonts w:ascii="Arial" w:cs="Arial" w:eastAsia="Arial" w:hAnsi="Arial"/>
                <w:sz w:val="18"/>
                <w:szCs w:val="18"/>
                <w:b w:val="1"/>
                <w:bCs w:val="1"/>
                <w:color w:val="auto"/>
              </w:rPr>
              <w:t>$ 13,834</w:t>
            </w:r>
          </w:p>
        </w:tc>
        <w:tc>
          <w:tcPr>
            <w:tcW w:w="52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3,206</w:t>
            </w:r>
          </w:p>
        </w:tc>
        <w:tc>
          <w:tcPr>
            <w:tcW w:w="76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b w:val="1"/>
                <w:bCs w:val="1"/>
                <w:color w:val="auto"/>
              </w:rPr>
              <w:t>769</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rPr>
              <w:t>2,437</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color w:val="auto"/>
                <w:w w:val="89"/>
              </w:rPr>
              <w:t>Six Months Ended June 30, 2014</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2"/>
          </w:tcPr>
          <w:p>
            <w:pPr>
              <w:ind w:left="320"/>
              <w:spacing w:after="0" w:line="131" w:lineRule="exact"/>
              <w:rPr>
                <w:sz w:val="20"/>
                <w:szCs w:val="20"/>
                <w:color w:val="auto"/>
              </w:rPr>
            </w:pPr>
            <w:r>
              <w:rPr>
                <w:rFonts w:ascii="Arial" w:cs="Arial" w:eastAsia="Arial" w:hAnsi="Arial"/>
                <w:sz w:val="14"/>
                <w:szCs w:val="14"/>
                <w:color w:val="auto"/>
                <w:w w:val="97"/>
              </w:rPr>
              <w:t>Operating Income (Loss)</w:t>
            </w:r>
          </w:p>
        </w:tc>
        <w:tc>
          <w:tcPr>
            <w:tcW w:w="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ind w:left="60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1840" w:type="dxa"/>
            <w:vAlign w:val="bottom"/>
            <w:gridSpan w:val="2"/>
          </w:tcPr>
          <w:p>
            <w:pPr>
              <w:ind w:left="340"/>
              <w:spacing w:after="0" w:line="133" w:lineRule="exact"/>
              <w:rPr>
                <w:sz w:val="20"/>
                <w:szCs w:val="20"/>
                <w:color w:val="auto"/>
              </w:rPr>
            </w:pPr>
            <w:r>
              <w:rPr>
                <w:rFonts w:ascii="Arial" w:cs="Arial" w:eastAsia="Arial" w:hAnsi="Arial"/>
                <w:sz w:val="14"/>
                <w:szCs w:val="14"/>
                <w:color w:val="auto"/>
                <w:w w:val="98"/>
              </w:rPr>
              <w:t>Before Depreciation and</w:t>
            </w:r>
          </w:p>
        </w:tc>
        <w:tc>
          <w:tcPr>
            <w:tcW w:w="2140" w:type="dxa"/>
            <w:vAlign w:val="bottom"/>
            <w:gridSpan w:val="2"/>
          </w:tcPr>
          <w:p>
            <w:pPr>
              <w:ind w:left="620"/>
              <w:spacing w:after="0" w:line="133" w:lineRule="exact"/>
              <w:rPr>
                <w:sz w:val="20"/>
                <w:szCs w:val="20"/>
                <w:color w:val="auto"/>
              </w:rPr>
            </w:pPr>
            <w:r>
              <w:rPr>
                <w:rFonts w:ascii="Arial" w:cs="Arial" w:eastAsia="Arial" w:hAnsi="Arial"/>
                <w:sz w:val="14"/>
                <w:szCs w:val="14"/>
                <w:color w:val="auto"/>
              </w:rPr>
              <w:t>Depreciation and</w:t>
            </w:r>
          </w:p>
        </w:tc>
        <w:tc>
          <w:tcPr>
            <w:tcW w:w="160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214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Amortization</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780" w:type="dxa"/>
            <w:vAlign w:val="bottom"/>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88"/>
              </w:rPr>
              <w:t>4,981</w:t>
            </w:r>
          </w:p>
        </w:tc>
        <w:tc>
          <w:tcPr>
            <w:tcW w:w="5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1,809</w:t>
            </w:r>
          </w:p>
        </w:tc>
        <w:tc>
          <w:tcPr>
            <w:tcW w:w="760" w:type="dxa"/>
            <w:vAlign w:val="bottom"/>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369</w:t>
            </w:r>
          </w:p>
        </w:tc>
        <w:tc>
          <w:tcPr>
            <w:tcW w:w="40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1,440</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Broadcast Television</w:t>
            </w:r>
          </w:p>
        </w:tc>
        <w:tc>
          <w:tcPr>
            <w:tcW w:w="780" w:type="dxa"/>
            <w:vAlign w:val="bottom"/>
          </w:tcPr>
          <w:p>
            <w:pPr>
              <w:spacing w:after="0"/>
              <w:rPr>
                <w:sz w:val="18"/>
                <w:szCs w:val="18"/>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color w:val="auto"/>
                <w:w w:val="88"/>
              </w:rPr>
              <w:t>4,437</w:t>
            </w:r>
          </w:p>
        </w:tc>
        <w:tc>
          <w:tcPr>
            <w:tcW w:w="52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362</w:t>
            </w:r>
          </w:p>
        </w:tc>
        <w:tc>
          <w:tcPr>
            <w:tcW w:w="76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8"/>
                <w:szCs w:val="18"/>
                <w:color w:val="auto"/>
              </w:rPr>
              <w:t>308</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88"/>
              </w:rPr>
              <w:t>2,527</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483</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473</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Theme Parks</w:t>
            </w:r>
          </w:p>
        </w:tc>
        <w:tc>
          <w:tcPr>
            <w:tcW w:w="780" w:type="dxa"/>
            <w:vAlign w:val="bottom"/>
          </w:tcPr>
          <w:p>
            <w:pPr>
              <w:spacing w:after="0"/>
              <w:rPr>
                <w:sz w:val="18"/>
                <w:szCs w:val="18"/>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color w:val="auto"/>
                <w:w w:val="88"/>
              </w:rPr>
              <w:t>1,102</w:t>
            </w:r>
          </w:p>
        </w:tc>
        <w:tc>
          <w:tcPr>
            <w:tcW w:w="52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414</w:t>
            </w:r>
          </w:p>
        </w:tc>
        <w:tc>
          <w:tcPr>
            <w:tcW w:w="76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8"/>
                <w:szCs w:val="18"/>
                <w:color w:val="auto"/>
              </w:rPr>
              <w:t>272</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7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6</w:t>
            </w:r>
          </w:p>
        </w:tc>
        <w:tc>
          <w:tcPr>
            <w:tcW w:w="52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(322)</w:t>
            </w:r>
          </w:p>
        </w:tc>
        <w:tc>
          <w:tcPr>
            <w:tcW w:w="76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(482)</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(161)</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gridSpan w:val="2"/>
            <w:shd w:val="clear" w:color="auto" w:fill="E5E5E5"/>
          </w:tcPr>
          <w:p>
            <w:pPr>
              <w:jc w:val="right"/>
              <w:ind w:right="352"/>
              <w:spacing w:after="0"/>
              <w:rPr>
                <w:sz w:val="20"/>
                <w:szCs w:val="20"/>
                <w:color w:val="auto"/>
              </w:rPr>
            </w:pPr>
            <w:r>
              <w:rPr>
                <w:rFonts w:ascii="Arial" w:cs="Arial" w:eastAsia="Arial" w:hAnsi="Arial"/>
                <w:sz w:val="18"/>
                <w:szCs w:val="18"/>
                <w:b w:val="1"/>
                <w:bCs w:val="1"/>
                <w:color w:val="auto"/>
              </w:rPr>
              <w:t>$ 12,892</w:t>
            </w:r>
          </w:p>
        </w:tc>
        <w:tc>
          <w:tcPr>
            <w:tcW w:w="52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2,745</w:t>
            </w:r>
          </w:p>
        </w:tc>
        <w:tc>
          <w:tcPr>
            <w:tcW w:w="76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b w:val="1"/>
                <w:bCs w:val="1"/>
                <w:color w:val="auto"/>
              </w:rPr>
              <w:t>735</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ARTICLE 1– BACKGROUND AND COVERAGE OF PLAN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225" w:lineRule="exact"/>
        <w:rPr>
          <w:sz w:val="20"/>
          <w:szCs w:val="20"/>
          <w:color w:val="auto"/>
        </w:rPr>
      </w:pPr>
    </w:p>
    <w:p>
      <w:pPr>
        <w:ind w:right="60" w:firstLine="1484"/>
        <w:spacing w:after="0" w:line="29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65" w:lineRule="exact"/>
        <w:rPr>
          <w:sz w:val="20"/>
          <w:szCs w:val="20"/>
          <w:color w:val="auto"/>
        </w:rPr>
      </w:pPr>
    </w:p>
    <w:p>
      <w:pPr>
        <w:ind w:right="80" w:firstLine="1484"/>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8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8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Administrator.</w:t>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 – DEFINITIONS</w:t>
      </w:r>
    </w:p>
    <w:p>
      <w:pPr>
        <w:spacing w:after="0" w:line="229"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117" w:lineRule="exact"/>
        <w:rPr>
          <w:sz w:val="20"/>
          <w:szCs w:val="20"/>
          <w:color w:val="auto"/>
        </w:rPr>
      </w:pPr>
    </w:p>
    <w:p>
      <w:pPr>
        <w:ind w:left="1740" w:hanging="248"/>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or a Director Emeritus; and</w:t>
      </w:r>
    </w:p>
    <w:p>
      <w:pPr>
        <w:spacing w:after="0" w:line="225" w:lineRule="exact"/>
        <w:rPr>
          <w:rFonts w:ascii="Arial" w:cs="Arial" w:eastAsia="Arial" w:hAnsi="Arial"/>
          <w:sz w:val="18"/>
          <w:szCs w:val="18"/>
          <w:color w:val="auto"/>
        </w:rPr>
      </w:pPr>
    </w:p>
    <w:p>
      <w:pPr>
        <w:ind w:left="920" w:right="2620" w:firstLine="572"/>
        <w:spacing w:after="0" w:line="501" w:lineRule="auto"/>
        <w:tabs>
          <w:tab w:leader="none" w:pos="17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its delegate.</w:t>
      </w:r>
    </w:p>
    <w:p>
      <w:pPr>
        <w:ind w:right="240" w:firstLine="913"/>
        <w:spacing w:after="0" w:line="259"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7" w:lineRule="exact"/>
        <w:rPr>
          <w:sz w:val="20"/>
          <w:szCs w:val="20"/>
          <w:color w:val="auto"/>
        </w:rPr>
      </w:pPr>
    </w:p>
    <w:p>
      <w:pPr>
        <w:jc w:val="both"/>
        <w:ind w:right="100" w:firstLine="913"/>
        <w:spacing w:after="0" w:line="342"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Annual Rate of Pay</w:t>
      </w:r>
      <w:r>
        <w:rPr>
          <w:rFonts w:ascii="Arial" w:cs="Arial" w:eastAsia="Arial" w:hAnsi="Arial"/>
          <w:sz w:val="16"/>
          <w:szCs w:val="16"/>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w:t>
      </w:r>
    </w:p>
    <w:p>
      <w:pPr>
        <w:spacing w:after="0" w:line="117" w:lineRule="exact"/>
        <w:rPr>
          <w:sz w:val="20"/>
          <w:szCs w:val="20"/>
          <w:color w:val="auto"/>
        </w:rPr>
      </w:pPr>
    </w:p>
    <w:p>
      <w:pPr>
        <w:ind w:left="1740" w:hanging="248"/>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48"/>
        <w:spacing w:after="0" w:line="264" w:lineRule="auto"/>
        <w:tabs>
          <w:tab w:leader="none" w:pos="215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Protected Account Balances</w:t>
      </w:r>
      <w:r>
        <w:rPr>
          <w:rFonts w:ascii="Arial" w:cs="Arial" w:eastAsia="Arial" w:hAnsi="Arial"/>
          <w:sz w:val="18"/>
          <w:szCs w:val="18"/>
          <w:color w:val="auto"/>
        </w:rPr>
        <w:t>. Except as otherwise provided in Sections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81" w:lineRule="exact"/>
        <w:rPr>
          <w:rFonts w:ascii="Arial" w:cs="Arial" w:eastAsia="Arial" w:hAnsi="Arial"/>
          <w:sz w:val="18"/>
          <w:szCs w:val="18"/>
          <w:color w:val="auto"/>
        </w:rPr>
      </w:pPr>
    </w:p>
    <w:p>
      <w:pPr>
        <w:ind w:right="280" w:firstLine="1948"/>
        <w:spacing w:after="0" w:line="277" w:lineRule="auto"/>
        <w:tabs>
          <w:tab w:leader="none" w:pos="220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Contributions Credited on and after January 1, 2014 (on and after January 1, 2013 for Eligible NBCUniversal Employees)</w:t>
      </w:r>
      <w:r>
        <w:rPr>
          <w:rFonts w:ascii="Arial" w:cs="Arial" w:eastAsia="Arial" w:hAnsi="Arial"/>
          <w:sz w:val="18"/>
          <w:szCs w:val="18"/>
          <w:color w:val="auto"/>
        </w:rPr>
        <w:t>. Except as otherwise provided in Sections 2.6(b):</w:t>
      </w:r>
    </w:p>
    <w:p>
      <w:pPr>
        <w:spacing w:after="0" w:line="170" w:lineRule="exact"/>
        <w:rPr>
          <w:rFonts w:ascii="Arial" w:cs="Arial" w:eastAsia="Arial" w:hAnsi="Arial"/>
          <w:sz w:val="18"/>
          <w:szCs w:val="18"/>
          <w:color w:val="auto"/>
        </w:rPr>
      </w:pPr>
    </w:p>
    <w:p>
      <w:pPr>
        <w:ind w:firstLine="2975"/>
        <w:spacing w:after="0" w:line="257" w:lineRule="auto"/>
        <w:tabs>
          <w:tab w:leader="none" w:pos="3262" w:val="left"/>
        </w:tabs>
        <w:numPr>
          <w:ilvl w:val="2"/>
          <w:numId w:val="16"/>
        </w:numPr>
        <w:rPr>
          <w:rFonts w:ascii="Arial" w:cs="Arial" w:eastAsia="Arial" w:hAnsi="Arial"/>
          <w:sz w:val="18"/>
          <w:szCs w:val="18"/>
          <w:color w:val="auto"/>
        </w:rPr>
      </w:pPr>
      <w:r>
        <w:rPr>
          <w:rFonts w:ascii="Arial" w:cs="Arial" w:eastAsia="Arial" w:hAnsi="Arial"/>
          <w:sz w:val="18"/>
          <w:szCs w:val="18"/>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61" w:name="page62"/>
    <w:bookmarkEnd w:id="61"/>
    <w:p>
      <w:pPr>
        <w:ind w:right="160" w:firstLine="2975"/>
        <w:spacing w:after="0" w:line="257" w:lineRule="auto"/>
        <w:tabs>
          <w:tab w:leader="none" w:pos="3252"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amounts credited to Accounts of Eligible NBCUniversal Employees on 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188" w:lineRule="exact"/>
        <w:rPr>
          <w:rFonts w:ascii="Arial" w:cs="Arial" w:eastAsia="Arial" w:hAnsi="Arial"/>
          <w:sz w:val="18"/>
          <w:szCs w:val="18"/>
          <w:color w:val="auto"/>
        </w:rPr>
      </w:pPr>
    </w:p>
    <w:p>
      <w:pPr>
        <w:ind w:firstLine="1492"/>
        <w:spacing w:after="0" w:line="272" w:lineRule="auto"/>
        <w:tabs>
          <w:tab w:leader="none" w:pos="17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7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Beneficiary</w:t>
      </w:r>
      <w:r>
        <w:rPr>
          <w:rFonts w:ascii="Arial" w:cs="Arial" w:eastAsia="Arial" w:hAnsi="Arial"/>
          <w:sz w:val="18"/>
          <w:szCs w:val="18"/>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Comcast Spectacor</w:t>
      </w:r>
      <w:r>
        <w:rPr>
          <w:rFonts w:ascii="Arial" w:cs="Arial" w:eastAsia="Arial" w:hAnsi="Arial"/>
          <w:sz w:val="18"/>
          <w:szCs w:val="18"/>
          <w:color w:val="auto"/>
        </w:rPr>
        <w:t>” means Comcast Spectacor, 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2" w:name="page63"/>
    <w:bookmarkEnd w:id="6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2.13.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2.14. The Committee’s adjustment shall be effective and binding for all purposes of the Plan.</w:t>
      </w:r>
    </w:p>
    <w:p>
      <w:pPr>
        <w:spacing w:after="0" w:line="166" w:lineRule="exact"/>
        <w:rPr>
          <w:sz w:val="20"/>
          <w:szCs w:val="20"/>
          <w:color w:val="auto"/>
        </w:rPr>
      </w:pPr>
    </w:p>
    <w:p>
      <w:pPr>
        <w:ind w:right="260" w:firstLine="913"/>
        <w:spacing w:after="0" w:line="254"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Company Stock Fund</w:t>
      </w:r>
      <w:r>
        <w:rPr>
          <w:rFonts w:ascii="Arial" w:cs="Arial" w:eastAsia="Arial" w:hAnsi="Arial"/>
          <w:sz w:val="18"/>
          <w:szCs w:val="18"/>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 and provided further that dividends and other distributions paid with respect to Company Stock after May 30, 2012 shall be credited to the Income Fund.</w:t>
      </w:r>
    </w:p>
    <w:p>
      <w:pPr>
        <w:spacing w:after="0" w:line="3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117" w:lineRule="exact"/>
        <w:rPr>
          <w:sz w:val="20"/>
          <w:szCs w:val="20"/>
          <w:color w:val="auto"/>
        </w:rPr>
      </w:pPr>
    </w:p>
    <w:p>
      <w:pPr>
        <w:ind w:right="160" w:firstLine="1492"/>
        <w:spacing w:after="0" w:line="286" w:lineRule="auto"/>
        <w:tabs>
          <w:tab w:leader="none" w:pos="1728" w:val="left"/>
        </w:tabs>
        <w:numPr>
          <w:ilvl w:val="1"/>
          <w:numId w:val="19"/>
        </w:numPr>
        <w:rPr>
          <w:rFonts w:ascii="Arial" w:cs="Arial" w:eastAsia="Arial" w:hAnsi="Arial"/>
          <w:sz w:val="17"/>
          <w:szCs w:val="17"/>
          <w:color w:val="auto"/>
        </w:rPr>
      </w:pPr>
      <w:r>
        <w:rPr>
          <w:rFonts w:ascii="Arial" w:cs="Arial" w:eastAsia="Arial" w:hAnsi="Arial"/>
          <w:sz w:val="17"/>
          <w:szCs w:val="17"/>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65" w:lineRule="exact"/>
        <w:rPr>
          <w:rFonts w:ascii="Arial" w:cs="Arial" w:eastAsia="Arial" w:hAnsi="Arial"/>
          <w:sz w:val="17"/>
          <w:szCs w:val="17"/>
          <w:color w:val="auto"/>
        </w:rPr>
      </w:pPr>
    </w:p>
    <w:p>
      <w:pPr>
        <w:ind w:left="1740" w:hanging="248"/>
        <w:spacing w:after="0"/>
        <w:tabs>
          <w:tab w:leader="none" w:pos="17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In the case of an Eligible Employee, the total cash remuneration for services payable by a Participating Company, excluding</w:t>
      </w:r>
    </w:p>
    <w:p>
      <w:pPr>
        <w:spacing w:after="0" w:line="34" w:lineRule="exact"/>
        <w:rPr>
          <w:rFonts w:ascii="Arial" w:cs="Arial" w:eastAsia="Arial" w:hAnsi="Arial"/>
          <w:sz w:val="17"/>
          <w:szCs w:val="17"/>
          <w:color w:val="auto"/>
        </w:rPr>
      </w:pPr>
    </w:p>
    <w:p>
      <w:pPr>
        <w:ind w:right="20" w:firstLine="8"/>
        <w:spacing w:after="0" w:line="255"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Severance Pay, (ii) sales commissions or other similar payments or awards other than cash bonus arrangements described in Section 2.16(c), (iii) bonuses earned under any program designated by the Company’s Programming Division as a “long-term incentive plan” and (iv) cash bonuses earned under any long-term incentive plan for employees of NBCUniversal.</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3" w:name="page64"/>
    <w:bookmarkEnd w:id="63"/>
    <w:p>
      <w:pPr>
        <w:ind w:firstLine="1492"/>
        <w:spacing w:after="0" w:line="257" w:lineRule="auto"/>
        <w:tabs>
          <w:tab w:leader="none" w:pos="1728"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Contribution Limit</w:t>
      </w:r>
      <w:r>
        <w:rPr>
          <w:rFonts w:ascii="Arial" w:cs="Arial" w:eastAsia="Arial" w:hAnsi="Arial"/>
          <w:sz w:val="18"/>
          <w:szCs w:val="18"/>
          <w:color w:val="auto"/>
        </w:rPr>
        <w:t>” means the product of (a) seven (7) times (b) Total Compensation.</w:t>
      </w:r>
    </w:p>
    <w:p>
      <w:pPr>
        <w:spacing w:after="0" w:line="225"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54"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2.19. “</w:t>
      </w:r>
      <w:r>
        <w:rPr>
          <w:rFonts w:ascii="Arial" w:cs="Arial" w:eastAsia="Arial" w:hAnsi="Arial"/>
          <w:sz w:val="17"/>
          <w:szCs w:val="17"/>
          <w:u w:val="single" w:color="auto"/>
          <w:color w:val="auto"/>
        </w:rPr>
        <w:t>Death Taxes</w:t>
      </w:r>
      <w:r>
        <w:rPr>
          <w:rFonts w:ascii="Arial" w:cs="Arial" w:eastAsia="Arial" w:hAnsi="Arial"/>
          <w:sz w:val="17"/>
          <w:szCs w:val="17"/>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4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17" w:lineRule="exact"/>
        <w:rPr>
          <w:sz w:val="20"/>
          <w:szCs w:val="20"/>
          <w:color w:val="auto"/>
        </w:rPr>
      </w:pPr>
    </w:p>
    <w:p>
      <w:pPr>
        <w:ind w:right="420" w:firstLine="1492"/>
        <w:spacing w:after="0" w:line="308" w:lineRule="auto"/>
        <w:tabs>
          <w:tab w:leader="none" w:pos="17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46" w:lineRule="exact"/>
        <w:rPr>
          <w:rFonts w:ascii="Arial" w:cs="Arial" w:eastAsia="Arial" w:hAnsi="Arial"/>
          <w:sz w:val="17"/>
          <w:szCs w:val="17"/>
          <w:color w:val="auto"/>
        </w:rPr>
      </w:pPr>
    </w:p>
    <w:p>
      <w:pPr>
        <w:ind w:right="120" w:firstLine="1492"/>
        <w:spacing w:after="0" w:line="286" w:lineRule="auto"/>
        <w:tabs>
          <w:tab w:leader="none" w:pos="17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4" w:name="page65"/>
    <w:bookmarkEnd w:id="6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2.23.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17" w:lineRule="exact"/>
        <w:rPr>
          <w:sz w:val="20"/>
          <w:szCs w:val="20"/>
          <w:color w:val="auto"/>
        </w:rPr>
      </w:pPr>
    </w:p>
    <w:p>
      <w:pPr>
        <w:ind w:firstLine="1492"/>
        <w:spacing w:after="0" w:line="277" w:lineRule="auto"/>
        <w:tabs>
          <w:tab w:leader="none" w:pos="17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2.23(a) acting on behalf of such individual.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2.24. “</w:t>
      </w:r>
      <w:r>
        <w:rPr>
          <w:rFonts w:ascii="Arial" w:cs="Arial" w:eastAsia="Arial" w:hAnsi="Arial"/>
          <w:sz w:val="17"/>
          <w:szCs w:val="17"/>
          <w:u w:val="single" w:color="auto"/>
          <w:color w:val="auto"/>
        </w:rPr>
        <w:t>Domestic Relations Order</w:t>
      </w:r>
      <w:r>
        <w:rPr>
          <w:rFonts w:ascii="Arial" w:cs="Arial" w:eastAsia="Arial" w:hAnsi="Arial"/>
          <w:sz w:val="17"/>
          <w:szCs w:val="17"/>
          <w:color w:val="auto"/>
        </w:rPr>
        <w:t>” means any judgment, decree or order (including approval of a property settlement agreement) which:</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Relates to the provision of child support, alimony payments or marital property rights to a spouse or former spouse of a Participant;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 Is made pursuant to a State domestic relations law (including a community property law).</w:t>
      </w:r>
    </w:p>
    <w:p>
      <w:pPr>
        <w:spacing w:after="0" w:line="225"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2.25. “</w:t>
      </w:r>
      <w:r>
        <w:rPr>
          <w:rFonts w:ascii="Arial" w:cs="Arial" w:eastAsia="Arial" w:hAnsi="Arial"/>
          <w:sz w:val="17"/>
          <w:szCs w:val="17"/>
          <w:u w:val="single" w:color="auto"/>
          <w:color w:val="auto"/>
        </w:rPr>
        <w:t>Eligible Comcast Employee</w:t>
      </w:r>
      <w:r>
        <w:rPr>
          <w:rFonts w:ascii="Arial" w:cs="Arial" w:eastAsia="Arial" w:hAnsi="Arial"/>
          <w:sz w:val="17"/>
          <w:szCs w:val="17"/>
          <w:color w:val="auto"/>
        </w:rPr>
        <w:t>” means an employee of a Participating Company described in Section 2.25(a) through 2.25(e) below, provided that except as otherwise designated by the Administrator, in the case of an employee of the Company or a subsidiary of the Company (other than NBCUniversal), such individual’s Compensation is administered under the Company’s common payroll system, and in the case of an employee of NBCUniversal, such individual’s Compensation is administered under NBCUniversal’s common payroll system:</w:t>
      </w:r>
    </w:p>
    <w:p>
      <w:pPr>
        <w:spacing w:after="0" w:line="171" w:lineRule="exact"/>
        <w:rPr>
          <w:sz w:val="20"/>
          <w:szCs w:val="20"/>
          <w:color w:val="auto"/>
        </w:rPr>
      </w:pPr>
    </w:p>
    <w:p>
      <w:pPr>
        <w:ind w:right="160" w:firstLine="1492"/>
        <w:spacing w:after="0" w:line="277" w:lineRule="auto"/>
        <w:tabs>
          <w:tab w:leader="none" w:pos="17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70" w:lineRule="exact"/>
        <w:rPr>
          <w:rFonts w:ascii="Arial" w:cs="Arial" w:eastAsia="Arial" w:hAnsi="Arial"/>
          <w:sz w:val="18"/>
          <w:szCs w:val="18"/>
          <w:color w:val="auto"/>
        </w:rPr>
      </w:pPr>
    </w:p>
    <w:p>
      <w:pPr>
        <w:ind w:right="260" w:firstLine="1492"/>
        <w:spacing w:after="0" w:line="286" w:lineRule="auto"/>
        <w:tabs>
          <w:tab w:leader="none" w:pos="1738" w:val="left"/>
        </w:tabs>
        <w:numPr>
          <w:ilvl w:val="1"/>
          <w:numId w:val="24"/>
        </w:numPr>
        <w:rPr>
          <w:rFonts w:ascii="Arial" w:cs="Arial" w:eastAsia="Arial" w:hAnsi="Arial"/>
          <w:sz w:val="17"/>
          <w:szCs w:val="17"/>
          <w:color w:val="auto"/>
        </w:rPr>
      </w:pPr>
      <w:r>
        <w:rPr>
          <w:rFonts w:ascii="Arial" w:cs="Arial" w:eastAsia="Arial" w:hAnsi="Arial"/>
          <w:sz w:val="17"/>
          <w:szCs w:val="17"/>
          <w:color w:val="auto"/>
        </w:rPr>
        <w:t>For the 2013 Plan Year, (i) each employee of a Participating Company other than NBCUniversal and (ii) each employee of NBCUniversal described in Section 2.25(a), provided that in each case, such employee has an Annual Rate of Pay of $200,000 or more as of both (iii) the date on which an Initial Election is filed with the Administrator for the 2013 Plan Year and (iv) January 1, 2013.</w:t>
      </w:r>
    </w:p>
    <w:p>
      <w:pPr>
        <w:spacing w:after="0" w:line="165" w:lineRule="exact"/>
        <w:rPr>
          <w:rFonts w:ascii="Arial" w:cs="Arial" w:eastAsia="Arial" w:hAnsi="Arial"/>
          <w:sz w:val="17"/>
          <w:szCs w:val="17"/>
          <w:color w:val="auto"/>
        </w:rPr>
      </w:pPr>
    </w:p>
    <w:p>
      <w:pPr>
        <w:ind w:left="1740" w:hanging="248"/>
        <w:spacing w:after="0"/>
        <w:tabs>
          <w:tab w:leader="none" w:pos="17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For Plan Years beginning on and after January 1, 2014, (i) each employee of a Participating Company other than NBCUniversal and</w:t>
      </w:r>
    </w:p>
    <w:p>
      <w:pPr>
        <w:spacing w:after="0" w:line="46" w:lineRule="exact"/>
        <w:rPr>
          <w:rFonts w:ascii="Arial" w:cs="Arial" w:eastAsia="Arial" w:hAnsi="Arial"/>
          <w:sz w:val="16"/>
          <w:szCs w:val="16"/>
          <w:color w:val="auto"/>
        </w:rPr>
      </w:pPr>
    </w:p>
    <w:p>
      <w:pPr>
        <w:jc w:val="both"/>
        <w:ind w:right="40" w:firstLine="8"/>
        <w:spacing w:after="0" w:line="277"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employee of NBCUniversal described in Section 2.25(a) whose Compensation was administered under NBCUniversal’s common payroll system as of December 31, 2013, provided that in each case, such employee has an Annual Rate of Pay of $250,000 or more as of both (iii) the date on which an Initial Election is filed with the Administrator and (iv) the first day of the calendar year in which such Initial Election is filed.</w:t>
      </w:r>
    </w:p>
    <w:p>
      <w:pPr>
        <w:spacing w:after="0" w:line="173" w:lineRule="exact"/>
        <w:rPr>
          <w:rFonts w:ascii="Arial" w:cs="Arial" w:eastAsia="Arial" w:hAnsi="Arial"/>
          <w:sz w:val="17"/>
          <w:szCs w:val="17"/>
          <w:color w:val="auto"/>
        </w:rPr>
      </w:pPr>
    </w:p>
    <w:p>
      <w:pPr>
        <w:ind w:left="1740" w:hanging="248"/>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a Participating Company other than NBCUniversal.</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New Key Employee who is an employee of a Participating Company other than NBCUniversal.</w:t>
      </w:r>
    </w:p>
    <w:p>
      <w:pPr>
        <w:spacing w:after="0" w:line="225" w:lineRule="exact"/>
        <w:rPr>
          <w:rFonts w:ascii="Arial" w:cs="Arial" w:eastAsia="Arial" w:hAnsi="Arial"/>
          <w:sz w:val="18"/>
          <w:szCs w:val="18"/>
          <w:color w:val="auto"/>
        </w:rPr>
      </w:pPr>
    </w:p>
    <w:p>
      <w:pPr>
        <w:ind w:left="1720" w:hanging="228"/>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Eligible Comcast Spectacor Employee.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65" w:name="page66"/>
    <w:bookmarkEnd w:id="6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2.26. “</w:t>
      </w:r>
      <w:r>
        <w:rPr>
          <w:rFonts w:ascii="Arial" w:cs="Arial" w:eastAsia="Arial" w:hAnsi="Arial"/>
          <w:sz w:val="18"/>
          <w:szCs w:val="18"/>
          <w:u w:val="single" w:color="auto"/>
          <w:color w:val="auto"/>
        </w:rPr>
        <w:t>Eligible Comcast Spectacor Employee</w:t>
      </w:r>
      <w:r>
        <w:rPr>
          <w:rFonts w:ascii="Arial" w:cs="Arial" w:eastAsia="Arial" w:hAnsi="Arial"/>
          <w:sz w:val="18"/>
          <w:szCs w:val="18"/>
          <w:color w:val="auto"/>
        </w:rPr>
        <w:t>” means:</w:t>
      </w:r>
    </w:p>
    <w:p>
      <w:pPr>
        <w:spacing w:after="0" w:line="117" w:lineRule="exact"/>
        <w:rPr>
          <w:sz w:val="20"/>
          <w:szCs w:val="20"/>
          <w:color w:val="auto"/>
        </w:rPr>
      </w:pPr>
    </w:p>
    <w:p>
      <w:pPr>
        <w:ind w:right="240" w:firstLine="1492"/>
        <w:spacing w:after="0" w:line="277" w:lineRule="auto"/>
        <w:tabs>
          <w:tab w:leader="none" w:pos="17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Eligible Comcast Employee who is providing services to Comcast Spectacor under a secondment arrangement between the Company and Comcast Spectacor.</w:t>
      </w:r>
    </w:p>
    <w:p>
      <w:pPr>
        <w:spacing w:after="0" w:line="170" w:lineRule="exact"/>
        <w:rPr>
          <w:rFonts w:ascii="Arial" w:cs="Arial" w:eastAsia="Arial" w:hAnsi="Arial"/>
          <w:sz w:val="18"/>
          <w:szCs w:val="18"/>
          <w:color w:val="auto"/>
        </w:rPr>
      </w:pPr>
    </w:p>
    <w:p>
      <w:pPr>
        <w:ind w:right="20" w:firstLine="1492"/>
        <w:spacing w:after="0" w:line="264" w:lineRule="auto"/>
        <w:tabs>
          <w:tab w:leader="none" w:pos="17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17" w:lineRule="exact"/>
        <w:rPr>
          <w:sz w:val="20"/>
          <w:szCs w:val="20"/>
          <w:color w:val="auto"/>
        </w:rPr>
      </w:pPr>
    </w:p>
    <w:p>
      <w:pPr>
        <w:ind w:left="1740" w:hanging="248"/>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Eligible Comcast Employee;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Eligible NBCU Employee; and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Administrator, in its discretion, as an Eligible Employee.</w:t>
      </w:r>
    </w:p>
    <w:p>
      <w:pPr>
        <w:spacing w:after="0" w:line="24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Eligible NBCU Employee</w:t>
      </w:r>
      <w:r>
        <w:rPr>
          <w:rFonts w:ascii="Arial" w:cs="Arial" w:eastAsia="Arial" w:hAnsi="Arial"/>
          <w:sz w:val="18"/>
          <w:szCs w:val="18"/>
          <w:color w:val="auto"/>
        </w:rPr>
        <w:t>” means an employee of NBCUniversal described in Section 2.28(a) through 2.28(e) below, provided that, in each case, except as otherwise designated by the Administrator, such individual’s Compensation is administered under NBCUniversal’s common payroll system.</w:t>
      </w:r>
    </w:p>
    <w:p>
      <w:pPr>
        <w:spacing w:after="0" w:line="181" w:lineRule="exact"/>
        <w:rPr>
          <w:sz w:val="20"/>
          <w:szCs w:val="20"/>
          <w:color w:val="auto"/>
        </w:rPr>
      </w:pPr>
    </w:p>
    <w:p>
      <w:pPr>
        <w:ind w:right="320" w:firstLine="1492"/>
        <w:spacing w:after="0" w:line="308" w:lineRule="auto"/>
        <w:tabs>
          <w:tab w:leader="none" w:pos="17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employee of NBCUniversal who has been designated as a member of NBCUniversal’s Operating Committee by the Chief Executive Officer of NBCUniversal and approved by the Administrator, other than an employee who is described in Section 2.25.</w:t>
      </w:r>
    </w:p>
    <w:p>
      <w:pPr>
        <w:spacing w:after="0" w:line="146" w:lineRule="exact"/>
        <w:rPr>
          <w:rFonts w:ascii="Arial" w:cs="Arial" w:eastAsia="Arial" w:hAnsi="Arial"/>
          <w:sz w:val="17"/>
          <w:szCs w:val="17"/>
          <w:color w:val="auto"/>
        </w:rPr>
      </w:pPr>
    </w:p>
    <w:p>
      <w:pPr>
        <w:ind w:left="1740" w:hanging="248"/>
        <w:spacing w:after="0"/>
        <w:tabs>
          <w:tab w:leader="none" w:pos="1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employee of NBCUniversal, other than an employee who is described in Section 2.25, who, for the 2013 Plan Year:</w:t>
      </w:r>
    </w:p>
    <w:p>
      <w:pPr>
        <w:spacing w:after="0" w:line="236" w:lineRule="exact"/>
        <w:rPr>
          <w:rFonts w:ascii="Arial" w:cs="Arial" w:eastAsia="Arial" w:hAnsi="Arial"/>
          <w:sz w:val="17"/>
          <w:szCs w:val="17"/>
          <w:color w:val="auto"/>
        </w:rPr>
      </w:pPr>
    </w:p>
    <w:p>
      <w:pPr>
        <w:ind w:left="2160" w:hanging="212"/>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225" w:lineRule="exact"/>
        <w:rPr>
          <w:rFonts w:ascii="Arial" w:cs="Arial" w:eastAsia="Arial" w:hAnsi="Arial"/>
          <w:sz w:val="18"/>
          <w:szCs w:val="18"/>
          <w:color w:val="auto"/>
        </w:rPr>
      </w:pPr>
    </w:p>
    <w:p>
      <w:pPr>
        <w:ind w:left="2220" w:hanging="272"/>
        <w:spacing w:after="0"/>
        <w:tabs>
          <w:tab w:leader="none" w:pos="2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Transferred employment directly from the Company to NBCUniversal in 2011 or 2012;</w:t>
      </w:r>
    </w:p>
    <w:p>
      <w:pPr>
        <w:spacing w:after="0" w:line="225" w:lineRule="exact"/>
        <w:rPr>
          <w:rFonts w:ascii="Arial" w:cs="Arial" w:eastAsia="Arial" w:hAnsi="Arial"/>
          <w:sz w:val="18"/>
          <w:szCs w:val="18"/>
          <w:color w:val="auto"/>
        </w:rPr>
      </w:pPr>
    </w:p>
    <w:p>
      <w:pPr>
        <w:ind w:left="2260" w:hanging="312"/>
        <w:spacing w:after="0"/>
        <w:tabs>
          <w:tab w:leader="none" w:pos="22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Was an Eligible Employee under the rules of the Plan as in effect immediately before transferring employment from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to NBCUniversal;</w:t>
      </w:r>
    </w:p>
    <w:p>
      <w:pPr>
        <w:spacing w:after="0" w:line="210" w:lineRule="exact"/>
        <w:rPr>
          <w:rFonts w:ascii="Arial" w:cs="Arial" w:eastAsia="Arial" w:hAnsi="Arial"/>
          <w:sz w:val="17"/>
          <w:szCs w:val="17"/>
          <w:color w:val="auto"/>
        </w:rPr>
      </w:pPr>
    </w:p>
    <w:p>
      <w:pPr>
        <w:ind w:right="40" w:firstLine="1948"/>
        <w:spacing w:after="0" w:line="277" w:lineRule="auto"/>
        <w:tabs>
          <w:tab w:leader="none" w:pos="22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Elected to waive the opportunity to continue to be an Eligible Employee following the transfer of employment directly from the Company to NBCUniversal;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66" w:name="page67"/>
    <w:bookmarkEnd w:id="66"/>
    <w:p>
      <w:pPr>
        <w:ind w:right="840" w:firstLine="1948"/>
        <w:spacing w:after="0" w:line="277" w:lineRule="auto"/>
        <w:tabs>
          <w:tab w:leader="none" w:pos="2195"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an Annual Rate of Pay of $200,000 or more as of both (iii) the date on which an Initial Election is filed with the Administrator for the 2013 Plan Year and (iv) January 1, 2013; and</w:t>
      </w:r>
    </w:p>
    <w:p>
      <w:pPr>
        <w:spacing w:after="0" w:line="170" w:lineRule="exact"/>
        <w:rPr>
          <w:rFonts w:ascii="Arial" w:cs="Arial" w:eastAsia="Arial" w:hAnsi="Arial"/>
          <w:sz w:val="18"/>
          <w:szCs w:val="18"/>
          <w:color w:val="auto"/>
        </w:rPr>
      </w:pPr>
    </w:p>
    <w:p>
      <w:pPr>
        <w:ind w:left="2260" w:hanging="312"/>
        <w:spacing w:after="0"/>
        <w:tabs>
          <w:tab w:leader="none" w:pos="2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2.25, who, for the 2013 Plan Year:</w:t>
      </w:r>
    </w:p>
    <w:p>
      <w:pPr>
        <w:spacing w:after="0" w:line="225" w:lineRule="exact"/>
        <w:rPr>
          <w:rFonts w:ascii="Arial" w:cs="Arial" w:eastAsia="Arial" w:hAnsi="Arial"/>
          <w:sz w:val="18"/>
          <w:szCs w:val="18"/>
          <w:color w:val="auto"/>
        </w:rPr>
      </w:pPr>
    </w:p>
    <w:p>
      <w:pPr>
        <w:ind w:left="2160" w:hanging="212"/>
        <w:spacing w:after="0"/>
        <w:tabs>
          <w:tab w:leader="none" w:pos="2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225" w:lineRule="exact"/>
        <w:rPr>
          <w:rFonts w:ascii="Arial" w:cs="Arial" w:eastAsia="Arial" w:hAnsi="Arial"/>
          <w:sz w:val="18"/>
          <w:szCs w:val="18"/>
          <w:color w:val="auto"/>
        </w:rPr>
      </w:pPr>
    </w:p>
    <w:p>
      <w:pPr>
        <w:ind w:left="2220" w:hanging="272"/>
        <w:spacing w:after="0"/>
        <w:tabs>
          <w:tab w:leader="none" w:pos="22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Has been a participant in the NBCUniversal Supplementary Pension Plan for the period extending from January 29, 2011</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through December 31, 2012;</w:t>
      </w:r>
    </w:p>
    <w:p>
      <w:pPr>
        <w:spacing w:after="0" w:line="210" w:lineRule="exact"/>
        <w:rPr>
          <w:rFonts w:ascii="Arial" w:cs="Arial" w:eastAsia="Arial" w:hAnsi="Arial"/>
          <w:sz w:val="17"/>
          <w:szCs w:val="17"/>
          <w:color w:val="auto"/>
        </w:rPr>
      </w:pPr>
    </w:p>
    <w:p>
      <w:pPr>
        <w:ind w:right="820" w:firstLine="1948"/>
        <w:spacing w:after="0" w:line="277" w:lineRule="auto"/>
        <w:tabs>
          <w:tab w:leader="none" w:pos="22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Has an Annual Rate of Pay is $200,000 or more as of both (iii) the date on which an Initial Election is filed with the Administrator for the 2013 Plan Year and (iv) January 1, 2013; and</w:t>
      </w:r>
    </w:p>
    <w:p>
      <w:pPr>
        <w:spacing w:after="0" w:line="170" w:lineRule="exact"/>
        <w:rPr>
          <w:rFonts w:ascii="Arial" w:cs="Arial" w:eastAsia="Arial" w:hAnsi="Arial"/>
          <w:sz w:val="18"/>
          <w:szCs w:val="18"/>
          <w:color w:val="auto"/>
        </w:rPr>
      </w:pPr>
    </w:p>
    <w:p>
      <w:pPr>
        <w:ind w:left="2260" w:hanging="312"/>
        <w:spacing w:after="0"/>
        <w:tabs>
          <w:tab w:leader="none" w:pos="2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NBCUniversal.</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New Key Employee who is an employee of NBCUniversal,</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342" w:lineRule="auto"/>
        <w:tabs>
          <w:tab w:leader="none" w:pos="17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23" w:lineRule="exact"/>
        <w:rPr>
          <w:rFonts w:ascii="Arial" w:cs="Arial" w:eastAsia="Arial" w:hAnsi="Arial"/>
          <w:sz w:val="16"/>
          <w:szCs w:val="16"/>
          <w:color w:val="auto"/>
        </w:rPr>
      </w:pPr>
    </w:p>
    <w:p>
      <w:pPr>
        <w:ind w:firstLine="1492"/>
        <w:spacing w:after="0" w:line="264" w:lineRule="auto"/>
        <w:tabs>
          <w:tab w:leader="none" w:pos="17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good faith.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7" w:name="page68"/>
    <w:bookmarkEnd w:id="6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2.30.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17" w:lineRule="exact"/>
        <w:rPr>
          <w:sz w:val="20"/>
          <w:szCs w:val="20"/>
          <w:color w:val="auto"/>
        </w:rPr>
      </w:pPr>
    </w:p>
    <w:p>
      <w:pPr>
        <w:ind w:left="1740" w:hanging="248"/>
        <w:spacing w:after="0"/>
        <w:tabs>
          <w:tab w:leader="none" w:pos="1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225" w:lineRule="exact"/>
        <w:rPr>
          <w:rFonts w:ascii="Arial" w:cs="Arial" w:eastAsia="Arial" w:hAnsi="Arial"/>
          <w:sz w:val="18"/>
          <w:szCs w:val="18"/>
          <w:color w:val="auto"/>
        </w:rPr>
      </w:pPr>
    </w:p>
    <w:p>
      <w:pPr>
        <w:ind w:right="40" w:firstLine="1948"/>
        <w:spacing w:after="0" w:line="277" w:lineRule="auto"/>
        <w:tabs>
          <w:tab w:leader="none" w:pos="21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70" w:lineRule="exact"/>
        <w:rPr>
          <w:rFonts w:ascii="Arial" w:cs="Arial" w:eastAsia="Arial" w:hAnsi="Arial"/>
          <w:sz w:val="18"/>
          <w:szCs w:val="18"/>
          <w:color w:val="auto"/>
        </w:rPr>
      </w:pPr>
    </w:p>
    <w:p>
      <w:pPr>
        <w:ind w:right="100" w:firstLine="1948"/>
        <w:spacing w:after="0" w:line="264" w:lineRule="auto"/>
        <w:tabs>
          <w:tab w:leader="none" w:pos="22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was, at any time before January 1, 1995, eligible to participate in the Prior Plan and whose Annual Rate of Pay was $90,000 or more as of both (A) the date on which an Initial Election is filed with the Administrator and (B) the first day of each calendar year beginning after December 31, 1994.</w:t>
      </w:r>
    </w:p>
    <w:p>
      <w:pPr>
        <w:spacing w:after="0" w:line="181" w:lineRule="exact"/>
        <w:rPr>
          <w:rFonts w:ascii="Arial" w:cs="Arial" w:eastAsia="Arial" w:hAnsi="Arial"/>
          <w:sz w:val="18"/>
          <w:szCs w:val="18"/>
          <w:color w:val="auto"/>
        </w:rPr>
      </w:pPr>
    </w:p>
    <w:p>
      <w:pPr>
        <w:ind w:right="160" w:firstLine="1948"/>
        <w:spacing w:after="0" w:line="286" w:lineRule="auto"/>
        <w:tabs>
          <w:tab w:leader="none" w:pos="2255"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65" w:lineRule="exact"/>
        <w:rPr>
          <w:rFonts w:ascii="Arial" w:cs="Arial" w:eastAsia="Arial" w:hAnsi="Arial"/>
          <w:sz w:val="17"/>
          <w:szCs w:val="17"/>
          <w:color w:val="auto"/>
        </w:rPr>
      </w:pPr>
    </w:p>
    <w:p>
      <w:pPr>
        <w:jc w:val="both"/>
        <w:ind w:right="440" w:firstLine="1948"/>
        <w:spacing w:after="0" w:line="259" w:lineRule="auto"/>
        <w:tabs>
          <w:tab w:leader="none" w:pos="22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294" w:lineRule="exact"/>
        <w:rPr>
          <w:rFonts w:ascii="Arial" w:cs="Arial" w:eastAsia="Arial" w:hAnsi="Arial"/>
          <w:sz w:val="18"/>
          <w:szCs w:val="18"/>
          <w:color w:val="auto"/>
        </w:rPr>
      </w:pPr>
    </w:p>
    <w:p>
      <w:pPr>
        <w:ind w:left="1740" w:hanging="248"/>
        <w:spacing w:after="0"/>
        <w:tabs>
          <w:tab w:leader="none" w:pos="1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after December 31, 2013:</w:t>
      </w:r>
    </w:p>
    <w:p>
      <w:pPr>
        <w:spacing w:after="0" w:line="117" w:lineRule="exact"/>
        <w:rPr>
          <w:rFonts w:ascii="Arial" w:cs="Arial" w:eastAsia="Arial" w:hAnsi="Arial"/>
          <w:sz w:val="18"/>
          <w:szCs w:val="18"/>
          <w:color w:val="auto"/>
        </w:rPr>
      </w:pPr>
    </w:p>
    <w:p>
      <w:pPr>
        <w:ind w:left="2160" w:hanging="212"/>
        <w:spacing w:after="0"/>
        <w:tabs>
          <w:tab w:leader="none" w:pos="2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is described in Section 2.28(a)(i)-(iv).</w:t>
      </w:r>
    </w:p>
    <w:p>
      <w:pPr>
        <w:spacing w:after="0" w:line="225" w:lineRule="exact"/>
        <w:rPr>
          <w:rFonts w:ascii="Arial" w:cs="Arial" w:eastAsia="Arial" w:hAnsi="Arial"/>
          <w:sz w:val="18"/>
          <w:szCs w:val="18"/>
          <w:color w:val="auto"/>
        </w:rPr>
      </w:pPr>
    </w:p>
    <w:p>
      <w:pPr>
        <w:ind w:right="100" w:firstLine="1948"/>
        <w:spacing w:after="0" w:line="264" w:lineRule="auto"/>
        <w:tabs>
          <w:tab w:leader="none" w:pos="22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81" w:lineRule="exact"/>
        <w:rPr>
          <w:rFonts w:ascii="Arial" w:cs="Arial" w:eastAsia="Arial" w:hAnsi="Arial"/>
          <w:sz w:val="18"/>
          <w:szCs w:val="18"/>
          <w:color w:val="auto"/>
        </w:rPr>
      </w:pPr>
    </w:p>
    <w:p>
      <w:pPr>
        <w:ind w:firstLine="1948"/>
        <w:spacing w:after="0" w:line="264" w:lineRule="auto"/>
        <w:tabs>
          <w:tab w:leader="none" w:pos="22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employee of NBCUniversal described in Section 2.28(b) or 2.28(c)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81"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u w:val="single" w:color="auto"/>
          <w:color w:val="auto"/>
        </w:rPr>
        <w:t>Hardship</w:t>
      </w:r>
      <w:r>
        <w:rPr>
          <w:rFonts w:ascii="Arial" w:cs="Arial" w:eastAsia="Arial" w:hAnsi="Arial"/>
          <w:sz w:val="17"/>
          <w:szCs w:val="17"/>
          <w:color w:val="auto"/>
        </w:rPr>
        <w:t>” means an “unforeseeable emergency,” as defined in Section 409A. The Committee shall determine whether the circumstances of the Participant constitute an unforeseeable emergency and thus a Hardship within the meaning of this Section 2.31.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2.31 for all Participants in similar circumstances.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68" w:name="page69"/>
    <w:bookmarkEnd w:id="6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2.32. “</w:t>
      </w:r>
      <w:r>
        <w:rPr>
          <w:rFonts w:ascii="Arial" w:cs="Arial" w:eastAsia="Arial" w:hAnsi="Arial"/>
          <w:sz w:val="18"/>
          <w:szCs w:val="18"/>
          <w:u w:val="single" w:color="auto"/>
          <w:color w:val="auto"/>
        </w:rPr>
        <w:t>High Water Mark</w:t>
      </w:r>
      <w:r>
        <w:rPr>
          <w:rFonts w:ascii="Arial" w:cs="Arial" w:eastAsia="Arial" w:hAnsi="Arial"/>
          <w:sz w:val="18"/>
          <w:szCs w:val="18"/>
          <w:color w:val="auto"/>
        </w:rPr>
        <w:t>” means:</w:t>
      </w:r>
    </w:p>
    <w:p>
      <w:pPr>
        <w:spacing w:after="0" w:line="117" w:lineRule="exact"/>
        <w:rPr>
          <w:sz w:val="20"/>
          <w:szCs w:val="20"/>
          <w:color w:val="auto"/>
        </w:rPr>
      </w:pPr>
    </w:p>
    <w:p>
      <w:pPr>
        <w:ind w:right="20" w:firstLine="1492"/>
        <w:spacing w:after="0" w:line="264" w:lineRule="auto"/>
        <w:tabs>
          <w:tab w:leader="none" w:pos="17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amounts credited pursuant to an Eligible Comcast Employee’s Initial Elections on account of Compensation earned in 2014, the highest of the sum of the amounts described in (i), (ii) and (iii) below as of the last day of any calendar quarter beginning after December 31, 2008 and before October 1, 2013:</w:t>
      </w:r>
    </w:p>
    <w:p>
      <w:pPr>
        <w:spacing w:after="0" w:line="181" w:lineRule="exact"/>
        <w:rPr>
          <w:rFonts w:ascii="Arial" w:cs="Arial" w:eastAsia="Arial" w:hAnsi="Arial"/>
          <w:sz w:val="18"/>
          <w:szCs w:val="18"/>
          <w:color w:val="auto"/>
        </w:rPr>
      </w:pPr>
    </w:p>
    <w:p>
      <w:pPr>
        <w:ind w:left="2160" w:hanging="212"/>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 Eligible Comcast Employee’s Account; plus</w:t>
      </w:r>
    </w:p>
    <w:p>
      <w:pPr>
        <w:spacing w:after="0" w:line="225" w:lineRule="exact"/>
        <w:rPr>
          <w:rFonts w:ascii="Arial" w:cs="Arial" w:eastAsia="Arial" w:hAnsi="Arial"/>
          <w:sz w:val="18"/>
          <w:szCs w:val="18"/>
          <w:color w:val="auto"/>
        </w:rPr>
      </w:pPr>
    </w:p>
    <w:p>
      <w:pPr>
        <w:ind w:left="2220" w:hanging="272"/>
        <w:spacing w:after="0"/>
        <w:tabs>
          <w:tab w:leader="none" w:pos="2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Such Eligible Comcast Employee’s Account in the Prior Plan; plus</w:t>
      </w:r>
    </w:p>
    <w:p>
      <w:pPr>
        <w:spacing w:after="0" w:line="225" w:lineRule="exact"/>
        <w:rPr>
          <w:rFonts w:ascii="Arial" w:cs="Arial" w:eastAsia="Arial" w:hAnsi="Arial"/>
          <w:sz w:val="18"/>
          <w:szCs w:val="18"/>
          <w:color w:val="auto"/>
        </w:rPr>
      </w:pPr>
    </w:p>
    <w:p>
      <w:pPr>
        <w:ind w:left="2260" w:hanging="312"/>
        <w:spacing w:after="0"/>
        <w:tabs>
          <w:tab w:leader="none" w:pos="22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Such Eligible Comcast Employee’s Account in the Restricted Stock Plan to the extent such Account is credited to the “Income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Fund.”</w:t>
      </w:r>
    </w:p>
    <w:p>
      <w:pPr>
        <w:spacing w:after="0" w:line="210" w:lineRule="exact"/>
        <w:rPr>
          <w:rFonts w:ascii="Arial" w:cs="Arial" w:eastAsia="Arial" w:hAnsi="Arial"/>
          <w:sz w:val="16"/>
          <w:szCs w:val="16"/>
          <w:color w:val="auto"/>
        </w:rPr>
      </w:pPr>
    </w:p>
    <w:p>
      <w:pPr>
        <w:ind w:right="20" w:firstLine="1492"/>
        <w:spacing w:after="0" w:line="286" w:lineRule="auto"/>
        <w:tabs>
          <w:tab w:leader="none" w:pos="1738"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respect to amounts credited pursuant to an Eligible Comcast Employee’s Initial Elections on account of Compensation earned after 2014, the sum of (x) plus (y) where (x) equals the highest of the sum of the amounts described in Section 2.32(a)(i), (ii) and (iii) as of the last day of any calendar quarter beginning after December 31, 2008 and before January 1, 2014, and (y) equals the sum of:</w:t>
      </w:r>
    </w:p>
    <w:p>
      <w:pPr>
        <w:spacing w:after="0" w:line="165" w:lineRule="exact"/>
        <w:rPr>
          <w:rFonts w:ascii="Arial" w:cs="Arial" w:eastAsia="Arial" w:hAnsi="Arial"/>
          <w:sz w:val="17"/>
          <w:szCs w:val="17"/>
          <w:color w:val="auto"/>
        </w:rPr>
      </w:pPr>
    </w:p>
    <w:p>
      <w:pPr>
        <w:ind w:right="220" w:firstLine="1948"/>
        <w:spacing w:after="0" w:line="342" w:lineRule="auto"/>
        <w:tabs>
          <w:tab w:leader="none" w:pos="215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amount credited to an Eligible Comcast Employee’s Account pursuant to Section 3.8 after December 31, 2013 and on or before September 30, 2014 that is contractually committed pursuant to an employment agreement entered into on or before December 31, 2013; plus</w:t>
      </w:r>
    </w:p>
    <w:p>
      <w:pPr>
        <w:spacing w:after="0" w:line="123" w:lineRule="exact"/>
        <w:rPr>
          <w:rFonts w:ascii="Arial" w:cs="Arial" w:eastAsia="Arial" w:hAnsi="Arial"/>
          <w:sz w:val="16"/>
          <w:szCs w:val="16"/>
          <w:color w:val="auto"/>
        </w:rPr>
      </w:pPr>
    </w:p>
    <w:p>
      <w:pPr>
        <w:ind w:right="200" w:firstLine="1948"/>
        <w:spacing w:after="0" w:line="277" w:lineRule="auto"/>
        <w:tabs>
          <w:tab w:leader="none" w:pos="2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deferred portion of an Eligible Comcast Employee’s cash bonus award earned for 2013 and payable, but for the Eligible Comcast Employee’s Initial Deferral Election, after December 31, 2013 and on or before September 30, 2014; plus</w:t>
      </w:r>
    </w:p>
    <w:p>
      <w:pPr>
        <w:spacing w:after="0" w:line="170" w:lineRule="exact"/>
        <w:rPr>
          <w:rFonts w:ascii="Arial" w:cs="Arial" w:eastAsia="Arial" w:hAnsi="Arial"/>
          <w:sz w:val="18"/>
          <w:szCs w:val="18"/>
          <w:color w:val="auto"/>
        </w:rPr>
      </w:pPr>
    </w:p>
    <w:p>
      <w:pPr>
        <w:ind w:right="80" w:firstLine="1948"/>
        <w:spacing w:after="0" w:line="264" w:lineRule="auto"/>
        <w:tabs>
          <w:tab w:leader="none" w:pos="22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70"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2.34. “</w:t>
      </w:r>
      <w:r>
        <w:rPr>
          <w:rFonts w:ascii="Arial" w:cs="Arial" w:eastAsia="Arial" w:hAnsi="Arial"/>
          <w:sz w:val="17"/>
          <w:szCs w:val="17"/>
          <w:u w:val="single" w:color="auto"/>
          <w:color w:val="auto"/>
        </w:rPr>
        <w:t>Income Fund</w:t>
      </w:r>
      <w:r>
        <w:rPr>
          <w:rFonts w:ascii="Arial" w:cs="Arial" w:eastAsia="Arial" w:hAnsi="Arial"/>
          <w:sz w:val="17"/>
          <w:szCs w:val="17"/>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69" w:name="page70"/>
    <w:bookmarkEnd w:id="69"/>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2.35. “</w:t>
      </w: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17" w:lineRule="exact"/>
        <w:rPr>
          <w:sz w:val="20"/>
          <w:szCs w:val="20"/>
          <w:color w:val="auto"/>
        </w:rPr>
      </w:pPr>
    </w:p>
    <w:p>
      <w:pPr>
        <w:jc w:val="both"/>
        <w:ind w:left="-8" w:right="120" w:firstLine="1492"/>
        <w:spacing w:after="0" w:line="264" w:lineRule="auto"/>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Outside Directors and Directors Emeriti</w:t>
      </w:r>
      <w:r>
        <w:rPr>
          <w:rFonts w:ascii="Arial" w:cs="Arial" w:eastAsia="Arial" w:hAnsi="Arial"/>
          <w:sz w:val="18"/>
          <w:szCs w:val="18"/>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81" w:lineRule="exact"/>
        <w:rPr>
          <w:rFonts w:ascii="Arial" w:cs="Arial" w:eastAsia="Arial" w:hAnsi="Arial"/>
          <w:sz w:val="18"/>
          <w:szCs w:val="18"/>
          <w:color w:val="auto"/>
        </w:rPr>
      </w:pPr>
    </w:p>
    <w:p>
      <w:pPr>
        <w:ind w:left="-8" w:right="260" w:firstLine="1948"/>
        <w:spacing w:after="0" w:line="277" w:lineRule="auto"/>
        <w:tabs>
          <w:tab w:leader="none" w:pos="2147" w:val="left"/>
        </w:tabs>
        <w:numPr>
          <w:ilvl w:val="2"/>
          <w:numId w:val="34"/>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70" w:lineRule="exact"/>
        <w:rPr>
          <w:rFonts w:ascii="Arial" w:cs="Arial" w:eastAsia="Arial" w:hAnsi="Arial"/>
          <w:sz w:val="18"/>
          <w:szCs w:val="18"/>
          <w:color w:val="auto"/>
        </w:rPr>
      </w:pPr>
    </w:p>
    <w:p>
      <w:pPr>
        <w:ind w:left="2212" w:hanging="272"/>
        <w:spacing w:after="0"/>
        <w:tabs>
          <w:tab w:leader="none" w:pos="2212"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225" w:lineRule="exact"/>
        <w:rPr>
          <w:rFonts w:ascii="Arial" w:cs="Arial" w:eastAsia="Arial" w:hAnsi="Arial"/>
          <w:sz w:val="18"/>
          <w:szCs w:val="18"/>
          <w:color w:val="auto"/>
        </w:rPr>
      </w:pPr>
    </w:p>
    <w:p>
      <w:pPr>
        <w:jc w:val="both"/>
        <w:ind w:left="-8" w:firstLine="1492"/>
        <w:spacing w:after="0" w:line="264" w:lineRule="auto"/>
        <w:tabs>
          <w:tab w:leader="none" w:pos="173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Comcast Employees</w:t>
      </w:r>
      <w:r>
        <w:rPr>
          <w:rFonts w:ascii="Arial" w:cs="Arial" w:eastAsia="Arial" w:hAnsi="Arial"/>
          <w:sz w:val="18"/>
          <w:szCs w:val="18"/>
          <w:color w:val="auto"/>
        </w:rPr>
        <w:t>. With respect to Eligible Comcast Employees for Compensation earned in the 2013 Plan Year, the term “Initial Election” means one or more written elections provided by the Administrator and filed with the Administrator in accordance with Article 3 pursuant to which an Eligible Comcast Employee may:</w:t>
      </w:r>
    </w:p>
    <w:p>
      <w:pPr>
        <w:spacing w:after="0" w:line="181" w:lineRule="exact"/>
        <w:rPr>
          <w:rFonts w:ascii="Arial" w:cs="Arial" w:eastAsia="Arial" w:hAnsi="Arial"/>
          <w:sz w:val="18"/>
          <w:szCs w:val="18"/>
          <w:color w:val="auto"/>
        </w:rPr>
      </w:pPr>
    </w:p>
    <w:p>
      <w:pPr>
        <w:jc w:val="both"/>
        <w:ind w:left="-8" w:right="40" w:firstLine="1948"/>
        <w:spacing w:after="0" w:line="312" w:lineRule="auto"/>
        <w:tabs>
          <w:tab w:leader="none" w:pos="2147" w:val="left"/>
        </w:tabs>
        <w:numPr>
          <w:ilvl w:val="2"/>
          <w:numId w:val="34"/>
        </w:numPr>
        <w:rPr>
          <w:rFonts w:ascii="Arial" w:cs="Arial" w:eastAsia="Arial" w:hAnsi="Arial"/>
          <w:sz w:val="16"/>
          <w:szCs w:val="16"/>
          <w:color w:val="auto"/>
        </w:rPr>
      </w:pPr>
      <w:r>
        <w:rPr>
          <w:rFonts w:ascii="Arial" w:cs="Arial" w:eastAsia="Arial" w:hAnsi="Arial"/>
          <w:sz w:val="16"/>
          <w:szCs w:val="16"/>
          <w:color w:val="auto"/>
        </w:rPr>
        <w:t>Elect to defer any portion of the Compensation payable for the performance of services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46" w:lineRule="exact"/>
        <w:rPr>
          <w:rFonts w:ascii="Arial" w:cs="Arial" w:eastAsia="Arial" w:hAnsi="Arial"/>
          <w:sz w:val="16"/>
          <w:szCs w:val="16"/>
          <w:color w:val="auto"/>
        </w:rPr>
      </w:pPr>
    </w:p>
    <w:p>
      <w:pPr>
        <w:ind w:left="2212" w:hanging="272"/>
        <w:spacing w:after="0"/>
        <w:tabs>
          <w:tab w:leader="none" w:pos="2212"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225" w:lineRule="exact"/>
        <w:rPr>
          <w:rFonts w:ascii="Arial" w:cs="Arial" w:eastAsia="Arial" w:hAnsi="Arial"/>
          <w:sz w:val="18"/>
          <w:szCs w:val="18"/>
          <w:color w:val="auto"/>
        </w:rPr>
      </w:pPr>
    </w:p>
    <w:p>
      <w:pPr>
        <w:ind w:left="-8" w:right="120" w:firstLine="1492"/>
        <w:spacing w:after="0" w:line="291" w:lineRule="auto"/>
        <w:tabs>
          <w:tab w:leader="none" w:pos="172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2013 Plan Year For Eligible NBCU Employees, and Plan Years Beginning After December 31, 2013</w:t>
      </w:r>
      <w:r>
        <w:rPr>
          <w:rFonts w:ascii="Arial" w:cs="Arial" w:eastAsia="Arial" w:hAnsi="Arial"/>
          <w:sz w:val="16"/>
          <w:szCs w:val="16"/>
          <w:color w:val="auto"/>
        </w:rPr>
        <w:t>. With respect to: (w) Eligible NBCU employees for Compensation earned after December 31, 2012; (x) Eligible Comcast Employees for Compensation earned after December 31, 2013,</w:t>
      </w:r>
    </w:p>
    <w:p>
      <w:pPr>
        <w:ind w:left="-8" w:firstLine="8"/>
        <w:spacing w:after="0" w:line="254" w:lineRule="auto"/>
        <w:tabs>
          <w:tab w:leader="none" w:pos="2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Eligible Comcast Spectacor Employees (other than seconded Eligible Comcast Spectacor Employees) for base salary earned on and after January 1, 2015 and (z) all Eligible Comcast Spectacor Employees for Performance-Based Compensation earned in Comcast Spectacor’s fiscal years beginning on and after July 1, 2014, the term “Initial Election” means one or more written elections provided by the Administrator and filed with the Administrator in accordance with Article 3 pursuant to which an Eligible Employee may:</w:t>
      </w:r>
    </w:p>
    <w:p>
      <w:pPr>
        <w:spacing w:after="0" w:line="189" w:lineRule="exact"/>
        <w:rPr>
          <w:rFonts w:ascii="Arial" w:cs="Arial" w:eastAsia="Arial" w:hAnsi="Arial"/>
          <w:sz w:val="18"/>
          <w:szCs w:val="18"/>
          <w:color w:val="auto"/>
        </w:rPr>
      </w:pPr>
    </w:p>
    <w:p>
      <w:pPr>
        <w:ind w:left="-8" w:firstLine="1948"/>
        <w:spacing w:after="0" w:line="277" w:lineRule="auto"/>
        <w:tabs>
          <w:tab w:leader="none" w:pos="2147" w:val="left"/>
        </w:tabs>
        <w:numPr>
          <w:ilvl w:val="2"/>
          <w:numId w:val="35"/>
        </w:numPr>
        <w:rPr>
          <w:rFonts w:ascii="Arial" w:cs="Arial" w:eastAsia="Arial" w:hAnsi="Arial"/>
          <w:sz w:val="18"/>
          <w:szCs w:val="18"/>
          <w:color w:val="auto"/>
        </w:rPr>
      </w:pPr>
      <w:r>
        <w:rPr>
          <w:rFonts w:ascii="Arial" w:cs="Arial" w:eastAsia="Arial" w:hAnsi="Arial"/>
          <w:sz w:val="18"/>
          <w:szCs w:val="18"/>
          <w:color w:val="auto"/>
        </w:rPr>
        <w:t>Subject to the limitations described in Section 2.35(c)(iii), elect to defer Compensation payable for the performance of services as an Eligible Employee following the time that such election is filed; and</w:t>
      </w:r>
    </w:p>
    <w:p>
      <w:pPr>
        <w:spacing w:after="0" w:line="170" w:lineRule="exact"/>
        <w:rPr>
          <w:rFonts w:ascii="Arial" w:cs="Arial" w:eastAsia="Arial" w:hAnsi="Arial"/>
          <w:sz w:val="18"/>
          <w:szCs w:val="18"/>
          <w:color w:val="auto"/>
        </w:rPr>
      </w:pPr>
    </w:p>
    <w:p>
      <w:pPr>
        <w:ind w:left="2212" w:hanging="272"/>
        <w:spacing w:after="0"/>
        <w:tabs>
          <w:tab w:leader="none" w:pos="2212"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12"/>
          </w:cols>
          <w:pgMar w:left="248" w:top="274" w:right="339" w:bottom="1440" w:gutter="0" w:footer="0" w:header="0"/>
        </w:sectPr>
      </w:pPr>
    </w:p>
    <w:bookmarkStart w:id="70" w:name="page71"/>
    <w:bookmarkEnd w:id="70"/>
    <w:p>
      <w:pPr>
        <w:ind w:right="20" w:firstLine="1948"/>
        <w:spacing w:after="0" w:line="308" w:lineRule="auto"/>
        <w:tabs>
          <w:tab w:leader="none" w:pos="2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for Eligible NBCU Employees with respect to Compensation earned after December 31, 2012, and with respect to all Eligible Employees with respect to Compensation earned after December 31, 2013, the following rules shall apply to Initial Elections:</w:t>
      </w:r>
    </w:p>
    <w:p>
      <w:pPr>
        <w:spacing w:after="0" w:line="146" w:lineRule="exact"/>
        <w:rPr>
          <w:rFonts w:ascii="Arial" w:cs="Arial" w:eastAsia="Arial" w:hAnsi="Arial"/>
          <w:sz w:val="17"/>
          <w:szCs w:val="17"/>
          <w:color w:val="auto"/>
        </w:rPr>
      </w:pPr>
    </w:p>
    <w:p>
      <w:pPr>
        <w:ind w:right="240" w:firstLine="2975"/>
        <w:spacing w:after="0" w:line="259" w:lineRule="auto"/>
        <w:tabs>
          <w:tab w:leader="none" w:pos="32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Subject to the limits on deferrals of Compensation described in Section 2.35(c)(iii)(B) and Section 2.35(c)(iii) (C), (x) the maximum amount of base salary available for deferral shall be determined net of required withholdings and deductions as determined by the Administrator in its sole discretion, but shall in no event be less than 85% of the Participant’s base salary and (y) the maximum amount of a Signing Bonus available for deferral pursuant to an Initial Election shall not exceed 50%.</w:t>
      </w:r>
    </w:p>
    <w:p>
      <w:pPr>
        <w:spacing w:after="0" w:line="186" w:lineRule="exact"/>
        <w:rPr>
          <w:rFonts w:ascii="Arial" w:cs="Arial" w:eastAsia="Arial" w:hAnsi="Arial"/>
          <w:sz w:val="18"/>
          <w:szCs w:val="18"/>
          <w:color w:val="auto"/>
        </w:rPr>
      </w:pPr>
    </w:p>
    <w:p>
      <w:pPr>
        <w:ind w:left="3260" w:hanging="285"/>
        <w:spacing w:after="0"/>
        <w:tabs>
          <w:tab w:leader="none" w:pos="3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maximum amount subject to Initial Elections for any Plan Year shall not exceed 35% of Total</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Compensation.</w:t>
      </w:r>
    </w:p>
    <w:p>
      <w:pPr>
        <w:spacing w:after="0" w:line="210" w:lineRule="exact"/>
        <w:rPr>
          <w:rFonts w:ascii="Arial" w:cs="Arial" w:eastAsia="Arial" w:hAnsi="Arial"/>
          <w:sz w:val="18"/>
          <w:szCs w:val="18"/>
          <w:color w:val="auto"/>
        </w:rPr>
      </w:pPr>
    </w:p>
    <w:p>
      <w:pPr>
        <w:ind w:firstLine="2975"/>
        <w:spacing w:after="0" w:line="279" w:lineRule="auto"/>
        <w:tabs>
          <w:tab w:leader="none" w:pos="32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14"/>
          <w:szCs w:val="14"/>
          <w:color w:val="auto"/>
        </w:rPr>
        <w:t>th</w:t>
      </w:r>
      <w:r>
        <w:rPr>
          <w:rFonts w:ascii="Arial" w:cs="Arial" w:eastAsia="Arial" w:hAnsi="Arial"/>
          <w:sz w:val="17"/>
          <w:szCs w:val="17"/>
          <w:color w:val="auto"/>
        </w:rPr>
        <w:t xml:space="preserve"> immediately preceding such Plan Year.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and its subsidiaries.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117" w:lineRule="exact"/>
        <w:rPr>
          <w:sz w:val="20"/>
          <w:szCs w:val="20"/>
          <w:color w:val="auto"/>
        </w:rPr>
      </w:pPr>
    </w:p>
    <w:p>
      <w:pPr>
        <w:ind w:right="300" w:firstLine="1492"/>
        <w:spacing w:after="0" w:line="277" w:lineRule="auto"/>
        <w:tabs>
          <w:tab w:leader="none" w:pos="17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before January 1, 2014, and except as provided in Section 2.37(e), each employee of a Participating Company other than NBCUniversal and Comcast Spectacor:</w:t>
      </w:r>
    </w:p>
    <w:p>
      <w:pPr>
        <w:spacing w:after="0" w:line="170" w:lineRule="exact"/>
        <w:rPr>
          <w:rFonts w:ascii="Arial" w:cs="Arial" w:eastAsia="Arial" w:hAnsi="Arial"/>
          <w:sz w:val="18"/>
          <w:szCs w:val="18"/>
          <w:color w:val="auto"/>
        </w:rPr>
      </w:pPr>
    </w:p>
    <w:p>
      <w:pPr>
        <w:ind w:right="840" w:firstLine="1948"/>
        <w:spacing w:after="0" w:line="277" w:lineRule="auto"/>
        <w:tabs>
          <w:tab w:leader="none" w:pos="21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70" w:lineRule="exact"/>
        <w:rPr>
          <w:rFonts w:ascii="Arial" w:cs="Arial" w:eastAsia="Arial" w:hAnsi="Arial"/>
          <w:sz w:val="18"/>
          <w:szCs w:val="18"/>
          <w:color w:val="auto"/>
        </w:rPr>
      </w:pPr>
    </w:p>
    <w:p>
      <w:pPr>
        <w:ind w:left="2220" w:hanging="272"/>
        <w:spacing w:after="0"/>
        <w:tabs>
          <w:tab w:leader="none" w:pos="22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who has an Annual Rate of Pay that is increased to $200,000 or more and who, immediately preceding such increase, was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 Eligible Employee.</w:t>
      </w:r>
    </w:p>
    <w:p>
      <w:pPr>
        <w:spacing w:after="0" w:line="210" w:lineRule="exact"/>
        <w:rPr>
          <w:rFonts w:ascii="Arial" w:cs="Arial" w:eastAsia="Arial" w:hAnsi="Arial"/>
          <w:sz w:val="16"/>
          <w:szCs w:val="16"/>
          <w:color w:val="auto"/>
        </w:rPr>
      </w:pPr>
    </w:p>
    <w:p>
      <w:pPr>
        <w:ind w:right="140" w:firstLine="1492"/>
        <w:spacing w:after="0" w:line="277" w:lineRule="auto"/>
        <w:tabs>
          <w:tab w:leader="none" w:pos="17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after December 31, 2013, and except as provided in Section 2.37(e), each employee of a Participating Company other than NBCUniversal and Comcast Spectacor:</w:t>
      </w:r>
    </w:p>
    <w:p>
      <w:pPr>
        <w:spacing w:after="0" w:line="170" w:lineRule="exact"/>
        <w:rPr>
          <w:rFonts w:ascii="Arial" w:cs="Arial" w:eastAsia="Arial" w:hAnsi="Arial"/>
          <w:sz w:val="18"/>
          <w:szCs w:val="18"/>
          <w:color w:val="auto"/>
        </w:rPr>
      </w:pPr>
    </w:p>
    <w:p>
      <w:pPr>
        <w:ind w:right="340" w:firstLine="1948"/>
        <w:spacing w:after="0" w:line="277" w:lineRule="auto"/>
        <w:tabs>
          <w:tab w:leader="none" w:pos="21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who (x) becomes an employee of a Participating Company and (y) has an Annual Rate of Pay of $250,000 or more as of his employment commencement date, or</w:t>
      </w:r>
    </w:p>
    <w:p>
      <w:pPr>
        <w:spacing w:after="0" w:line="170" w:lineRule="exact"/>
        <w:rPr>
          <w:rFonts w:ascii="Arial" w:cs="Arial" w:eastAsia="Arial" w:hAnsi="Arial"/>
          <w:sz w:val="18"/>
          <w:szCs w:val="18"/>
          <w:color w:val="auto"/>
        </w:rPr>
      </w:pPr>
    </w:p>
    <w:p>
      <w:pPr>
        <w:ind w:left="2220" w:hanging="272"/>
        <w:spacing w:after="0"/>
        <w:tabs>
          <w:tab w:leader="none" w:pos="22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who (x) has an Annual Rate of Pay that is increased to $250,000 or more and (y) immediately preceding such increase, was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 Eligible Employee.</w:t>
      </w:r>
    </w:p>
    <w:p>
      <w:pPr>
        <w:spacing w:after="0" w:line="210" w:lineRule="exact"/>
        <w:rPr>
          <w:rFonts w:ascii="Arial" w:cs="Arial" w:eastAsia="Arial" w:hAnsi="Arial"/>
          <w:sz w:val="16"/>
          <w:szCs w:val="16"/>
          <w:color w:val="auto"/>
        </w:rPr>
      </w:pPr>
    </w:p>
    <w:p>
      <w:pPr>
        <w:ind w:right="200" w:firstLine="1492"/>
        <w:spacing w:after="0" w:line="308" w:lineRule="auto"/>
        <w:tabs>
          <w:tab w:leader="none" w:pos="17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employee of NBCUniversal who (x) first becomes a member of the NBCUniversal Operating Committee and approved by the Administrator during a Plan Year and (y) immediately preceding the effective date of such membership, was not an Eligible Employee.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71" w:name="page72"/>
    <w:bookmarkEnd w:id="71"/>
    <w:p>
      <w:pPr>
        <w:ind w:left="1740" w:hanging="248"/>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on and after May 20, 2014, each employee of Comcast Spectacor:</w:t>
      </w:r>
    </w:p>
    <w:p>
      <w:pPr>
        <w:spacing w:after="0" w:line="225" w:lineRule="exact"/>
        <w:rPr>
          <w:rFonts w:ascii="Arial" w:cs="Arial" w:eastAsia="Arial" w:hAnsi="Arial"/>
          <w:sz w:val="18"/>
          <w:szCs w:val="18"/>
          <w:color w:val="auto"/>
        </w:rPr>
      </w:pPr>
    </w:p>
    <w:p>
      <w:pPr>
        <w:ind w:firstLine="1948"/>
        <w:spacing w:after="0" w:line="277" w:lineRule="auto"/>
        <w:tabs>
          <w:tab w:leader="none" w:pos="2155"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who (x) becomes an employee of Comcast Spectacor, (y) has an Annual Rate of Pay of $350,000 or more as of his employment commencement date and (z) is designated as an Eligible Comcast Spectacor Employee by the Administrator or its delegate, or</w:t>
      </w:r>
    </w:p>
    <w:p>
      <w:pPr>
        <w:spacing w:after="0" w:line="170" w:lineRule="exact"/>
        <w:rPr>
          <w:rFonts w:ascii="Arial" w:cs="Arial" w:eastAsia="Arial" w:hAnsi="Arial"/>
          <w:sz w:val="18"/>
          <w:szCs w:val="18"/>
          <w:color w:val="auto"/>
        </w:rPr>
      </w:pPr>
    </w:p>
    <w:p>
      <w:pPr>
        <w:ind w:right="20" w:firstLine="1948"/>
        <w:spacing w:after="0" w:line="277" w:lineRule="auto"/>
        <w:tabs>
          <w:tab w:leader="none" w:pos="22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who (x) is designated as an Eligible Comcast Spectacor Employee by the Administrator or its delegate, (y) has an Annual Rate of Pay that is increased to $350,000 or more and (z) immediately preceding such increase, was not an Eligible Employee.</w:t>
      </w:r>
    </w:p>
    <w:p>
      <w:pPr>
        <w:spacing w:after="0" w:line="170" w:lineRule="exact"/>
        <w:rPr>
          <w:rFonts w:ascii="Arial" w:cs="Arial" w:eastAsia="Arial" w:hAnsi="Arial"/>
          <w:sz w:val="18"/>
          <w:szCs w:val="18"/>
          <w:color w:val="auto"/>
        </w:rPr>
      </w:pPr>
    </w:p>
    <w:p>
      <w:pPr>
        <w:ind w:right="80" w:firstLine="1492"/>
        <w:spacing w:after="0" w:line="277" w:lineRule="auto"/>
        <w:tabs>
          <w:tab w:leader="none" w:pos="17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Section 2.37(a), (b), (c) or (d) to the contrary, no employee shall be treated as a New Key Employee with respect to any Plan Year under this Section 2.37 if:</w:t>
      </w:r>
    </w:p>
    <w:p>
      <w:pPr>
        <w:spacing w:after="0" w:line="170" w:lineRule="exact"/>
        <w:rPr>
          <w:rFonts w:ascii="Arial" w:cs="Arial" w:eastAsia="Arial" w:hAnsi="Arial"/>
          <w:sz w:val="18"/>
          <w:szCs w:val="18"/>
          <w:color w:val="auto"/>
        </w:rPr>
      </w:pPr>
    </w:p>
    <w:p>
      <w:pPr>
        <w:ind w:right="140" w:firstLine="1948"/>
        <w:spacing w:after="0" w:line="308" w:lineRule="auto"/>
        <w:tabs>
          <w:tab w:leader="none" w:pos="2155" w:val="left"/>
        </w:tabs>
        <w:numPr>
          <w:ilvl w:val="1"/>
          <w:numId w:val="38"/>
        </w:numPr>
        <w:rPr>
          <w:rFonts w:ascii="Arial" w:cs="Arial" w:eastAsia="Arial" w:hAnsi="Arial"/>
          <w:sz w:val="17"/>
          <w:szCs w:val="17"/>
          <w:color w:val="auto"/>
        </w:rPr>
      </w:pPr>
      <w:r>
        <w:rPr>
          <w:rFonts w:ascii="Arial" w:cs="Arial" w:eastAsia="Arial" w:hAnsi="Arial"/>
          <w:sz w:val="17"/>
          <w:szCs w:val="17"/>
          <w:color w:val="auto"/>
        </w:rPr>
        <w:t>Such employee was eligible to participate in another plan sponsored by the Company or an Affiliate of the Company which is considered to be of a similar type as defined in Treasury Regulation Section 1.409A -1(c)(2)(i)(A) or (B) with respect to such Plan Year; or</w:t>
      </w:r>
    </w:p>
    <w:p>
      <w:pPr>
        <w:spacing w:after="0" w:line="146" w:lineRule="exact"/>
        <w:rPr>
          <w:rFonts w:ascii="Arial" w:cs="Arial" w:eastAsia="Arial" w:hAnsi="Arial"/>
          <w:sz w:val="17"/>
          <w:szCs w:val="17"/>
          <w:color w:val="auto"/>
        </w:rPr>
      </w:pPr>
    </w:p>
    <w:p>
      <w:pPr>
        <w:jc w:val="both"/>
        <w:ind w:right="220" w:firstLine="1948"/>
        <w:spacing w:after="0" w:line="264" w:lineRule="auto"/>
        <w:tabs>
          <w:tab w:leader="none" w:pos="22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Such employee has been eligible to participate in the Plan or any other plan referenced in Section 2.37(e)(i) (other than with respect to the accrual of earnings) at any time during the 24-month period ending on the date such employee would, but for this Section 2.37(e), otherwise become a New Key Employee.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17" w:lineRule="exact"/>
        <w:rPr>
          <w:sz w:val="20"/>
          <w:szCs w:val="20"/>
          <w:color w:val="auto"/>
        </w:rPr>
      </w:pPr>
    </w:p>
    <w:p>
      <w:pPr>
        <w:ind w:right="80" w:firstLine="1492"/>
        <w:spacing w:after="0" w:line="264" w:lineRule="auto"/>
        <w:tabs>
          <w:tab w:leader="none" w:pos="17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1" w:lineRule="exact"/>
        <w:rPr>
          <w:rFonts w:ascii="Arial" w:cs="Arial" w:eastAsia="Arial" w:hAnsi="Arial"/>
          <w:sz w:val="18"/>
          <w:szCs w:val="18"/>
          <w:color w:val="auto"/>
        </w:rPr>
      </w:pPr>
    </w:p>
    <w:p>
      <w:pPr>
        <w:ind w:right="60" w:firstLine="1492"/>
        <w:spacing w:after="0" w:line="277" w:lineRule="auto"/>
        <w:tabs>
          <w:tab w:leader="none" w:pos="17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225" w:lineRule="exact"/>
        <w:rPr>
          <w:sz w:val="20"/>
          <w:szCs w:val="20"/>
          <w:color w:val="auto"/>
        </w:rPr>
      </w:pPr>
    </w:p>
    <w:p>
      <w:pPr>
        <w:jc w:val="both"/>
        <w:ind w:right="100" w:firstLine="913"/>
        <w:spacing w:after="0" w:line="342" w:lineRule="auto"/>
        <w:rPr>
          <w:sz w:val="20"/>
          <w:szCs w:val="20"/>
          <w:color w:val="auto"/>
        </w:rPr>
      </w:pPr>
      <w:r>
        <w:rPr>
          <w:rFonts w:ascii="Arial" w:cs="Arial" w:eastAsia="Arial" w:hAnsi="Arial"/>
          <w:sz w:val="16"/>
          <w:szCs w:val="16"/>
          <w:color w:val="auto"/>
        </w:rPr>
        <w:t>2.40.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72" w:name="page73"/>
    <w:bookmarkEnd w:id="72"/>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2.41.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Comcast Spectacor and each other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2.41 to an officer of the Company or committee of two or more officers of the Company.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Plan</w:t>
      </w:r>
      <w:r>
        <w:rPr>
          <w:rFonts w:ascii="Arial" w:cs="Arial" w:eastAsia="Arial" w:hAnsi="Arial"/>
          <w:sz w:val="17"/>
          <w:szCs w:val="17"/>
          <w:color w:val="auto"/>
        </w:rPr>
        <w:t>” means the Comcast Corporation 2005 Deferred Compensation Plan, as set forth herein, and as amended from time to time.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Protected Account Balance</w:t>
      </w:r>
      <w:r>
        <w:rPr>
          <w:rFonts w:ascii="Arial" w:cs="Arial" w:eastAsia="Arial" w:hAnsi="Arial"/>
          <w:sz w:val="18"/>
          <w:szCs w:val="18"/>
          <w:color w:val="auto"/>
        </w:rPr>
        <w:t>” means:</w:t>
      </w:r>
    </w:p>
    <w:p>
      <w:pPr>
        <w:spacing w:after="0" w:line="117" w:lineRule="exact"/>
        <w:rPr>
          <w:sz w:val="20"/>
          <w:szCs w:val="20"/>
          <w:color w:val="auto"/>
        </w:rPr>
      </w:pPr>
    </w:p>
    <w:p>
      <w:pPr>
        <w:ind w:right="120" w:firstLine="1492"/>
        <w:spacing w:after="0" w:line="264" w:lineRule="auto"/>
        <w:tabs>
          <w:tab w:leader="none" w:pos="17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credited to the Account of an Eligible Comcast Employee, an Outside Director or a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181" w:lineRule="exact"/>
        <w:rPr>
          <w:rFonts w:ascii="Arial" w:cs="Arial" w:eastAsia="Arial" w:hAnsi="Arial"/>
          <w:sz w:val="18"/>
          <w:szCs w:val="18"/>
          <w:color w:val="auto"/>
        </w:rPr>
      </w:pPr>
    </w:p>
    <w:p>
      <w:pPr>
        <w:ind w:right="440" w:firstLine="1492"/>
        <w:spacing w:after="0" w:line="308" w:lineRule="auto"/>
        <w:tabs>
          <w:tab w:leader="none" w:pos="173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73" w:name="page74"/>
    <w:bookmarkEnd w:id="73"/>
    <w:p>
      <w:pPr>
        <w:ind w:right="160" w:firstLine="1492"/>
        <w:spacing w:after="0" w:line="277" w:lineRule="auto"/>
        <w:tabs>
          <w:tab w:leader="none" w:pos="1728"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credited pursuant to Initial Elections with respect to Compensation earned in 2014 or 2015, if, as of the September 30th immediately preceding the Plan Year to which the Initial Election applies, the sum of:</w:t>
      </w:r>
    </w:p>
    <w:p>
      <w:pPr>
        <w:spacing w:after="0" w:line="170" w:lineRule="exact"/>
        <w:rPr>
          <w:rFonts w:ascii="Arial" w:cs="Arial" w:eastAsia="Arial" w:hAnsi="Arial"/>
          <w:sz w:val="18"/>
          <w:szCs w:val="18"/>
          <w:color w:val="auto"/>
        </w:rPr>
      </w:pPr>
    </w:p>
    <w:p>
      <w:pPr>
        <w:ind w:left="2160" w:hanging="212"/>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Eligible Comcast Employee’s Account; plus</w:t>
      </w:r>
    </w:p>
    <w:p>
      <w:pPr>
        <w:spacing w:after="0" w:line="225" w:lineRule="exact"/>
        <w:rPr>
          <w:rFonts w:ascii="Arial" w:cs="Arial" w:eastAsia="Arial" w:hAnsi="Arial"/>
          <w:sz w:val="18"/>
          <w:szCs w:val="18"/>
          <w:color w:val="auto"/>
        </w:rPr>
      </w:pPr>
    </w:p>
    <w:p>
      <w:pPr>
        <w:ind w:left="2220" w:hanging="272"/>
        <w:spacing w:after="0"/>
        <w:tabs>
          <w:tab w:leader="none" w:pos="2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Such Eligible Comcast Employee’s Account in the Prior Plan; plus</w:t>
      </w:r>
    </w:p>
    <w:p>
      <w:pPr>
        <w:spacing w:after="0" w:line="225" w:lineRule="exact"/>
        <w:rPr>
          <w:rFonts w:ascii="Arial" w:cs="Arial" w:eastAsia="Arial" w:hAnsi="Arial"/>
          <w:sz w:val="18"/>
          <w:szCs w:val="18"/>
          <w:color w:val="auto"/>
        </w:rPr>
      </w:pPr>
    </w:p>
    <w:p>
      <w:pPr>
        <w:ind w:left="2260" w:hanging="312"/>
        <w:spacing w:after="0"/>
        <w:tabs>
          <w:tab w:leader="none" w:pos="22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Such Eligible Comcast Employee’s Account in the Restricted Stock Plan to the extent such Account is credited to the “Income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is less than the High Water Mark.</w:t>
      </w:r>
    </w:p>
    <w:p>
      <w:pPr>
        <w:spacing w:after="0" w:line="225" w:lineRule="exact"/>
        <w:rPr>
          <w:sz w:val="20"/>
          <w:szCs w:val="20"/>
          <w:color w:val="auto"/>
        </w:rPr>
      </w:pPr>
    </w:p>
    <w:p>
      <w:pPr>
        <w:ind w:right="160" w:firstLine="1492"/>
        <w:spacing w:after="0" w:line="312" w:lineRule="auto"/>
        <w:tabs>
          <w:tab w:leader="none" w:pos="173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 credited pursuant to Initial Elections with respect to Compensation earned on and after January 1, 2016 and the amount credited to an Eligible Comcast Employee’s Account attributable to Company Credits described in Section 3.8 after May 20, 2015 (other than Company Credits described in Section 2.49(b)), if, as of the September 30</w:t>
      </w:r>
      <w:r>
        <w:rPr>
          <w:rFonts w:ascii="Arial" w:cs="Arial" w:eastAsia="Arial" w:hAnsi="Arial"/>
          <w:sz w:val="13"/>
          <w:szCs w:val="13"/>
          <w:color w:val="auto"/>
        </w:rPr>
        <w:t>th</w:t>
      </w:r>
      <w:r>
        <w:rPr>
          <w:rFonts w:ascii="Arial" w:cs="Arial" w:eastAsia="Arial" w:hAnsi="Arial"/>
          <w:sz w:val="16"/>
          <w:szCs w:val="16"/>
          <w:color w:val="auto"/>
        </w:rPr>
        <w:t xml:space="preserve"> immediately preceding the Plan Year in which such amounts are creditable, the sum of:</w:t>
      </w:r>
    </w:p>
    <w:p>
      <w:pPr>
        <w:spacing w:after="0" w:line="146" w:lineRule="exact"/>
        <w:rPr>
          <w:rFonts w:ascii="Arial" w:cs="Arial" w:eastAsia="Arial" w:hAnsi="Arial"/>
          <w:sz w:val="16"/>
          <w:szCs w:val="16"/>
          <w:color w:val="auto"/>
        </w:rPr>
      </w:pPr>
    </w:p>
    <w:p>
      <w:pPr>
        <w:ind w:left="2160" w:hanging="212"/>
        <w:spacing w:after="0"/>
        <w:tabs>
          <w:tab w:leader="none" w:pos="2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Eligible Comcast Employee’s Account; plus</w:t>
      </w:r>
    </w:p>
    <w:p>
      <w:pPr>
        <w:spacing w:after="0" w:line="225" w:lineRule="exact"/>
        <w:rPr>
          <w:rFonts w:ascii="Arial" w:cs="Arial" w:eastAsia="Arial" w:hAnsi="Arial"/>
          <w:sz w:val="18"/>
          <w:szCs w:val="18"/>
          <w:color w:val="auto"/>
        </w:rPr>
      </w:pPr>
    </w:p>
    <w:p>
      <w:pPr>
        <w:ind w:left="2220" w:hanging="272"/>
        <w:spacing w:after="0"/>
        <w:tabs>
          <w:tab w:leader="none" w:pos="2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Eligible Comcast Employee’s Account in the Prior Plan; plus</w:t>
      </w:r>
    </w:p>
    <w:p>
      <w:pPr>
        <w:spacing w:after="0" w:line="225" w:lineRule="exact"/>
        <w:rPr>
          <w:rFonts w:ascii="Arial" w:cs="Arial" w:eastAsia="Arial" w:hAnsi="Arial"/>
          <w:sz w:val="18"/>
          <w:szCs w:val="18"/>
          <w:color w:val="auto"/>
        </w:rPr>
      </w:pPr>
    </w:p>
    <w:p>
      <w:pPr>
        <w:ind w:left="2260" w:hanging="312"/>
        <w:spacing w:after="0"/>
        <w:tabs>
          <w:tab w:leader="none" w:pos="22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Such Eligible Comcast Employee’s Account in the Restricted Stock Plan to the extent such Account is credited to the “Income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is less than the High Water Mark.</w:t>
      </w:r>
    </w:p>
    <w:p>
      <w:pPr>
        <w:spacing w:after="0" w:line="225" w:lineRule="exact"/>
        <w:rPr>
          <w:sz w:val="20"/>
          <w:szCs w:val="20"/>
          <w:color w:val="auto"/>
        </w:rPr>
      </w:pPr>
    </w:p>
    <w:p>
      <w:pPr>
        <w:ind w:firstLine="1492"/>
        <w:spacing w:after="0" w:line="277" w:lineRule="auto"/>
        <w:tabs>
          <w:tab w:leader="none" w:pos="17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credited pursuant to Subsequent Elections filed after December 31, 2013 that are attributable to any portion of an Eligible Comcast Employee’s Account described in this Section 2.49.</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Notwithstanding Sections 2.49(a), (b), (c), (d) and (e),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any successor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74" w:name="page75"/>
    <w:bookmarkEnd w:id="74"/>
    <w:p>
      <w:pPr>
        <w:ind w:right="3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2.53. “</w:t>
      </w:r>
      <w:r>
        <w:rPr>
          <w:rFonts w:ascii="Arial" w:cs="Arial" w:eastAsia="Arial" w:hAnsi="Arial"/>
          <w:sz w:val="18"/>
          <w:szCs w:val="18"/>
          <w:u w:val="single" w:color="auto"/>
          <w:color w:val="auto"/>
        </w:rPr>
        <w:t>Signing Bonus</w:t>
      </w:r>
      <w:r>
        <w:rPr>
          <w:rFonts w:ascii="Arial" w:cs="Arial" w:eastAsia="Arial" w:hAnsi="Arial"/>
          <w:sz w:val="18"/>
          <w:szCs w:val="18"/>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81" w:lineRule="exact"/>
        <w:rPr>
          <w:sz w:val="20"/>
          <w:szCs w:val="20"/>
          <w:color w:val="auto"/>
        </w:rPr>
      </w:pPr>
    </w:p>
    <w:p>
      <w:pPr>
        <w:ind w:right="560" w:firstLine="913"/>
        <w:spacing w:after="0" w:line="264" w:lineRule="auto"/>
        <w:rPr>
          <w:sz w:val="20"/>
          <w:szCs w:val="20"/>
          <w:color w:val="auto"/>
        </w:rPr>
      </w:pPr>
      <w:r>
        <w:rPr>
          <w:rFonts w:ascii="Arial" w:cs="Arial" w:eastAsia="Arial" w:hAnsi="Arial"/>
          <w:sz w:val="18"/>
          <w:szCs w:val="18"/>
          <w:color w:val="auto"/>
        </w:rPr>
        <w:t>2.54.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2.55.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24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2.57. “</w:t>
      </w:r>
      <w:r>
        <w:rPr>
          <w:rFonts w:ascii="Arial" w:cs="Arial" w:eastAsia="Arial" w:hAnsi="Arial"/>
          <w:sz w:val="18"/>
          <w:szCs w:val="18"/>
          <w:u w:val="single" w:color="auto"/>
          <w:color w:val="auto"/>
        </w:rPr>
        <w:t>Total Compensation</w:t>
      </w:r>
      <w:r>
        <w:rPr>
          <w:rFonts w:ascii="Arial" w:cs="Arial" w:eastAsia="Arial" w:hAnsi="Arial"/>
          <w:sz w:val="18"/>
          <w:szCs w:val="18"/>
          <w:color w:val="auto"/>
        </w:rPr>
        <w:t>” means:</w:t>
      </w:r>
    </w:p>
    <w:p>
      <w:pPr>
        <w:spacing w:after="0" w:line="117" w:lineRule="exact"/>
        <w:rPr>
          <w:sz w:val="20"/>
          <w:szCs w:val="20"/>
          <w:color w:val="auto"/>
        </w:rPr>
      </w:pPr>
    </w:p>
    <w:p>
      <w:pPr>
        <w:ind w:right="240" w:firstLine="1492"/>
        <w:spacing w:after="0" w:line="302" w:lineRule="auto"/>
        <w:tabs>
          <w:tab w:leader="none" w:pos="17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Plan Years beginning before 2015, the sum of an Eligible Employee’s Annual Rate of Pay, plus Company Credits described in Section 3.8, plus any target bonus amount under a cash bonus award that is includible as “Compensation” under Section 2.16, plus the grant date value (for Eligible Comcast Employees) or the target value (for Eligible NBCU Employees) of any annual long-term incentive award granted in the immediately preceding Plan Year, all as determined by the Administrator in its sole discretion, as of the September 30th immediately preceding the Plan Year.</w:t>
      </w:r>
    </w:p>
    <w:p>
      <w:pPr>
        <w:spacing w:after="0" w:line="154" w:lineRule="exact"/>
        <w:rPr>
          <w:rFonts w:ascii="Arial" w:cs="Arial" w:eastAsia="Arial" w:hAnsi="Arial"/>
          <w:sz w:val="16"/>
          <w:szCs w:val="16"/>
          <w:color w:val="auto"/>
        </w:rPr>
      </w:pPr>
    </w:p>
    <w:p>
      <w:pPr>
        <w:ind w:right="60" w:firstLine="1492"/>
        <w:spacing w:after="0" w:line="259" w:lineRule="auto"/>
        <w:tabs>
          <w:tab w:leader="none" w:pos="17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Plan Years beginning after 2014, 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186" w:lineRule="exact"/>
        <w:rPr>
          <w:rFonts w:ascii="Arial" w:cs="Arial" w:eastAsia="Arial" w:hAnsi="Arial"/>
          <w:sz w:val="18"/>
          <w:szCs w:val="18"/>
          <w:color w:val="auto"/>
        </w:rPr>
      </w:pPr>
    </w:p>
    <w:p>
      <w:pPr>
        <w:ind w:right="380" w:firstLine="1492"/>
        <w:spacing w:after="0" w:line="286" w:lineRule="auto"/>
        <w:tabs>
          <w:tab w:leader="none" w:pos="17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 – INITIAL AND SUBSEQUENT ELECTIONS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269" w:lineRule="auto"/>
        <w:tabs>
          <w:tab w:leader="none" w:pos="172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Initial Elections</w:t>
      </w:r>
      <w:r>
        <w:rPr>
          <w:rFonts w:ascii="Arial" w:cs="Arial" w:eastAsia="Arial" w:hAnsi="Arial"/>
          <w:sz w:val="17"/>
          <w:szCs w:val="17"/>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 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79" w:lineRule="exact"/>
        <w:rPr>
          <w:rFonts w:ascii="Arial" w:cs="Arial" w:eastAsia="Arial" w:hAnsi="Arial"/>
          <w:sz w:val="17"/>
          <w:szCs w:val="17"/>
          <w:color w:val="auto"/>
        </w:rPr>
      </w:pPr>
    </w:p>
    <w:p>
      <w:pPr>
        <w:ind w:right="320" w:firstLine="1492"/>
        <w:spacing w:after="0" w:line="264" w:lineRule="auto"/>
        <w:tabs>
          <w:tab w:leader="none" w:pos="173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w:t>
      </w:r>
    </w:p>
    <w:p>
      <w:pPr>
        <w:spacing w:after="0" w:line="170" w:lineRule="exact"/>
        <w:rPr>
          <w:sz w:val="20"/>
          <w:szCs w:val="20"/>
          <w:color w:val="auto"/>
        </w:rPr>
      </w:pPr>
    </w:p>
    <w:p>
      <w:pPr>
        <w:ind w:right="20" w:firstLine="1492"/>
        <w:spacing w:after="0" w:line="264" w:lineRule="auto"/>
        <w:tabs>
          <w:tab w:leader="none" w:pos="17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181" w:lineRule="exact"/>
        <w:rPr>
          <w:rFonts w:ascii="Arial" w:cs="Arial" w:eastAsia="Arial" w:hAnsi="Arial"/>
          <w:sz w:val="18"/>
          <w:szCs w:val="18"/>
          <w:color w:val="auto"/>
        </w:rPr>
      </w:pPr>
    </w:p>
    <w:p>
      <w:pPr>
        <w:ind w:right="160" w:firstLine="1492"/>
        <w:spacing w:after="0" w:line="308" w:lineRule="auto"/>
        <w:tabs>
          <w:tab w:leader="none" w:pos="1738"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46" w:lineRule="exact"/>
        <w:rPr>
          <w:rFonts w:ascii="Arial" w:cs="Arial" w:eastAsia="Arial" w:hAnsi="Arial"/>
          <w:sz w:val="17"/>
          <w:szCs w:val="17"/>
          <w:color w:val="auto"/>
        </w:rPr>
      </w:pPr>
    </w:p>
    <w:p>
      <w:pPr>
        <w:ind w:right="100" w:firstLine="1492"/>
        <w:spacing w:after="0" w:line="277" w:lineRule="auto"/>
        <w:tabs>
          <w:tab w:leader="none" w:pos="17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such Initial Election shall be effective with respect to a Signing Bonus for an Eligible Employee other than a New Key Employee unless (i) such Signing Bonus is forfeitable if the Participant fails to continue in service to a specified date (other than as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76" w:name="page77"/>
    <w:bookmarkEnd w:id="76"/>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15"/>
          <w:szCs w:val="15"/>
          <w:color w:val="auto"/>
        </w:rPr>
        <w:t>th</w:t>
      </w:r>
      <w:r>
        <w:rPr>
          <w:rFonts w:ascii="Arial" w:cs="Arial" w:eastAsia="Arial" w:hAnsi="Arial"/>
          <w:sz w:val="18"/>
          <w:szCs w:val="18"/>
          <w:color w:val="auto"/>
        </w:rPr>
        <w:t xml:space="preserve"> day following the date of grant of such Signing Bonus and at least one year before such specified date.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17" w:lineRule="exact"/>
        <w:rPr>
          <w:sz w:val="20"/>
          <w:szCs w:val="20"/>
          <w:color w:val="auto"/>
        </w:rPr>
      </w:pPr>
    </w:p>
    <w:p>
      <w:pPr>
        <w:ind w:left="1740" w:hanging="248"/>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file an Initial Election:</w:t>
      </w:r>
    </w:p>
    <w:p>
      <w:pPr>
        <w:spacing w:after="0" w:line="225" w:lineRule="exact"/>
        <w:rPr>
          <w:rFonts w:ascii="Arial" w:cs="Arial" w:eastAsia="Arial" w:hAnsi="Arial"/>
          <w:sz w:val="18"/>
          <w:szCs w:val="18"/>
          <w:color w:val="auto"/>
        </w:rPr>
      </w:pPr>
    </w:p>
    <w:p>
      <w:pPr>
        <w:ind w:right="40" w:firstLine="1948"/>
        <w:spacing w:after="0" w:line="264" w:lineRule="auto"/>
        <w:tabs>
          <w:tab w:leader="none" w:pos="21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81" w:lineRule="exact"/>
        <w:rPr>
          <w:rFonts w:ascii="Arial" w:cs="Arial" w:eastAsia="Arial" w:hAnsi="Arial"/>
          <w:sz w:val="18"/>
          <w:szCs w:val="18"/>
          <w:color w:val="auto"/>
        </w:rPr>
      </w:pPr>
    </w:p>
    <w:p>
      <w:pPr>
        <w:ind w:right="320" w:firstLine="1948"/>
        <w:spacing w:after="0" w:line="277" w:lineRule="auto"/>
        <w:tabs>
          <w:tab w:leader="none" w:pos="22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An Initial Election by such New Key Employee for succeeding calendar years or applicable Performance Periods shall be made in accordance with Section 3.1 and Section 3.2.</w:t>
      </w:r>
    </w:p>
    <w:p>
      <w:pPr>
        <w:spacing w:after="0" w:line="170" w:lineRule="exact"/>
        <w:rPr>
          <w:sz w:val="20"/>
          <w:szCs w:val="20"/>
          <w:color w:val="auto"/>
        </w:rPr>
      </w:pPr>
    </w:p>
    <w:p>
      <w:pPr>
        <w:ind w:right="100" w:firstLine="1492"/>
        <w:spacing w:after="0" w:line="293" w:lineRule="auto"/>
        <w:tabs>
          <w:tab w:leader="none" w:pos="173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Years to which Initial Election May Apply</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257" w:lineRule="auto"/>
        <w:tabs>
          <w:tab w:leader="none" w:pos="172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Separate Initial Elections for Each Calendar Year or Applicable Performance Period</w:t>
      </w:r>
      <w:r>
        <w:rPr>
          <w:rFonts w:ascii="Arial" w:cs="Arial" w:eastAsia="Arial" w:hAnsi="Arial"/>
          <w:sz w:val="18"/>
          <w:szCs w:val="18"/>
          <w:color w:val="auto"/>
        </w:rPr>
        <w:t>. A separate Initial Election may be made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 other applicable Performance Period shall not affect such Outside Director’s or Eligible Employee’s right to make an Initial Election for any other calendar year or other applicable Performance Period.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77" w:name="page78"/>
    <w:bookmarkEnd w:id="77"/>
    <w:p>
      <w:pPr>
        <w:ind w:left="-40" w:right="20" w:firstLine="1492"/>
        <w:spacing w:after="0" w:line="273" w:lineRule="auto"/>
        <w:tabs>
          <w:tab w:leader="none" w:pos="169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Election of Distribution Date</w:t>
      </w:r>
      <w:r>
        <w:rPr>
          <w:rFonts w:ascii="Arial" w:cs="Arial" w:eastAsia="Arial" w:hAnsi="Arial"/>
          <w:sz w:val="17"/>
          <w:szCs w:val="17"/>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248" w:lineRule="exact"/>
        <w:rPr>
          <w:sz w:val="20"/>
          <w:szCs w:val="20"/>
          <w:color w:val="auto"/>
        </w:rPr>
      </w:pPr>
    </w:p>
    <w:p>
      <w:pPr>
        <w:jc w:val="both"/>
        <w:ind w:left="-40" w:right="80" w:firstLine="1492"/>
        <w:spacing w:after="0" w:line="279" w:lineRule="auto"/>
        <w:tabs>
          <w:tab w:leader="none" w:pos="168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Active Participants</w:t>
      </w:r>
      <w:r>
        <w:rPr>
          <w:rFonts w:ascii="Arial" w:cs="Arial" w:eastAsia="Arial" w:hAnsi="Arial"/>
          <w:sz w:val="17"/>
          <w:szCs w:val="17"/>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71" w:lineRule="exact"/>
        <w:rPr>
          <w:rFonts w:ascii="Arial" w:cs="Arial" w:eastAsia="Arial" w:hAnsi="Arial"/>
          <w:sz w:val="17"/>
          <w:szCs w:val="17"/>
          <w:color w:val="auto"/>
        </w:rPr>
      </w:pPr>
    </w:p>
    <w:p>
      <w:pPr>
        <w:ind w:left="-40" w:firstLine="1492"/>
        <w:spacing w:after="0" w:line="257" w:lineRule="auto"/>
        <w:tabs>
          <w:tab w:leader="none" w:pos="169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88" w:lineRule="exact"/>
        <w:rPr>
          <w:rFonts w:ascii="Arial" w:cs="Arial" w:eastAsia="Arial" w:hAnsi="Arial"/>
          <w:sz w:val="18"/>
          <w:szCs w:val="18"/>
          <w:color w:val="auto"/>
        </w:rPr>
      </w:pPr>
    </w:p>
    <w:p>
      <w:pPr>
        <w:ind w:left="-40" w:right="100" w:firstLine="1492"/>
        <w:spacing w:after="0" w:line="272" w:lineRule="auto"/>
        <w:tabs>
          <w:tab w:leader="none" w:pos="168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Surviving Spouses – Subsequent Election</w:t>
      </w:r>
      <w:r>
        <w:rPr>
          <w:rFonts w:ascii="Arial" w:cs="Arial" w:eastAsia="Arial" w:hAnsi="Arial"/>
          <w:sz w:val="17"/>
          <w:szCs w:val="17"/>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274" w:right="279" w:bottom="1440" w:gutter="0" w:footer="0" w:header="0"/>
        </w:sectPr>
      </w:pPr>
    </w:p>
    <w:bookmarkStart w:id="78" w:name="page79"/>
    <w:bookmarkEnd w:id="78"/>
    <w:p>
      <w:pPr>
        <w:ind w:firstLine="1492"/>
        <w:spacing w:after="0" w:line="255" w:lineRule="auto"/>
        <w:tabs>
          <w:tab w:leader="none" w:pos="1738"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Beneficiary of a Deceased Participant Other Than a Surviving Spouse – Subsequent Election</w:t>
      </w:r>
      <w:r>
        <w:rPr>
          <w:rFonts w:ascii="Arial" w:cs="Arial" w:eastAsia="Arial" w:hAnsi="Arial"/>
          <w:sz w:val="18"/>
          <w:szCs w:val="18"/>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89" w:lineRule="exact"/>
        <w:rPr>
          <w:rFonts w:ascii="Arial" w:cs="Arial" w:eastAsia="Arial" w:hAnsi="Arial"/>
          <w:sz w:val="18"/>
          <w:szCs w:val="18"/>
          <w:color w:val="auto"/>
        </w:rPr>
      </w:pPr>
    </w:p>
    <w:p>
      <w:pPr>
        <w:ind w:right="60" w:firstLine="1492"/>
        <w:spacing w:after="0" w:line="288" w:lineRule="auto"/>
        <w:tabs>
          <w:tab w:leader="none" w:pos="1728"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w:t>
      </w:r>
    </w:p>
    <w:p>
      <w:pPr>
        <w:jc w:val="both"/>
        <w:ind w:right="160" w:firstLine="8"/>
        <w:spacing w:after="0" w:line="302" w:lineRule="auto"/>
        <w:tabs>
          <w:tab w:leader="none" w:pos="3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55" w:lineRule="exact"/>
        <w:rPr>
          <w:rFonts w:ascii="Arial" w:cs="Arial" w:eastAsia="Arial" w:hAnsi="Arial"/>
          <w:sz w:val="16"/>
          <w:szCs w:val="16"/>
          <w:color w:val="auto"/>
        </w:rPr>
      </w:pPr>
    </w:p>
    <w:p>
      <w:pPr>
        <w:ind w:right="120" w:firstLine="1492"/>
        <w:spacing w:after="0" w:line="264" w:lineRule="auto"/>
        <w:tabs>
          <w:tab w:leader="none" w:pos="1708"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shall be made before the payment date designated by the Participant or Beneficiary on the most recently filed Initial Election or Subsequent Election with respect to each deferred amount.</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17" w:lineRule="exact"/>
        <w:rPr>
          <w:sz w:val="20"/>
          <w:szCs w:val="20"/>
          <w:color w:val="auto"/>
        </w:rPr>
      </w:pPr>
    </w:p>
    <w:p>
      <w:pPr>
        <w:ind w:right="40" w:firstLine="1492"/>
        <w:spacing w:after="0" w:line="279" w:lineRule="auto"/>
        <w:tabs>
          <w:tab w:leader="none" w:pos="17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79" w:name="page80"/>
    <w:bookmarkEnd w:id="79"/>
    <w:p>
      <w:pPr>
        <w:ind w:left="-20" w:right="220" w:firstLine="1492"/>
        <w:spacing w:after="0" w:line="277" w:lineRule="auto"/>
        <w:tabs>
          <w:tab w:leader="none" w:pos="1718"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Decedent affirmatively has elected, pursuant to Section 3.7(a), that the terms of this Section 3.7(b) not apply, but only to the extent permitted under Section 409A:</w:t>
      </w:r>
    </w:p>
    <w:p>
      <w:pPr>
        <w:spacing w:after="0" w:line="170" w:lineRule="exact"/>
        <w:rPr>
          <w:rFonts w:ascii="Arial" w:cs="Arial" w:eastAsia="Arial" w:hAnsi="Arial"/>
          <w:sz w:val="18"/>
          <w:szCs w:val="18"/>
          <w:color w:val="auto"/>
        </w:rPr>
      </w:pPr>
    </w:p>
    <w:p>
      <w:pPr>
        <w:ind w:left="-20" w:right="40" w:firstLine="1948"/>
        <w:spacing w:after="0" w:line="277" w:lineRule="auto"/>
        <w:tabs>
          <w:tab w:leader="none" w:pos="21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70" w:lineRule="exact"/>
        <w:rPr>
          <w:rFonts w:ascii="Arial" w:cs="Arial" w:eastAsia="Arial" w:hAnsi="Arial"/>
          <w:sz w:val="18"/>
          <w:szCs w:val="18"/>
          <w:color w:val="auto"/>
        </w:rPr>
      </w:pPr>
    </w:p>
    <w:p>
      <w:pPr>
        <w:ind w:left="-20" w:right="480" w:firstLine="1948"/>
        <w:spacing w:after="0" w:line="277" w:lineRule="auto"/>
        <w:tabs>
          <w:tab w:leader="none" w:pos="2185"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70" w:lineRule="exact"/>
        <w:rPr>
          <w:rFonts w:ascii="Arial" w:cs="Arial" w:eastAsia="Arial" w:hAnsi="Arial"/>
          <w:sz w:val="18"/>
          <w:szCs w:val="18"/>
          <w:color w:val="auto"/>
        </w:rPr>
      </w:pPr>
    </w:p>
    <w:p>
      <w:pPr>
        <w:ind w:left="-20" w:right="260" w:firstLine="1948"/>
        <w:spacing w:after="0" w:line="302" w:lineRule="auto"/>
        <w:tabs>
          <w:tab w:leader="none" w:pos="2235"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54" w:lineRule="exact"/>
        <w:rPr>
          <w:rFonts w:ascii="Arial" w:cs="Arial" w:eastAsia="Arial" w:hAnsi="Arial"/>
          <w:sz w:val="16"/>
          <w:szCs w:val="16"/>
          <w:color w:val="auto"/>
        </w:rPr>
      </w:pPr>
    </w:p>
    <w:p>
      <w:pPr>
        <w:ind w:left="-20" w:firstLine="1948"/>
        <w:spacing w:after="0" w:line="273" w:lineRule="auto"/>
        <w:tabs>
          <w:tab w:leader="none" w:pos="2225"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78" w:lineRule="exact"/>
        <w:rPr>
          <w:rFonts w:ascii="Arial" w:cs="Arial" w:eastAsia="Arial" w:hAnsi="Arial"/>
          <w:sz w:val="17"/>
          <w:szCs w:val="17"/>
          <w:color w:val="auto"/>
        </w:rPr>
      </w:pPr>
    </w:p>
    <w:p>
      <w:pPr>
        <w:jc w:val="both"/>
        <w:ind w:left="-20" w:right="140" w:firstLine="1948"/>
        <w:spacing w:after="0" w:line="264" w:lineRule="auto"/>
        <w:tabs>
          <w:tab w:leader="none" w:pos="217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1" w:lineRule="exact"/>
        <w:rPr>
          <w:rFonts w:ascii="Arial" w:cs="Arial" w:eastAsia="Arial" w:hAnsi="Arial"/>
          <w:sz w:val="18"/>
          <w:szCs w:val="18"/>
          <w:color w:val="auto"/>
        </w:rPr>
      </w:pPr>
    </w:p>
    <w:p>
      <w:pPr>
        <w:ind w:left="-20" w:right="200" w:firstLine="1948"/>
        <w:spacing w:after="0" w:line="277" w:lineRule="auto"/>
        <w:tabs>
          <w:tab w:leader="none" w:pos="22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80" w:name="page81"/>
    <w:bookmarkEnd w:id="80"/>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3"/>
          <w:szCs w:val="13"/>
          <w:color w:val="auto"/>
        </w:rPr>
        <w:t>nd</w:t>
      </w:r>
      <w:r>
        <w:rPr>
          <w:rFonts w:ascii="Arial" w:cs="Arial" w:eastAsia="Arial" w:hAnsi="Arial"/>
          <w:sz w:val="16"/>
          <w:szCs w:val="16"/>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17" w:lineRule="exact"/>
        <w:rPr>
          <w:sz w:val="20"/>
          <w:szCs w:val="20"/>
          <w:color w:val="auto"/>
        </w:rPr>
      </w:pPr>
    </w:p>
    <w:p>
      <w:pPr>
        <w:ind w:right="80" w:firstLine="1492"/>
        <w:spacing w:after="0" w:line="302" w:lineRule="auto"/>
        <w:tabs>
          <w:tab w:leader="none" w:pos="172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54" w:lineRule="exact"/>
        <w:rPr>
          <w:rFonts w:ascii="Arial" w:cs="Arial" w:eastAsia="Arial" w:hAnsi="Arial"/>
          <w:sz w:val="16"/>
          <w:szCs w:val="16"/>
          <w:color w:val="auto"/>
        </w:rPr>
      </w:pPr>
    </w:p>
    <w:p>
      <w:pPr>
        <w:ind w:right="60" w:firstLine="1492"/>
        <w:spacing w:after="0" w:line="257" w:lineRule="auto"/>
        <w:tabs>
          <w:tab w:leader="none" w:pos="17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purposes of the Plan, a transfer of an employee between two employers, each of which is the Company or an Affiliate,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 – MANNER OF DISTRIBUTION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17" w:lineRule="exact"/>
        <w:rPr>
          <w:sz w:val="20"/>
          <w:szCs w:val="20"/>
          <w:color w:val="auto"/>
        </w:rPr>
      </w:pPr>
    </w:p>
    <w:p>
      <w:pPr>
        <w:ind w:right="120" w:firstLine="1492"/>
        <w:spacing w:after="0" w:line="264" w:lineRule="auto"/>
        <w:tabs>
          <w:tab w:leader="none" w:pos="17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credited to an Account shall be distributed, pursuant to an Initial Election or Subsequent Election in either (i) a lump sum payment or (ii) substantially equal monthly or annual installments over a five (5), ten (10) or fifteen (15) year period. Installment distributions payable in the form of shares of Company Stock shall be rounded to the nearest whole share.</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contrary:</w:t>
      </w:r>
    </w:p>
    <w:p>
      <w:pPr>
        <w:spacing w:after="0" w:line="210" w:lineRule="exact"/>
        <w:rPr>
          <w:rFonts w:ascii="Arial" w:cs="Arial" w:eastAsia="Arial" w:hAnsi="Arial"/>
          <w:sz w:val="16"/>
          <w:szCs w:val="16"/>
          <w:color w:val="auto"/>
        </w:rPr>
      </w:pPr>
    </w:p>
    <w:p>
      <w:pPr>
        <w:ind w:right="60" w:firstLine="1948"/>
        <w:spacing w:after="0" w:line="264" w:lineRule="auto"/>
        <w:tabs>
          <w:tab w:leader="none" w:pos="21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81" w:lineRule="exact"/>
        <w:rPr>
          <w:rFonts w:ascii="Arial" w:cs="Arial" w:eastAsia="Arial" w:hAnsi="Arial"/>
          <w:sz w:val="18"/>
          <w:szCs w:val="18"/>
          <w:color w:val="auto"/>
        </w:rPr>
      </w:pPr>
    </w:p>
    <w:p>
      <w:pPr>
        <w:ind w:right="160" w:firstLine="1948"/>
        <w:spacing w:after="0" w:line="279" w:lineRule="auto"/>
        <w:tabs>
          <w:tab w:leader="none" w:pos="2205" w:val="left"/>
        </w:tabs>
        <w:numPr>
          <w:ilvl w:val="1"/>
          <w:numId w:val="57"/>
        </w:numPr>
        <w:rPr>
          <w:rFonts w:ascii="Arial" w:cs="Arial" w:eastAsia="Arial" w:hAnsi="Arial"/>
          <w:sz w:val="17"/>
          <w:szCs w:val="17"/>
          <w:color w:val="auto"/>
        </w:rPr>
      </w:pPr>
      <w:r>
        <w:rPr>
          <w:rFonts w:ascii="Arial" w:cs="Arial" w:eastAsia="Arial" w:hAnsi="Arial"/>
          <w:sz w:val="17"/>
          <w:szCs w:val="17"/>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93"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81" w:lineRule="exact"/>
        <w:rPr>
          <w:sz w:val="20"/>
          <w:szCs w:val="20"/>
          <w:color w:val="auto"/>
        </w:rPr>
      </w:pPr>
    </w:p>
    <w:p>
      <w:pPr>
        <w:ind w:right="40" w:firstLine="1492"/>
        <w:spacing w:after="0" w:line="257" w:lineRule="auto"/>
        <w:tabs>
          <w:tab w:leader="none" w:pos="17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82" w:name="page83"/>
    <w:bookmarkEnd w:id="82"/>
    <w:p>
      <w:pPr>
        <w:ind w:right="120" w:firstLine="1492"/>
        <w:spacing w:after="0" w:line="297" w:lineRule="auto"/>
        <w:tabs>
          <w:tab w:leader="none" w:pos="1738"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229"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Deferred Compensation Account</w:t>
      </w:r>
      <w:r>
        <w:rPr>
          <w:rFonts w:ascii="Arial" w:cs="Arial" w:eastAsia="Arial" w:hAnsi="Arial"/>
          <w:sz w:val="17"/>
          <w:szCs w:val="17"/>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225" w:lineRule="exact"/>
        <w:rPr>
          <w:sz w:val="20"/>
          <w:szCs w:val="20"/>
          <w:color w:val="auto"/>
        </w:rPr>
      </w:pPr>
    </w:p>
    <w:p>
      <w:pPr>
        <w:ind w:right="200" w:firstLine="1492"/>
        <w:spacing w:after="0" w:line="277" w:lineRule="auto"/>
        <w:tabs>
          <w:tab w:leader="none" w:pos="172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70" w:lineRule="exact"/>
        <w:rPr>
          <w:rFonts w:ascii="Arial" w:cs="Arial" w:eastAsia="Arial" w:hAnsi="Arial"/>
          <w:sz w:val="18"/>
          <w:szCs w:val="18"/>
          <w:color w:val="auto"/>
        </w:rPr>
      </w:pPr>
    </w:p>
    <w:p>
      <w:pPr>
        <w:ind w:right="100" w:firstLine="1492"/>
        <w:spacing w:after="0" w:line="264" w:lineRule="auto"/>
        <w:tabs>
          <w:tab w:leader="none" w:pos="173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81" w:lineRule="exact"/>
        <w:rPr>
          <w:rFonts w:ascii="Arial" w:cs="Arial" w:eastAsia="Arial" w:hAnsi="Arial"/>
          <w:sz w:val="18"/>
          <w:szCs w:val="18"/>
          <w:color w:val="auto"/>
        </w:rPr>
      </w:pPr>
    </w:p>
    <w:p>
      <w:pPr>
        <w:ind w:right="140" w:firstLine="1492"/>
        <w:spacing w:after="0" w:line="259" w:lineRule="auto"/>
        <w:tabs>
          <w:tab w:leader="none" w:pos="172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86" w:lineRule="exact"/>
        <w:rPr>
          <w:rFonts w:ascii="Arial" w:cs="Arial" w:eastAsia="Arial" w:hAnsi="Arial"/>
          <w:sz w:val="18"/>
          <w:szCs w:val="18"/>
          <w:color w:val="auto"/>
        </w:rPr>
      </w:pPr>
    </w:p>
    <w:p>
      <w:pPr>
        <w:ind w:firstLine="1492"/>
        <w:spacing w:after="0" w:line="257" w:lineRule="auto"/>
        <w:tabs>
          <w:tab w:leader="none" w:pos="173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83" w:name="page84"/>
    <w:bookmarkEnd w:id="8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8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229"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8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Domestic Relations Orders</w:t>
      </w:r>
      <w:r>
        <w:rPr>
          <w:rFonts w:ascii="Arial" w:cs="Arial" w:eastAsia="Arial" w:hAnsi="Arial"/>
          <w:sz w:val="18"/>
          <w:szCs w:val="18"/>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9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Payee Designation</w:t>
      </w:r>
      <w:r>
        <w:rPr>
          <w:rFonts w:ascii="Arial" w:cs="Arial" w:eastAsia="Arial" w:hAnsi="Arial"/>
          <w:sz w:val="18"/>
          <w:szCs w:val="18"/>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 DEATH OF PARTICIPANT</w:t>
      </w:r>
    </w:p>
    <w:p>
      <w:pPr>
        <w:spacing w:after="0" w:line="229"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81" w:lineRule="exact"/>
        <w:rPr>
          <w:sz w:val="20"/>
          <w:szCs w:val="20"/>
          <w:color w:val="auto"/>
        </w:rPr>
      </w:pPr>
    </w:p>
    <w:p>
      <w:pPr>
        <w:ind w:right="200" w:firstLine="913"/>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22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70" w:lineRule="exact"/>
        <w:rPr>
          <w:sz w:val="20"/>
          <w:szCs w:val="20"/>
          <w:color w:val="auto"/>
        </w:rPr>
      </w:pPr>
    </w:p>
    <w:p>
      <w:pPr>
        <w:ind w:right="160" w:firstLine="1492"/>
        <w:spacing w:after="0" w:line="277" w:lineRule="auto"/>
        <w:tabs>
          <w:tab w:leader="none" w:pos="17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70"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right="580" w:firstLine="1492"/>
        <w:spacing w:after="0" w:line="277" w:lineRule="auto"/>
        <w:tabs>
          <w:tab w:leader="none" w:pos="173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85" w:name="page86"/>
    <w:bookmarkEnd w:id="85"/>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To pay state, local or foreign taxes to the extent permitted by Treasury Regulation section 1.409A-3(j)(4)(xi) (or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 of law).</w:t>
      </w:r>
    </w:p>
    <w:p>
      <w:pPr>
        <w:spacing w:after="0" w:line="211" w:lineRule="exact"/>
        <w:rPr>
          <w:sz w:val="20"/>
          <w:szCs w:val="20"/>
          <w:color w:val="auto"/>
        </w:rPr>
      </w:pPr>
    </w:p>
    <w:p>
      <w:pPr>
        <w:ind w:right="180" w:firstLine="1492"/>
        <w:spacing w:after="0" w:line="264" w:lineRule="auto"/>
        <w:tabs>
          <w:tab w:leader="none" w:pos="17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81" w:lineRule="exact"/>
        <w:rPr>
          <w:rFonts w:ascii="Arial" w:cs="Arial" w:eastAsia="Arial" w:hAnsi="Arial"/>
          <w:sz w:val="18"/>
          <w:szCs w:val="18"/>
          <w:color w:val="auto"/>
        </w:rPr>
      </w:pPr>
    </w:p>
    <w:p>
      <w:pPr>
        <w:ind w:right="200" w:firstLine="1492"/>
        <w:spacing w:after="0" w:line="277" w:lineRule="auto"/>
        <w:tabs>
          <w:tab w:leader="none" w:pos="17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connection with a bona fide dispute as to a Participant’s right to payment, to the extent permitted by Treasury Regulation section 1.409A-3(j)(4)(xiv) (or any successor provision of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229"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70"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70" w:lineRule="exact"/>
        <w:rPr>
          <w:sz w:val="20"/>
          <w:szCs w:val="20"/>
          <w:color w:val="auto"/>
        </w:rPr>
      </w:pPr>
    </w:p>
    <w:p>
      <w:pPr>
        <w:ind w:left="1740" w:hanging="248"/>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right="280" w:firstLine="1492"/>
        <w:spacing w:after="0" w:line="277" w:lineRule="auto"/>
        <w:tabs>
          <w:tab w:leader="none" w:pos="17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86" w:name="page87"/>
    <w:bookmarkEnd w:id="86"/>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66"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22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Amendment of Rate of Credited Earnings</w:t>
      </w:r>
      <w:r>
        <w:rPr>
          <w:rFonts w:ascii="Arial" w:cs="Arial" w:eastAsia="Arial" w:hAnsi="Arial"/>
          <w:sz w:val="18"/>
          <w:szCs w:val="18"/>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229"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 MISCELLANEOUS PROVISIONS</w:t>
      </w:r>
    </w:p>
    <w:p>
      <w:pPr>
        <w:spacing w:after="0" w:line="229"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12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1" w:lineRule="exact"/>
        <w:rPr>
          <w:sz w:val="20"/>
          <w:szCs w:val="20"/>
          <w:color w:val="auto"/>
        </w:rPr>
      </w:pPr>
    </w:p>
    <w:p>
      <w:pPr>
        <w:ind w:right="540" w:firstLine="913"/>
        <w:spacing w:after="0" w:line="34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24" w:lineRule="exact"/>
        <w:rPr>
          <w:sz w:val="20"/>
          <w:szCs w:val="20"/>
          <w:color w:val="auto"/>
        </w:rPr>
      </w:pPr>
    </w:p>
    <w:p>
      <w:pPr>
        <w:ind w:right="440" w:firstLine="913"/>
        <w:spacing w:after="0" w:line="34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33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ARTICLE 13 – EFFECTIVE DATE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original effective date of the Plan is January 1, 2005.</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on the 20</w:t>
      </w:r>
      <w:r>
        <w:rPr>
          <w:rFonts w:ascii="Arial" w:cs="Arial" w:eastAsia="Arial" w:hAnsi="Arial"/>
          <w:sz w:val="15"/>
          <w:szCs w:val="15"/>
          <w:color w:val="auto"/>
        </w:rPr>
        <w:t>th</w:t>
      </w:r>
      <w:r>
        <w:rPr>
          <w:rFonts w:ascii="Arial" w:cs="Arial" w:eastAsia="Arial" w:hAnsi="Arial"/>
          <w:sz w:val="18"/>
          <w:szCs w:val="18"/>
          <w:color w:val="auto"/>
        </w:rPr>
        <w:t xml:space="preserve"> day of May, 2015.</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0" w:right="27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89" w:name="page90"/>
    <w:bookmarkEnd w:id="8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91" w:name="page92"/>
    <w:bookmarkEnd w:id="9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23,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23, 2015</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23, 2015</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lowerLetter"/>
      <w:start w:val="1"/>
    </w:lvl>
  </w:abstractNum>
  <w:abstractNum w:abstractNumId="6">
    <w:nsid w:val="5C482A97"/>
    <w:multiLevelType w:val="hybridMultilevel"/>
    <w:lvl w:ilvl="0">
      <w:lvlJc w:val="left"/>
      <w:lvlText w:val="(%1)"/>
      <w:numFmt w:val="lowerLetter"/>
      <w:start w:val="2"/>
    </w:lvl>
    <w:lvl w:ilvl="1">
      <w:lvlJc w:val="left"/>
      <w:lvlText w:val="•"/>
      <w:numFmt w:val="bullet"/>
      <w:start w:val="1"/>
    </w:lvl>
  </w:abstractNum>
  <w:abstractNum w:abstractNumId="7">
    <w:nsid w:val="2463B9EA"/>
    <w:multiLevelType w:val="hybridMultilevel"/>
    <w:lvl w:ilvl="0">
      <w:lvlJc w:val="left"/>
      <w:lvlText w:val="(%1)"/>
      <w:numFmt w:val="lowerLetter"/>
      <w:start w:val="1"/>
    </w:lvl>
  </w:abstractNum>
  <w:abstractNum w:abstractNumId="8">
    <w:nsid w:val="5E884ADC"/>
    <w:multiLevelType w:val="hybridMultilevel"/>
    <w:lvl w:ilvl="0">
      <w:lvlJc w:val="left"/>
      <w:lvlText w:val="*"/>
      <w:numFmt w:val="bullet"/>
      <w:start w:val="1"/>
    </w:lvl>
    <w:lvl w:ilvl="1">
      <w:lvlJc w:val="left"/>
      <w:lvlText w:val="%2"/>
      <w:numFmt w:val="decimal"/>
      <w:start w:val="101"/>
    </w:lvl>
  </w:abstractNum>
  <w:abstractNum w:abstractNumId="9">
    <w:nsid w:val="51EAD36B"/>
    <w:multiLevelType w:val="hybridMultilevel"/>
    <w:lvl w:ilvl="0">
      <w:lvlJc w:val="left"/>
      <w:lvlText w:val="%1"/>
      <w:numFmt w:val="decimal"/>
      <w:start w:val="10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1)"/>
      <w:numFmt w:val="lowerLetter"/>
      <w:start w:val="3"/>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
    <w:nsid w:val="2A487CB0"/>
    <w:multiLevelType w:val="hybridMultilevel"/>
    <w:lvl w:ilvl="0">
      <w:lvlJc w:val="left"/>
      <w:lvlText w:val="%1"/>
      <w:numFmt w:val="lowerLetter"/>
      <w:start w:val="1"/>
    </w:lvl>
    <w:lvl w:ilvl="1">
      <w:lvlJc w:val="left"/>
      <w:lvlText w:val="(%2)"/>
      <w:numFmt w:val="upperLetter"/>
      <w:start w:val="2"/>
    </w:lvl>
  </w:abstractNum>
  <w:abstractNum w:abstractNumId="17">
    <w:nsid w:val="1D4ED43B"/>
    <w:multiLevelType w:val="hybridMultilevel"/>
    <w:lvl w:ilvl="0">
      <w:lvlJc w:val="left"/>
      <w:lvlText w:val="(%1)"/>
      <w:numFmt w:val="lowerLetter"/>
      <w:start w:val="2"/>
    </w:lvl>
    <w:lvl w:ilvl="1">
      <w:lvlJc w:val="left"/>
      <w:lvlText w:val="%2"/>
      <w:numFmt w:val="upperLetter"/>
      <w:start w:val="1"/>
    </w:lvl>
  </w:abstractNum>
  <w:abstractNum w:abstractNumId="18">
    <w:nsid w:val="725A06FB"/>
    <w:multiLevelType w:val="hybridMultilevel"/>
    <w:lvl w:ilvl="0">
      <w:lvlJc w:val="left"/>
      <w:lvlText w:val="%1"/>
      <w:numFmt w:val="lowerLetter"/>
      <w:start w:val="1"/>
    </w:lvl>
    <w:lvl w:ilvl="1">
      <w:lvlJc w:val="left"/>
      <w:lvlText w:val="(%2)"/>
      <w:numFmt w:val="lowerLetter"/>
      <w:start w:val="1"/>
    </w:lvl>
  </w:abstractNum>
  <w:abstractNum w:abstractNumId="19">
    <w:nsid w:val="2CD89A32"/>
    <w:multiLevelType w:val="hybridMultilevel"/>
    <w:lvl w:ilvl="0">
      <w:lvlJc w:val="left"/>
      <w:lvlText w:val="(%1)"/>
      <w:numFmt w:val="lowerLetter"/>
      <w:start w:val="9"/>
    </w:lvl>
    <w:lvl w:ilvl="1">
      <w:lvlJc w:val="left"/>
      <w:lvlText w:val="%2"/>
      <w:numFmt w:val="lowerLetter"/>
      <w:start w:val="1"/>
    </w:lvl>
  </w:abstractNum>
  <w:abstractNum w:abstractNumId="20">
    <w:nsid w:val="57E4CCAF"/>
    <w:multiLevelType w:val="hybridMultilevel"/>
    <w:lvl w:ilvl="0">
      <w:lvlJc w:val="left"/>
      <w:lvlText w:val="(%1)"/>
      <w:numFmt w:val="lowerLetter"/>
      <w:start w:val="3"/>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lowerLetter"/>
      <w:start w:val="1"/>
    </w:lvl>
    <w:lvl w:ilvl="1">
      <w:lvlJc w:val="left"/>
      <w:lvlText w:val="(%2)"/>
      <w:numFmt w:val="lowerLetter"/>
      <w:start w:val="1"/>
    </w:lvl>
  </w:abstractNum>
  <w:abstractNum w:abstractNumId="24">
    <w:nsid w:val="6DE91B18"/>
    <w:multiLevelType w:val="hybridMultilevel"/>
    <w:lvl w:ilvl="0">
      <w:lvlJc w:val="left"/>
      <w:lvlText w:val="(%1)"/>
      <w:numFmt w:val="lowerLetter"/>
      <w:start w:val="35"/>
    </w:lvl>
    <w:lvl w:ilvl="1">
      <w:lvlJc w:val="left"/>
      <w:lvlText w:val="(%2)"/>
      <w:numFmt w:val="lowerLetter"/>
      <w:start w:val="4"/>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1"/>
    </w:lvl>
    <w:lvl w:ilvl="1">
      <w:lvlJc w:val="left"/>
      <w:lvlText w:val="(%2)"/>
      <w:numFmt w:val="lowerRoman"/>
      <w:start w:val="1"/>
    </w:lvl>
  </w:abstractNum>
  <w:abstractNum w:abstractNumId="28">
    <w:nsid w:val="684A481A"/>
    <w:multiLevelType w:val="hybridMultilevel"/>
    <w:lvl w:ilvl="0">
      <w:lvlJc w:val="left"/>
      <w:lvlText w:val="%1"/>
      <w:numFmt w:val="lowerLetter"/>
      <w:start w:val="1"/>
    </w:lvl>
    <w:lvl w:ilvl="1">
      <w:lvlJc w:val="left"/>
      <w:lvlText w:val="(%2)"/>
      <w:numFmt w:val="lowerRoman"/>
      <w:start w:val="5"/>
    </w:lvl>
  </w:abstractNum>
  <w:abstractNum w:abstractNumId="29">
    <w:nsid w:val="579478FE"/>
    <w:multiLevelType w:val="hybridMultilevel"/>
    <w:lvl w:ilvl="0">
      <w:lvlJc w:val="left"/>
      <w:lvlText w:val="(%1)"/>
      <w:numFmt w:val="lowerLetter"/>
      <w:start w:val="3"/>
    </w:lvl>
    <w:lvl w:ilvl="1">
      <w:lvlJc w:val="left"/>
      <w:lvlText w:val="(%2)"/>
      <w:numFmt w:val="lowerRoman"/>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1"/>
    </w:lvl>
    <w:lvl w:ilvl="1">
      <w:lvlJc w:val="left"/>
      <w:lvlText w:val="(%2)"/>
      <w:numFmt w:val="lowerRoman"/>
      <w:start w:val="1"/>
    </w:lvl>
  </w:abstractNum>
  <w:abstractNum w:abstractNumId="32">
    <w:nsid w:val="1BA026FA"/>
    <w:multiLevelType w:val="hybridMultilevel"/>
    <w:lvl w:ilvl="0">
      <w:lvlJc w:val="left"/>
      <w:lvlText w:val="(%1)"/>
      <w:numFmt w:val="lowerLetter"/>
      <w:start w:val="1"/>
    </w:lvl>
    <w:lvl w:ilvl="1">
      <w:lvlJc w:val="left"/>
      <w:lvlText w:val="(%2)"/>
      <w:numFmt w:val="lowerRoman"/>
      <w:start w:val="1"/>
    </w:lvl>
  </w:abstractNum>
  <w:abstractNum w:abstractNumId="33">
    <w:nsid w:val="79A1DE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4">
    <w:nsid w:val="75C6C33A"/>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35">
    <w:nsid w:val="12E685FB"/>
    <w:multiLevelType w:val="hybridMultilevel"/>
    <w:lvl w:ilvl="0">
      <w:lvlJc w:val="left"/>
      <w:lvlText w:val="(%1)"/>
      <w:numFmt w:val="lowerRoman"/>
      <w:start w:val="3"/>
    </w:lvl>
    <w:lvl w:ilvl="1">
      <w:lvlJc w:val="left"/>
      <w:lvlText w:val="(%2)"/>
      <w:numFmt w:val="upperLetter"/>
      <w:start w:val="1"/>
    </w:lvl>
  </w:abstractNum>
  <w:abstractNum w:abstractNumId="36">
    <w:nsid w:val="70C6A529"/>
    <w:multiLevelType w:val="hybridMultilevel"/>
    <w:lvl w:ilvl="0">
      <w:lvlJc w:val="left"/>
      <w:lvlText w:val="(%1)"/>
      <w:numFmt w:val="lowerLetter"/>
      <w:start w:val="1"/>
    </w:lvl>
    <w:lvl w:ilvl="1">
      <w:lvlJc w:val="left"/>
      <w:lvlText w:val="(%2)"/>
      <w:numFmt w:val="lowerRoman"/>
      <w:start w:val="1"/>
    </w:lvl>
  </w:abstractNum>
  <w:abstractNum w:abstractNumId="37">
    <w:nsid w:val="520EEDD1"/>
    <w:multiLevelType w:val="hybridMultilevel"/>
    <w:lvl w:ilvl="0">
      <w:lvlJc w:val="left"/>
      <w:lvlText w:val="(%1)"/>
      <w:numFmt w:val="lowerLetter"/>
      <w:start w:val="4"/>
    </w:lvl>
    <w:lvl w:ilvl="1">
      <w:lvlJc w:val="left"/>
      <w:lvlText w:val="(%2)"/>
      <w:numFmt w:val="lowerRoman"/>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lowerLetter"/>
      <w:start w:val="3"/>
    </w:lvl>
    <w:lvl w:ilvl="1">
      <w:lvlJc w:val="left"/>
      <w:lvlText w:val="(%2)"/>
      <w:numFmt w:val="lowerRoman"/>
      <w:start w:val="1"/>
    </w:lvl>
  </w:abstractNum>
  <w:abstractNum w:abstractNumId="41">
    <w:nsid w:val="649BB77C"/>
    <w:multiLevelType w:val="hybridMultilevel"/>
    <w:lvl w:ilvl="0">
      <w:lvlJc w:val="left"/>
      <w:lvlText w:val="(%1)"/>
      <w:numFmt w:val="lowerLetter"/>
      <w:start w:val="4"/>
    </w:lvl>
    <w:lvl w:ilvl="1">
      <w:lvlJc w:val="left"/>
      <w:lvlText w:val="(%2)"/>
      <w:numFmt w:val="lowerRoman"/>
      <w:start w:val="1"/>
    </w:lvl>
  </w:abstractNum>
  <w:abstractNum w:abstractNumId="42">
    <w:nsid w:val="275AC794"/>
    <w:multiLevelType w:val="hybridMultilevel"/>
    <w:lvl w:ilvl="0">
      <w:lvlJc w:val="left"/>
      <w:lvlText w:val="(%1)"/>
      <w:numFmt w:val="lowerLetter"/>
      <w:start w:val="5"/>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lvl w:ilvl="1">
      <w:lvlJc w:val="left"/>
      <w:lvlText w:val="(%2)"/>
      <w:numFmt w:val="lowerRoman"/>
      <w:start w:val="1"/>
    </w:lvl>
  </w:abstractNum>
  <w:abstractNum w:abstractNumId="47">
    <w:nsid w:val="47398C89"/>
    <w:multiLevelType w:val="hybridMultilevel"/>
    <w:lvl w:ilvl="0">
      <w:lvlJc w:val="left"/>
      <w:lvlText w:val="(%1)"/>
      <w:numFmt w:val="lowerLetter"/>
      <w:start w:val="2"/>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2"/>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decimal"/>
      <w:start w:val="1"/>
    </w:lvl>
    <w:lvl w:ilvl="1">
      <w:lvlJc w:val="left"/>
      <w:lvlText w:val="(%2)"/>
      <w:numFmt w:val="lowerLetter"/>
      <w:start w:val="4"/>
    </w:lvl>
  </w:abstractNum>
  <w:abstractNum w:abstractNumId="52">
    <w:nsid w:val="10233C99"/>
    <w:multiLevelType w:val="hybridMultilevel"/>
    <w:lvl w:ilvl="0">
      <w:lvlJc w:val="left"/>
      <w:lvlText w:val="(%1)"/>
      <w:numFmt w:val="decimal"/>
      <w:start w:val="10"/>
    </w:lvl>
    <w:lvl w:ilvl="1">
      <w:lvlJc w:val="left"/>
      <w:lvlText w:val="(%2)"/>
      <w:numFmt w:val="lowerLetter"/>
      <w:start w:val="6"/>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2"/>
    </w:lvl>
    <w:lvl w:ilvl="1">
      <w:lvlJc w:val="left"/>
      <w:lvlText w:val="(%2)"/>
      <w:numFmt w:val="lowerRoman"/>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1"/>
    </w:lvl>
    <w:lvl w:ilvl="1">
      <w:lvlJc w:val="left"/>
      <w:lvlText w:val="(%2)"/>
      <w:numFmt w:val="lowerRoman"/>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2"/>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6"/>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2019-12-29T17:14:01Z</dcterms:created>
  <dcterms:modified xsi:type="dcterms:W3CDTF">2019-12-29T17:14:01Z</dcterms:modified>
</cp:coreProperties>
</file>