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40"/>
        <w:spacing w:after="0"/>
        <w:rPr>
          <w:sz w:val="20"/>
          <w:szCs w:val="20"/>
          <w:color w:val="auto"/>
        </w:rPr>
      </w:pPr>
      <w:r>
        <w:rPr>
          <w:rFonts w:ascii="Arial" w:cs="Arial" w:eastAsia="Arial" w:hAnsi="Arial"/>
          <w:sz w:val="15"/>
          <w:szCs w:val="15"/>
          <w:color w:val="auto"/>
        </w:rPr>
        <w:t>Filed by Comcast Corporation pursuant to</w:t>
      </w:r>
    </w:p>
    <w:p>
      <w:pPr>
        <w:spacing w:after="0" w:line="21" w:lineRule="exact"/>
        <w:rPr>
          <w:sz w:val="24"/>
          <w:szCs w:val="24"/>
          <w:color w:val="auto"/>
        </w:rPr>
      </w:pPr>
    </w:p>
    <w:p>
      <w:pPr>
        <w:ind w:left="6640"/>
        <w:spacing w:after="0"/>
        <w:rPr>
          <w:sz w:val="20"/>
          <w:szCs w:val="20"/>
          <w:color w:val="auto"/>
        </w:rPr>
      </w:pPr>
      <w:r>
        <w:rPr>
          <w:rFonts w:ascii="Arial" w:cs="Arial" w:eastAsia="Arial" w:hAnsi="Arial"/>
          <w:sz w:val="15"/>
          <w:szCs w:val="15"/>
          <w:color w:val="auto"/>
        </w:rPr>
        <w:t>Rule 425 under the Securities Act of 1933</w:t>
      </w:r>
    </w:p>
    <w:p>
      <w:pPr>
        <w:spacing w:after="0" w:line="15" w:lineRule="exact"/>
        <w:rPr>
          <w:sz w:val="24"/>
          <w:szCs w:val="24"/>
          <w:color w:val="auto"/>
        </w:rPr>
      </w:pPr>
    </w:p>
    <w:p>
      <w:pPr>
        <w:ind w:left="6640"/>
        <w:spacing w:after="0"/>
        <w:rPr>
          <w:sz w:val="20"/>
          <w:szCs w:val="20"/>
          <w:color w:val="auto"/>
        </w:rPr>
      </w:pPr>
      <w:r>
        <w:rPr>
          <w:rFonts w:ascii="Arial" w:cs="Arial" w:eastAsia="Arial" w:hAnsi="Arial"/>
          <w:sz w:val="15"/>
          <w:szCs w:val="15"/>
          <w:color w:val="auto"/>
        </w:rPr>
        <w:t>and deemed filed pursuant to Rule 14a-12</w:t>
      </w:r>
    </w:p>
    <w:p>
      <w:pPr>
        <w:spacing w:after="0" w:line="15" w:lineRule="exact"/>
        <w:rPr>
          <w:sz w:val="24"/>
          <w:szCs w:val="24"/>
          <w:color w:val="auto"/>
        </w:rPr>
      </w:pPr>
    </w:p>
    <w:p>
      <w:pPr>
        <w:ind w:left="6640"/>
        <w:spacing w:after="0"/>
        <w:rPr>
          <w:sz w:val="20"/>
          <w:szCs w:val="20"/>
          <w:color w:val="auto"/>
        </w:rPr>
      </w:pPr>
      <w:r>
        <w:rPr>
          <w:rFonts w:ascii="Arial" w:cs="Arial" w:eastAsia="Arial" w:hAnsi="Arial"/>
          <w:sz w:val="15"/>
          <w:szCs w:val="15"/>
          <w:color w:val="auto"/>
        </w:rPr>
        <w:t>under the Securities Exchange Act of 1934</w:t>
      </w:r>
    </w:p>
    <w:p>
      <w:pPr>
        <w:spacing w:after="0" w:line="220" w:lineRule="exact"/>
        <w:rPr>
          <w:sz w:val="24"/>
          <w:szCs w:val="24"/>
          <w:color w:val="auto"/>
        </w:rPr>
      </w:pPr>
    </w:p>
    <w:p>
      <w:pPr>
        <w:ind w:left="6640"/>
        <w:spacing w:after="0"/>
        <w:rPr>
          <w:sz w:val="20"/>
          <w:szCs w:val="20"/>
          <w:color w:val="auto"/>
        </w:rPr>
      </w:pPr>
      <w:r>
        <w:rPr>
          <w:rFonts w:ascii="Arial" w:cs="Arial" w:eastAsia="Arial" w:hAnsi="Arial"/>
          <w:sz w:val="14"/>
          <w:szCs w:val="14"/>
          <w:color w:val="auto"/>
        </w:rPr>
        <w:t>Subject Company: The Walt Disney Company</w:t>
      </w:r>
    </w:p>
    <w:p>
      <w:pPr>
        <w:spacing w:after="0" w:line="33" w:lineRule="exact"/>
        <w:rPr>
          <w:sz w:val="24"/>
          <w:szCs w:val="24"/>
          <w:color w:val="auto"/>
        </w:rPr>
      </w:pPr>
    </w:p>
    <w:p>
      <w:pPr>
        <w:ind w:left="6640"/>
        <w:spacing w:after="0"/>
        <w:rPr>
          <w:sz w:val="20"/>
          <w:szCs w:val="20"/>
          <w:color w:val="auto"/>
        </w:rPr>
      </w:pPr>
      <w:r>
        <w:rPr>
          <w:rFonts w:ascii="Arial" w:cs="Arial" w:eastAsia="Arial" w:hAnsi="Arial"/>
          <w:sz w:val="15"/>
          <w:szCs w:val="15"/>
          <w:color w:val="auto"/>
        </w:rPr>
        <w:t>Commission File No. 001-11605</w:t>
      </w:r>
    </w:p>
    <w:p>
      <w:pPr>
        <w:spacing w:after="0" w:line="220" w:lineRule="exact"/>
        <w:rPr>
          <w:sz w:val="24"/>
          <w:szCs w:val="24"/>
          <w:color w:val="auto"/>
        </w:rPr>
      </w:pPr>
    </w:p>
    <w:p>
      <w:pPr>
        <w:ind w:left="6640"/>
        <w:spacing w:after="0"/>
        <w:rPr>
          <w:sz w:val="20"/>
          <w:szCs w:val="20"/>
          <w:color w:val="auto"/>
        </w:rPr>
      </w:pPr>
      <w:r>
        <w:rPr>
          <w:rFonts w:ascii="Arial" w:cs="Arial" w:eastAsia="Arial" w:hAnsi="Arial"/>
          <w:sz w:val="15"/>
          <w:szCs w:val="15"/>
          <w:color w:val="auto"/>
        </w:rPr>
        <w:t>Date: March 8, 2004</w:t>
      </w:r>
    </w:p>
    <w:p>
      <w:pPr>
        <w:spacing w:after="0" w:line="203" w:lineRule="exact"/>
        <w:rPr>
          <w:sz w:val="24"/>
          <w:szCs w:val="24"/>
          <w:color w:val="auto"/>
        </w:rPr>
      </w:pPr>
    </w:p>
    <w:p>
      <w:pPr>
        <w:spacing w:after="0"/>
        <w:rPr>
          <w:sz w:val="20"/>
          <w:szCs w:val="20"/>
          <w:color w:val="auto"/>
        </w:rPr>
      </w:pPr>
      <w:r>
        <w:rPr>
          <w:rFonts w:ascii="Arial" w:cs="Arial" w:eastAsia="Arial" w:hAnsi="Arial"/>
          <w:sz w:val="14"/>
          <w:szCs w:val="14"/>
          <w:color w:val="auto"/>
        </w:rPr>
        <w:t>The following slide presentation was used by Comcast Corporation at Bear Stearns’ 17</w:t>
      </w:r>
      <w:r>
        <w:rPr>
          <w:rFonts w:ascii="Arial" w:cs="Arial" w:eastAsia="Arial" w:hAnsi="Arial"/>
          <w:sz w:val="27"/>
          <w:szCs w:val="27"/>
          <w:color w:val="auto"/>
          <w:vertAlign w:val="superscript"/>
        </w:rPr>
        <w:t>th</w:t>
      </w:r>
      <w:r>
        <w:rPr>
          <w:rFonts w:ascii="Arial" w:cs="Arial" w:eastAsia="Arial" w:hAnsi="Arial"/>
          <w:sz w:val="14"/>
          <w:szCs w:val="14"/>
          <w:color w:val="auto"/>
        </w:rPr>
        <w:t xml:space="preserve"> Annual Media, Entertainment &amp; Information Conference: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wp:posOffset>
            </wp:positionH>
            <wp:positionV relativeFrom="paragraph">
              <wp:posOffset>90805</wp:posOffset>
            </wp:positionV>
            <wp:extent cx="7270115" cy="6246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115" cy="6246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right"/>
        <w:ind w:right="499"/>
        <w:spacing w:after="0"/>
        <w:rPr>
          <w:sz w:val="20"/>
          <w:szCs w:val="20"/>
          <w:color w:val="auto"/>
        </w:rPr>
      </w:pPr>
      <w:r>
        <w:rPr>
          <w:rFonts w:ascii="Arial" w:cs="Arial" w:eastAsia="Arial" w:hAnsi="Arial"/>
          <w:sz w:val="38"/>
          <w:szCs w:val="38"/>
          <w:b w:val="1"/>
          <w:bCs w:val="1"/>
          <w:color w:val="auto"/>
        </w:rPr>
        <w:t>Safe Harbor</w:t>
      </w:r>
    </w:p>
    <w:p>
      <w:pPr>
        <w:spacing w:after="0" w:line="223" w:lineRule="exact"/>
        <w:rPr>
          <w:sz w:val="24"/>
          <w:szCs w:val="24"/>
          <w:color w:val="auto"/>
        </w:rPr>
      </w:pPr>
    </w:p>
    <w:p>
      <w:pPr>
        <w:jc w:val="right"/>
        <w:ind w:right="499"/>
        <w:spacing w:after="0"/>
        <w:rPr>
          <w:sz w:val="20"/>
          <w:szCs w:val="20"/>
          <w:color w:val="auto"/>
        </w:rPr>
      </w:pPr>
      <w:r>
        <w:rPr>
          <w:rFonts w:ascii="Arial" w:cs="Arial" w:eastAsia="Arial" w:hAnsi="Arial"/>
          <w:sz w:val="28"/>
          <w:szCs w:val="28"/>
          <w:b w:val="1"/>
          <w:bCs w:val="1"/>
          <w:color w:val="auto"/>
        </w:rPr>
        <w:t>Caution Concerning Forward-Looking Statements</w:t>
      </w:r>
    </w:p>
    <w:p>
      <w:pPr>
        <w:spacing w:after="0" w:line="200" w:lineRule="exact"/>
        <w:rPr>
          <w:sz w:val="24"/>
          <w:szCs w:val="24"/>
          <w:color w:val="auto"/>
        </w:rPr>
      </w:pPr>
    </w:p>
    <w:p>
      <w:pPr>
        <w:spacing w:after="0" w:line="232" w:lineRule="exact"/>
        <w:rPr>
          <w:sz w:val="24"/>
          <w:szCs w:val="24"/>
          <w:color w:val="auto"/>
        </w:rPr>
      </w:pPr>
    </w:p>
    <w:p>
      <w:pPr>
        <w:ind w:left="1500" w:right="559"/>
        <w:spacing w:after="0" w:line="250" w:lineRule="auto"/>
        <w:rPr>
          <w:sz w:val="20"/>
          <w:szCs w:val="20"/>
          <w:color w:val="auto"/>
        </w:rPr>
      </w:pPr>
      <w:r>
        <w:rPr>
          <w:rFonts w:ascii="Arial" w:cs="Arial" w:eastAsia="Arial" w:hAnsi="Arial"/>
          <w:sz w:val="21"/>
          <w:szCs w:val="21"/>
          <w:b w:val="1"/>
          <w:bCs w:val="1"/>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We wish to take advantage of the “safe harbor” provided for by the Private Securities Litigation Reform Act of 1995 and we caution you that actual events or results may differ materially from the expectations we</w:t>
      </w:r>
    </w:p>
    <w:p>
      <w:pPr>
        <w:sectPr>
          <w:pgSz w:w="11900" w:h="16838" w:orient="portrait"/>
          <w:cols w:equalWidth="0" w:num="1">
            <w:col w:w="9999"/>
          </w:cols>
          <w:pgMar w:left="460" w:top="226" w:right="1440" w:bottom="0" w:gutter="0" w:footer="0" w:header="0"/>
        </w:sectPr>
      </w:pPr>
    </w:p>
    <w:bookmarkStart w:id="1" w:name="page2"/>
    <w:bookmarkEnd w:id="1"/>
    <w:p>
      <w:pPr>
        <w:ind w:left="1520" w:right="579"/>
        <w:spacing w:after="0" w:line="246" w:lineRule="auto"/>
        <w:rPr>
          <w:sz w:val="20"/>
          <w:szCs w:val="20"/>
          <w:color w:val="auto"/>
        </w:rPr>
      </w:pPr>
      <w:r>
        <w:rPr>
          <w:rFonts w:ascii="Arial" w:cs="Arial" w:eastAsia="Arial" w:hAnsi="Arial"/>
          <w:sz w:val="21"/>
          <w:szCs w:val="21"/>
          <w:b w:val="1"/>
          <w:bCs w:val="1"/>
          <w:color w:val="auto"/>
        </w:rPr>
        <w:t>express in our forward-looking statements as a result of various risks and uncertainties, many of which are beyond our control. Factors relating to our acquisition in November 2002 of a substantial number of cable systems and factors relating to our business generally could cause actual results to differ materially. These factors include, but are not limited to, the following: (1) we may find the integration of the newly acquired cable systems more difficult, time-consuming or costly than we expect, (2) we may not realize the combination benefits we expect from the acquisition of the newly acquired cable systems or these benefits may take longer to achieve, (3) we may incur greater-than-expected operating costs, financing costs, litigation costs, subscriber loss and business disruption, including, without limitation, difficulties in maintaining relationships with employees, subscribers, suppliers or franchising authorities, following the acquisition, (4) changes in laws and regulations, (5) changes in the competitive environment, (6) changes in technology, (7) industry consolidation and mergers, (8) franchise related matters, (9) market conditions that may adversely affect the availability of debt and equity financing for working capital, capital expenditures or other purposes, (10) demand for the programming content we distribute or the willingness of other video program distributors to carry our content, (11) general economic conditions and (12) other risks described from time to time in reports and other documents we file with the Securities and Exchange Commission.</w:t>
      </w:r>
    </w:p>
    <w:p>
      <w:pPr>
        <w:spacing w:after="0" w:line="164" w:lineRule="exact"/>
        <w:rPr>
          <w:sz w:val="20"/>
          <w:szCs w:val="20"/>
          <w:color w:val="auto"/>
        </w:rPr>
      </w:pPr>
    </w:p>
    <w:p>
      <w:pPr>
        <w:ind w:left="1520" w:right="519"/>
        <w:spacing w:after="0" w:line="254" w:lineRule="auto"/>
        <w:rPr>
          <w:sz w:val="20"/>
          <w:szCs w:val="20"/>
          <w:color w:val="auto"/>
        </w:rPr>
      </w:pPr>
      <w:r>
        <w:rPr>
          <w:rFonts w:ascii="Arial" w:cs="Arial" w:eastAsia="Arial" w:hAnsi="Arial"/>
          <w:sz w:val="21"/>
          <w:szCs w:val="21"/>
          <w:b w:val="1"/>
          <w:bCs w:val="1"/>
          <w:color w:val="auto"/>
        </w:rPr>
        <w:t>Our presentation may also contain non-GAAP financial measures, as defined in Regulation G, adopted by the SEC. We provide a reconciliation of these non-GAAP financial measures to the most directly comparable GAAP financial measure in our quarterly earnings releases, which can be found on the investor relations page of our web site at www.cmcsa.com</w:t>
      </w:r>
    </w:p>
    <w:p>
      <w:pPr>
        <w:spacing w:after="0" w:line="165" w:lineRule="exact"/>
        <w:rPr>
          <w:sz w:val="20"/>
          <w:szCs w:val="20"/>
          <w:color w:val="auto"/>
        </w:rPr>
      </w:pPr>
    </w:p>
    <w:p>
      <w:pPr>
        <w:ind w:left="1520" w:right="539"/>
        <w:spacing w:after="0" w:line="249" w:lineRule="auto"/>
        <w:rPr>
          <w:sz w:val="20"/>
          <w:szCs w:val="20"/>
          <w:color w:val="auto"/>
        </w:rPr>
      </w:pPr>
      <w:r>
        <w:rPr>
          <w:rFonts w:ascii="Arial" w:cs="Arial" w:eastAsia="Arial" w:hAnsi="Arial"/>
          <w:sz w:val="21"/>
          <w:szCs w:val="21"/>
          <w:b w:val="1"/>
          <w:bCs w:val="1"/>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21"/>
          <w:szCs w:val="21"/>
          <w:b w:val="1"/>
          <w:bCs w:val="1"/>
          <w:u w:val="single" w:color="auto"/>
          <w:color w:val="0000FF"/>
        </w:rPr>
        <w:t>www.sec.gov</w:t>
      </w:r>
      <w:r>
        <w:rPr>
          <w:rFonts w:ascii="Arial" w:cs="Arial" w:eastAsia="Arial" w:hAnsi="Arial"/>
          <w:sz w:val="21"/>
          <w:szCs w:val="21"/>
          <w:b w:val="1"/>
          <w:bCs w:val="1"/>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46" w:lineRule="exact"/>
        <w:rPr>
          <w:sz w:val="20"/>
          <w:szCs w:val="20"/>
          <w:color w:val="auto"/>
        </w:rPr>
      </w:pPr>
    </w:p>
    <w:p>
      <w:pPr>
        <w:ind w:left="1520" w:right="559"/>
        <w:spacing w:after="0" w:line="254" w:lineRule="auto"/>
        <w:rPr>
          <w:sz w:val="20"/>
          <w:szCs w:val="20"/>
          <w:color w:val="auto"/>
        </w:rPr>
      </w:pPr>
      <w:r>
        <w:rPr>
          <w:rFonts w:ascii="Arial" w:cs="Arial" w:eastAsia="Arial" w:hAnsi="Arial"/>
          <w:sz w:val="21"/>
          <w:szCs w:val="21"/>
          <w:b w:val="1"/>
          <w:bCs w:val="1"/>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314960</wp:posOffset>
            </wp:positionV>
            <wp:extent cx="7270115" cy="2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802005</wp:posOffset>
            </wp:positionV>
            <wp:extent cx="7319010" cy="2085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9010" cy="2085975"/>
                    </a:xfrm>
                    <a:prstGeom prst="rect">
                      <a:avLst/>
                    </a:prstGeom>
                    <a:noFill/>
                  </pic:spPr>
                </pic:pic>
              </a:graphicData>
            </a:graphic>
          </wp:anchor>
        </w:drawing>
      </w:r>
    </w:p>
    <w:p>
      <w:pPr>
        <w:sectPr>
          <w:pgSz w:w="11900" w:h="16838" w:orient="portrait"/>
          <w:cols w:equalWidth="0" w:num="1">
            <w:col w:w="10019"/>
          </w:cols>
          <w:pgMar w:left="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8"/>
          <w:szCs w:val="28"/>
          <w:color w:val="FF0000"/>
        </w:rPr>
        <w:t>•</w:t>
      </w:r>
    </w:p>
    <w:p>
      <w:pPr>
        <w:spacing w:after="0" w:line="241" w:lineRule="exact"/>
        <w:rPr>
          <w:sz w:val="20"/>
          <w:szCs w:val="20"/>
          <w:color w:val="auto"/>
        </w:rPr>
      </w:pPr>
    </w:p>
    <w:p>
      <w:pPr>
        <w:spacing w:after="0"/>
        <w:rPr>
          <w:sz w:val="20"/>
          <w:szCs w:val="20"/>
          <w:color w:val="auto"/>
        </w:rPr>
      </w:pPr>
      <w:r>
        <w:rPr>
          <w:rFonts w:ascii="Arial" w:cs="Arial" w:eastAsia="Arial" w:hAnsi="Arial"/>
          <w:sz w:val="28"/>
          <w:szCs w:val="28"/>
          <w:color w:val="FF0000"/>
        </w:rPr>
        <w:t>•</w:t>
      </w:r>
    </w:p>
    <w:p>
      <w:pPr>
        <w:spacing w:after="0" w:line="241" w:lineRule="exact"/>
        <w:rPr>
          <w:sz w:val="20"/>
          <w:szCs w:val="20"/>
          <w:color w:val="auto"/>
        </w:rPr>
      </w:pPr>
    </w:p>
    <w:p>
      <w:pPr>
        <w:spacing w:after="0"/>
        <w:rPr>
          <w:sz w:val="20"/>
          <w:szCs w:val="20"/>
          <w:color w:val="auto"/>
        </w:rPr>
      </w:pPr>
      <w:r>
        <w:rPr>
          <w:rFonts w:ascii="Arial" w:cs="Arial" w:eastAsia="Arial" w:hAnsi="Arial"/>
          <w:sz w:val="28"/>
          <w:szCs w:val="28"/>
          <w:color w:val="FF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color w:val="FFFFFF"/>
        </w:rPr>
        <w:t>Largest U.S. Cable Company</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FFFFFF"/>
        </w:rPr>
        <w:t>Largest U. S. Broadband Provider</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FFFFFF"/>
        </w:rPr>
        <w:t>A Growing Portfolio of Valuable Cable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429895</wp:posOffset>
            </wp:positionV>
            <wp:extent cx="7319010" cy="673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9010" cy="673100"/>
                    </a:xfrm>
                    <a:prstGeom prst="rect">
                      <a:avLst/>
                    </a:prstGeom>
                    <a:noFill/>
                  </pic:spPr>
                </pic:pic>
              </a:graphicData>
            </a:graphic>
          </wp:anchor>
        </w:drawing>
      </w:r>
    </w:p>
    <w:p>
      <w:pPr>
        <w:sectPr>
          <w:pgSz w:w="11900" w:h="16838" w:orient="portrait"/>
          <w:cols w:equalWidth="0" w:num="2">
            <w:col w:w="100" w:space="220"/>
            <w:col w:w="9699"/>
          </w:cols>
          <w:pgMar w:left="440" w:top="11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2664460</wp:posOffset>
            </wp:positionV>
            <wp:extent cx="7270115"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88900</wp:posOffset>
            </wp:positionV>
            <wp:extent cx="7319010" cy="2115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9010" cy="211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1720"/>
        <w:spacing w:after="0"/>
        <w:rPr>
          <w:sz w:val="20"/>
          <w:szCs w:val="20"/>
          <w:color w:val="auto"/>
        </w:rPr>
      </w:pPr>
      <w:r>
        <w:rPr>
          <w:rFonts w:ascii="Arial" w:cs="Arial" w:eastAsia="Arial" w:hAnsi="Arial"/>
          <w:sz w:val="38"/>
          <w:szCs w:val="38"/>
          <w:b w:val="1"/>
          <w:bCs w:val="1"/>
          <w:color w:val="auto"/>
        </w:rPr>
        <w:t>A History of Growth</w:t>
      </w:r>
    </w:p>
    <w:p>
      <w:pPr>
        <w:spacing w:after="0" w:line="208" w:lineRule="exact"/>
        <w:rPr>
          <w:sz w:val="20"/>
          <w:szCs w:val="20"/>
          <w:color w:val="auto"/>
        </w:rPr>
      </w:pPr>
    </w:p>
    <w:p>
      <w:pPr>
        <w:jc w:val="right"/>
        <w:ind w:right="1720"/>
        <w:spacing w:after="0"/>
        <w:rPr>
          <w:sz w:val="20"/>
          <w:szCs w:val="20"/>
          <w:color w:val="auto"/>
        </w:rPr>
      </w:pPr>
      <w:r>
        <w:rPr>
          <w:rFonts w:ascii="Arial" w:cs="Arial" w:eastAsia="Arial" w:hAnsi="Arial"/>
          <w:sz w:val="38"/>
          <w:szCs w:val="38"/>
          <w:b w:val="1"/>
          <w:bCs w:val="1"/>
          <w:color w:val="auto"/>
        </w:rPr>
        <w:t>. . . Fueled by Cable</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($s and Subs In Millions)</w:t>
            </w:r>
          </w:p>
        </w:tc>
        <w:tc>
          <w:tcPr>
            <w:tcW w:w="480" w:type="dxa"/>
            <w:vAlign w:val="bottom"/>
          </w:tcPr>
          <w:p>
            <w:pPr>
              <w:jc w:val="right"/>
              <w:spacing w:after="0"/>
              <w:rPr>
                <w:sz w:val="20"/>
                <w:szCs w:val="20"/>
                <w:color w:val="auto"/>
              </w:rPr>
            </w:pPr>
            <w:r>
              <w:rPr>
                <w:rFonts w:ascii="Arial" w:cs="Arial" w:eastAsia="Arial" w:hAnsi="Arial"/>
                <w:sz w:val="21"/>
                <w:szCs w:val="21"/>
                <w:b w:val="1"/>
                <w:bCs w:val="1"/>
                <w:color w:val="auto"/>
                <w:w w:val="98"/>
              </w:rPr>
              <w:t>1990</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1"/>
                <w:szCs w:val="21"/>
                <w:b w:val="1"/>
                <w:bCs w:val="1"/>
                <w:color w:val="auto"/>
                <w:w w:val="98"/>
              </w:rPr>
              <w:t>1998</w:t>
            </w:r>
          </w:p>
        </w:tc>
        <w:tc>
          <w:tcPr>
            <w:tcW w:w="460" w:type="dxa"/>
            <w:vAlign w:val="bottom"/>
          </w:tcPr>
          <w:p>
            <w:pPr>
              <w:spacing w:after="0"/>
              <w:rPr>
                <w:sz w:val="20"/>
                <w:szCs w:val="20"/>
                <w:color w:val="auto"/>
              </w:rPr>
            </w:pPr>
          </w:p>
        </w:tc>
        <w:tc>
          <w:tcPr>
            <w:tcW w:w="3160" w:type="dxa"/>
            <w:vAlign w:val="bottom"/>
            <w:gridSpan w:val="3"/>
          </w:tcPr>
          <w:p>
            <w:pPr>
              <w:jc w:val="right"/>
              <w:ind w:right="2200"/>
              <w:spacing w:after="0"/>
              <w:rPr>
                <w:sz w:val="20"/>
                <w:szCs w:val="20"/>
                <w:color w:val="auto"/>
              </w:rPr>
            </w:pPr>
            <w:r>
              <w:rPr>
                <w:rFonts w:ascii="Arial" w:cs="Arial" w:eastAsia="Arial" w:hAnsi="Arial"/>
                <w:sz w:val="21"/>
                <w:szCs w:val="21"/>
                <w:b w:val="1"/>
                <w:bCs w:val="1"/>
                <w:color w:val="auto"/>
              </w:rPr>
              <w:t>2003</w:t>
            </w:r>
          </w:p>
        </w:tc>
      </w:tr>
      <w:tr>
        <w:trPr>
          <w:trHeight w:val="20"/>
        </w:trPr>
        <w:tc>
          <w:tcPr>
            <w:tcW w:w="6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523"/>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Cable Revenue</w:t>
            </w:r>
          </w:p>
        </w:tc>
        <w:tc>
          <w:tcPr>
            <w:tcW w:w="920" w:type="dxa"/>
            <w:vAlign w:val="bottom"/>
            <w:gridSpan w:val="2"/>
          </w:tcPr>
          <w:p>
            <w:pPr>
              <w:jc w:val="right"/>
              <w:ind w:right="360"/>
              <w:spacing w:after="0"/>
              <w:rPr>
                <w:sz w:val="20"/>
                <w:szCs w:val="20"/>
                <w:color w:val="auto"/>
              </w:rPr>
            </w:pPr>
            <w:r>
              <w:rPr>
                <w:rFonts w:ascii="Arial" w:cs="Arial" w:eastAsia="Arial" w:hAnsi="Arial"/>
                <w:sz w:val="21"/>
                <w:szCs w:val="21"/>
                <w:b w:val="1"/>
                <w:bCs w:val="1"/>
                <w:color w:val="auto"/>
              </w:rPr>
              <w:t>$591</w:t>
            </w:r>
          </w:p>
        </w:tc>
        <w:tc>
          <w:tcPr>
            <w:tcW w:w="138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rPr>
              <w:t>$2,287</w:t>
            </w:r>
          </w:p>
        </w:tc>
        <w:tc>
          <w:tcPr>
            <w:tcW w:w="3160" w:type="dxa"/>
            <w:vAlign w:val="bottom"/>
            <w:gridSpan w:val="3"/>
          </w:tcPr>
          <w:p>
            <w:pPr>
              <w:jc w:val="right"/>
              <w:ind w:right="2040"/>
              <w:spacing w:after="0"/>
              <w:rPr>
                <w:sz w:val="20"/>
                <w:szCs w:val="20"/>
                <w:color w:val="auto"/>
              </w:rPr>
            </w:pPr>
            <w:r>
              <w:rPr>
                <w:rFonts w:ascii="Arial" w:cs="Arial" w:eastAsia="Arial" w:hAnsi="Arial"/>
                <w:sz w:val="21"/>
                <w:szCs w:val="21"/>
                <w:b w:val="1"/>
                <w:bCs w:val="1"/>
                <w:color w:val="auto"/>
              </w:rPr>
              <w:t>$17,491</w:t>
            </w:r>
          </w:p>
        </w:tc>
      </w:tr>
      <w:tr>
        <w:trPr>
          <w:trHeight w:val="493"/>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Cable OCF</w:t>
            </w:r>
          </w:p>
        </w:tc>
        <w:tc>
          <w:tcPr>
            <w:tcW w:w="920" w:type="dxa"/>
            <w:vAlign w:val="bottom"/>
            <w:gridSpan w:val="2"/>
          </w:tcPr>
          <w:p>
            <w:pPr>
              <w:jc w:val="right"/>
              <w:ind w:right="360"/>
              <w:spacing w:after="0"/>
              <w:rPr>
                <w:sz w:val="20"/>
                <w:szCs w:val="20"/>
                <w:color w:val="auto"/>
              </w:rPr>
            </w:pPr>
            <w:r>
              <w:rPr>
                <w:rFonts w:ascii="Arial" w:cs="Arial" w:eastAsia="Arial" w:hAnsi="Arial"/>
                <w:sz w:val="21"/>
                <w:szCs w:val="21"/>
                <w:b w:val="1"/>
                <w:bCs w:val="1"/>
                <w:color w:val="auto"/>
              </w:rPr>
              <w:t>$264</w:t>
            </w:r>
          </w:p>
        </w:tc>
        <w:tc>
          <w:tcPr>
            <w:tcW w:w="138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rPr>
              <w:t>$1,101</w:t>
            </w:r>
          </w:p>
        </w:tc>
        <w:tc>
          <w:tcPr>
            <w:tcW w:w="3160" w:type="dxa"/>
            <w:vAlign w:val="bottom"/>
            <w:gridSpan w:val="3"/>
          </w:tcPr>
          <w:p>
            <w:pPr>
              <w:jc w:val="right"/>
              <w:ind w:right="2040"/>
              <w:spacing w:after="0"/>
              <w:rPr>
                <w:sz w:val="20"/>
                <w:szCs w:val="20"/>
                <w:color w:val="auto"/>
              </w:rPr>
            </w:pPr>
            <w:r>
              <w:rPr>
                <w:rFonts w:ascii="Arial" w:cs="Arial" w:eastAsia="Arial" w:hAnsi="Arial"/>
                <w:sz w:val="21"/>
                <w:szCs w:val="21"/>
                <w:b w:val="1"/>
                <w:bCs w:val="1"/>
                <w:color w:val="auto"/>
              </w:rPr>
              <w:t>$6,350</w:t>
            </w:r>
          </w:p>
        </w:tc>
      </w:tr>
      <w:tr>
        <w:trPr>
          <w:trHeight w:val="493"/>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Basic Subscribers</w:t>
            </w:r>
          </w:p>
        </w:tc>
        <w:tc>
          <w:tcPr>
            <w:tcW w:w="920" w:type="dxa"/>
            <w:vAlign w:val="bottom"/>
            <w:gridSpan w:val="2"/>
          </w:tcPr>
          <w:p>
            <w:pPr>
              <w:jc w:val="right"/>
              <w:ind w:right="360"/>
              <w:spacing w:after="0"/>
              <w:rPr>
                <w:sz w:val="20"/>
                <w:szCs w:val="20"/>
                <w:color w:val="auto"/>
              </w:rPr>
            </w:pPr>
            <w:r>
              <w:rPr>
                <w:rFonts w:ascii="Arial" w:cs="Arial" w:eastAsia="Arial" w:hAnsi="Arial"/>
                <w:sz w:val="21"/>
                <w:szCs w:val="21"/>
                <w:b w:val="1"/>
                <w:bCs w:val="1"/>
                <w:color w:val="auto"/>
              </w:rPr>
              <w:t>2.4</w:t>
            </w:r>
          </w:p>
        </w:tc>
        <w:tc>
          <w:tcPr>
            <w:tcW w:w="138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rPr>
              <w:t>4.5</w:t>
            </w:r>
          </w:p>
        </w:tc>
        <w:tc>
          <w:tcPr>
            <w:tcW w:w="3160" w:type="dxa"/>
            <w:vAlign w:val="bottom"/>
            <w:gridSpan w:val="3"/>
          </w:tcPr>
          <w:p>
            <w:pPr>
              <w:jc w:val="right"/>
              <w:ind w:right="2040"/>
              <w:spacing w:after="0"/>
              <w:rPr>
                <w:sz w:val="20"/>
                <w:szCs w:val="20"/>
                <w:color w:val="auto"/>
              </w:rPr>
            </w:pPr>
            <w:r>
              <w:rPr>
                <w:rFonts w:ascii="Arial" w:cs="Arial" w:eastAsia="Arial" w:hAnsi="Arial"/>
                <w:sz w:val="21"/>
                <w:szCs w:val="21"/>
                <w:b w:val="1"/>
                <w:bCs w:val="1"/>
                <w:color w:val="auto"/>
              </w:rPr>
              <w:t>21.5</w:t>
            </w:r>
          </w:p>
        </w:tc>
      </w:tr>
      <w:tr>
        <w:trPr>
          <w:trHeight w:val="493"/>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High-Speed Internet Subs</w:t>
            </w:r>
          </w:p>
        </w:tc>
        <w:tc>
          <w:tcPr>
            <w:tcW w:w="920" w:type="dxa"/>
            <w:vAlign w:val="bottom"/>
            <w:gridSpan w:val="2"/>
          </w:tcPr>
          <w:p>
            <w:pPr>
              <w:jc w:val="right"/>
              <w:ind w:right="360"/>
              <w:spacing w:after="0"/>
              <w:rPr>
                <w:sz w:val="20"/>
                <w:szCs w:val="20"/>
                <w:color w:val="auto"/>
              </w:rPr>
            </w:pPr>
            <w:r>
              <w:rPr>
                <w:rFonts w:ascii="Arial" w:cs="Arial" w:eastAsia="Arial" w:hAnsi="Arial"/>
                <w:sz w:val="21"/>
                <w:szCs w:val="21"/>
                <w:b w:val="1"/>
                <w:bCs w:val="1"/>
                <w:color w:val="auto"/>
              </w:rPr>
              <w:t>-0-</w:t>
            </w:r>
          </w:p>
        </w:tc>
        <w:tc>
          <w:tcPr>
            <w:tcW w:w="138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rPr>
              <w:t>.142</w:t>
            </w:r>
          </w:p>
        </w:tc>
        <w:tc>
          <w:tcPr>
            <w:tcW w:w="3160" w:type="dxa"/>
            <w:vAlign w:val="bottom"/>
            <w:gridSpan w:val="3"/>
          </w:tcPr>
          <w:p>
            <w:pPr>
              <w:jc w:val="right"/>
              <w:ind w:right="2040"/>
              <w:spacing w:after="0"/>
              <w:rPr>
                <w:sz w:val="20"/>
                <w:szCs w:val="20"/>
                <w:color w:val="auto"/>
              </w:rPr>
            </w:pPr>
            <w:r>
              <w:rPr>
                <w:rFonts w:ascii="Arial" w:cs="Arial" w:eastAsia="Arial" w:hAnsi="Arial"/>
                <w:sz w:val="21"/>
                <w:szCs w:val="21"/>
                <w:b w:val="1"/>
                <w:bCs w:val="1"/>
                <w:color w:val="auto"/>
              </w:rPr>
              <w:t>5.3</w:t>
            </w:r>
          </w:p>
        </w:tc>
      </w:tr>
      <w:tr>
        <w:trPr>
          <w:trHeight w:val="493"/>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Revenue Generating Units</w:t>
            </w:r>
          </w:p>
        </w:tc>
        <w:tc>
          <w:tcPr>
            <w:tcW w:w="920" w:type="dxa"/>
            <w:vAlign w:val="bottom"/>
            <w:gridSpan w:val="2"/>
          </w:tcPr>
          <w:p>
            <w:pPr>
              <w:jc w:val="right"/>
              <w:ind w:right="360"/>
              <w:spacing w:after="0"/>
              <w:rPr>
                <w:sz w:val="20"/>
                <w:szCs w:val="20"/>
                <w:color w:val="auto"/>
              </w:rPr>
            </w:pPr>
            <w:r>
              <w:rPr>
                <w:rFonts w:ascii="Arial" w:cs="Arial" w:eastAsia="Arial" w:hAnsi="Arial"/>
                <w:sz w:val="21"/>
                <w:szCs w:val="21"/>
                <w:b w:val="1"/>
                <w:bCs w:val="1"/>
                <w:color w:val="auto"/>
              </w:rPr>
              <w:t>2.4</w:t>
            </w:r>
          </w:p>
        </w:tc>
        <w:tc>
          <w:tcPr>
            <w:tcW w:w="138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rPr>
              <w:t>4.7</w:t>
            </w:r>
          </w:p>
        </w:tc>
        <w:tc>
          <w:tcPr>
            <w:tcW w:w="3160" w:type="dxa"/>
            <w:vAlign w:val="bottom"/>
            <w:gridSpan w:val="3"/>
          </w:tcPr>
          <w:p>
            <w:pPr>
              <w:jc w:val="right"/>
              <w:ind w:right="2040"/>
              <w:spacing w:after="0"/>
              <w:rPr>
                <w:sz w:val="20"/>
                <w:szCs w:val="20"/>
                <w:color w:val="auto"/>
              </w:rPr>
            </w:pPr>
            <w:r>
              <w:rPr>
                <w:rFonts w:ascii="Arial" w:cs="Arial" w:eastAsia="Arial" w:hAnsi="Arial"/>
                <w:sz w:val="21"/>
                <w:szCs w:val="21"/>
                <w:b w:val="1"/>
                <w:bCs w:val="1"/>
                <w:color w:val="auto"/>
              </w:rPr>
              <w:t>35.7</w:t>
            </w:r>
          </w:p>
        </w:tc>
      </w:tr>
      <w:tr>
        <w:trPr>
          <w:trHeight w:val="493"/>
        </w:trPr>
        <w:tc>
          <w:tcPr>
            <w:tcW w:w="6000" w:type="dxa"/>
            <w:vAlign w:val="bottom"/>
          </w:tcPr>
          <w:p>
            <w:pPr>
              <w:ind w:left="1740"/>
              <w:spacing w:after="0"/>
              <w:rPr>
                <w:sz w:val="20"/>
                <w:szCs w:val="20"/>
                <w:color w:val="auto"/>
              </w:rPr>
            </w:pPr>
            <w:r>
              <w:rPr>
                <w:rFonts w:ascii="Arial" w:cs="Arial" w:eastAsia="Arial" w:hAnsi="Arial"/>
                <w:sz w:val="21"/>
                <w:szCs w:val="21"/>
                <w:b w:val="1"/>
                <w:bCs w:val="1"/>
                <w:color w:val="auto"/>
              </w:rPr>
              <w:t>Employees</w:t>
            </w:r>
          </w:p>
        </w:tc>
        <w:tc>
          <w:tcPr>
            <w:tcW w:w="920" w:type="dxa"/>
            <w:vAlign w:val="bottom"/>
            <w:gridSpan w:val="2"/>
          </w:tcPr>
          <w:p>
            <w:pPr>
              <w:jc w:val="right"/>
              <w:ind w:right="360"/>
              <w:spacing w:after="0"/>
              <w:rPr>
                <w:sz w:val="20"/>
                <w:szCs w:val="20"/>
                <w:color w:val="auto"/>
              </w:rPr>
            </w:pPr>
            <w:r>
              <w:rPr>
                <w:rFonts w:ascii="Arial" w:cs="Arial" w:eastAsia="Arial" w:hAnsi="Arial"/>
                <w:sz w:val="21"/>
                <w:szCs w:val="21"/>
                <w:b w:val="1"/>
                <w:bCs w:val="1"/>
                <w:color w:val="auto"/>
              </w:rPr>
              <w:t>3,500</w:t>
            </w:r>
          </w:p>
        </w:tc>
        <w:tc>
          <w:tcPr>
            <w:tcW w:w="138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rPr>
              <w:t>10,600</w:t>
            </w:r>
          </w:p>
        </w:tc>
        <w:tc>
          <w:tcPr>
            <w:tcW w:w="3160" w:type="dxa"/>
            <w:vAlign w:val="bottom"/>
            <w:gridSpan w:val="3"/>
          </w:tcPr>
          <w:p>
            <w:pPr>
              <w:jc w:val="right"/>
              <w:ind w:right="2040"/>
              <w:spacing w:after="0"/>
              <w:rPr>
                <w:sz w:val="20"/>
                <w:szCs w:val="20"/>
                <w:color w:val="auto"/>
              </w:rPr>
            </w:pPr>
            <w:r>
              <w:rPr>
                <w:rFonts w:ascii="Arial" w:cs="Arial" w:eastAsia="Arial" w:hAnsi="Arial"/>
                <w:sz w:val="21"/>
                <w:szCs w:val="21"/>
                <w:b w:val="1"/>
                <w:bCs w:val="1"/>
                <w:color w:val="auto"/>
              </w:rPr>
              <w:t>60,000</w:t>
            </w:r>
          </w:p>
        </w:tc>
      </w:tr>
      <w:tr>
        <w:trPr>
          <w:trHeight w:val="532"/>
        </w:trPr>
        <w:tc>
          <w:tcPr>
            <w:tcW w:w="60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-26670</wp:posOffset>
            </wp:positionV>
            <wp:extent cx="127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wp:posOffset>
            </wp:positionV>
            <wp:extent cx="127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40"/>
        <w:spacing w:after="0"/>
        <w:rPr>
          <w:sz w:val="20"/>
          <w:szCs w:val="20"/>
          <w:color w:val="auto"/>
        </w:rPr>
      </w:pPr>
      <w:r>
        <w:rPr>
          <w:rFonts w:ascii="Arial" w:cs="Arial" w:eastAsia="Arial" w:hAnsi="Arial"/>
          <w:sz w:val="38"/>
          <w:szCs w:val="38"/>
          <w:b w:val="1"/>
          <w:bCs w:val="1"/>
          <w:color w:val="auto"/>
        </w:rPr>
        <w:t>Building Value in Content</w:t>
      </w:r>
    </w:p>
    <w:p>
      <w:pPr>
        <w:spacing w:after="0" w:line="200" w:lineRule="exact"/>
        <w:rPr>
          <w:sz w:val="20"/>
          <w:szCs w:val="20"/>
          <w:color w:val="auto"/>
        </w:rPr>
      </w:pPr>
    </w:p>
    <w:p>
      <w:pPr>
        <w:spacing w:after="0" w:line="225" w:lineRule="exact"/>
        <w:rPr>
          <w:sz w:val="20"/>
          <w:szCs w:val="20"/>
          <w:color w:val="auto"/>
        </w:rPr>
      </w:pPr>
    </w:p>
    <w:tbl>
      <w:tblPr>
        <w:tblLayout w:type="fixed"/>
        <w:tblInd w:w="3520" w:type="dxa"/>
        <w:tblCellMar>
          <w:top w:w="0" w:type="dxa"/>
          <w:left w:w="0" w:type="dxa"/>
          <w:bottom w:w="0" w:type="dxa"/>
          <w:right w:w="0" w:type="dxa"/>
        </w:tblCellMar>
      </w:tblPr>
      <w:tr>
        <w:trPr>
          <w:trHeight w:val="241"/>
        </w:trPr>
        <w:tc>
          <w:tcPr>
            <w:tcW w:w="180" w:type="dxa"/>
            <w:vAlign w:val="bottom"/>
            <w:vMerge w:val="restart"/>
          </w:tcPr>
          <w:p>
            <w:pPr>
              <w:spacing w:after="0"/>
              <w:rPr>
                <w:sz w:val="20"/>
                <w:szCs w:val="20"/>
                <w:color w:val="auto"/>
              </w:rPr>
            </w:pPr>
            <w:r>
              <w:rPr>
                <w:rFonts w:ascii="Arial" w:cs="Arial" w:eastAsia="Arial" w:hAnsi="Arial"/>
                <w:sz w:val="28"/>
                <w:szCs w:val="28"/>
                <w:color w:val="auto"/>
              </w:rPr>
              <w:t>•</w:t>
            </w:r>
          </w:p>
        </w:tc>
        <w:tc>
          <w:tcPr>
            <w:tcW w:w="5400" w:type="dxa"/>
            <w:vAlign w:val="bottom"/>
            <w:vMerge w:val="restart"/>
          </w:tcPr>
          <w:p>
            <w:pPr>
              <w:ind w:left="80"/>
              <w:spacing w:after="0"/>
              <w:rPr>
                <w:sz w:val="20"/>
                <w:szCs w:val="20"/>
                <w:color w:val="auto"/>
              </w:rPr>
            </w:pPr>
            <w:r>
              <w:rPr>
                <w:rFonts w:ascii="Arial" w:cs="Arial" w:eastAsia="Arial" w:hAnsi="Arial"/>
                <w:sz w:val="21"/>
                <w:szCs w:val="21"/>
                <w:color w:val="auto"/>
              </w:rPr>
              <w:t>Averaged 18% OCF Growth over 10 years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6"/>
              </w:rPr>
              <w:t>Value Today</w:t>
            </w:r>
          </w:p>
        </w:tc>
        <w:tc>
          <w:tcPr>
            <w:tcW w:w="0" w:type="dxa"/>
            <w:vAlign w:val="bottom"/>
          </w:tcPr>
          <w:p>
            <w:pPr>
              <w:spacing w:after="0"/>
              <w:rPr>
                <w:sz w:val="1"/>
                <w:szCs w:val="1"/>
                <w:color w:val="auto"/>
              </w:rPr>
            </w:pPr>
          </w:p>
        </w:tc>
      </w:tr>
      <w:tr>
        <w:trPr>
          <w:trHeight w:val="350"/>
        </w:trPr>
        <w:tc>
          <w:tcPr>
            <w:tcW w:w="180" w:type="dxa"/>
            <w:vAlign w:val="bottom"/>
            <w:vMerge w:val="continue"/>
          </w:tcPr>
          <w:p>
            <w:pPr>
              <w:spacing w:after="0"/>
              <w:rPr>
                <w:sz w:val="24"/>
                <w:szCs w:val="24"/>
                <w:color w:val="auto"/>
              </w:rPr>
            </w:pPr>
          </w:p>
        </w:tc>
        <w:tc>
          <w:tcPr>
            <w:tcW w:w="54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0"/>
                <w:szCs w:val="20"/>
                <w:color w:val="auto"/>
              </w:rPr>
            </w:pPr>
            <w:r>
              <w:rPr>
                <w:rFonts w:ascii="Arial" w:cs="Arial" w:eastAsia="Arial" w:hAnsi="Arial"/>
                <w:sz w:val="28"/>
                <w:szCs w:val="28"/>
                <w:color w:val="auto"/>
              </w:rPr>
              <w:t>•</w:t>
            </w:r>
          </w:p>
        </w:tc>
        <w:tc>
          <w:tcPr>
            <w:tcW w:w="5400" w:type="dxa"/>
            <w:vAlign w:val="bottom"/>
          </w:tcPr>
          <w:p>
            <w:pPr>
              <w:ind w:left="80"/>
              <w:spacing w:after="0"/>
              <w:rPr>
                <w:sz w:val="20"/>
                <w:szCs w:val="20"/>
                <w:color w:val="auto"/>
              </w:rPr>
            </w:pPr>
            <w:r>
              <w:rPr>
                <w:rFonts w:ascii="Arial" w:cs="Arial" w:eastAsia="Arial" w:hAnsi="Arial"/>
                <w:sz w:val="21"/>
                <w:szCs w:val="21"/>
                <w:color w:val="auto"/>
              </w:rPr>
              <w:t>37% IRR on original investment</w:t>
            </w:r>
          </w:p>
        </w:tc>
        <w:tc>
          <w:tcPr>
            <w:tcW w:w="1140" w:type="dxa"/>
            <w:vAlign w:val="bottom"/>
          </w:tcPr>
          <w:p>
            <w:pPr>
              <w:jc w:val="center"/>
              <w:spacing w:after="0"/>
              <w:rPr>
                <w:sz w:val="20"/>
                <w:szCs w:val="20"/>
                <w:color w:val="auto"/>
              </w:rPr>
            </w:pPr>
            <w:r>
              <w:rPr>
                <w:rFonts w:ascii="Arial" w:cs="Arial" w:eastAsia="Arial" w:hAnsi="Arial"/>
                <w:sz w:val="21"/>
                <w:szCs w:val="21"/>
                <w:color w:val="auto"/>
                <w:w w:val="99"/>
              </w:rPr>
              <w:t>$14.1B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-589280</wp:posOffset>
            </wp:positionV>
            <wp:extent cx="1564640" cy="2975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464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hanging="266"/>
        <w:spacing w:after="0"/>
        <w:tabs>
          <w:tab w:leader="none" w:pos="3780" w:val="left"/>
        </w:tabs>
        <w:numPr>
          <w:ilvl w:val="0"/>
          <w:numId w:val="1"/>
        </w:numPr>
        <w:rPr>
          <w:rFonts w:ascii="Arial" w:cs="Arial" w:eastAsia="Arial" w:hAnsi="Arial"/>
          <w:sz w:val="28"/>
          <w:szCs w:val="28"/>
          <w:color w:val="auto"/>
        </w:rPr>
      </w:pPr>
      <w:r>
        <w:rPr>
          <w:rFonts w:ascii="Arial" w:cs="Arial" w:eastAsia="Arial" w:hAnsi="Arial"/>
          <w:sz w:val="21"/>
          <w:szCs w:val="21"/>
          <w:color w:val="auto"/>
        </w:rPr>
        <w:t>28% subscriber growth since 1999</w:t>
      </w:r>
    </w:p>
    <w:tbl>
      <w:tblPr>
        <w:tblLayout w:type="fixed"/>
        <w:tblInd w:w="3920" w:type="dxa"/>
        <w:tblCellMar>
          <w:top w:w="0" w:type="dxa"/>
          <w:left w:w="0" w:type="dxa"/>
          <w:bottom w:w="0" w:type="dxa"/>
          <w:right w:w="0" w:type="dxa"/>
        </w:tblCellMar>
      </w:tblPr>
      <w:tr>
        <w:trPr>
          <w:trHeight w:val="359"/>
        </w:trPr>
        <w:tc>
          <w:tcPr>
            <w:tcW w:w="3860" w:type="dxa"/>
            <w:vAlign w:val="bottom"/>
          </w:tcPr>
          <w:p>
            <w:pPr>
              <w:spacing w:after="0"/>
              <w:rPr>
                <w:sz w:val="20"/>
                <w:szCs w:val="20"/>
                <w:color w:val="auto"/>
              </w:rPr>
            </w:pPr>
            <w:r>
              <w:rPr>
                <w:rFonts w:ascii="Arial" w:cs="Arial" w:eastAsia="Arial" w:hAnsi="Arial"/>
                <w:sz w:val="28"/>
                <w:szCs w:val="28"/>
                <w:color w:val="auto"/>
              </w:rPr>
              <w:t xml:space="preserve">• </w:t>
            </w:r>
            <w:r>
              <w:rPr>
                <w:rFonts w:ascii="Arial" w:cs="Arial" w:eastAsia="Arial" w:hAnsi="Arial"/>
                <w:sz w:val="21"/>
                <w:szCs w:val="21"/>
                <w:color w:val="auto"/>
              </w:rPr>
              <w:t>74MM subscribers in 2003</w:t>
            </w:r>
          </w:p>
        </w:tc>
        <w:tc>
          <w:tcPr>
            <w:tcW w:w="2580" w:type="dxa"/>
            <w:vAlign w:val="bottom"/>
          </w:tcPr>
          <w:p>
            <w:pPr>
              <w:ind w:left="1200"/>
              <w:spacing w:after="0"/>
              <w:rPr>
                <w:sz w:val="20"/>
                <w:szCs w:val="20"/>
                <w:color w:val="auto"/>
              </w:rPr>
            </w:pPr>
            <w:r>
              <w:rPr>
                <w:rFonts w:ascii="Arial" w:cs="Arial" w:eastAsia="Arial" w:hAnsi="Arial"/>
                <w:sz w:val="21"/>
                <w:szCs w:val="21"/>
                <w:color w:val="auto"/>
                <w:w w:val="98"/>
              </w:rPr>
              <w:t>$1.75 - $2.25B</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80" w:hanging="266"/>
        <w:spacing w:after="0"/>
        <w:tabs>
          <w:tab w:leader="none" w:pos="3780" w:val="left"/>
        </w:tabs>
        <w:numPr>
          <w:ilvl w:val="0"/>
          <w:numId w:val="2"/>
        </w:numPr>
        <w:rPr>
          <w:rFonts w:ascii="Arial" w:cs="Arial" w:eastAsia="Arial" w:hAnsi="Arial"/>
          <w:sz w:val="28"/>
          <w:szCs w:val="28"/>
          <w:color w:val="auto"/>
        </w:rPr>
      </w:pPr>
      <w:r>
        <w:rPr>
          <w:rFonts w:ascii="Arial" w:cs="Arial" w:eastAsia="Arial" w:hAnsi="Arial"/>
          <w:sz w:val="21"/>
          <w:szCs w:val="21"/>
          <w:color w:val="auto"/>
        </w:rPr>
        <w:t>540% subscriber growth since 1999</w:t>
      </w:r>
    </w:p>
    <w:p>
      <w:pPr>
        <w:ind w:left="3920"/>
        <w:spacing w:after="0"/>
        <w:tabs>
          <w:tab w:leader="none" w:pos="8920" w:val="left"/>
        </w:tabs>
        <w:rPr>
          <w:sz w:val="20"/>
          <w:szCs w:val="20"/>
          <w:color w:val="auto"/>
        </w:rPr>
      </w:pPr>
      <w:r>
        <w:rPr>
          <w:rFonts w:ascii="Arial" w:cs="Arial" w:eastAsia="Arial" w:hAnsi="Arial"/>
          <w:sz w:val="28"/>
          <w:szCs w:val="28"/>
          <w:color w:val="auto"/>
        </w:rPr>
        <w:t xml:space="preserve">• </w:t>
      </w:r>
      <w:r>
        <w:rPr>
          <w:rFonts w:ascii="Arial" w:cs="Arial" w:eastAsia="Arial" w:hAnsi="Arial"/>
          <w:sz w:val="21"/>
          <w:szCs w:val="21"/>
          <w:color w:val="auto"/>
        </w:rPr>
        <w:t>24MM subscribers in 2003</w:t>
      </w:r>
      <w:r>
        <w:rPr>
          <w:sz w:val="20"/>
          <w:szCs w:val="20"/>
          <w:color w:val="auto"/>
        </w:rPr>
        <w:tab/>
      </w:r>
      <w:r>
        <w:rPr>
          <w:rFonts w:ascii="Arial" w:cs="Arial" w:eastAsia="Arial" w:hAnsi="Arial"/>
          <w:sz w:val="21"/>
          <w:szCs w:val="21"/>
          <w:color w:val="auto"/>
        </w:rPr>
        <w:t>$300 - $600MM</w:t>
      </w:r>
    </w:p>
    <w:p>
      <w:pPr>
        <w:spacing w:after="0" w:line="200" w:lineRule="exact"/>
        <w:rPr>
          <w:sz w:val="20"/>
          <w:szCs w:val="20"/>
          <w:color w:val="auto"/>
        </w:rPr>
      </w:pPr>
    </w:p>
    <w:p>
      <w:pPr>
        <w:spacing w:after="0" w:line="394"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92% subscriber growth since 1999</w:t>
      </w:r>
    </w:p>
    <w:p>
      <w:pPr>
        <w:sectPr>
          <w:pgSz w:w="11900" w:h="16888" w:orient="portrait"/>
          <w:cols w:equalWidth="0" w:num="1">
            <w:col w:w="11460"/>
          </w:cols>
          <w:pgMar w:left="220" w:top="1440" w:right="219" w:bottom="0" w:gutter="0" w:footer="0" w:header="0"/>
        </w:sectPr>
      </w:pPr>
    </w:p>
    <w:bookmarkStart w:id="3" w:name="page4"/>
    <w:bookmarkEnd w:id="3"/>
    <w:tbl>
      <w:tblPr>
        <w:tblLayout w:type="fixed"/>
        <w:tblInd w:w="2300" w:type="dxa"/>
        <w:tblCellMar>
          <w:top w:w="0" w:type="dxa"/>
          <w:left w:w="0" w:type="dxa"/>
          <w:bottom w:w="0" w:type="dxa"/>
          <w:right w:w="0" w:type="dxa"/>
        </w:tblCellMar>
      </w:tblPr>
      <w:tr>
        <w:trPr>
          <w:trHeight w:val="358"/>
        </w:trPr>
        <w:tc>
          <w:tcPr>
            <w:tcW w:w="4260" w:type="dxa"/>
            <w:vAlign w:val="bottom"/>
          </w:tcPr>
          <w:p>
            <w:pPr>
              <w:spacing w:after="0"/>
              <w:rPr>
                <w:sz w:val="20"/>
                <w:szCs w:val="20"/>
                <w:color w:val="auto"/>
              </w:rPr>
            </w:pPr>
            <w:r>
              <w:rPr>
                <w:rFonts w:ascii="Arial" w:cs="Arial" w:eastAsia="Arial" w:hAnsi="Arial"/>
                <w:sz w:val="28"/>
                <w:szCs w:val="28"/>
                <w:color w:val="auto"/>
              </w:rPr>
              <w:t xml:space="preserve">•   • </w:t>
            </w:r>
            <w:r>
              <w:rPr>
                <w:rFonts w:ascii="Arial" w:cs="Arial" w:eastAsia="Arial" w:hAnsi="Arial"/>
                <w:sz w:val="21"/>
                <w:szCs w:val="21"/>
                <w:color w:val="auto"/>
              </w:rPr>
              <w:t>50MM subscribers in 2003</w:t>
            </w:r>
          </w:p>
        </w:tc>
        <w:tc>
          <w:tcPr>
            <w:tcW w:w="2580" w:type="dxa"/>
            <w:vAlign w:val="bottom"/>
          </w:tcPr>
          <w:p>
            <w:pPr>
              <w:ind w:left="1200"/>
              <w:spacing w:after="0"/>
              <w:rPr>
                <w:sz w:val="20"/>
                <w:szCs w:val="20"/>
                <w:color w:val="auto"/>
              </w:rPr>
            </w:pPr>
            <w:r>
              <w:rPr>
                <w:rFonts w:ascii="Arial" w:cs="Arial" w:eastAsia="Arial" w:hAnsi="Arial"/>
                <w:sz w:val="21"/>
                <w:szCs w:val="21"/>
                <w:color w:val="auto"/>
                <w:w w:val="98"/>
              </w:rPr>
              <w:t>$1.25 - $1.75B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-208915</wp:posOffset>
            </wp:positionV>
            <wp:extent cx="1564640" cy="3434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4640" cy="343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560" w:hanging="266"/>
        <w:spacing w:after="0"/>
        <w:tabs>
          <w:tab w:leader="none" w:pos="2560" w:val="left"/>
        </w:tabs>
        <w:numPr>
          <w:ilvl w:val="0"/>
          <w:numId w:val="3"/>
        </w:numPr>
        <w:rPr>
          <w:rFonts w:ascii="Arial" w:cs="Arial" w:eastAsia="Arial" w:hAnsi="Arial"/>
          <w:sz w:val="28"/>
          <w:szCs w:val="28"/>
          <w:color w:val="auto"/>
        </w:rPr>
      </w:pPr>
      <w:r>
        <w:rPr>
          <w:rFonts w:ascii="Arial" w:cs="Arial" w:eastAsia="Arial" w:hAnsi="Arial"/>
          <w:sz w:val="21"/>
          <w:szCs w:val="21"/>
          <w:color w:val="auto"/>
        </w:rPr>
        <w:t>176% subscriber growth since 1999</w:t>
      </w:r>
    </w:p>
    <w:p>
      <w:pPr>
        <w:jc w:val="right"/>
        <w:spacing w:after="0"/>
        <w:tabs>
          <w:tab w:leader="none" w:pos="1540" w:val="left"/>
        </w:tabs>
        <w:rPr>
          <w:sz w:val="20"/>
          <w:szCs w:val="20"/>
          <w:color w:val="auto"/>
        </w:rPr>
      </w:pPr>
      <w:r>
        <w:rPr>
          <w:rFonts w:ascii="Arial" w:cs="Arial" w:eastAsia="Arial" w:hAnsi="Arial"/>
          <w:sz w:val="28"/>
          <w:szCs w:val="28"/>
          <w:color w:val="auto"/>
        </w:rPr>
        <w:t xml:space="preserve">• </w:t>
      </w:r>
      <w:r>
        <w:rPr>
          <w:rFonts w:ascii="Arial" w:cs="Arial" w:eastAsia="Arial" w:hAnsi="Arial"/>
          <w:sz w:val="21"/>
          <w:szCs w:val="21"/>
          <w:color w:val="auto"/>
        </w:rPr>
        <w:t>50MM subscribers in 2003</w:t>
      </w:r>
      <w:r>
        <w:rPr>
          <w:sz w:val="20"/>
          <w:szCs w:val="20"/>
          <w:color w:val="auto"/>
        </w:rPr>
        <w:tab/>
      </w:r>
      <w:r>
        <w:rPr>
          <w:rFonts w:ascii="Arial" w:cs="Arial" w:eastAsia="Arial" w:hAnsi="Arial"/>
          <w:sz w:val="21"/>
          <w:szCs w:val="21"/>
          <w:color w:val="auto"/>
        </w:rPr>
        <w:t>$700MM - $1.0B</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560" w:hanging="266"/>
        <w:spacing w:after="0"/>
        <w:tabs>
          <w:tab w:leader="none" w:pos="2560" w:val="left"/>
        </w:tabs>
        <w:numPr>
          <w:ilvl w:val="0"/>
          <w:numId w:val="4"/>
        </w:numPr>
        <w:rPr>
          <w:rFonts w:ascii="Arial" w:cs="Arial" w:eastAsia="Arial" w:hAnsi="Arial"/>
          <w:sz w:val="28"/>
          <w:szCs w:val="28"/>
          <w:color w:val="auto"/>
        </w:rPr>
      </w:pPr>
      <w:r>
        <w:rPr>
          <w:rFonts w:ascii="Arial" w:cs="Arial" w:eastAsia="Arial" w:hAnsi="Arial"/>
          <w:sz w:val="21"/>
          <w:szCs w:val="21"/>
          <w:color w:val="auto"/>
        </w:rPr>
        <w:t>Regional sports network covers 8.2MM subs and</w:t>
      </w:r>
    </w:p>
    <w:p>
      <w:pPr>
        <w:ind w:left="2560"/>
        <w:spacing w:after="0"/>
        <w:tabs>
          <w:tab w:leader="none" w:pos="7700" w:val="left"/>
        </w:tabs>
        <w:rPr>
          <w:sz w:val="20"/>
          <w:szCs w:val="20"/>
          <w:color w:val="auto"/>
        </w:rPr>
      </w:pPr>
      <w:r>
        <w:rPr>
          <w:rFonts w:ascii="Arial" w:cs="Arial" w:eastAsia="Arial" w:hAnsi="Arial"/>
          <w:sz w:val="21"/>
          <w:szCs w:val="21"/>
          <w:color w:val="auto"/>
        </w:rPr>
        <w:t>entire Mid-Atlantic customer base</w:t>
      </w:r>
      <w:r>
        <w:rPr>
          <w:sz w:val="20"/>
          <w:szCs w:val="20"/>
          <w:color w:val="auto"/>
        </w:rPr>
        <w:tab/>
      </w:r>
      <w:r>
        <w:rPr>
          <w:rFonts w:ascii="Arial" w:cs="Arial" w:eastAsia="Arial" w:hAnsi="Arial"/>
          <w:sz w:val="21"/>
          <w:szCs w:val="21"/>
          <w:color w:val="auto"/>
        </w:rPr>
        <w:t>$400 - $600MM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60" w:hanging="266"/>
        <w:spacing w:after="0"/>
        <w:tabs>
          <w:tab w:leader="none" w:pos="2560" w:val="left"/>
        </w:tabs>
        <w:numPr>
          <w:ilvl w:val="0"/>
          <w:numId w:val="5"/>
        </w:numPr>
        <w:rPr>
          <w:rFonts w:ascii="Arial" w:cs="Arial" w:eastAsia="Arial" w:hAnsi="Arial"/>
          <w:sz w:val="28"/>
          <w:szCs w:val="28"/>
          <w:color w:val="auto"/>
        </w:rPr>
      </w:pPr>
      <w:r>
        <w:rPr>
          <w:rFonts w:ascii="Arial" w:cs="Arial" w:eastAsia="Arial" w:hAnsi="Arial"/>
          <w:sz w:val="21"/>
          <w:szCs w:val="21"/>
          <w:color w:val="auto"/>
        </w:rPr>
        <w:t>Video Game Related Programming</w:t>
      </w:r>
    </w:p>
    <w:p>
      <w:pPr>
        <w:ind w:left="2680"/>
        <w:spacing w:after="0"/>
        <w:tabs>
          <w:tab w:leader="none" w:pos="7700" w:val="left"/>
        </w:tabs>
        <w:rPr>
          <w:sz w:val="20"/>
          <w:szCs w:val="20"/>
          <w:color w:val="auto"/>
        </w:rPr>
      </w:pPr>
      <w:r>
        <w:rPr>
          <w:rFonts w:ascii="Arial" w:cs="Arial" w:eastAsia="Arial" w:hAnsi="Arial"/>
          <w:sz w:val="28"/>
          <w:szCs w:val="28"/>
          <w:color w:val="auto"/>
        </w:rPr>
        <w:t xml:space="preserve">• </w:t>
      </w:r>
      <w:r>
        <w:rPr>
          <w:rFonts w:ascii="Arial" w:cs="Arial" w:eastAsia="Arial" w:hAnsi="Arial"/>
          <w:sz w:val="21"/>
          <w:szCs w:val="21"/>
          <w:color w:val="auto"/>
        </w:rPr>
        <w:t>Launched 2002 - 12MM subscribers today</w:t>
      </w:r>
      <w:r>
        <w:rPr>
          <w:sz w:val="20"/>
          <w:szCs w:val="20"/>
          <w:color w:val="auto"/>
        </w:rPr>
        <w:tab/>
      </w:r>
      <w:r>
        <w:rPr>
          <w:rFonts w:ascii="Arial" w:cs="Arial" w:eastAsia="Arial" w:hAnsi="Arial"/>
          <w:sz w:val="21"/>
          <w:szCs w:val="21"/>
          <w:color w:val="auto"/>
        </w:rPr>
        <w:t>$200 - $300MM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178435</wp:posOffset>
            </wp:positionV>
            <wp:extent cx="10731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3150" cy="7620"/>
                    </a:xfrm>
                    <a:prstGeom prst="rect">
                      <a:avLst/>
                    </a:prstGeom>
                    <a:noFill/>
                  </pic:spPr>
                </pic:pic>
              </a:graphicData>
            </a:graphic>
          </wp:anchor>
        </w:drawing>
      </w:r>
    </w:p>
    <w:p>
      <w:pPr>
        <w:spacing w:after="0" w:line="337" w:lineRule="exact"/>
        <w:rPr>
          <w:sz w:val="20"/>
          <w:szCs w:val="20"/>
          <w:color w:val="auto"/>
        </w:rPr>
      </w:pPr>
    </w:p>
    <w:p>
      <w:pPr>
        <w:ind w:left="7760"/>
        <w:spacing w:after="0"/>
        <w:rPr>
          <w:sz w:val="20"/>
          <w:szCs w:val="20"/>
          <w:color w:val="auto"/>
        </w:rPr>
      </w:pPr>
      <w:r>
        <w:rPr>
          <w:rFonts w:ascii="Arial" w:cs="Arial" w:eastAsia="Arial" w:hAnsi="Arial"/>
          <w:sz w:val="21"/>
          <w:szCs w:val="21"/>
          <w:b w:val="1"/>
          <w:bCs w:val="1"/>
          <w:color w:val="auto"/>
        </w:rPr>
        <w:t>$18.7 - $20.3B</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Source: Wall Street equity research estimates.</w:t>
      </w:r>
    </w:p>
    <w:p>
      <w:pPr>
        <w:ind w:left="2220"/>
        <w:spacing w:after="0"/>
        <w:rPr>
          <w:sz w:val="20"/>
          <w:szCs w:val="20"/>
          <w:color w:val="auto"/>
        </w:rPr>
      </w:pPr>
      <w:r>
        <w:rPr>
          <w:rFonts w:ascii="Arial" w:cs="Arial" w:eastAsia="Arial" w:hAnsi="Arial"/>
          <w:sz w:val="19"/>
          <w:szCs w:val="19"/>
          <w:color w:val="auto"/>
        </w:rPr>
        <w:t>Value represents 100% of the equity for each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-45085</wp:posOffset>
            </wp:positionV>
            <wp:extent cx="10731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3150" cy="762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-67310</wp:posOffset>
            </wp:positionV>
            <wp:extent cx="10731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3150" cy="762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323850</wp:posOffset>
            </wp:positionV>
            <wp:extent cx="727011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38"/>
          <w:szCs w:val="38"/>
          <w:b w:val="1"/>
          <w:bCs w:val="1"/>
          <w:color w:val="auto"/>
        </w:rPr>
        <w:t>2003 Was A Defining Year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80" w:hanging="408"/>
        <w:spacing w:after="0"/>
        <w:tabs>
          <w:tab w:leader="none" w:pos="980" w:val="left"/>
        </w:tabs>
        <w:numPr>
          <w:ilvl w:val="0"/>
          <w:numId w:val="6"/>
        </w:numPr>
        <w:rPr>
          <w:rFonts w:ascii="Arial" w:cs="Arial" w:eastAsia="Arial" w:hAnsi="Arial"/>
          <w:sz w:val="21"/>
          <w:szCs w:val="21"/>
          <w:color w:val="FF0000"/>
        </w:rPr>
      </w:pPr>
      <w:r>
        <w:rPr>
          <w:rFonts w:ascii="Arial" w:cs="Arial" w:eastAsia="Arial" w:hAnsi="Arial"/>
          <w:sz w:val="21"/>
          <w:szCs w:val="21"/>
          <w:b w:val="1"/>
          <w:bCs w:val="1"/>
          <w:color w:val="auto"/>
        </w:rPr>
        <w:t>Successful Cable Integration</w:t>
      </w:r>
    </w:p>
    <w:p>
      <w:pPr>
        <w:spacing w:after="0" w:line="140" w:lineRule="exact"/>
        <w:rPr>
          <w:rFonts w:ascii="Arial" w:cs="Arial" w:eastAsia="Arial" w:hAnsi="Arial"/>
          <w:sz w:val="21"/>
          <w:szCs w:val="21"/>
          <w:color w:val="FF0000"/>
        </w:rPr>
      </w:pPr>
    </w:p>
    <w:p>
      <w:pPr>
        <w:ind w:left="980" w:right="1080"/>
        <w:spacing w:after="0" w:line="688" w:lineRule="auto"/>
        <w:rPr>
          <w:rFonts w:ascii="Arial" w:cs="Arial" w:eastAsia="Arial" w:hAnsi="Arial"/>
          <w:sz w:val="21"/>
          <w:szCs w:val="21"/>
          <w:color w:val="FF0000"/>
        </w:rPr>
      </w:pPr>
      <w:r>
        <w:rPr>
          <w:rFonts w:ascii="Arial" w:cs="Arial" w:eastAsia="Arial" w:hAnsi="Arial"/>
          <w:sz w:val="19"/>
          <w:szCs w:val="19"/>
          <w:b w:val="1"/>
          <w:bCs w:val="1"/>
          <w:color w:val="FF0000"/>
        </w:rPr>
        <w:t xml:space="preserve">n </w:t>
      </w:r>
      <w:r>
        <w:rPr>
          <w:rFonts w:ascii="Arial" w:cs="Arial" w:eastAsia="Arial" w:hAnsi="Arial"/>
          <w:sz w:val="21"/>
          <w:szCs w:val="21"/>
          <w:color w:val="000000"/>
        </w:rPr>
        <w:t>ATTB: 1.5X our size with 12.5 million subscribers and 40,000 employees</w:t>
      </w:r>
      <w:r>
        <w:rPr>
          <w:rFonts w:ascii="Arial" w:cs="Arial" w:eastAsia="Arial" w:hAnsi="Arial"/>
          <w:sz w:val="19"/>
          <w:szCs w:val="19"/>
          <w:b w:val="1"/>
          <w:bCs w:val="1"/>
          <w:color w:val="FF0000"/>
        </w:rPr>
        <w:t xml:space="preserve"> n </w:t>
      </w:r>
      <w:r>
        <w:rPr>
          <w:rFonts w:ascii="Arial" w:cs="Arial" w:eastAsia="Arial" w:hAnsi="Arial"/>
          <w:sz w:val="21"/>
          <w:szCs w:val="21"/>
          <w:color w:val="000000"/>
        </w:rPr>
        <w:t>Key Integration Metrics Achieved …Ahead of Schedule</w:t>
      </w:r>
    </w:p>
    <w:p>
      <w:pPr>
        <w:spacing w:after="0" w:line="7" w:lineRule="exact"/>
        <w:rPr>
          <w:rFonts w:ascii="Arial" w:cs="Arial" w:eastAsia="Arial" w:hAnsi="Arial"/>
          <w:sz w:val="21"/>
          <w:szCs w:val="21"/>
          <w:color w:val="FF0000"/>
        </w:rPr>
      </w:pPr>
    </w:p>
    <w:p>
      <w:pPr>
        <w:ind w:left="1780" w:hanging="399"/>
        <w:spacing w:after="0"/>
        <w:tabs>
          <w:tab w:leader="none" w:pos="1780" w:val="left"/>
        </w:tabs>
        <w:numPr>
          <w:ilvl w:val="1"/>
          <w:numId w:val="6"/>
        </w:numPr>
        <w:rPr>
          <w:rFonts w:ascii="Arial" w:cs="Arial" w:eastAsia="Arial" w:hAnsi="Arial"/>
          <w:sz w:val="19"/>
          <w:szCs w:val="19"/>
          <w:b w:val="1"/>
          <w:bCs w:val="1"/>
          <w:color w:val="FF0000"/>
        </w:rPr>
      </w:pPr>
      <w:r>
        <w:rPr>
          <w:rFonts w:ascii="Arial" w:cs="Arial" w:eastAsia="Arial" w:hAnsi="Arial"/>
          <w:sz w:val="21"/>
          <w:szCs w:val="21"/>
          <w:color w:val="auto"/>
        </w:rPr>
        <w:t>Improve Operating Cash Flow</w:t>
      </w:r>
    </w:p>
    <w:p>
      <w:pPr>
        <w:spacing w:after="0" w:line="114" w:lineRule="exact"/>
        <w:rPr>
          <w:rFonts w:ascii="Arial" w:cs="Arial" w:eastAsia="Arial" w:hAnsi="Arial"/>
          <w:sz w:val="19"/>
          <w:szCs w:val="19"/>
          <w:b w:val="1"/>
          <w:bCs w:val="1"/>
          <w:color w:val="FF0000"/>
        </w:rPr>
      </w:pPr>
    </w:p>
    <w:p>
      <w:pPr>
        <w:ind w:left="1780"/>
        <w:spacing w:after="0"/>
        <w:rPr>
          <w:rFonts w:ascii="Arial" w:cs="Arial" w:eastAsia="Arial" w:hAnsi="Arial"/>
          <w:sz w:val="19"/>
          <w:szCs w:val="19"/>
          <w:b w:val="1"/>
          <w:bCs w:val="1"/>
          <w:color w:val="FF0000"/>
        </w:rPr>
      </w:pPr>
      <w:r>
        <w:rPr>
          <w:rFonts w:ascii="Arial" w:cs="Arial" w:eastAsia="Arial" w:hAnsi="Arial"/>
          <w:sz w:val="19"/>
          <w:szCs w:val="19"/>
          <w:b w:val="1"/>
          <w:bCs w:val="1"/>
          <w:color w:val="FF0000"/>
        </w:rPr>
        <w:t xml:space="preserve">n    </w:t>
      </w:r>
      <w:r>
        <w:rPr>
          <w:rFonts w:ascii="Arial" w:cs="Arial" w:eastAsia="Arial" w:hAnsi="Arial"/>
          <w:sz w:val="21"/>
          <w:szCs w:val="21"/>
          <w:color w:val="000000"/>
        </w:rPr>
        <w:t>OCF 2002: $4.9Bn –&gt; 2003: $6.35Bn</w:t>
      </w:r>
    </w:p>
    <w:p>
      <w:pPr>
        <w:spacing w:after="0" w:line="122" w:lineRule="exact"/>
        <w:rPr>
          <w:rFonts w:ascii="Arial" w:cs="Arial" w:eastAsia="Arial" w:hAnsi="Arial"/>
          <w:sz w:val="19"/>
          <w:szCs w:val="19"/>
          <w:b w:val="1"/>
          <w:bCs w:val="1"/>
          <w:color w:val="FF0000"/>
        </w:rPr>
      </w:pPr>
    </w:p>
    <w:p>
      <w:pPr>
        <w:ind w:left="1780"/>
        <w:spacing w:after="0"/>
        <w:rPr>
          <w:rFonts w:ascii="Arial" w:cs="Arial" w:eastAsia="Arial" w:hAnsi="Arial"/>
          <w:sz w:val="19"/>
          <w:szCs w:val="19"/>
          <w:b w:val="1"/>
          <w:bCs w:val="1"/>
          <w:color w:val="FF0000"/>
        </w:rPr>
      </w:pPr>
      <w:r>
        <w:rPr>
          <w:rFonts w:ascii="Arial" w:cs="Arial" w:eastAsia="Arial" w:hAnsi="Arial"/>
          <w:sz w:val="19"/>
          <w:szCs w:val="19"/>
          <w:b w:val="1"/>
          <w:bCs w:val="1"/>
          <w:color w:val="FF0000"/>
        </w:rPr>
        <w:t xml:space="preserve">n    </w:t>
      </w:r>
      <w:r>
        <w:rPr>
          <w:rFonts w:ascii="Arial" w:cs="Arial" w:eastAsia="Arial" w:hAnsi="Arial"/>
          <w:sz w:val="21"/>
          <w:szCs w:val="21"/>
          <w:color w:val="000000"/>
        </w:rPr>
        <w:t>ATTB OCF Margins: 16% –&gt; 35%</w:t>
      </w:r>
    </w:p>
    <w:p>
      <w:pPr>
        <w:spacing w:after="0" w:line="200" w:lineRule="exact"/>
        <w:rPr>
          <w:rFonts w:ascii="Arial" w:cs="Arial" w:eastAsia="Arial" w:hAnsi="Arial"/>
          <w:sz w:val="19"/>
          <w:szCs w:val="19"/>
          <w:b w:val="1"/>
          <w:bCs w:val="1"/>
          <w:color w:val="FF0000"/>
        </w:rPr>
      </w:pPr>
    </w:p>
    <w:p>
      <w:pPr>
        <w:spacing w:after="0" w:line="258" w:lineRule="exact"/>
        <w:rPr>
          <w:rFonts w:ascii="Arial" w:cs="Arial" w:eastAsia="Arial" w:hAnsi="Arial"/>
          <w:sz w:val="19"/>
          <w:szCs w:val="19"/>
          <w:b w:val="1"/>
          <w:bCs w:val="1"/>
          <w:color w:val="FF0000"/>
        </w:rPr>
      </w:pPr>
    </w:p>
    <w:p>
      <w:pPr>
        <w:ind w:left="1780" w:hanging="399"/>
        <w:spacing w:after="0"/>
        <w:tabs>
          <w:tab w:leader="none" w:pos="1780" w:val="left"/>
        </w:tabs>
        <w:numPr>
          <w:ilvl w:val="1"/>
          <w:numId w:val="6"/>
        </w:numPr>
        <w:rPr>
          <w:rFonts w:ascii="Arial" w:cs="Arial" w:eastAsia="Arial" w:hAnsi="Arial"/>
          <w:sz w:val="19"/>
          <w:szCs w:val="19"/>
          <w:b w:val="1"/>
          <w:bCs w:val="1"/>
          <w:color w:val="FF0000"/>
        </w:rPr>
      </w:pPr>
      <w:r>
        <w:rPr>
          <w:rFonts w:ascii="Arial" w:cs="Arial" w:eastAsia="Arial" w:hAnsi="Arial"/>
          <w:sz w:val="21"/>
          <w:szCs w:val="21"/>
          <w:color w:val="auto"/>
        </w:rPr>
        <w:t>Stop Basic Subscriber Losses</w:t>
      </w:r>
    </w:p>
    <w:p>
      <w:pPr>
        <w:spacing w:after="0" w:line="114" w:lineRule="exact"/>
        <w:rPr>
          <w:rFonts w:ascii="Arial" w:cs="Arial" w:eastAsia="Arial" w:hAnsi="Arial"/>
          <w:sz w:val="19"/>
          <w:szCs w:val="19"/>
          <w:b w:val="1"/>
          <w:bCs w:val="1"/>
          <w:color w:val="FF0000"/>
        </w:rPr>
      </w:pPr>
    </w:p>
    <w:p>
      <w:pPr>
        <w:ind w:left="1780"/>
        <w:spacing w:after="0"/>
        <w:rPr>
          <w:rFonts w:ascii="Arial" w:cs="Arial" w:eastAsia="Arial" w:hAnsi="Arial"/>
          <w:sz w:val="19"/>
          <w:szCs w:val="19"/>
          <w:b w:val="1"/>
          <w:bCs w:val="1"/>
          <w:color w:val="FF0000"/>
        </w:rPr>
      </w:pPr>
      <w:r>
        <w:rPr>
          <w:rFonts w:ascii="Arial" w:cs="Arial" w:eastAsia="Arial" w:hAnsi="Arial"/>
          <w:sz w:val="19"/>
          <w:szCs w:val="19"/>
          <w:b w:val="1"/>
          <w:bCs w:val="1"/>
          <w:color w:val="FF0000"/>
        </w:rPr>
        <w:t xml:space="preserve">n    </w:t>
      </w:r>
      <w:r>
        <w:rPr>
          <w:rFonts w:ascii="Arial" w:cs="Arial" w:eastAsia="Arial" w:hAnsi="Arial"/>
          <w:sz w:val="21"/>
          <w:szCs w:val="21"/>
          <w:color w:val="000000"/>
        </w:rPr>
        <w:t>Net Adds 2002: (415K) –&gt; 2003: 125-150K</w:t>
      </w:r>
    </w:p>
    <w:p>
      <w:pPr>
        <w:spacing w:after="0" w:line="200" w:lineRule="exact"/>
        <w:rPr>
          <w:rFonts w:ascii="Arial" w:cs="Arial" w:eastAsia="Arial" w:hAnsi="Arial"/>
          <w:sz w:val="19"/>
          <w:szCs w:val="19"/>
          <w:b w:val="1"/>
          <w:bCs w:val="1"/>
          <w:color w:val="FF0000"/>
        </w:rPr>
      </w:pPr>
    </w:p>
    <w:p>
      <w:pPr>
        <w:spacing w:after="0" w:line="258" w:lineRule="exact"/>
        <w:rPr>
          <w:rFonts w:ascii="Arial" w:cs="Arial" w:eastAsia="Arial" w:hAnsi="Arial"/>
          <w:sz w:val="19"/>
          <w:szCs w:val="19"/>
          <w:b w:val="1"/>
          <w:bCs w:val="1"/>
          <w:color w:val="FF0000"/>
        </w:rPr>
      </w:pPr>
    </w:p>
    <w:p>
      <w:pPr>
        <w:ind w:left="1780" w:hanging="399"/>
        <w:spacing w:after="0"/>
        <w:tabs>
          <w:tab w:leader="none" w:pos="1780" w:val="left"/>
        </w:tabs>
        <w:numPr>
          <w:ilvl w:val="1"/>
          <w:numId w:val="6"/>
        </w:numPr>
        <w:rPr>
          <w:rFonts w:ascii="Arial" w:cs="Arial" w:eastAsia="Arial" w:hAnsi="Arial"/>
          <w:sz w:val="19"/>
          <w:szCs w:val="19"/>
          <w:b w:val="1"/>
          <w:bCs w:val="1"/>
          <w:color w:val="FF0000"/>
        </w:rPr>
      </w:pPr>
      <w:r>
        <w:rPr>
          <w:rFonts w:ascii="Arial" w:cs="Arial" w:eastAsia="Arial" w:hAnsi="Arial"/>
          <w:sz w:val="21"/>
          <w:szCs w:val="21"/>
          <w:color w:val="auto"/>
        </w:rPr>
        <w:t>Accelerate Rebuilds</w:t>
      </w:r>
    </w:p>
    <w:p>
      <w:pPr>
        <w:spacing w:after="0" w:line="114" w:lineRule="exact"/>
        <w:rPr>
          <w:rFonts w:ascii="Arial" w:cs="Arial" w:eastAsia="Arial" w:hAnsi="Arial"/>
          <w:sz w:val="19"/>
          <w:szCs w:val="19"/>
          <w:b w:val="1"/>
          <w:bCs w:val="1"/>
          <w:color w:val="FF0000"/>
        </w:rPr>
      </w:pPr>
    </w:p>
    <w:p>
      <w:pPr>
        <w:ind w:left="1780"/>
        <w:spacing w:after="0"/>
        <w:rPr>
          <w:rFonts w:ascii="Arial" w:cs="Arial" w:eastAsia="Arial" w:hAnsi="Arial"/>
          <w:sz w:val="19"/>
          <w:szCs w:val="19"/>
          <w:b w:val="1"/>
          <w:bCs w:val="1"/>
          <w:color w:val="FF0000"/>
        </w:rPr>
      </w:pPr>
      <w:r>
        <w:rPr>
          <w:rFonts w:ascii="Arial" w:cs="Arial" w:eastAsia="Arial" w:hAnsi="Arial"/>
          <w:sz w:val="19"/>
          <w:szCs w:val="19"/>
          <w:b w:val="1"/>
          <w:bCs w:val="1"/>
          <w:color w:val="FF0000"/>
        </w:rPr>
        <w:t xml:space="preserve">n    </w:t>
      </w:r>
      <w:r>
        <w:rPr>
          <w:rFonts w:ascii="Arial" w:cs="Arial" w:eastAsia="Arial" w:hAnsi="Arial"/>
          <w:sz w:val="21"/>
          <w:szCs w:val="21"/>
          <w:color w:val="000000"/>
        </w:rPr>
        <w:t>ATTB Plant Ungraded 2002: 72% –&gt; 2003: 93%</w:t>
      </w:r>
    </w:p>
    <w:p>
      <w:pPr>
        <w:spacing w:after="0" w:line="200" w:lineRule="exact"/>
        <w:rPr>
          <w:rFonts w:ascii="Arial" w:cs="Arial" w:eastAsia="Arial" w:hAnsi="Arial"/>
          <w:sz w:val="19"/>
          <w:szCs w:val="19"/>
          <w:b w:val="1"/>
          <w:bCs w:val="1"/>
          <w:color w:val="FF0000"/>
        </w:rPr>
      </w:pPr>
    </w:p>
    <w:p>
      <w:pPr>
        <w:spacing w:after="0" w:line="232" w:lineRule="exact"/>
        <w:rPr>
          <w:rFonts w:ascii="Arial" w:cs="Arial" w:eastAsia="Arial" w:hAnsi="Arial"/>
          <w:sz w:val="19"/>
          <w:szCs w:val="19"/>
          <w:b w:val="1"/>
          <w:bCs w:val="1"/>
          <w:color w:val="FF0000"/>
        </w:rPr>
      </w:pPr>
    </w:p>
    <w:p>
      <w:pPr>
        <w:ind w:left="980" w:hanging="408"/>
        <w:spacing w:after="0"/>
        <w:tabs>
          <w:tab w:leader="none" w:pos="980" w:val="left"/>
        </w:tabs>
        <w:numPr>
          <w:ilvl w:val="0"/>
          <w:numId w:val="6"/>
        </w:numPr>
        <w:rPr>
          <w:rFonts w:ascii="Arial" w:cs="Arial" w:eastAsia="Arial" w:hAnsi="Arial"/>
          <w:sz w:val="21"/>
          <w:szCs w:val="21"/>
          <w:color w:val="FF0000"/>
        </w:rPr>
      </w:pPr>
      <w:r>
        <w:rPr>
          <w:rFonts w:ascii="Arial" w:cs="Arial" w:eastAsia="Arial" w:hAnsi="Arial"/>
          <w:sz w:val="21"/>
          <w:szCs w:val="21"/>
          <w:b w:val="1"/>
          <w:bCs w:val="1"/>
          <w:color w:val="auto"/>
        </w:rPr>
        <w:t>Rebuilt Plantform Drives New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384175</wp:posOffset>
            </wp:positionV>
            <wp:extent cx="7270115"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871220</wp:posOffset>
            </wp:positionV>
            <wp:extent cx="5081270" cy="680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1270" cy="68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40"/>
        <w:spacing w:after="0"/>
        <w:rPr>
          <w:sz w:val="20"/>
          <w:szCs w:val="20"/>
          <w:color w:val="auto"/>
        </w:rPr>
      </w:pPr>
      <w:r>
        <w:rPr>
          <w:rFonts w:ascii="Arial" w:cs="Arial" w:eastAsia="Arial" w:hAnsi="Arial"/>
          <w:sz w:val="38"/>
          <w:szCs w:val="38"/>
          <w:b w:val="1"/>
          <w:bCs w:val="1"/>
          <w:color w:val="FFFFFF"/>
        </w:rPr>
        <w:t>Comcast Digital Cable</w:t>
      </w:r>
    </w:p>
    <w:p>
      <w:pPr>
        <w:sectPr>
          <w:pgSz w:w="11900" w:h="16838" w:orient="portrait"/>
          <w:cols w:equalWidth="0" w:num="1">
            <w:col w:w="9240"/>
          </w:cols>
          <w:pgMar w:left="1440" w:top="112" w:right="1219" w:bottom="0" w:gutter="0" w:footer="0" w:header="0"/>
        </w:sectPr>
      </w:pPr>
    </w:p>
    <w:bookmarkStart w:id="4" w:name="page5"/>
    <w:bookmarkEnd w:id="4"/>
    <w:p>
      <w:pPr>
        <w:ind w:left="58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1243965</wp:posOffset>
            </wp:positionH>
            <wp:positionV relativeFrom="page">
              <wp:posOffset>88900</wp:posOffset>
            </wp:positionV>
            <wp:extent cx="5081270" cy="558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1270" cy="558800"/>
                    </a:xfrm>
                    <a:prstGeom prst="rect">
                      <a:avLst/>
                    </a:prstGeom>
                    <a:noFill/>
                  </pic:spPr>
                </pic:pic>
              </a:graphicData>
            </a:graphic>
          </wp:anchor>
        </w:drawing>
        <w:t>Subscribers</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21"/>
          <w:szCs w:val="21"/>
          <w:color w:val="FFFFFF"/>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3467100</wp:posOffset>
            </wp:positionV>
            <wp:extent cx="727011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42545</wp:posOffset>
            </wp:positionV>
            <wp:extent cx="5081270" cy="3099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81270" cy="309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560"/>
        <w:spacing w:after="0"/>
        <w:rPr>
          <w:sz w:val="20"/>
          <w:szCs w:val="20"/>
          <w:color w:val="auto"/>
        </w:rPr>
      </w:pPr>
      <w:r>
        <w:rPr>
          <w:rFonts w:ascii="Arial" w:cs="Arial" w:eastAsia="Arial" w:hAnsi="Arial"/>
          <w:sz w:val="38"/>
          <w:szCs w:val="38"/>
          <w:b w:val="1"/>
          <w:bCs w:val="1"/>
          <w:color w:val="auto"/>
        </w:rPr>
        <w:t>Comcast Digital Cable</w:t>
      </w:r>
    </w:p>
    <w:p>
      <w:pPr>
        <w:spacing w:after="0" w:line="200" w:lineRule="exact"/>
        <w:rPr>
          <w:sz w:val="20"/>
          <w:szCs w:val="20"/>
          <w:color w:val="auto"/>
        </w:rPr>
      </w:pPr>
    </w:p>
    <w:p>
      <w:pPr>
        <w:spacing w:after="0" w:line="234" w:lineRule="exact"/>
        <w:rPr>
          <w:sz w:val="20"/>
          <w:szCs w:val="20"/>
          <w:color w:val="auto"/>
        </w:rPr>
      </w:pPr>
    </w:p>
    <w:p>
      <w:pPr>
        <w:jc w:val="center"/>
        <w:ind w:right="1020"/>
        <w:spacing w:after="0"/>
        <w:rPr>
          <w:sz w:val="20"/>
          <w:szCs w:val="20"/>
          <w:color w:val="auto"/>
        </w:rPr>
      </w:pPr>
      <w:r>
        <w:rPr>
          <w:rFonts w:ascii="Arial" w:cs="Arial" w:eastAsia="Arial" w:hAnsi="Arial"/>
          <w:sz w:val="28"/>
          <w:szCs w:val="28"/>
          <w:b w:val="1"/>
          <w:bCs w:val="1"/>
          <w:u w:val="single" w:color="auto"/>
          <w:color w:val="auto"/>
        </w:rPr>
        <w:t>Strategy</w:t>
      </w:r>
    </w:p>
    <w:p>
      <w:pPr>
        <w:spacing w:after="0" w:line="43" w:lineRule="exact"/>
        <w:rPr>
          <w:sz w:val="20"/>
          <w:szCs w:val="20"/>
          <w:color w:val="auto"/>
        </w:rPr>
      </w:pPr>
    </w:p>
    <w:p>
      <w:pPr>
        <w:jc w:val="center"/>
        <w:ind w:right="1120"/>
        <w:spacing w:after="0"/>
        <w:rPr>
          <w:sz w:val="20"/>
          <w:szCs w:val="20"/>
          <w:color w:val="auto"/>
        </w:rPr>
      </w:pPr>
      <w:r>
        <w:rPr>
          <w:rFonts w:ascii="Arial" w:cs="Arial" w:eastAsia="Arial" w:hAnsi="Arial"/>
          <w:sz w:val="28"/>
          <w:szCs w:val="28"/>
          <w:b w:val="1"/>
          <w:bCs w:val="1"/>
          <w:color w:val="auto"/>
        </w:rPr>
        <w:t>Compete and Build Value Through Consisten</w:t>
      </w:r>
    </w:p>
    <w:p>
      <w:pPr>
        <w:spacing w:after="0" w:line="7" w:lineRule="exact"/>
        <w:rPr>
          <w:sz w:val="20"/>
          <w:szCs w:val="20"/>
          <w:color w:val="auto"/>
        </w:rPr>
      </w:pPr>
    </w:p>
    <w:p>
      <w:pPr>
        <w:jc w:val="center"/>
        <w:ind w:right="1120"/>
        <w:spacing w:after="0"/>
        <w:rPr>
          <w:sz w:val="20"/>
          <w:szCs w:val="20"/>
          <w:color w:val="auto"/>
        </w:rPr>
      </w:pPr>
      <w:r>
        <w:rPr>
          <w:rFonts w:ascii="Arial" w:cs="Arial" w:eastAsia="Arial" w:hAnsi="Arial"/>
          <w:sz w:val="28"/>
          <w:szCs w:val="28"/>
          <w:b w:val="1"/>
          <w:bCs w:val="1"/>
          <w:color w:val="auto"/>
        </w:rPr>
        <w:t>Product Enhancements</w:t>
      </w:r>
    </w:p>
    <w:p>
      <w:pPr>
        <w:spacing w:after="0" w:line="184" w:lineRule="exact"/>
        <w:rPr>
          <w:sz w:val="20"/>
          <w:szCs w:val="20"/>
          <w:color w:val="auto"/>
        </w:rPr>
      </w:pPr>
    </w:p>
    <w:p>
      <w:pPr>
        <w:ind w:left="4300"/>
        <w:spacing w:after="0"/>
        <w:rPr>
          <w:sz w:val="20"/>
          <w:szCs w:val="20"/>
          <w:color w:val="auto"/>
        </w:rPr>
      </w:pPr>
      <w:r>
        <w:rPr>
          <w:rFonts w:ascii="Arial" w:cs="Arial" w:eastAsia="Arial" w:hAnsi="Arial"/>
          <w:sz w:val="28"/>
          <w:szCs w:val="28"/>
          <w:b w:val="1"/>
          <w:bCs w:val="1"/>
          <w:i w:val="1"/>
          <w:iCs w:val="1"/>
          <w:color w:val="auto"/>
        </w:rPr>
        <w:t>"TV on your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80645</wp:posOffset>
            </wp:positionV>
            <wp:extent cx="268732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7320" cy="20320"/>
                    </a:xfrm>
                    <a:prstGeom prst="rect">
                      <a:avLst/>
                    </a:prstGeom>
                    <a:noFill/>
                  </pic:spPr>
                </pic:pic>
              </a:graphicData>
            </a:graphic>
          </wp:anchor>
        </w:drawing>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470"/>
        </w:trPr>
        <w:tc>
          <w:tcPr>
            <w:tcW w:w="60" w:type="dxa"/>
            <w:vAlign w:val="bottom"/>
          </w:tcPr>
          <w:p>
            <w:pPr>
              <w:spacing w:after="0"/>
              <w:rPr>
                <w:sz w:val="24"/>
                <w:szCs w:val="24"/>
                <w:color w:val="auto"/>
              </w:rPr>
            </w:pPr>
          </w:p>
        </w:tc>
        <w:tc>
          <w:tcPr>
            <w:tcW w:w="1780" w:type="dxa"/>
            <w:vAlign w:val="bottom"/>
            <w:gridSpan w:val="5"/>
            <w:vMerge w:val="restart"/>
          </w:tcPr>
          <w:p>
            <w:pPr>
              <w:jc w:val="center"/>
              <w:ind w:right="780"/>
              <w:spacing w:after="0"/>
              <w:rPr>
                <w:sz w:val="20"/>
                <w:szCs w:val="20"/>
                <w:color w:val="auto"/>
              </w:rPr>
            </w:pPr>
            <w:r>
              <w:rPr>
                <w:rFonts w:ascii="Arial" w:cs="Arial" w:eastAsia="Arial" w:hAnsi="Arial"/>
                <w:sz w:val="19"/>
                <w:szCs w:val="19"/>
                <w:b w:val="1"/>
                <w:bCs w:val="1"/>
                <w:color w:val="auto"/>
                <w:w w:val="99"/>
              </w:rPr>
              <w:t>Availability</w:t>
            </w:r>
          </w:p>
        </w:tc>
        <w:tc>
          <w:tcPr>
            <w:tcW w:w="1680" w:type="dxa"/>
            <w:vAlign w:val="bottom"/>
          </w:tcPr>
          <w:p>
            <w:pPr>
              <w:jc w:val="center"/>
              <w:spacing w:after="0"/>
              <w:rPr>
                <w:sz w:val="20"/>
                <w:szCs w:val="20"/>
                <w:color w:val="auto"/>
              </w:rPr>
            </w:pPr>
            <w:r>
              <w:rPr>
                <w:rFonts w:ascii="Arial" w:cs="Arial" w:eastAsia="Arial" w:hAnsi="Arial"/>
                <w:sz w:val="38"/>
                <w:szCs w:val="38"/>
                <w:b w:val="1"/>
                <w:bCs w:val="1"/>
                <w:color w:val="auto"/>
                <w:w w:val="74"/>
              </w:rPr>
              <w:t>|</w:t>
            </w:r>
          </w:p>
        </w:tc>
        <w:tc>
          <w:tcPr>
            <w:tcW w:w="2080" w:type="dxa"/>
            <w:vAlign w:val="bottom"/>
            <w:gridSpan w:val="2"/>
          </w:tcPr>
          <w:p>
            <w:pPr>
              <w:jc w:val="center"/>
              <w:ind w:left="267"/>
              <w:spacing w:after="0"/>
              <w:rPr>
                <w:sz w:val="20"/>
                <w:szCs w:val="20"/>
                <w:color w:val="auto"/>
              </w:rPr>
            </w:pPr>
            <w:r>
              <w:rPr>
                <w:rFonts w:ascii="Arial" w:cs="Arial" w:eastAsia="Arial" w:hAnsi="Arial"/>
                <w:sz w:val="38"/>
                <w:szCs w:val="38"/>
                <w:b w:val="1"/>
                <w:bCs w:val="1"/>
                <w:color w:val="auto"/>
                <w:w w:val="74"/>
              </w:rPr>
              <w:t>|</w:t>
            </w:r>
          </w:p>
        </w:tc>
        <w:tc>
          <w:tcPr>
            <w:tcW w:w="2080" w:type="dxa"/>
            <w:vAlign w:val="bottom"/>
            <w:gridSpan w:val="2"/>
          </w:tcPr>
          <w:p>
            <w:pPr>
              <w:jc w:val="right"/>
              <w:ind w:right="694"/>
              <w:spacing w:after="0"/>
              <w:rPr>
                <w:sz w:val="20"/>
                <w:szCs w:val="20"/>
                <w:color w:val="auto"/>
              </w:rPr>
            </w:pPr>
            <w:r>
              <w:rPr>
                <w:rFonts w:ascii="Arial" w:cs="Arial" w:eastAsia="Arial" w:hAnsi="Arial"/>
                <w:sz w:val="38"/>
                <w:szCs w:val="38"/>
                <w:b w:val="1"/>
                <w:bCs w:val="1"/>
                <w:color w:val="auto"/>
              </w:rPr>
              <w: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780" w:type="dxa"/>
            <w:vAlign w:val="bottom"/>
            <w:gridSpan w:val="5"/>
            <w:vMerge w:val="continue"/>
          </w:tcPr>
          <w:p>
            <w:pPr>
              <w:spacing w:after="0"/>
              <w:rPr>
                <w:sz w:val="15"/>
                <w:szCs w:val="15"/>
                <w:color w:val="auto"/>
              </w:rPr>
            </w:pPr>
          </w:p>
        </w:tc>
        <w:tc>
          <w:tcPr>
            <w:tcW w:w="1680" w:type="dxa"/>
            <w:vAlign w:val="bottom"/>
            <w:vMerge w:val="restart"/>
            <w:shd w:val="clear" w:color="auto" w:fill="CC0000"/>
          </w:tcPr>
          <w:p>
            <w:pPr>
              <w:ind w:left="620"/>
              <w:spacing w:after="0"/>
              <w:rPr>
                <w:sz w:val="20"/>
                <w:szCs w:val="20"/>
                <w:color w:val="auto"/>
              </w:rPr>
            </w:pPr>
            <w:r>
              <w:rPr>
                <w:rFonts w:ascii="Arial" w:cs="Arial" w:eastAsia="Arial" w:hAnsi="Arial"/>
                <w:sz w:val="21"/>
                <w:szCs w:val="21"/>
                <w:b w:val="1"/>
                <w:bCs w:val="1"/>
                <w:color w:val="FFFFFF"/>
              </w:rPr>
              <w:t>VOD</w:t>
            </w:r>
          </w:p>
        </w:tc>
        <w:tc>
          <w:tcPr>
            <w:tcW w:w="400" w:type="dxa"/>
            <w:vAlign w:val="bottom"/>
          </w:tcPr>
          <w:p>
            <w:pPr>
              <w:spacing w:after="0"/>
              <w:rPr>
                <w:sz w:val="15"/>
                <w:szCs w:val="15"/>
                <w:color w:val="auto"/>
              </w:rPr>
            </w:pPr>
          </w:p>
        </w:tc>
        <w:tc>
          <w:tcPr>
            <w:tcW w:w="1680" w:type="dxa"/>
            <w:vAlign w:val="bottom"/>
            <w:vMerge w:val="restart"/>
            <w:shd w:val="clear" w:color="auto" w:fill="CC0000"/>
          </w:tcPr>
          <w:p>
            <w:pPr>
              <w:ind w:left="560"/>
              <w:spacing w:after="0"/>
              <w:rPr>
                <w:sz w:val="20"/>
                <w:szCs w:val="20"/>
                <w:color w:val="auto"/>
              </w:rPr>
            </w:pPr>
            <w:r>
              <w:rPr>
                <w:rFonts w:ascii="Arial" w:cs="Arial" w:eastAsia="Arial" w:hAnsi="Arial"/>
                <w:sz w:val="21"/>
                <w:szCs w:val="21"/>
                <w:b w:val="1"/>
                <w:bCs w:val="1"/>
                <w:color w:val="FFFFFF"/>
              </w:rPr>
              <w:t>HDTV</w:t>
            </w:r>
          </w:p>
        </w:tc>
        <w:tc>
          <w:tcPr>
            <w:tcW w:w="400" w:type="dxa"/>
            <w:vAlign w:val="bottom"/>
          </w:tcPr>
          <w:p>
            <w:pPr>
              <w:spacing w:after="0"/>
              <w:rPr>
                <w:sz w:val="15"/>
                <w:szCs w:val="15"/>
                <w:color w:val="auto"/>
              </w:rPr>
            </w:pPr>
          </w:p>
        </w:tc>
        <w:tc>
          <w:tcPr>
            <w:tcW w:w="1680" w:type="dxa"/>
            <w:vAlign w:val="bottom"/>
            <w:vMerge w:val="restart"/>
            <w:shd w:val="clear" w:color="auto" w:fill="CC0000"/>
          </w:tcPr>
          <w:p>
            <w:pPr>
              <w:jc w:val="right"/>
              <w:ind w:right="514"/>
              <w:spacing w:after="0"/>
              <w:rPr>
                <w:sz w:val="20"/>
                <w:szCs w:val="20"/>
                <w:color w:val="auto"/>
              </w:rPr>
            </w:pPr>
            <w:r>
              <w:rPr>
                <w:rFonts w:ascii="Arial" w:cs="Arial" w:eastAsia="Arial" w:hAnsi="Arial"/>
                <w:sz w:val="21"/>
                <w:szCs w:val="21"/>
                <w:b w:val="1"/>
                <w:bCs w:val="1"/>
                <w:color w:val="FFFFFF"/>
              </w:rPr>
              <w:t>DVR</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center"/>
              <w:spacing w:after="0" w:line="192" w:lineRule="exact"/>
              <w:rPr>
                <w:sz w:val="20"/>
                <w:szCs w:val="20"/>
                <w:color w:val="auto"/>
              </w:rPr>
            </w:pPr>
            <w:r>
              <w:rPr>
                <w:rFonts w:ascii="Arial" w:cs="Arial" w:eastAsia="Arial" w:hAnsi="Arial"/>
                <w:sz w:val="19"/>
                <w:szCs w:val="19"/>
                <w:b w:val="1"/>
                <w:bCs w:val="1"/>
                <w:color w:val="auto"/>
                <w:w w:val="97"/>
              </w:rPr>
              <w:t>(% of basic</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80" w:type="dxa"/>
            <w:vAlign w:val="bottom"/>
            <w:tcBorders>
              <w:top w:val="single" w:sz="8" w:color="CC0000"/>
              <w:bottom w:val="single" w:sz="8" w:color="CC0000"/>
            </w:tcBorders>
            <w:vMerge w:val="continue"/>
            <w:shd w:val="clear" w:color="auto" w:fill="CC0000"/>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Borders>
              <w:top w:val="single" w:sz="8" w:color="CC0000"/>
              <w:bottom w:val="single" w:sz="8" w:color="CC0000"/>
            </w:tcBorders>
            <w:vMerge w:val="continue"/>
            <w:shd w:val="clear" w:color="auto" w:fill="CC0000"/>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Borders>
              <w:top w:val="single" w:sz="8" w:color="CC0000"/>
              <w:bottom w:val="single" w:sz="8" w:color="CC0000"/>
            </w:tcBorders>
            <w:vMerge w:val="continue"/>
            <w:shd w:val="clear" w:color="auto" w:fill="CC0000"/>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20"/>
              <w:spacing w:after="0" w:line="192" w:lineRule="exact"/>
              <w:rPr>
                <w:sz w:val="20"/>
                <w:szCs w:val="20"/>
                <w:color w:val="auto"/>
              </w:rPr>
            </w:pPr>
            <w:r>
              <w:rPr>
                <w:rFonts w:ascii="Arial" w:cs="Arial" w:eastAsia="Arial" w:hAnsi="Arial"/>
                <w:sz w:val="19"/>
                <w:szCs w:val="19"/>
                <w:b w:val="1"/>
                <w:bCs w:val="1"/>
                <w:color w:val="auto"/>
                <w:w w:val="87"/>
              </w:rPr>
              <w:t>subscribers)</w:t>
            </w:r>
          </w:p>
        </w:tc>
        <w:tc>
          <w:tcPr>
            <w:tcW w:w="4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Borders>
              <w:bottom w:val="single" w:sz="8" w:color="CC0000"/>
            </w:tcBorders>
            <w:shd w:val="clear" w:color="auto" w:fill="CC0000"/>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Borders>
              <w:bottom w:val="single" w:sz="8" w:color="CC0000"/>
            </w:tcBorders>
            <w:shd w:val="clear" w:color="auto" w:fill="CC0000"/>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Borders>
              <w:bottom w:val="single" w:sz="8" w:color="CC0000"/>
            </w:tcBorders>
            <w:shd w:val="clear" w:color="auto" w:fill="CC0000"/>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tcPr>
          <w:p>
            <w:pPr>
              <w:jc w:val="center"/>
              <w:ind w:right="800"/>
              <w:spacing w:after="0"/>
              <w:rPr>
                <w:sz w:val="20"/>
                <w:szCs w:val="20"/>
                <w:color w:val="auto"/>
              </w:rPr>
            </w:pPr>
            <w:r>
              <w:rPr>
                <w:rFonts w:ascii="Arial" w:cs="Arial" w:eastAsia="Arial" w:hAnsi="Arial"/>
                <w:sz w:val="21"/>
                <w:szCs w:val="21"/>
                <w:b w:val="1"/>
                <w:bCs w:val="1"/>
                <w:color w:val="auto"/>
              </w:rPr>
              <w:t>YE03</w:t>
            </w:r>
          </w:p>
        </w:tc>
        <w:tc>
          <w:tcPr>
            <w:tcW w:w="1680" w:type="dxa"/>
            <w:vAlign w:val="bottom"/>
          </w:tcPr>
          <w:p>
            <w:pPr>
              <w:jc w:val="center"/>
              <w:spacing w:after="0"/>
              <w:rPr>
                <w:sz w:val="20"/>
                <w:szCs w:val="20"/>
                <w:color w:val="auto"/>
              </w:rPr>
            </w:pPr>
            <w:r>
              <w:rPr>
                <w:rFonts w:ascii="Arial" w:cs="Arial" w:eastAsia="Arial" w:hAnsi="Arial"/>
                <w:sz w:val="21"/>
                <w:szCs w:val="21"/>
                <w:b w:val="1"/>
                <w:bCs w:val="1"/>
                <w:color w:val="auto"/>
                <w:w w:val="99"/>
              </w:rPr>
              <w:t>50%</w:t>
            </w:r>
          </w:p>
        </w:tc>
        <w:tc>
          <w:tcPr>
            <w:tcW w:w="2080" w:type="dxa"/>
            <w:vAlign w:val="bottom"/>
            <w:gridSpan w:val="2"/>
          </w:tcPr>
          <w:p>
            <w:pPr>
              <w:jc w:val="center"/>
              <w:ind w:left="267"/>
              <w:spacing w:after="0"/>
              <w:rPr>
                <w:sz w:val="20"/>
                <w:szCs w:val="20"/>
                <w:color w:val="auto"/>
              </w:rPr>
            </w:pPr>
            <w:r>
              <w:rPr>
                <w:rFonts w:ascii="Arial" w:cs="Arial" w:eastAsia="Arial" w:hAnsi="Arial"/>
                <w:sz w:val="21"/>
                <w:szCs w:val="21"/>
                <w:b w:val="1"/>
                <w:bCs w:val="1"/>
                <w:color w:val="auto"/>
              </w:rPr>
              <w:t>75%</w:t>
            </w:r>
          </w:p>
        </w:tc>
        <w:tc>
          <w:tcPr>
            <w:tcW w:w="2080" w:type="dxa"/>
            <w:vAlign w:val="bottom"/>
            <w:gridSpan w:val="2"/>
          </w:tcPr>
          <w:p>
            <w:pPr>
              <w:jc w:val="right"/>
              <w:ind w:right="474"/>
              <w:spacing w:after="0"/>
              <w:rPr>
                <w:sz w:val="20"/>
                <w:szCs w:val="20"/>
                <w:color w:val="auto"/>
              </w:rPr>
            </w:pPr>
            <w:r>
              <w:rPr>
                <w:rFonts w:ascii="Arial" w:cs="Arial" w:eastAsia="Arial" w:hAnsi="Arial"/>
                <w:sz w:val="21"/>
                <w:szCs w:val="21"/>
                <w:b w:val="1"/>
                <w:bCs w:val="1"/>
                <w:color w:val="auto"/>
              </w:rPr>
              <w:t>10%</w:t>
            </w:r>
          </w:p>
        </w:tc>
        <w:tc>
          <w:tcPr>
            <w:tcW w:w="0" w:type="dxa"/>
            <w:vAlign w:val="bottom"/>
          </w:tcPr>
          <w:p>
            <w:pPr>
              <w:spacing w:after="0"/>
              <w:rPr>
                <w:sz w:val="1"/>
                <w:szCs w:val="1"/>
                <w:color w:val="auto"/>
              </w:rPr>
            </w:pPr>
          </w:p>
        </w:tc>
      </w:tr>
      <w:tr>
        <w:trPr>
          <w:trHeight w:val="458"/>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tcPr>
          <w:p>
            <w:pPr>
              <w:jc w:val="center"/>
              <w:ind w:right="800"/>
              <w:spacing w:after="0"/>
              <w:rPr>
                <w:sz w:val="20"/>
                <w:szCs w:val="20"/>
                <w:color w:val="auto"/>
              </w:rPr>
            </w:pPr>
            <w:r>
              <w:rPr>
                <w:rFonts w:ascii="Arial" w:cs="Arial" w:eastAsia="Arial" w:hAnsi="Arial"/>
                <w:sz w:val="21"/>
                <w:szCs w:val="21"/>
                <w:b w:val="1"/>
                <w:bCs w:val="1"/>
                <w:color w:val="auto"/>
              </w:rPr>
              <w:t>YE04</w:t>
            </w:r>
          </w:p>
        </w:tc>
        <w:tc>
          <w:tcPr>
            <w:tcW w:w="1680" w:type="dxa"/>
            <w:vAlign w:val="bottom"/>
          </w:tcPr>
          <w:p>
            <w:pPr>
              <w:jc w:val="center"/>
              <w:spacing w:after="0"/>
              <w:rPr>
                <w:sz w:val="20"/>
                <w:szCs w:val="20"/>
                <w:color w:val="auto"/>
              </w:rPr>
            </w:pPr>
            <w:r>
              <w:rPr>
                <w:rFonts w:ascii="Arial" w:cs="Arial" w:eastAsia="Arial" w:hAnsi="Arial"/>
                <w:sz w:val="21"/>
                <w:szCs w:val="21"/>
                <w:b w:val="1"/>
                <w:bCs w:val="1"/>
                <w:color w:val="auto"/>
                <w:w w:val="99"/>
              </w:rPr>
              <w:t>85%</w:t>
            </w:r>
          </w:p>
        </w:tc>
        <w:tc>
          <w:tcPr>
            <w:tcW w:w="2080" w:type="dxa"/>
            <w:vAlign w:val="bottom"/>
            <w:gridSpan w:val="2"/>
          </w:tcPr>
          <w:p>
            <w:pPr>
              <w:jc w:val="center"/>
              <w:ind w:left="267"/>
              <w:spacing w:after="0"/>
              <w:rPr>
                <w:sz w:val="20"/>
                <w:szCs w:val="20"/>
                <w:color w:val="auto"/>
              </w:rPr>
            </w:pPr>
            <w:r>
              <w:rPr>
                <w:rFonts w:ascii="Arial" w:cs="Arial" w:eastAsia="Arial" w:hAnsi="Arial"/>
                <w:sz w:val="21"/>
                <w:szCs w:val="21"/>
                <w:b w:val="1"/>
                <w:bCs w:val="1"/>
                <w:color w:val="auto"/>
              </w:rPr>
              <w:t>85%</w:t>
            </w:r>
          </w:p>
        </w:tc>
        <w:tc>
          <w:tcPr>
            <w:tcW w:w="2080" w:type="dxa"/>
            <w:vAlign w:val="bottom"/>
            <w:gridSpan w:val="2"/>
          </w:tcPr>
          <w:p>
            <w:pPr>
              <w:jc w:val="right"/>
              <w:ind w:right="474"/>
              <w:spacing w:after="0"/>
              <w:rPr>
                <w:sz w:val="20"/>
                <w:szCs w:val="20"/>
                <w:color w:val="auto"/>
              </w:rPr>
            </w:pPr>
            <w:r>
              <w:rPr>
                <w:rFonts w:ascii="Arial" w:cs="Arial" w:eastAsia="Arial" w:hAnsi="Arial"/>
                <w:sz w:val="21"/>
                <w:szCs w:val="21"/>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1567180</wp:posOffset>
            </wp:positionV>
            <wp:extent cx="7270115"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132080</wp:posOffset>
            </wp:positionV>
            <wp:extent cx="4448175" cy="1109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48175" cy="110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38"/>
          <w:szCs w:val="38"/>
          <w:b w:val="1"/>
          <w:bCs w:val="1"/>
          <w:color w:val="auto"/>
        </w:rPr>
        <w:t>Comcast On Demand</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28"/>
          <w:szCs w:val="28"/>
          <w:b w:val="1"/>
          <w:bCs w:val="1"/>
          <w:i w:val="1"/>
          <w:iCs w:val="1"/>
          <w:color w:val="auto"/>
        </w:rPr>
        <w:t>"TV on your terms"</w:t>
      </w:r>
    </w:p>
    <w:p>
      <w:pPr>
        <w:spacing w:after="0" w:line="396" w:lineRule="exact"/>
        <w:rPr>
          <w:sz w:val="20"/>
          <w:szCs w:val="20"/>
          <w:color w:val="auto"/>
        </w:rPr>
      </w:pPr>
    </w:p>
    <w:p>
      <w:pPr>
        <w:ind w:left="1360"/>
        <w:spacing w:after="0"/>
        <w:rPr>
          <w:sz w:val="20"/>
          <w:szCs w:val="20"/>
          <w:color w:val="auto"/>
        </w:rPr>
      </w:pPr>
      <w:r>
        <w:rPr>
          <w:rFonts w:ascii="Arial" w:cs="Arial" w:eastAsia="Arial" w:hAnsi="Arial"/>
          <w:sz w:val="21"/>
          <w:szCs w:val="21"/>
          <w:b w:val="1"/>
          <w:bCs w:val="1"/>
          <w:color w:val="auto"/>
        </w:rPr>
        <w:t>Real-time interactivity offers significant competitive advantage</w:t>
      </w:r>
    </w:p>
    <w:p>
      <w:pPr>
        <w:sectPr>
          <w:pgSz w:w="11900" w:h="16838" w:orient="portrait"/>
          <w:cols w:equalWidth="0" w:num="1">
            <w:col w:w="10160"/>
          </w:cols>
          <w:pgMar w:left="1440" w:top="465" w:right="299" w:bottom="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1"/>
        </w:trPr>
        <w:tc>
          <w:tcPr>
            <w:tcW w:w="3500" w:type="dxa"/>
            <w:vAlign w:val="bottom"/>
          </w:tcPr>
          <w:p>
            <w:pPr>
              <w:jc w:val="center"/>
              <w:spacing w:after="0"/>
              <w:rPr>
                <w:sz w:val="20"/>
                <w:szCs w:val="20"/>
                <w:color w:val="auto"/>
              </w:rPr>
            </w:pPr>
            <w:r>
              <w:rPr>
                <w:rFonts w:ascii="Arial" w:cs="Arial" w:eastAsia="Arial" w:hAnsi="Arial"/>
                <w:sz w:val="21"/>
                <w:szCs w:val="21"/>
                <w:b w:val="1"/>
                <w:bCs w:val="1"/>
                <w:color w:val="auto"/>
              </w:rPr>
              <w:t>Movies</w:t>
            </w:r>
          </w:p>
        </w:tc>
        <w:tc>
          <w:tcPr>
            <w:tcW w:w="140" w:type="dxa"/>
            <w:vAlign w:val="bottom"/>
          </w:tcPr>
          <w:p>
            <w:pPr>
              <w:jc w:val="right"/>
              <w:spacing w:after="0"/>
              <w:rPr>
                <w:sz w:val="20"/>
                <w:szCs w:val="20"/>
                <w:color w:val="auto"/>
              </w:rPr>
            </w:pPr>
            <w:r>
              <w:rPr>
                <w:rFonts w:ascii="Arial" w:cs="Arial" w:eastAsia="Arial" w:hAnsi="Arial"/>
                <w:sz w:val="21"/>
                <w:szCs w:val="21"/>
                <w:b w:val="1"/>
                <w:bCs w:val="1"/>
                <w:color w:val="auto"/>
                <w:w w:val="81"/>
              </w:rPr>
              <w:t>+</w:t>
            </w:r>
          </w:p>
        </w:tc>
        <w:tc>
          <w:tcPr>
            <w:tcW w:w="7680" w:type="dxa"/>
            <w:vAlign w:val="bottom"/>
            <w:gridSpan w:val="2"/>
          </w:tcPr>
          <w:p>
            <w:pPr>
              <w:jc w:val="center"/>
              <w:spacing w:after="0"/>
              <w:rPr>
                <w:sz w:val="20"/>
                <w:szCs w:val="20"/>
                <w:color w:val="auto"/>
              </w:rPr>
            </w:pPr>
            <w:r>
              <w:rPr>
                <w:rFonts w:ascii="Arial" w:cs="Arial" w:eastAsia="Arial" w:hAnsi="Arial"/>
                <w:sz w:val="21"/>
                <w:szCs w:val="21"/>
                <w:b w:val="1"/>
                <w:bCs w:val="1"/>
                <w:color w:val="auto"/>
              </w:rPr>
              <w:t>Time Shifted Programming</w:t>
            </w:r>
          </w:p>
        </w:tc>
      </w:tr>
      <w:tr>
        <w:trPr>
          <w:trHeight w:val="47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38"/>
                <w:szCs w:val="38"/>
                <w:b w:val="1"/>
                <w:bCs w:val="1"/>
                <w:color w:val="auto"/>
                <w:w w:val="74"/>
              </w:rPr>
              <w:t>|</w:t>
            </w:r>
          </w:p>
        </w:tc>
        <w:tc>
          <w:tcPr>
            <w:tcW w:w="14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right"/>
              <w:ind w:right="3694"/>
              <w:spacing w:after="0"/>
              <w:rPr>
                <w:sz w:val="20"/>
                <w:szCs w:val="20"/>
                <w:color w:val="auto"/>
              </w:rPr>
            </w:pPr>
            <w:r>
              <w:rPr>
                <w:rFonts w:ascii="Arial" w:cs="Arial" w:eastAsia="Arial" w:hAnsi="Arial"/>
                <w:sz w:val="38"/>
                <w:szCs w:val="38"/>
                <w:b w:val="1"/>
                <w:bCs w:val="1"/>
                <w:color w:val="auto"/>
              </w:rPr>
              <w:t>|</w:t>
            </w:r>
          </w:p>
        </w:tc>
      </w:tr>
      <w:tr>
        <w:trPr>
          <w:trHeight w:val="203"/>
        </w:trPr>
        <w:tc>
          <w:tcPr>
            <w:tcW w:w="350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200" w:type="dxa"/>
            <w:vAlign w:val="bottom"/>
            <w:tcBorders>
              <w:right w:val="single" w:sz="8" w:color="auto"/>
            </w:tcBorders>
          </w:tcPr>
          <w:p>
            <w:pPr>
              <w:spacing w:after="0"/>
              <w:rPr>
                <w:sz w:val="17"/>
                <w:szCs w:val="17"/>
                <w:color w:val="auto"/>
              </w:rPr>
            </w:pPr>
          </w:p>
        </w:tc>
      </w:tr>
      <w:tr>
        <w:trPr>
          <w:trHeight w:val="217"/>
        </w:trPr>
        <w:tc>
          <w:tcPr>
            <w:tcW w:w="3500" w:type="dxa"/>
            <w:vAlign w:val="bottom"/>
            <w:tcBorders>
              <w:left w:val="single" w:sz="8" w:color="FFCC00"/>
              <w:right w:val="single" w:sz="8" w:color="FFCC00"/>
            </w:tcBorders>
            <w:shd w:val="clear" w:color="auto" w:fill="FFCC00"/>
          </w:tcPr>
          <w:p>
            <w:pPr>
              <w:spacing w:after="0"/>
              <w:rPr>
                <w:sz w:val="18"/>
                <w:szCs w:val="18"/>
                <w:color w:val="auto"/>
              </w:rPr>
            </w:pPr>
          </w:p>
        </w:tc>
        <w:tc>
          <w:tcPr>
            <w:tcW w:w="140" w:type="dxa"/>
            <w:vAlign w:val="bottom"/>
            <w:tcBorders>
              <w:right w:val="single" w:sz="8" w:color="CC6699"/>
            </w:tcBorders>
          </w:tcPr>
          <w:p>
            <w:pPr>
              <w:spacing w:after="0"/>
              <w:rPr>
                <w:sz w:val="18"/>
                <w:szCs w:val="18"/>
                <w:color w:val="auto"/>
              </w:rPr>
            </w:pPr>
          </w:p>
        </w:tc>
        <w:tc>
          <w:tcPr>
            <w:tcW w:w="3480" w:type="dxa"/>
            <w:vAlign w:val="bottom"/>
            <w:shd w:val="clear" w:color="auto" w:fill="CC6699"/>
          </w:tcPr>
          <w:p>
            <w:pPr>
              <w:jc w:val="center"/>
              <w:spacing w:after="0" w:line="217" w:lineRule="exact"/>
              <w:rPr>
                <w:sz w:val="20"/>
                <w:szCs w:val="20"/>
                <w:color w:val="auto"/>
              </w:rPr>
            </w:pPr>
            <w:r>
              <w:rPr>
                <w:rFonts w:ascii="Arial" w:cs="Arial" w:eastAsia="Arial" w:hAnsi="Arial"/>
                <w:sz w:val="21"/>
                <w:szCs w:val="21"/>
                <w:b w:val="1"/>
                <w:bCs w:val="1"/>
                <w:color w:val="FFFFFF"/>
                <w:w w:val="99"/>
              </w:rPr>
              <w:t>Subscription</w:t>
            </w:r>
          </w:p>
        </w:tc>
        <w:tc>
          <w:tcPr>
            <w:tcW w:w="4200" w:type="dxa"/>
            <w:vAlign w:val="bottom"/>
            <w:tcBorders>
              <w:right w:val="single" w:sz="8" w:color="0066CC"/>
            </w:tcBorders>
            <w:shd w:val="clear" w:color="auto" w:fill="0066CC"/>
          </w:tcPr>
          <w:p>
            <w:pPr>
              <w:jc w:val="center"/>
              <w:spacing w:after="0" w:line="217" w:lineRule="exact"/>
              <w:rPr>
                <w:sz w:val="20"/>
                <w:szCs w:val="20"/>
                <w:color w:val="auto"/>
              </w:rPr>
            </w:pPr>
            <w:r>
              <w:rPr>
                <w:rFonts w:ascii="Arial" w:cs="Arial" w:eastAsia="Arial" w:hAnsi="Arial"/>
                <w:sz w:val="21"/>
                <w:szCs w:val="21"/>
                <w:b w:val="1"/>
                <w:bCs w:val="1"/>
                <w:color w:val="FFFFFF"/>
              </w:rPr>
              <w:t>"Best of"</w:t>
            </w:r>
          </w:p>
        </w:tc>
      </w:tr>
      <w:tr>
        <w:trPr>
          <w:trHeight w:val="246"/>
        </w:trPr>
        <w:tc>
          <w:tcPr>
            <w:tcW w:w="3500" w:type="dxa"/>
            <w:vAlign w:val="bottom"/>
            <w:tcBorders>
              <w:left w:val="single" w:sz="8" w:color="FFCC00"/>
              <w:right w:val="single" w:sz="8" w:color="FFCC00"/>
            </w:tcBorders>
            <w:shd w:val="clear" w:color="auto" w:fill="FFCC00"/>
          </w:tcPr>
          <w:p>
            <w:pPr>
              <w:jc w:val="center"/>
              <w:spacing w:after="0"/>
              <w:rPr>
                <w:sz w:val="20"/>
                <w:szCs w:val="20"/>
                <w:color w:val="auto"/>
              </w:rPr>
            </w:pPr>
            <w:r>
              <w:rPr>
                <w:rFonts w:ascii="Arial" w:cs="Arial" w:eastAsia="Arial" w:hAnsi="Arial"/>
                <w:sz w:val="21"/>
                <w:szCs w:val="21"/>
                <w:b w:val="1"/>
                <w:bCs w:val="1"/>
                <w:color w:val="FFFFFF"/>
              </w:rPr>
              <w:t>Impulse</w:t>
            </w:r>
          </w:p>
        </w:tc>
        <w:tc>
          <w:tcPr>
            <w:tcW w:w="140" w:type="dxa"/>
            <w:vAlign w:val="bottom"/>
            <w:tcBorders>
              <w:right w:val="single" w:sz="8" w:color="CC6699"/>
            </w:tcBorders>
          </w:tcPr>
          <w:p>
            <w:pPr>
              <w:spacing w:after="0"/>
              <w:rPr>
                <w:sz w:val="21"/>
                <w:szCs w:val="21"/>
                <w:color w:val="auto"/>
              </w:rPr>
            </w:pPr>
          </w:p>
        </w:tc>
        <w:tc>
          <w:tcPr>
            <w:tcW w:w="3480" w:type="dxa"/>
            <w:vAlign w:val="bottom"/>
            <w:shd w:val="clear" w:color="auto" w:fill="CC6699"/>
          </w:tcPr>
          <w:p>
            <w:pPr>
              <w:jc w:val="center"/>
              <w:spacing w:after="0"/>
              <w:rPr>
                <w:sz w:val="20"/>
                <w:szCs w:val="20"/>
                <w:color w:val="auto"/>
              </w:rPr>
            </w:pPr>
            <w:r>
              <w:rPr>
                <w:rFonts w:ascii="Arial" w:cs="Arial" w:eastAsia="Arial" w:hAnsi="Arial"/>
                <w:sz w:val="21"/>
                <w:szCs w:val="21"/>
                <w:b w:val="1"/>
                <w:bCs w:val="1"/>
                <w:color w:val="FFFFFF"/>
              </w:rPr>
              <w:t>No additional charge to</w:t>
            </w:r>
          </w:p>
        </w:tc>
        <w:tc>
          <w:tcPr>
            <w:tcW w:w="4200" w:type="dxa"/>
            <w:vAlign w:val="bottom"/>
            <w:tcBorders>
              <w:right w:val="single" w:sz="8" w:color="0066CC"/>
            </w:tcBorders>
            <w:shd w:val="clear" w:color="auto" w:fill="0066CC"/>
          </w:tcPr>
          <w:p>
            <w:pPr>
              <w:jc w:val="center"/>
              <w:spacing w:after="0"/>
              <w:rPr>
                <w:sz w:val="20"/>
                <w:szCs w:val="20"/>
                <w:color w:val="auto"/>
              </w:rPr>
            </w:pPr>
            <w:r>
              <w:rPr>
                <w:rFonts w:ascii="Arial" w:cs="Arial" w:eastAsia="Arial" w:hAnsi="Arial"/>
                <w:sz w:val="21"/>
                <w:szCs w:val="21"/>
                <w:b w:val="1"/>
                <w:bCs w:val="1"/>
                <w:color w:val="FFFFFF"/>
              </w:rPr>
              <w:t>Cable and Broadcasting</w:t>
            </w:r>
          </w:p>
        </w:tc>
      </w:tr>
      <w:tr>
        <w:trPr>
          <w:trHeight w:val="276"/>
        </w:trPr>
        <w:tc>
          <w:tcPr>
            <w:tcW w:w="3500" w:type="dxa"/>
            <w:vAlign w:val="bottom"/>
            <w:tcBorders>
              <w:left w:val="single" w:sz="8" w:color="FFCC00"/>
              <w:right w:val="single" w:sz="8" w:color="FFCC00"/>
            </w:tcBorders>
            <w:shd w:val="clear" w:color="auto" w:fill="FFCC00"/>
          </w:tcPr>
          <w:p>
            <w:pPr>
              <w:spacing w:after="0"/>
              <w:rPr>
                <w:sz w:val="23"/>
                <w:szCs w:val="23"/>
                <w:color w:val="auto"/>
              </w:rPr>
            </w:pPr>
          </w:p>
        </w:tc>
        <w:tc>
          <w:tcPr>
            <w:tcW w:w="140" w:type="dxa"/>
            <w:vAlign w:val="bottom"/>
            <w:tcBorders>
              <w:right w:val="single" w:sz="8" w:color="CC6699"/>
            </w:tcBorders>
          </w:tcPr>
          <w:p>
            <w:pPr>
              <w:spacing w:after="0"/>
              <w:rPr>
                <w:sz w:val="23"/>
                <w:szCs w:val="23"/>
                <w:color w:val="auto"/>
              </w:rPr>
            </w:pPr>
          </w:p>
        </w:tc>
        <w:tc>
          <w:tcPr>
            <w:tcW w:w="3480" w:type="dxa"/>
            <w:vAlign w:val="bottom"/>
            <w:shd w:val="clear" w:color="auto" w:fill="CC6699"/>
          </w:tcPr>
          <w:p>
            <w:pPr>
              <w:jc w:val="center"/>
              <w:spacing w:after="0"/>
              <w:rPr>
                <w:sz w:val="20"/>
                <w:szCs w:val="20"/>
                <w:color w:val="auto"/>
              </w:rPr>
            </w:pPr>
            <w:r>
              <w:rPr>
                <w:rFonts w:ascii="Arial" w:cs="Arial" w:eastAsia="Arial" w:hAnsi="Arial"/>
                <w:sz w:val="21"/>
                <w:szCs w:val="21"/>
                <w:b w:val="1"/>
                <w:bCs w:val="1"/>
                <w:color w:val="FFFFFF"/>
              </w:rPr>
              <w:t>premium customers</w:t>
            </w:r>
          </w:p>
        </w:tc>
        <w:tc>
          <w:tcPr>
            <w:tcW w:w="4200" w:type="dxa"/>
            <w:vAlign w:val="bottom"/>
            <w:tcBorders>
              <w:right w:val="single" w:sz="8" w:color="0066CC"/>
            </w:tcBorders>
            <w:shd w:val="clear" w:color="auto" w:fill="0066CC"/>
          </w:tcPr>
          <w:p>
            <w:pPr>
              <w:jc w:val="center"/>
              <w:spacing w:after="0"/>
              <w:rPr>
                <w:sz w:val="20"/>
                <w:szCs w:val="20"/>
                <w:color w:val="auto"/>
              </w:rPr>
            </w:pPr>
            <w:r>
              <w:rPr>
                <w:rFonts w:ascii="Arial" w:cs="Arial" w:eastAsia="Arial" w:hAnsi="Arial"/>
                <w:sz w:val="21"/>
                <w:szCs w:val="21"/>
                <w:b w:val="1"/>
                <w:bCs w:val="1"/>
                <w:color w:val="FFFFFF"/>
              </w:rPr>
              <w:t>No additional charge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2620010</wp:posOffset>
            </wp:positionV>
            <wp:extent cx="7270115"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column">
              <wp:posOffset>1053465</wp:posOffset>
            </wp:positionH>
            <wp:positionV relativeFrom="paragraph">
              <wp:posOffset>3107055</wp:posOffset>
            </wp:positionV>
            <wp:extent cx="5081270" cy="1155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1270" cy="1155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wp:posOffset>
            </wp:positionV>
            <wp:extent cx="7174865" cy="2160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20"/>
        <w:spacing w:after="0"/>
        <w:rPr>
          <w:sz w:val="20"/>
          <w:szCs w:val="20"/>
          <w:color w:val="auto"/>
        </w:rPr>
      </w:pPr>
      <w:r>
        <w:rPr>
          <w:rFonts w:ascii="Arial" w:cs="Arial" w:eastAsia="Arial" w:hAnsi="Arial"/>
          <w:sz w:val="38"/>
          <w:szCs w:val="38"/>
          <w:b w:val="1"/>
          <w:bCs w:val="1"/>
          <w:color w:val="FFFFFF"/>
        </w:rPr>
        <w:t>Comcast High-Speed Internet</w:t>
      </w:r>
    </w:p>
    <w:p>
      <w:pPr>
        <w:spacing w:after="0" w:line="200" w:lineRule="exact"/>
        <w:rPr>
          <w:sz w:val="20"/>
          <w:szCs w:val="20"/>
          <w:color w:val="auto"/>
        </w:rPr>
      </w:pPr>
    </w:p>
    <w:p>
      <w:pPr>
        <w:spacing w:after="0" w:line="287" w:lineRule="exact"/>
        <w:rPr>
          <w:sz w:val="20"/>
          <w:szCs w:val="20"/>
          <w:color w:val="auto"/>
        </w:rPr>
      </w:pPr>
    </w:p>
    <w:p>
      <w:pPr>
        <w:ind w:left="1720"/>
        <w:spacing w:after="0"/>
        <w:rPr>
          <w:sz w:val="20"/>
          <w:szCs w:val="20"/>
          <w:color w:val="auto"/>
        </w:rPr>
      </w:pPr>
      <w:r>
        <w:rPr>
          <w:rFonts w:ascii="Arial" w:cs="Arial" w:eastAsia="Arial" w:hAnsi="Arial"/>
          <w:sz w:val="21"/>
          <w:szCs w:val="21"/>
          <w:color w:val="FFFFFF"/>
        </w:rPr>
        <w:t>Subscribers</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21"/>
          <w:szCs w:val="21"/>
          <w:color w:val="FFFFFF"/>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3385185</wp:posOffset>
            </wp:positionV>
            <wp:extent cx="7270115"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115" cy="27305"/>
                    </a:xfrm>
                    <a:prstGeom prst="rect">
                      <a:avLst/>
                    </a:prstGeom>
                    <a:noFill/>
                  </pic:spPr>
                </pic:pic>
              </a:graphicData>
            </a:graphic>
          </wp:anchor>
        </w:drawing>
        <w:drawing>
          <wp:anchor simplePos="0" relativeHeight="251657728" behindDoc="1" locked="0" layoutInCell="0" allowOverlap="1">
            <wp:simplePos x="0" y="0"/>
            <wp:positionH relativeFrom="column">
              <wp:posOffset>1053465</wp:posOffset>
            </wp:positionH>
            <wp:positionV relativeFrom="paragraph">
              <wp:posOffset>42545</wp:posOffset>
            </wp:positionV>
            <wp:extent cx="5081270" cy="3017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8127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00"/>
        <w:spacing w:after="0"/>
        <w:rPr>
          <w:sz w:val="20"/>
          <w:szCs w:val="20"/>
          <w:color w:val="auto"/>
        </w:rPr>
      </w:pPr>
      <w:r>
        <w:rPr>
          <w:rFonts w:ascii="Arial" w:cs="Arial" w:eastAsia="Arial" w:hAnsi="Arial"/>
          <w:sz w:val="38"/>
          <w:szCs w:val="38"/>
          <w:b w:val="1"/>
          <w:bCs w:val="1"/>
          <w:color w:val="auto"/>
        </w:rPr>
        <w:t>Comcast High-Speed Internet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Building A Superior Product with Superior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144145</wp:posOffset>
            </wp:positionV>
            <wp:extent cx="5081270" cy="464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81270" cy="464185"/>
                    </a:xfrm>
                    <a:prstGeom prst="rect">
                      <a:avLst/>
                    </a:prstGeom>
                    <a:noFill/>
                  </pic:spPr>
                </pic:pic>
              </a:graphicData>
            </a:graphic>
          </wp:anchor>
        </w:drawing>
      </w:r>
    </w:p>
    <w:p>
      <w:pPr>
        <w:sectPr>
          <w:pgSz w:w="11900" w:h="16838" w:orient="portrait"/>
          <w:cols w:equalWidth="0" w:num="1">
            <w:col w:w="11300"/>
          </w:cols>
          <w:pgMar w:left="300" w:top="319" w:right="299" w:bottom="532" w:gutter="0" w:footer="0" w:header="0"/>
        </w:sectPr>
      </w:pPr>
    </w:p>
    <w:bookmarkStart w:id="6" w:name="page7"/>
    <w:bookmarkEnd w:id="6"/>
    <w:p>
      <w:pPr>
        <w:spacing w:after="0" w:line="2" w:lineRule="exact"/>
        <w:rPr>
          <w:sz w:val="20"/>
          <w:szCs w:val="20"/>
          <w:color w:val="auto"/>
        </w:rPr>
      </w:pPr>
    </w:p>
    <w:p>
      <w:pPr>
        <w:ind w:left="660"/>
        <w:spacing w:after="0"/>
        <w:rPr>
          <w:sz w:val="20"/>
          <w:szCs w:val="20"/>
          <w:color w:val="auto"/>
        </w:rPr>
      </w:pPr>
      <w:r>
        <w:rPr>
          <w:rFonts w:ascii="Arial" w:cs="Arial" w:eastAsia="Arial" w:hAnsi="Arial"/>
          <w:sz w:val="28"/>
          <w:szCs w:val="28"/>
          <w:color w:val="CC0000"/>
        </w:rPr>
        <w:t>•</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8"/>
          <w:szCs w:val="28"/>
          <w:color w:val="CC000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FFFFFF"/>
        </w:rPr>
        <w:t>Doubled Download Speed: 3Mbps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-133350</wp:posOffset>
            </wp:positionV>
            <wp:extent cx="5081270" cy="3688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81270" cy="368808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Enhancing Comcast.net Portal</w:t>
      </w:r>
    </w:p>
    <w:p>
      <w:pPr>
        <w:spacing w:after="0" w:line="251" w:lineRule="exact"/>
        <w:rPr>
          <w:sz w:val="20"/>
          <w:szCs w:val="20"/>
          <w:color w:val="auto"/>
        </w:rPr>
      </w:pPr>
    </w:p>
    <w:p>
      <w:pPr>
        <w:ind w:left="380" w:hanging="380"/>
        <w:spacing w:after="0"/>
        <w:tabs>
          <w:tab w:leader="none" w:pos="380" w:val="left"/>
        </w:tabs>
        <w:numPr>
          <w:ilvl w:val="0"/>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Over 50% of customers use portal</w:t>
      </w:r>
    </w:p>
    <w:p>
      <w:pPr>
        <w:spacing w:after="0" w:line="216" w:lineRule="exact"/>
        <w:rPr>
          <w:rFonts w:ascii="Arial" w:cs="Arial" w:eastAsia="Arial" w:hAnsi="Arial"/>
          <w:sz w:val="21"/>
          <w:szCs w:val="21"/>
          <w:b w:val="1"/>
          <w:bCs w:val="1"/>
          <w:color w:val="CC0000"/>
        </w:rPr>
      </w:pPr>
    </w:p>
    <w:p>
      <w:pPr>
        <w:ind w:left="380" w:hanging="380"/>
        <w:spacing w:after="0"/>
        <w:tabs>
          <w:tab w:leader="none" w:pos="380" w:val="left"/>
        </w:tabs>
        <w:numPr>
          <w:ilvl w:val="0"/>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Over 60% use Comcast e-mail</w:t>
      </w:r>
    </w:p>
    <w:p>
      <w:pPr>
        <w:spacing w:after="0" w:line="216" w:lineRule="exact"/>
        <w:rPr>
          <w:rFonts w:ascii="Arial" w:cs="Arial" w:eastAsia="Arial" w:hAnsi="Arial"/>
          <w:sz w:val="21"/>
          <w:szCs w:val="21"/>
          <w:b w:val="1"/>
          <w:bCs w:val="1"/>
          <w:color w:val="CC0000"/>
        </w:rPr>
      </w:pPr>
    </w:p>
    <w:p>
      <w:pPr>
        <w:ind w:left="380" w:hanging="380"/>
        <w:spacing w:after="0"/>
        <w:tabs>
          <w:tab w:leader="none" w:pos="380" w:val="left"/>
        </w:tabs>
        <w:numPr>
          <w:ilvl w:val="0"/>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100% Broadband Portal</w:t>
      </w:r>
    </w:p>
    <w:p>
      <w:pPr>
        <w:spacing w:after="0" w:line="216" w:lineRule="exact"/>
        <w:rPr>
          <w:rFonts w:ascii="Arial" w:cs="Arial" w:eastAsia="Arial" w:hAnsi="Arial"/>
          <w:sz w:val="21"/>
          <w:szCs w:val="21"/>
          <w:b w:val="1"/>
          <w:bCs w:val="1"/>
          <w:color w:val="CC0000"/>
        </w:rPr>
      </w:pPr>
    </w:p>
    <w:p>
      <w:pPr>
        <w:ind w:left="780" w:hanging="393"/>
        <w:spacing w:after="0"/>
        <w:tabs>
          <w:tab w:leader="none" w:pos="780" w:val="left"/>
        </w:tabs>
        <w:numPr>
          <w:ilvl w:val="1"/>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Adding Content</w:t>
      </w:r>
    </w:p>
    <w:p>
      <w:pPr>
        <w:spacing w:after="0" w:line="227" w:lineRule="exact"/>
        <w:rPr>
          <w:rFonts w:ascii="Arial" w:cs="Arial" w:eastAsia="Arial" w:hAnsi="Arial"/>
          <w:sz w:val="21"/>
          <w:szCs w:val="21"/>
          <w:b w:val="1"/>
          <w:bCs w:val="1"/>
          <w:color w:val="CC0000"/>
        </w:rPr>
      </w:pPr>
    </w:p>
    <w:p>
      <w:pPr>
        <w:ind w:left="780" w:hanging="393"/>
        <w:spacing w:after="0"/>
        <w:tabs>
          <w:tab w:leader="none" w:pos="780" w:val="left"/>
        </w:tabs>
        <w:numPr>
          <w:ilvl w:val="1"/>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Streaming Video Packages</w:t>
      </w:r>
    </w:p>
    <w:p>
      <w:pPr>
        <w:spacing w:after="0" w:line="227" w:lineRule="exact"/>
        <w:rPr>
          <w:rFonts w:ascii="Arial" w:cs="Arial" w:eastAsia="Arial" w:hAnsi="Arial"/>
          <w:sz w:val="21"/>
          <w:szCs w:val="21"/>
          <w:b w:val="1"/>
          <w:bCs w:val="1"/>
          <w:color w:val="CC0000"/>
        </w:rPr>
      </w:pPr>
    </w:p>
    <w:p>
      <w:pPr>
        <w:ind w:left="1160" w:hanging="229"/>
        <w:spacing w:after="0"/>
        <w:tabs>
          <w:tab w:leader="none" w:pos="1160" w:val="left"/>
        </w:tabs>
        <w:numPr>
          <w:ilvl w:val="2"/>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Kids, Sports News</w:t>
      </w:r>
    </w:p>
    <w:p>
      <w:pPr>
        <w:spacing w:after="0" w:line="227" w:lineRule="exact"/>
        <w:rPr>
          <w:rFonts w:ascii="Arial" w:cs="Arial" w:eastAsia="Arial" w:hAnsi="Arial"/>
          <w:sz w:val="21"/>
          <w:szCs w:val="21"/>
          <w:b w:val="1"/>
          <w:bCs w:val="1"/>
          <w:color w:val="CC0000"/>
        </w:rPr>
      </w:pPr>
    </w:p>
    <w:p>
      <w:pPr>
        <w:ind w:left="780" w:hanging="393"/>
        <w:spacing w:after="0"/>
        <w:tabs>
          <w:tab w:leader="none" w:pos="780" w:val="left"/>
        </w:tabs>
        <w:numPr>
          <w:ilvl w:val="1"/>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Video Chat</w:t>
      </w:r>
    </w:p>
    <w:p>
      <w:pPr>
        <w:spacing w:after="0" w:line="216" w:lineRule="exact"/>
        <w:rPr>
          <w:rFonts w:ascii="Arial" w:cs="Arial" w:eastAsia="Arial" w:hAnsi="Arial"/>
          <w:sz w:val="21"/>
          <w:szCs w:val="21"/>
          <w:b w:val="1"/>
          <w:bCs w:val="1"/>
          <w:color w:val="CC0000"/>
        </w:rPr>
      </w:pPr>
    </w:p>
    <w:p>
      <w:pPr>
        <w:ind w:left="780" w:hanging="393"/>
        <w:spacing w:after="0"/>
        <w:tabs>
          <w:tab w:leader="none" w:pos="780" w:val="left"/>
        </w:tabs>
        <w:numPr>
          <w:ilvl w:val="1"/>
          <w:numId w:val="7"/>
        </w:numPr>
        <w:rPr>
          <w:rFonts w:ascii="Arial" w:cs="Arial" w:eastAsia="Arial" w:hAnsi="Arial"/>
          <w:sz w:val="21"/>
          <w:szCs w:val="21"/>
          <w:b w:val="1"/>
          <w:bCs w:val="1"/>
          <w:color w:val="CC0000"/>
        </w:rPr>
      </w:pPr>
      <w:r>
        <w:rPr>
          <w:rFonts w:ascii="Arial" w:cs="Arial" w:eastAsia="Arial" w:hAnsi="Arial"/>
          <w:sz w:val="21"/>
          <w:szCs w:val="21"/>
          <w:b w:val="1"/>
          <w:bCs w:val="1"/>
          <w:color w:val="FFFFFF"/>
        </w:rPr>
        <w:t>Video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1151890</wp:posOffset>
            </wp:positionV>
            <wp:extent cx="7270115"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140"/>
            <w:col w:w="8119"/>
          </w:cols>
          <w:pgMar w:left="1440" w:top="110" w:right="1440" w:bottom="6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60"/>
        <w:spacing w:after="0"/>
        <w:rPr>
          <w:sz w:val="20"/>
          <w:szCs w:val="20"/>
          <w:color w:val="auto"/>
        </w:rPr>
      </w:pPr>
      <w:r>
        <w:rPr>
          <w:rFonts w:ascii="Arial" w:cs="Arial" w:eastAsia="Arial" w:hAnsi="Arial"/>
          <w:sz w:val="38"/>
          <w:szCs w:val="38"/>
          <w:b w:val="1"/>
          <w:bCs w:val="1"/>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565150</wp:posOffset>
            </wp:positionV>
            <wp:extent cx="1668780" cy="271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8780" cy="271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5240" w:type="dxa"/>
            <w:vAlign w:val="bottom"/>
            <w:vMerge w:val="restart"/>
          </w:tcPr>
          <w:p>
            <w:pPr>
              <w:spacing w:after="0"/>
              <w:rPr>
                <w:sz w:val="20"/>
                <w:szCs w:val="20"/>
                <w:color w:val="auto"/>
              </w:rPr>
            </w:pPr>
            <w:r>
              <w:rPr>
                <w:rFonts w:ascii="Arial" w:cs="Arial" w:eastAsia="Arial" w:hAnsi="Arial"/>
                <w:sz w:val="21"/>
                <w:szCs w:val="21"/>
                <w:b w:val="1"/>
                <w:bCs w:val="1"/>
                <w:color w:val="CC0000"/>
              </w:rPr>
              <w:t xml:space="preserve">• </w:t>
            </w:r>
            <w:r>
              <w:rPr>
                <w:rFonts w:ascii="Arial" w:cs="Arial" w:eastAsia="Arial" w:hAnsi="Arial"/>
                <w:sz w:val="21"/>
                <w:szCs w:val="21"/>
                <w:color w:val="000000"/>
              </w:rPr>
              <w:t>Improve Economics of Existing</w:t>
            </w:r>
          </w:p>
        </w:tc>
        <w:tc>
          <w:tcPr>
            <w:tcW w:w="400" w:type="dxa"/>
            <w:vAlign w:val="bottom"/>
            <w:shd w:val="clear" w:color="auto" w:fill="006699"/>
          </w:tcPr>
          <w:p>
            <w:pPr>
              <w:spacing w:after="0"/>
              <w:rPr>
                <w:sz w:val="18"/>
                <w:szCs w:val="18"/>
                <w:color w:val="auto"/>
              </w:rPr>
            </w:pPr>
          </w:p>
        </w:tc>
        <w:tc>
          <w:tcPr>
            <w:tcW w:w="2220" w:type="dxa"/>
            <w:vAlign w:val="bottom"/>
            <w:shd w:val="clear" w:color="auto" w:fill="006699"/>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vMerge w:val="continue"/>
          </w:tcPr>
          <w:p>
            <w:pPr>
              <w:spacing w:after="0"/>
              <w:rPr>
                <w:sz w:val="21"/>
                <w:szCs w:val="21"/>
                <w:color w:val="auto"/>
              </w:rPr>
            </w:pPr>
          </w:p>
        </w:tc>
        <w:tc>
          <w:tcPr>
            <w:tcW w:w="400" w:type="dxa"/>
            <w:vAlign w:val="bottom"/>
          </w:tcPr>
          <w:p>
            <w:pPr>
              <w:ind w:left="220"/>
              <w:spacing w:after="0"/>
              <w:rPr>
                <w:sz w:val="20"/>
                <w:szCs w:val="20"/>
                <w:color w:val="auto"/>
              </w:rPr>
            </w:pPr>
            <w:r>
              <w:rPr>
                <w:rFonts w:ascii="Arial" w:cs="Arial" w:eastAsia="Arial" w:hAnsi="Arial"/>
                <w:sz w:val="21"/>
                <w:szCs w:val="21"/>
                <w:b w:val="1"/>
                <w:bCs w:val="1"/>
                <w:color w:val="FFFFFF"/>
              </w:rPr>
              <w:t>•</w:t>
            </w:r>
          </w:p>
        </w:tc>
        <w:tc>
          <w:tcPr>
            <w:tcW w:w="2220" w:type="dxa"/>
            <w:vAlign w:val="bottom"/>
          </w:tcPr>
          <w:p>
            <w:pPr>
              <w:ind w:left="120"/>
              <w:spacing w:after="0"/>
              <w:rPr>
                <w:sz w:val="20"/>
                <w:szCs w:val="20"/>
                <w:color w:val="auto"/>
              </w:rPr>
            </w:pPr>
            <w:r>
              <w:rPr>
                <w:rFonts w:ascii="Arial" w:cs="Arial" w:eastAsia="Arial" w:hAnsi="Arial"/>
                <w:sz w:val="21"/>
                <w:szCs w:val="21"/>
                <w:b w:val="1"/>
                <w:bCs w:val="1"/>
                <w:color w:val="FFFFFF"/>
              </w:rPr>
              <w:t>1.25MM Subscribers</w:t>
            </w:r>
          </w:p>
        </w:tc>
        <w:tc>
          <w:tcPr>
            <w:tcW w:w="0" w:type="dxa"/>
            <w:vAlign w:val="bottom"/>
          </w:tcPr>
          <w:p>
            <w:pPr>
              <w:spacing w:after="0"/>
              <w:rPr>
                <w:sz w:val="1"/>
                <w:szCs w:val="1"/>
                <w:color w:val="auto"/>
              </w:rPr>
            </w:pPr>
          </w:p>
        </w:tc>
      </w:tr>
      <w:tr>
        <w:trPr>
          <w:trHeight w:val="253"/>
        </w:trPr>
        <w:tc>
          <w:tcPr>
            <w:tcW w:w="5240" w:type="dxa"/>
            <w:vAlign w:val="bottom"/>
          </w:tcPr>
          <w:p>
            <w:pPr>
              <w:ind w:left="200"/>
              <w:spacing w:after="0"/>
              <w:rPr>
                <w:sz w:val="20"/>
                <w:szCs w:val="20"/>
                <w:color w:val="auto"/>
              </w:rPr>
            </w:pPr>
            <w:r>
              <w:rPr>
                <w:rFonts w:ascii="Arial" w:cs="Arial" w:eastAsia="Arial" w:hAnsi="Arial"/>
                <w:sz w:val="21"/>
                <w:szCs w:val="21"/>
                <w:color w:val="auto"/>
              </w:rPr>
              <w:t>Circuit-Switched Business</w:t>
            </w:r>
          </w:p>
        </w:tc>
        <w:tc>
          <w:tcPr>
            <w:tcW w:w="400" w:type="dxa"/>
            <w:vAlign w:val="bottom"/>
            <w:vMerge w:val="restart"/>
          </w:tcPr>
          <w:p>
            <w:pPr>
              <w:ind w:left="220"/>
              <w:spacing w:after="0"/>
              <w:rPr>
                <w:sz w:val="20"/>
                <w:szCs w:val="20"/>
                <w:color w:val="auto"/>
              </w:rPr>
            </w:pPr>
            <w:r>
              <w:rPr>
                <w:rFonts w:ascii="Arial" w:cs="Arial" w:eastAsia="Arial" w:hAnsi="Arial"/>
                <w:sz w:val="21"/>
                <w:szCs w:val="21"/>
                <w:b w:val="1"/>
                <w:bCs w:val="1"/>
                <w:color w:val="FFFFFF"/>
              </w:rPr>
              <w:t>•</w:t>
            </w:r>
          </w:p>
        </w:tc>
        <w:tc>
          <w:tcPr>
            <w:tcW w:w="2220" w:type="dxa"/>
            <w:vAlign w:val="bottom"/>
            <w:vMerge w:val="restart"/>
          </w:tcPr>
          <w:p>
            <w:pPr>
              <w:ind w:left="120"/>
              <w:spacing w:after="0"/>
              <w:rPr>
                <w:sz w:val="20"/>
                <w:szCs w:val="20"/>
                <w:color w:val="auto"/>
              </w:rPr>
            </w:pPr>
            <w:r>
              <w:rPr>
                <w:rFonts w:ascii="Arial" w:cs="Arial" w:eastAsia="Arial" w:hAnsi="Arial"/>
                <w:sz w:val="21"/>
                <w:szCs w:val="21"/>
                <w:b w:val="1"/>
                <w:bCs w:val="1"/>
                <w:color w:val="FFFFFF"/>
              </w:rPr>
              <w:t>9.4MM Homes or</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ind w:left="120"/>
              <w:spacing w:after="0"/>
              <w:rPr>
                <w:sz w:val="20"/>
                <w:szCs w:val="20"/>
                <w:color w:val="auto"/>
              </w:rPr>
            </w:pPr>
            <w:r>
              <w:rPr>
                <w:rFonts w:ascii="Arial" w:cs="Arial" w:eastAsia="Arial" w:hAnsi="Arial"/>
                <w:sz w:val="21"/>
                <w:szCs w:val="21"/>
                <w:b w:val="1"/>
                <w:bCs w:val="1"/>
                <w:color w:val="FFFFFF"/>
              </w:rPr>
              <w:t>24% of cable</w:t>
            </w:r>
          </w:p>
        </w:tc>
        <w:tc>
          <w:tcPr>
            <w:tcW w:w="0" w:type="dxa"/>
            <w:vAlign w:val="bottom"/>
          </w:tcPr>
          <w:p>
            <w:pPr>
              <w:spacing w:after="0"/>
              <w:rPr>
                <w:sz w:val="1"/>
                <w:szCs w:val="1"/>
                <w:color w:val="auto"/>
              </w:rPr>
            </w:pPr>
          </w:p>
        </w:tc>
      </w:tr>
      <w:tr>
        <w:trPr>
          <w:trHeight w:val="279"/>
        </w:trPr>
        <w:tc>
          <w:tcPr>
            <w:tcW w:w="5240" w:type="dxa"/>
            <w:vAlign w:val="bottom"/>
          </w:tcPr>
          <w:p>
            <w:pPr>
              <w:ind w:left="340"/>
              <w:spacing w:after="0"/>
              <w:rPr>
                <w:sz w:val="20"/>
                <w:szCs w:val="20"/>
                <w:color w:val="auto"/>
              </w:rPr>
            </w:pPr>
            <w:r>
              <w:rPr>
                <w:rFonts w:ascii="Arial" w:cs="Arial" w:eastAsia="Arial" w:hAnsi="Arial"/>
                <w:sz w:val="21"/>
                <w:szCs w:val="21"/>
                <w:b w:val="1"/>
                <w:bCs w:val="1"/>
                <w:color w:val="CC0000"/>
              </w:rPr>
              <w:t xml:space="preserve">• </w:t>
            </w:r>
            <w:r>
              <w:rPr>
                <w:rFonts w:ascii="Arial" w:cs="Arial" w:eastAsia="Arial" w:hAnsi="Arial"/>
                <w:sz w:val="21"/>
                <w:szCs w:val="21"/>
                <w:color w:val="000000"/>
              </w:rPr>
              <w:t>OCF Margin YE04: 25%</w:t>
            </w:r>
          </w:p>
        </w:tc>
        <w:tc>
          <w:tcPr>
            <w:tcW w:w="400" w:type="dxa"/>
            <w:vAlign w:val="bottom"/>
          </w:tcPr>
          <w:p>
            <w:pPr>
              <w:spacing w:after="0"/>
              <w:rPr>
                <w:sz w:val="24"/>
                <w:szCs w:val="24"/>
                <w:color w:val="auto"/>
              </w:rPr>
            </w:pPr>
          </w:p>
        </w:tc>
        <w:tc>
          <w:tcPr>
            <w:tcW w:w="2220" w:type="dxa"/>
            <w:vAlign w:val="bottom"/>
          </w:tcPr>
          <w:p>
            <w:pPr>
              <w:ind w:left="120"/>
              <w:spacing w:after="0"/>
              <w:rPr>
                <w:sz w:val="20"/>
                <w:szCs w:val="20"/>
                <w:color w:val="auto"/>
              </w:rPr>
            </w:pPr>
            <w:r>
              <w:rPr>
                <w:rFonts w:ascii="Arial" w:cs="Arial" w:eastAsia="Arial" w:hAnsi="Arial"/>
                <w:sz w:val="21"/>
                <w:szCs w:val="21"/>
                <w:b w:val="1"/>
                <w:bCs w:val="1"/>
                <w:color w:val="FFFFFF"/>
              </w:rPr>
              <w:t>footprint</w:t>
            </w:r>
          </w:p>
        </w:tc>
        <w:tc>
          <w:tcPr>
            <w:tcW w:w="0" w:type="dxa"/>
            <w:vAlign w:val="bottom"/>
          </w:tcPr>
          <w:p>
            <w:pPr>
              <w:spacing w:after="0"/>
              <w:rPr>
                <w:sz w:val="1"/>
                <w:szCs w:val="1"/>
                <w:color w:val="auto"/>
              </w:rPr>
            </w:pPr>
          </w:p>
        </w:tc>
      </w:tr>
      <w:tr>
        <w:trPr>
          <w:trHeight w:val="451"/>
        </w:trPr>
        <w:tc>
          <w:tcPr>
            <w:tcW w:w="524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Arial" w:cs="Arial" w:eastAsia="Arial" w:hAnsi="Arial"/>
                <w:sz w:val="21"/>
                <w:szCs w:val="21"/>
                <w:b w:val="1"/>
                <w:bCs w:val="1"/>
                <w:color w:val="FFFFFF"/>
              </w:rPr>
              <w:t>•</w:t>
            </w:r>
          </w:p>
        </w:tc>
        <w:tc>
          <w:tcPr>
            <w:tcW w:w="2220" w:type="dxa"/>
            <w:vAlign w:val="bottom"/>
          </w:tcPr>
          <w:p>
            <w:pPr>
              <w:ind w:left="120"/>
              <w:spacing w:after="0"/>
              <w:rPr>
                <w:sz w:val="20"/>
                <w:szCs w:val="20"/>
                <w:color w:val="auto"/>
              </w:rPr>
            </w:pPr>
            <w:r>
              <w:rPr>
                <w:rFonts w:ascii="Arial" w:cs="Arial" w:eastAsia="Arial" w:hAnsi="Arial"/>
                <w:sz w:val="21"/>
                <w:szCs w:val="21"/>
                <w:b w:val="1"/>
                <w:bCs w:val="1"/>
                <w:color w:val="FFFFFF"/>
              </w:rPr>
              <w:t>Penetration: 13.5%</w:t>
            </w:r>
          </w:p>
        </w:tc>
        <w:tc>
          <w:tcPr>
            <w:tcW w:w="0" w:type="dxa"/>
            <w:vAlign w:val="bottom"/>
          </w:tcPr>
          <w:p>
            <w:pPr>
              <w:spacing w:after="0"/>
              <w:rPr>
                <w:sz w:val="1"/>
                <w:szCs w:val="1"/>
                <w:color w:val="auto"/>
              </w:rPr>
            </w:pPr>
          </w:p>
        </w:tc>
      </w:tr>
    </w:tbl>
    <w:p>
      <w:pPr>
        <w:ind w:left="860" w:hanging="208"/>
        <w:spacing w:after="0"/>
        <w:tabs>
          <w:tab w:leader="none" w:pos="860" w:val="left"/>
        </w:tabs>
        <w:numPr>
          <w:ilvl w:val="0"/>
          <w:numId w:val="8"/>
        </w:numPr>
        <w:rPr>
          <w:rFonts w:ascii="Arial" w:cs="Arial" w:eastAsia="Arial" w:hAnsi="Arial"/>
          <w:sz w:val="21"/>
          <w:szCs w:val="21"/>
          <w:b w:val="1"/>
          <w:bCs w:val="1"/>
          <w:color w:val="CC0000"/>
        </w:rPr>
      </w:pPr>
      <w:r>
        <w:rPr>
          <w:rFonts w:ascii="Arial" w:cs="Arial" w:eastAsia="Arial" w:hAnsi="Arial"/>
          <w:sz w:val="21"/>
          <w:szCs w:val="21"/>
          <w:color w:val="auto"/>
        </w:rPr>
        <w:t>Develop VoIP</w:t>
      </w:r>
    </w:p>
    <w:p>
      <w:pPr>
        <w:spacing w:after="0" w:line="216" w:lineRule="exact"/>
        <w:rPr>
          <w:rFonts w:ascii="Arial" w:cs="Arial" w:eastAsia="Arial" w:hAnsi="Arial"/>
          <w:sz w:val="21"/>
          <w:szCs w:val="21"/>
          <w:b w:val="1"/>
          <w:bCs w:val="1"/>
          <w:color w:val="CC0000"/>
        </w:rPr>
      </w:pPr>
    </w:p>
    <w:p>
      <w:pPr>
        <w:ind w:left="1220" w:hanging="216"/>
        <w:spacing w:after="0"/>
        <w:tabs>
          <w:tab w:leader="none" w:pos="1220" w:val="left"/>
        </w:tabs>
        <w:numPr>
          <w:ilvl w:val="1"/>
          <w:numId w:val="8"/>
        </w:numPr>
        <w:rPr>
          <w:rFonts w:ascii="Arial" w:cs="Arial" w:eastAsia="Arial" w:hAnsi="Arial"/>
          <w:sz w:val="21"/>
          <w:szCs w:val="21"/>
          <w:b w:val="1"/>
          <w:bCs w:val="1"/>
          <w:color w:val="CC0000"/>
        </w:rPr>
      </w:pPr>
      <w:r>
        <w:rPr>
          <w:rFonts w:ascii="Arial" w:cs="Arial" w:eastAsia="Arial" w:hAnsi="Arial"/>
          <w:sz w:val="21"/>
          <w:szCs w:val="21"/>
          <w:color w:val="auto"/>
        </w:rPr>
        <w:t>Build on Existing Phone Experience</w:t>
      </w:r>
    </w:p>
    <w:p>
      <w:pPr>
        <w:spacing w:after="0" w:line="251" w:lineRule="exact"/>
        <w:rPr>
          <w:rFonts w:ascii="Arial" w:cs="Arial" w:eastAsia="Arial" w:hAnsi="Arial"/>
          <w:sz w:val="21"/>
          <w:szCs w:val="21"/>
          <w:b w:val="1"/>
          <w:bCs w:val="1"/>
          <w:color w:val="CC0000"/>
        </w:rPr>
      </w:pPr>
    </w:p>
    <w:p>
      <w:pPr>
        <w:ind w:left="1400" w:right="4519" w:hanging="396"/>
        <w:spacing w:after="0" w:line="250" w:lineRule="auto"/>
        <w:tabs>
          <w:tab w:leader="none" w:pos="1224" w:val="left"/>
        </w:tabs>
        <w:numPr>
          <w:ilvl w:val="1"/>
          <w:numId w:val="8"/>
        </w:numPr>
        <w:rPr>
          <w:rFonts w:ascii="Arial" w:cs="Arial" w:eastAsia="Arial" w:hAnsi="Arial"/>
          <w:sz w:val="21"/>
          <w:szCs w:val="21"/>
          <w:b w:val="1"/>
          <w:bCs w:val="1"/>
          <w:color w:val="CC0000"/>
        </w:rPr>
      </w:pPr>
      <w:r>
        <w:rPr>
          <w:rFonts w:ascii="Arial" w:cs="Arial" w:eastAsia="Arial" w:hAnsi="Arial"/>
          <w:sz w:val="21"/>
          <w:szCs w:val="21"/>
          <w:color w:val="auto"/>
        </w:rPr>
        <w:t>Expand VoIP Launches in 2004: Philadelphia, Springfield, MA and Indianapolis, IN</w:t>
      </w:r>
    </w:p>
    <w:p>
      <w:pPr>
        <w:spacing w:after="0" w:line="195" w:lineRule="exact"/>
        <w:rPr>
          <w:rFonts w:ascii="Arial" w:cs="Arial" w:eastAsia="Arial" w:hAnsi="Arial"/>
          <w:sz w:val="21"/>
          <w:szCs w:val="21"/>
          <w:b w:val="1"/>
          <w:bCs w:val="1"/>
          <w:color w:val="CC0000"/>
        </w:rPr>
      </w:pPr>
    </w:p>
    <w:p>
      <w:pPr>
        <w:ind w:left="1220" w:hanging="216"/>
        <w:spacing w:after="0"/>
        <w:tabs>
          <w:tab w:leader="none" w:pos="1220" w:val="left"/>
        </w:tabs>
        <w:numPr>
          <w:ilvl w:val="1"/>
          <w:numId w:val="8"/>
        </w:numPr>
        <w:rPr>
          <w:rFonts w:ascii="Arial" w:cs="Arial" w:eastAsia="Arial" w:hAnsi="Arial"/>
          <w:sz w:val="21"/>
          <w:szCs w:val="21"/>
          <w:b w:val="1"/>
          <w:bCs w:val="1"/>
          <w:color w:val="CC0000"/>
        </w:rPr>
      </w:pPr>
      <w:r>
        <w:rPr>
          <w:rFonts w:ascii="Arial" w:cs="Arial" w:eastAsia="Arial" w:hAnsi="Arial"/>
          <w:sz w:val="21"/>
          <w:szCs w:val="21"/>
          <w:color w:val="auto"/>
        </w:rPr>
        <w:t>Set Stage for 2005 Rollout</w:t>
      </w:r>
    </w:p>
    <w:p>
      <w:pPr>
        <w:spacing w:after="0" w:line="216" w:lineRule="exact"/>
        <w:rPr>
          <w:rFonts w:ascii="Arial" w:cs="Arial" w:eastAsia="Arial" w:hAnsi="Arial"/>
          <w:sz w:val="21"/>
          <w:szCs w:val="21"/>
          <w:b w:val="1"/>
          <w:bCs w:val="1"/>
          <w:color w:val="CC0000"/>
        </w:rPr>
      </w:pPr>
    </w:p>
    <w:p>
      <w:pPr>
        <w:ind w:left="1580" w:hanging="218"/>
        <w:spacing w:after="0"/>
        <w:tabs>
          <w:tab w:leader="none" w:pos="1580" w:val="left"/>
        </w:tabs>
        <w:numPr>
          <w:ilvl w:val="2"/>
          <w:numId w:val="8"/>
        </w:numPr>
        <w:rPr>
          <w:rFonts w:ascii="Arial" w:cs="Arial" w:eastAsia="Arial" w:hAnsi="Arial"/>
          <w:sz w:val="21"/>
          <w:szCs w:val="21"/>
          <w:b w:val="1"/>
          <w:bCs w:val="1"/>
          <w:color w:val="CC0000"/>
        </w:rPr>
      </w:pPr>
      <w:r>
        <w:rPr>
          <w:rFonts w:ascii="Arial" w:cs="Arial" w:eastAsia="Arial" w:hAnsi="Arial"/>
          <w:sz w:val="21"/>
          <w:szCs w:val="21"/>
          <w:color w:val="auto"/>
        </w:rPr>
        <w:t>50% of plant VoIP-Ready by YE04</w:t>
      </w:r>
    </w:p>
    <w:p>
      <w:pPr>
        <w:spacing w:after="0" w:line="4" w:lineRule="exact"/>
        <w:rPr>
          <w:rFonts w:ascii="Arial" w:cs="Arial" w:eastAsia="Arial" w:hAnsi="Arial"/>
          <w:sz w:val="21"/>
          <w:szCs w:val="21"/>
          <w:b w:val="1"/>
          <w:bCs w:val="1"/>
          <w:color w:val="CC0000"/>
        </w:rPr>
      </w:pPr>
    </w:p>
    <w:p>
      <w:pPr>
        <w:ind w:left="1580" w:hanging="218"/>
        <w:spacing w:after="0"/>
        <w:tabs>
          <w:tab w:leader="none" w:pos="1580" w:val="left"/>
        </w:tabs>
        <w:numPr>
          <w:ilvl w:val="2"/>
          <w:numId w:val="8"/>
        </w:numPr>
        <w:rPr>
          <w:rFonts w:ascii="Arial" w:cs="Arial" w:eastAsia="Arial" w:hAnsi="Arial"/>
          <w:sz w:val="21"/>
          <w:szCs w:val="21"/>
          <w:b w:val="1"/>
          <w:bCs w:val="1"/>
          <w:color w:val="CC0000"/>
        </w:rPr>
      </w:pPr>
      <w:r>
        <w:rPr>
          <w:rFonts w:ascii="Arial" w:cs="Arial" w:eastAsia="Arial" w:hAnsi="Arial"/>
          <w:sz w:val="21"/>
          <w:szCs w:val="21"/>
          <w:color w:val="auto"/>
        </w:rPr>
        <w:t>95% of plant VoIP-Ready by YE05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330200</wp:posOffset>
            </wp:positionV>
            <wp:extent cx="7270115"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39"/>
        <w:spacing w:after="0"/>
        <w:rPr>
          <w:sz w:val="20"/>
          <w:szCs w:val="20"/>
          <w:color w:val="auto"/>
        </w:rPr>
      </w:pPr>
      <w:r>
        <w:rPr>
          <w:rFonts w:ascii="Arial" w:cs="Arial" w:eastAsia="Arial" w:hAnsi="Arial"/>
          <w:sz w:val="38"/>
          <w:szCs w:val="38"/>
          <w:b w:val="1"/>
          <w:bCs w:val="1"/>
          <w:color w:val="auto"/>
        </w:rPr>
        <w:t>Balance Sheet Strength</w:t>
      </w:r>
    </w:p>
    <w:p>
      <w:pPr>
        <w:spacing w:after="0" w:line="63" w:lineRule="exact"/>
        <w:rPr>
          <w:sz w:val="20"/>
          <w:szCs w:val="20"/>
          <w:color w:val="auto"/>
        </w:rPr>
      </w:pPr>
    </w:p>
    <w:p>
      <w:pPr>
        <w:jc w:val="right"/>
        <w:ind w:right="239"/>
        <w:spacing w:after="0"/>
        <w:rPr>
          <w:sz w:val="20"/>
          <w:szCs w:val="20"/>
          <w:color w:val="auto"/>
        </w:rPr>
      </w:pPr>
      <w:r>
        <w:rPr>
          <w:rFonts w:ascii="Arial" w:cs="Arial" w:eastAsia="Arial" w:hAnsi="Arial"/>
          <w:sz w:val="38"/>
          <w:szCs w:val="38"/>
          <w:b w:val="1"/>
          <w:bCs w:val="1"/>
          <w:color w:val="auto"/>
        </w:rPr>
        <w:t>Significant Debt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530860</wp:posOffset>
            </wp:positionV>
            <wp:extent cx="544639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46395" cy="128905"/>
                    </a:xfrm>
                    <a:prstGeom prst="rect">
                      <a:avLst/>
                    </a:prstGeom>
                    <a:noFill/>
                  </pic:spPr>
                </pic:pic>
              </a:graphicData>
            </a:graphic>
          </wp:anchor>
        </w:drawing>
      </w:r>
    </w:p>
    <w:p>
      <w:pPr>
        <w:sectPr>
          <w:pgSz w:w="11900" w:h="16838" w:orient="portrait"/>
          <w:cols w:equalWidth="0" w:num="1">
            <w:col w:w="9019"/>
          </w:cols>
          <w:pgMar w:left="1440" w:top="110" w:right="1440" w:bottom="613" w:gutter="0" w:footer="0" w:header="0"/>
          <w:type w:val="continuous"/>
        </w:sectPr>
      </w:pPr>
    </w:p>
    <w:bookmarkStart w:id="7" w:name="page8"/>
    <w:bookmarkEnd w:id="7"/>
    <w:p>
      <w:pPr>
        <w:spacing w:after="0" w:line="62" w:lineRule="exact"/>
        <w:rPr>
          <w:sz w:val="20"/>
          <w:szCs w:val="20"/>
          <w:color w:val="auto"/>
        </w:rPr>
      </w:pPr>
    </w:p>
    <w:tbl>
      <w:tblPr>
        <w:tblLayout w:type="fixed"/>
        <w:tblInd w:w="220" w:type="dxa"/>
        <w:tblCellMar>
          <w:top w:w="0" w:type="dxa"/>
          <w:left w:w="0" w:type="dxa"/>
          <w:bottom w:w="0" w:type="dxa"/>
          <w:right w:w="0" w:type="dxa"/>
        </w:tblCellMar>
      </w:tblPr>
      <w:tr>
        <w:trPr>
          <w:trHeight w:val="508"/>
        </w:trPr>
        <w:tc>
          <w:tcPr>
            <w:tcW w:w="1740" w:type="dxa"/>
            <w:vAlign w:val="bottom"/>
            <w:shd w:val="clear" w:color="auto" w:fill="000000"/>
          </w:tcPr>
          <w:p>
            <w:pPr>
              <w:ind w:left="20"/>
              <w:spacing w:after="0"/>
              <w:rPr>
                <w:sz w:val="20"/>
                <w:szCs w:val="20"/>
                <w:color w:val="auto"/>
              </w:rPr>
            </w:pPr>
            <w:r>
              <w:rPr>
                <w:rFonts w:ascii="Arial" w:cs="Arial" w:eastAsia="Arial" w:hAnsi="Arial"/>
                <w:sz w:val="19"/>
                <w:szCs w:val="19"/>
                <w:color w:val="FFFFFF"/>
              </w:rPr>
              <w:t>$ In Billions</w:t>
            </w:r>
          </w:p>
        </w:tc>
        <w:tc>
          <w:tcPr>
            <w:tcW w:w="420" w:type="dxa"/>
            <w:vAlign w:val="bottom"/>
            <w:shd w:val="clear" w:color="auto" w:fill="000000"/>
          </w:tcPr>
          <w:p>
            <w:pPr>
              <w:spacing w:after="0"/>
              <w:rPr>
                <w:sz w:val="24"/>
                <w:szCs w:val="24"/>
                <w:color w:val="auto"/>
              </w:rPr>
            </w:pPr>
          </w:p>
        </w:tc>
        <w:tc>
          <w:tcPr>
            <w:tcW w:w="3400" w:type="dxa"/>
            <w:vAlign w:val="bottom"/>
            <w:gridSpan w:val="2"/>
            <w:shd w:val="clear" w:color="auto" w:fill="000000"/>
          </w:tcPr>
          <w:p>
            <w:pPr>
              <w:ind w:left="340"/>
              <w:spacing w:after="0"/>
              <w:rPr>
                <w:sz w:val="20"/>
                <w:szCs w:val="20"/>
                <w:color w:val="auto"/>
              </w:rPr>
            </w:pPr>
            <w:r>
              <w:rPr>
                <w:rFonts w:ascii="Arial" w:cs="Arial" w:eastAsia="Arial" w:hAnsi="Arial"/>
                <w:sz w:val="21"/>
                <w:szCs w:val="21"/>
                <w:b w:val="1"/>
                <w:bCs w:val="1"/>
                <w:color w:val="FFFFFF"/>
              </w:rPr>
              <w:t>November 18, 2002</w:t>
            </w:r>
          </w:p>
        </w:tc>
        <w:tc>
          <w:tcPr>
            <w:tcW w:w="3020" w:type="dxa"/>
            <w:vAlign w:val="bottom"/>
            <w:gridSpan w:val="2"/>
            <w:shd w:val="clear" w:color="auto" w:fill="000000"/>
          </w:tcPr>
          <w:p>
            <w:pPr>
              <w:jc w:val="right"/>
              <w:ind w:right="834"/>
              <w:spacing w:after="0"/>
              <w:rPr>
                <w:sz w:val="20"/>
                <w:szCs w:val="20"/>
                <w:color w:val="auto"/>
              </w:rPr>
            </w:pPr>
            <w:r>
              <w:rPr>
                <w:rFonts w:ascii="Arial" w:cs="Arial" w:eastAsia="Arial" w:hAnsi="Arial"/>
                <w:sz w:val="21"/>
                <w:szCs w:val="21"/>
                <w:b w:val="1"/>
                <w:bCs w:val="1"/>
                <w:color w:val="FFFFFF"/>
              </w:rPr>
              <w:t>December 31, 2003</w:t>
            </w:r>
          </w:p>
        </w:tc>
        <w:tc>
          <w:tcPr>
            <w:tcW w:w="0" w:type="dxa"/>
            <w:vAlign w:val="bottom"/>
          </w:tcPr>
          <w:p>
            <w:pPr>
              <w:spacing w:after="0"/>
              <w:rPr>
                <w:sz w:val="1"/>
                <w:szCs w:val="1"/>
                <w:color w:val="auto"/>
              </w:rPr>
            </w:pPr>
          </w:p>
        </w:tc>
      </w:tr>
      <w:tr>
        <w:trPr>
          <w:trHeight w:val="278"/>
        </w:trPr>
        <w:tc>
          <w:tcPr>
            <w:tcW w:w="174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2580" w:type="dxa"/>
            <w:vAlign w:val="bottom"/>
            <w:shd w:val="clear" w:color="auto" w:fill="000000"/>
          </w:tcPr>
          <w:p>
            <w:pPr>
              <w:spacing w:after="0"/>
              <w:rPr>
                <w:sz w:val="24"/>
                <w:szCs w:val="24"/>
                <w:color w:val="auto"/>
              </w:rPr>
            </w:pPr>
          </w:p>
        </w:tc>
        <w:tc>
          <w:tcPr>
            <w:tcW w:w="820" w:type="dxa"/>
            <w:vAlign w:val="bottom"/>
            <w:vMerge w:val="restart"/>
            <w:shd w:val="clear" w:color="auto" w:fill="000000"/>
          </w:tcPr>
          <w:p>
            <w:pPr>
              <w:ind w:left="140"/>
              <w:spacing w:after="0"/>
              <w:rPr>
                <w:sz w:val="20"/>
                <w:szCs w:val="20"/>
                <w:color w:val="auto"/>
              </w:rPr>
            </w:pPr>
            <w:r>
              <w:rPr>
                <w:rFonts w:ascii="Arial" w:cs="Arial" w:eastAsia="Arial" w:hAnsi="Arial"/>
                <w:sz w:val="21"/>
                <w:szCs w:val="21"/>
                <w:b w:val="1"/>
                <w:bCs w:val="1"/>
                <w:color w:val="FFFFFF"/>
              </w:rPr>
              <w:t>Cash</w:t>
            </w:r>
          </w:p>
        </w:tc>
        <w:tc>
          <w:tcPr>
            <w:tcW w:w="1780" w:type="dxa"/>
            <w:vAlign w:val="bottom"/>
            <w:shd w:val="clear" w:color="auto" w:fill="000000"/>
          </w:tcPr>
          <w:p>
            <w:pPr>
              <w:spacing w:after="0"/>
              <w:rPr>
                <w:sz w:val="24"/>
                <w:szCs w:val="24"/>
                <w:color w:val="auto"/>
              </w:rPr>
            </w:pPr>
          </w:p>
        </w:tc>
        <w:tc>
          <w:tcPr>
            <w:tcW w:w="1240" w:type="dxa"/>
            <w:vAlign w:val="bottom"/>
            <w:vMerge w:val="restart"/>
            <w:shd w:val="clear" w:color="auto" w:fill="000000"/>
          </w:tcPr>
          <w:p>
            <w:pPr>
              <w:jc w:val="right"/>
              <w:spacing w:after="0"/>
              <w:rPr>
                <w:sz w:val="20"/>
                <w:szCs w:val="20"/>
                <w:color w:val="auto"/>
              </w:rPr>
            </w:pPr>
            <w:r>
              <w:rPr>
                <w:rFonts w:ascii="Arial" w:cs="Arial" w:eastAsia="Arial" w:hAnsi="Arial"/>
                <w:sz w:val="21"/>
                <w:szCs w:val="21"/>
                <w:b w:val="1"/>
                <w:bCs w:val="1"/>
                <w:color w:val="FFFFFF"/>
              </w:rPr>
              <w:t>$1.6 Bn</w:t>
            </w:r>
          </w:p>
        </w:tc>
        <w:tc>
          <w:tcPr>
            <w:tcW w:w="0" w:type="dxa"/>
            <w:vAlign w:val="bottom"/>
          </w:tcPr>
          <w:p>
            <w:pPr>
              <w:spacing w:after="0"/>
              <w:rPr>
                <w:sz w:val="1"/>
                <w:szCs w:val="1"/>
                <w:color w:val="auto"/>
              </w:rPr>
            </w:pPr>
          </w:p>
        </w:tc>
      </w:tr>
      <w:tr>
        <w:trPr>
          <w:trHeight w:val="285"/>
        </w:trPr>
        <w:tc>
          <w:tcPr>
            <w:tcW w:w="1740" w:type="dxa"/>
            <w:vAlign w:val="bottom"/>
            <w:tcBorders>
              <w:bottom w:val="single" w:sz="8" w:color="auto"/>
            </w:tcBorders>
            <w:shd w:val="clear" w:color="auto" w:fill="000000"/>
          </w:tcPr>
          <w:p>
            <w:pPr>
              <w:spacing w:after="0"/>
              <w:rPr>
                <w:sz w:val="24"/>
                <w:szCs w:val="24"/>
                <w:color w:val="auto"/>
              </w:rPr>
            </w:pPr>
          </w:p>
        </w:tc>
        <w:tc>
          <w:tcPr>
            <w:tcW w:w="420" w:type="dxa"/>
            <w:vAlign w:val="bottom"/>
            <w:tcBorders>
              <w:bottom w:val="single" w:sz="8" w:color="auto"/>
            </w:tcBorders>
            <w:shd w:val="clear" w:color="auto" w:fill="000000"/>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Borders>
              <w:bottom w:val="single" w:sz="8" w:color="auto"/>
            </w:tcBorders>
            <w:vMerge w:val="continue"/>
            <w:shd w:val="clear" w:color="auto" w:fill="000000"/>
          </w:tcPr>
          <w:p>
            <w:pPr>
              <w:spacing w:after="0"/>
              <w:rPr>
                <w:sz w:val="24"/>
                <w:szCs w:val="24"/>
                <w:color w:val="auto"/>
              </w:rPr>
            </w:pPr>
          </w:p>
        </w:tc>
        <w:tc>
          <w:tcPr>
            <w:tcW w:w="1780" w:type="dxa"/>
            <w:vAlign w:val="bottom"/>
            <w:tcBorders>
              <w:bottom w:val="single" w:sz="8" w:color="auto"/>
            </w:tcBorders>
            <w:shd w:val="clear" w:color="auto" w:fill="000000"/>
          </w:tcPr>
          <w:p>
            <w:pPr>
              <w:spacing w:after="0"/>
              <w:rPr>
                <w:sz w:val="24"/>
                <w:szCs w:val="24"/>
                <w:color w:val="auto"/>
              </w:rPr>
            </w:pPr>
          </w:p>
        </w:tc>
        <w:tc>
          <w:tcPr>
            <w:tcW w:w="1240" w:type="dxa"/>
            <w:vAlign w:val="bottom"/>
            <w:tcBorders>
              <w:bottom w:val="single" w:sz="8" w:color="auto"/>
            </w:tcBorders>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740" w:type="dxa"/>
            <w:vAlign w:val="bottom"/>
            <w:vMerge w:val="restart"/>
            <w:shd w:val="clear" w:color="auto" w:fill="000000"/>
          </w:tcPr>
          <w:p>
            <w:pPr>
              <w:ind w:left="20"/>
              <w:spacing w:after="0"/>
              <w:rPr>
                <w:sz w:val="20"/>
                <w:szCs w:val="20"/>
                <w:color w:val="auto"/>
              </w:rPr>
            </w:pPr>
            <w:r>
              <w:rPr>
                <w:rFonts w:ascii="Arial" w:cs="Arial" w:eastAsia="Arial" w:hAnsi="Arial"/>
                <w:sz w:val="21"/>
                <w:szCs w:val="21"/>
                <w:b w:val="1"/>
                <w:bCs w:val="1"/>
                <w:color w:val="FFFFFF"/>
              </w:rPr>
              <w:t>QUIPS</w:t>
            </w:r>
          </w:p>
        </w:tc>
        <w:tc>
          <w:tcPr>
            <w:tcW w:w="420" w:type="dxa"/>
            <w:vAlign w:val="bottom"/>
            <w:shd w:val="clear" w:color="auto" w:fill="000000"/>
          </w:tcPr>
          <w:p>
            <w:pPr>
              <w:spacing w:after="0"/>
              <w:rPr>
                <w:sz w:val="24"/>
                <w:szCs w:val="24"/>
                <w:color w:val="auto"/>
              </w:rPr>
            </w:pPr>
          </w:p>
        </w:tc>
        <w:tc>
          <w:tcPr>
            <w:tcW w:w="2580" w:type="dxa"/>
            <w:vAlign w:val="bottom"/>
          </w:tcPr>
          <w:p>
            <w:pPr>
              <w:spacing w:after="0"/>
              <w:rPr>
                <w:sz w:val="24"/>
                <w:szCs w:val="24"/>
                <w:color w:val="auto"/>
              </w:rPr>
            </w:pPr>
          </w:p>
        </w:tc>
        <w:tc>
          <w:tcPr>
            <w:tcW w:w="2600" w:type="dxa"/>
            <w:vAlign w:val="bottom"/>
            <w:gridSpan w:val="2"/>
          </w:tcPr>
          <w:p>
            <w:pPr>
              <w:ind w:left="140"/>
              <w:spacing w:after="0"/>
              <w:rPr>
                <w:sz w:val="20"/>
                <w:szCs w:val="20"/>
                <w:color w:val="auto"/>
              </w:rPr>
            </w:pPr>
            <w:r>
              <w:rPr>
                <w:rFonts w:ascii="Arial" w:cs="Arial" w:eastAsia="Arial" w:hAnsi="Arial"/>
                <w:sz w:val="21"/>
                <w:szCs w:val="21"/>
                <w:b w:val="1"/>
                <w:bCs w:val="1"/>
                <w:color w:val="FFFFFF"/>
              </w:rPr>
              <w:t>Net Debt excluding</w:t>
            </w:r>
          </w:p>
        </w:tc>
        <w:tc>
          <w:tcPr>
            <w:tcW w:w="1240" w:type="dxa"/>
            <w:vAlign w:val="bottom"/>
            <w:vMerge w:val="restart"/>
          </w:tcPr>
          <w:p>
            <w:pPr>
              <w:jc w:val="right"/>
              <w:spacing w:after="0"/>
              <w:rPr>
                <w:sz w:val="20"/>
                <w:szCs w:val="20"/>
                <w:color w:val="auto"/>
              </w:rPr>
            </w:pPr>
            <w:r>
              <w:rPr>
                <w:rFonts w:ascii="Arial" w:cs="Arial" w:eastAsia="Arial" w:hAnsi="Arial"/>
                <w:sz w:val="21"/>
                <w:szCs w:val="21"/>
                <w:b w:val="1"/>
                <w:bCs w:val="1"/>
                <w:color w:val="FFFFFF"/>
              </w:rPr>
              <w:t>$21.1 Bn</w:t>
            </w:r>
            <w:r>
              <w:rPr>
                <w:rFonts w:ascii="Arial" w:cs="Arial" w:eastAsia="Arial" w:hAnsi="Arial"/>
                <w:sz w:val="35"/>
                <w:szCs w:val="35"/>
                <w:b w:val="1"/>
                <w:bCs w:val="1"/>
                <w:color w:val="FFFFFF"/>
                <w:vertAlign w:val="superscript"/>
              </w:rPr>
              <w:t>1</w:t>
            </w:r>
          </w:p>
        </w:tc>
        <w:tc>
          <w:tcPr>
            <w:tcW w:w="0" w:type="dxa"/>
            <w:vAlign w:val="bottom"/>
          </w:tcPr>
          <w:p>
            <w:pPr>
              <w:spacing w:after="0"/>
              <w:rPr>
                <w:sz w:val="1"/>
                <w:szCs w:val="1"/>
                <w:color w:val="auto"/>
              </w:rPr>
            </w:pPr>
          </w:p>
        </w:tc>
      </w:tr>
      <w:tr>
        <w:trPr>
          <w:trHeight w:val="217"/>
        </w:trPr>
        <w:tc>
          <w:tcPr>
            <w:tcW w:w="1740" w:type="dxa"/>
            <w:vAlign w:val="bottom"/>
            <w:vMerge w:val="continue"/>
            <w:shd w:val="clear" w:color="auto" w:fill="000000"/>
          </w:tcPr>
          <w:p>
            <w:pPr>
              <w:spacing w:after="0"/>
              <w:rPr>
                <w:sz w:val="18"/>
                <w:szCs w:val="18"/>
                <w:color w:val="auto"/>
              </w:rPr>
            </w:pPr>
          </w:p>
        </w:tc>
        <w:tc>
          <w:tcPr>
            <w:tcW w:w="420" w:type="dxa"/>
            <w:vAlign w:val="bottom"/>
            <w:shd w:val="clear" w:color="auto" w:fill="000000"/>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vMerge w:val="restart"/>
          </w:tcPr>
          <w:p>
            <w:pPr>
              <w:ind w:left="20"/>
              <w:spacing w:after="0"/>
              <w:rPr>
                <w:sz w:val="20"/>
                <w:szCs w:val="20"/>
                <w:color w:val="auto"/>
              </w:rPr>
            </w:pPr>
            <w:r>
              <w:rPr>
                <w:rFonts w:ascii="Arial" w:cs="Arial" w:eastAsia="Arial" w:hAnsi="Arial"/>
                <w:sz w:val="21"/>
                <w:szCs w:val="21"/>
                <w:b w:val="1"/>
                <w:bCs w:val="1"/>
                <w:color w:val="FFFFFF"/>
              </w:rPr>
              <w:t>cash:</w:t>
            </w:r>
          </w:p>
        </w:tc>
        <w:tc>
          <w:tcPr>
            <w:tcW w:w="17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7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9"/>
        </w:trPr>
        <w:tc>
          <w:tcPr>
            <w:tcW w:w="1740" w:type="dxa"/>
            <w:vAlign w:val="bottom"/>
            <w:vMerge w:val="restart"/>
            <w:shd w:val="clear" w:color="auto" w:fill="000000"/>
          </w:tcPr>
          <w:p>
            <w:pPr>
              <w:ind w:left="20"/>
              <w:spacing w:after="0"/>
              <w:rPr>
                <w:sz w:val="20"/>
                <w:szCs w:val="20"/>
                <w:color w:val="auto"/>
              </w:rPr>
            </w:pPr>
            <w:r>
              <w:rPr>
                <w:rFonts w:ascii="Arial" w:cs="Arial" w:eastAsia="Arial" w:hAnsi="Arial"/>
                <w:sz w:val="21"/>
                <w:szCs w:val="21"/>
                <w:b w:val="1"/>
                <w:bCs w:val="1"/>
                <w:color w:val="FFFFFF"/>
              </w:rPr>
              <w:t>Bridge Loan</w:t>
            </w:r>
          </w:p>
        </w:tc>
        <w:tc>
          <w:tcPr>
            <w:tcW w:w="420" w:type="dxa"/>
            <w:vAlign w:val="bottom"/>
            <w:shd w:val="clear" w:color="auto" w:fill="000000"/>
          </w:tcPr>
          <w:p>
            <w:pPr>
              <w:spacing w:after="0"/>
              <w:rPr>
                <w:sz w:val="24"/>
                <w:szCs w:val="24"/>
                <w:color w:val="auto"/>
              </w:rPr>
            </w:pPr>
          </w:p>
        </w:tc>
        <w:tc>
          <w:tcPr>
            <w:tcW w:w="2580" w:type="dxa"/>
            <w:vAlign w:val="bottom"/>
          </w:tcPr>
          <w:p>
            <w:pPr>
              <w:spacing w:after="0"/>
              <w:rPr>
                <w:sz w:val="24"/>
                <w:szCs w:val="24"/>
                <w:color w:val="auto"/>
              </w:rPr>
            </w:pPr>
          </w:p>
        </w:tc>
        <w:tc>
          <w:tcPr>
            <w:tcW w:w="2600" w:type="dxa"/>
            <w:vAlign w:val="bottom"/>
            <w:gridSpan w:val="2"/>
            <w:vMerge w:val="restart"/>
          </w:tcPr>
          <w:p>
            <w:pPr>
              <w:ind w:left="140"/>
              <w:spacing w:after="0"/>
              <w:rPr>
                <w:sz w:val="20"/>
                <w:szCs w:val="20"/>
                <w:color w:val="auto"/>
              </w:rPr>
            </w:pPr>
            <w:r>
              <w:rPr>
                <w:rFonts w:ascii="Arial" w:cs="Arial" w:eastAsia="Arial" w:hAnsi="Arial"/>
                <w:sz w:val="21"/>
                <w:szCs w:val="21"/>
                <w:b w:val="1"/>
                <w:bCs w:val="1"/>
                <w:color w:val="FFFFFF"/>
              </w:rPr>
              <w:t>Non-Strategic Assets:</w:t>
            </w:r>
          </w:p>
        </w:tc>
        <w:tc>
          <w:tcPr>
            <w:tcW w:w="1240" w:type="dxa"/>
            <w:vAlign w:val="bottom"/>
          </w:tcPr>
          <w:p>
            <w:pPr>
              <w:jc w:val="right"/>
              <w:spacing w:after="0"/>
              <w:rPr>
                <w:sz w:val="20"/>
                <w:szCs w:val="20"/>
                <w:color w:val="auto"/>
              </w:rPr>
            </w:pPr>
            <w:r>
              <w:rPr>
                <w:rFonts w:ascii="Arial" w:cs="Arial" w:eastAsia="Arial" w:hAnsi="Arial"/>
                <w:sz w:val="21"/>
                <w:szCs w:val="21"/>
                <w:b w:val="1"/>
                <w:bCs w:val="1"/>
                <w:color w:val="FFFFFF"/>
              </w:rPr>
              <w:t>$10 - $12</w:t>
            </w:r>
          </w:p>
        </w:tc>
        <w:tc>
          <w:tcPr>
            <w:tcW w:w="0" w:type="dxa"/>
            <w:vAlign w:val="bottom"/>
          </w:tcPr>
          <w:p>
            <w:pPr>
              <w:spacing w:after="0"/>
              <w:rPr>
                <w:sz w:val="1"/>
                <w:szCs w:val="1"/>
                <w:color w:val="auto"/>
              </w:rPr>
            </w:pPr>
          </w:p>
        </w:tc>
      </w:tr>
      <w:tr>
        <w:trPr>
          <w:trHeight w:val="162"/>
        </w:trPr>
        <w:tc>
          <w:tcPr>
            <w:tcW w:w="1740" w:type="dxa"/>
            <w:vAlign w:val="bottom"/>
            <w:vMerge w:val="continue"/>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25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21"/>
                <w:szCs w:val="21"/>
                <w:b w:val="1"/>
                <w:bCs w:val="1"/>
                <w:color w:val="FFFFFF"/>
              </w:rPr>
              <w:t>Bn</w:t>
            </w:r>
          </w:p>
        </w:tc>
        <w:tc>
          <w:tcPr>
            <w:tcW w:w="0" w:type="dxa"/>
            <w:vAlign w:val="bottom"/>
          </w:tcPr>
          <w:p>
            <w:pPr>
              <w:spacing w:after="0"/>
              <w:rPr>
                <w:sz w:val="1"/>
                <w:szCs w:val="1"/>
                <w:color w:val="auto"/>
              </w:rPr>
            </w:pPr>
          </w:p>
        </w:tc>
      </w:tr>
      <w:tr>
        <w:trPr>
          <w:trHeight w:val="117"/>
        </w:trPr>
        <w:tc>
          <w:tcPr>
            <w:tcW w:w="174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74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-1586230</wp:posOffset>
            </wp:positionV>
            <wp:extent cx="5446395" cy="3680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46395" cy="36804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21"/>
          <w:szCs w:val="21"/>
          <w:b w:val="1"/>
          <w:bCs w:val="1"/>
          <w:color w:val="FFFFFF"/>
        </w:rPr>
        <w:t>Bank Debt (&gt; 1yr)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FFFFFF"/>
        </w:rPr>
        <w:t>Public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FFFFFF"/>
        </w:rPr>
        <w:t>Other</w:t>
      </w:r>
    </w:p>
    <w:p>
      <w:pPr>
        <w:spacing w:after="0" w:line="322" w:lineRule="exact"/>
        <w:rPr>
          <w:sz w:val="20"/>
          <w:szCs w:val="20"/>
          <w:color w:val="auto"/>
        </w:rPr>
      </w:pPr>
    </w:p>
    <w:tbl>
      <w:tblPr>
        <w:tblLayout w:type="fixed"/>
        <w:tblInd w:w="240" w:type="dxa"/>
        <w:tblCellMar>
          <w:top w:w="0" w:type="dxa"/>
          <w:left w:w="0" w:type="dxa"/>
          <w:bottom w:w="0" w:type="dxa"/>
          <w:right w:w="0" w:type="dxa"/>
        </w:tblCellMar>
      </w:tblPr>
      <w:tr>
        <w:trPr>
          <w:trHeight w:val="472"/>
        </w:trPr>
        <w:tc>
          <w:tcPr>
            <w:tcW w:w="1800" w:type="dxa"/>
            <w:vAlign w:val="bottom"/>
          </w:tcPr>
          <w:p>
            <w:pPr>
              <w:spacing w:after="0"/>
              <w:rPr>
                <w:sz w:val="20"/>
                <w:szCs w:val="20"/>
                <w:color w:val="auto"/>
              </w:rPr>
            </w:pPr>
            <w:r>
              <w:rPr>
                <w:rFonts w:ascii="Arial" w:cs="Arial" w:eastAsia="Arial" w:hAnsi="Arial"/>
                <w:sz w:val="21"/>
                <w:szCs w:val="21"/>
                <w:b w:val="1"/>
                <w:bCs w:val="1"/>
                <w:color w:val="FFFFFF"/>
              </w:rPr>
              <w:t>Total</w:t>
            </w:r>
          </w:p>
        </w:tc>
        <w:tc>
          <w:tcPr>
            <w:tcW w:w="2920" w:type="dxa"/>
            <w:vAlign w:val="bottom"/>
          </w:tcPr>
          <w:p>
            <w:pPr>
              <w:jc w:val="right"/>
              <w:ind w:right="874"/>
              <w:spacing w:after="0"/>
              <w:rPr>
                <w:sz w:val="20"/>
                <w:szCs w:val="20"/>
                <w:color w:val="auto"/>
              </w:rPr>
            </w:pPr>
            <w:r>
              <w:rPr>
                <w:rFonts w:ascii="Arial" w:cs="Arial" w:eastAsia="Arial" w:hAnsi="Arial"/>
                <w:sz w:val="21"/>
                <w:szCs w:val="21"/>
                <w:b w:val="1"/>
                <w:bCs w:val="1"/>
                <w:color w:val="FFFFFF"/>
              </w:rPr>
              <w:t>$34.8</w:t>
            </w:r>
            <w:r>
              <w:rPr>
                <w:rFonts w:ascii="Arial" w:cs="Arial" w:eastAsia="Arial" w:hAnsi="Arial"/>
                <w:sz w:val="35"/>
                <w:szCs w:val="35"/>
                <w:b w:val="1"/>
                <w:bCs w:val="1"/>
                <w:color w:val="FFFFFF"/>
                <w:vertAlign w:val="superscript"/>
              </w:rPr>
              <w:t>1</w:t>
            </w:r>
          </w:p>
        </w:tc>
        <w:tc>
          <w:tcPr>
            <w:tcW w:w="1600" w:type="dxa"/>
            <w:vAlign w:val="bottom"/>
          </w:tcPr>
          <w:p>
            <w:pPr>
              <w:jc w:val="right"/>
              <w:spacing w:after="0"/>
              <w:rPr>
                <w:sz w:val="20"/>
                <w:szCs w:val="20"/>
                <w:color w:val="auto"/>
              </w:rPr>
            </w:pPr>
            <w:r>
              <w:rPr>
                <w:rFonts w:ascii="Arial" w:cs="Arial" w:eastAsia="Arial" w:hAnsi="Arial"/>
                <w:sz w:val="21"/>
                <w:szCs w:val="21"/>
                <w:b w:val="1"/>
                <w:bCs w:val="1"/>
                <w:color w:val="FFFFFF"/>
              </w:rPr>
              <w:t>$22.7</w:t>
            </w:r>
            <w:r>
              <w:rPr>
                <w:rFonts w:ascii="Arial" w:cs="Arial" w:eastAsia="Arial" w:hAnsi="Arial"/>
                <w:sz w:val="35"/>
                <w:szCs w:val="35"/>
                <w:b w:val="1"/>
                <w:bCs w:val="1"/>
                <w:color w:val="FFFFFF"/>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83185</wp:posOffset>
            </wp:positionV>
            <wp:extent cx="5446395" cy="551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6395" cy="551180"/>
                    </a:xfrm>
                    <a:prstGeom prst="rect">
                      <a:avLst/>
                    </a:prstGeom>
                    <a:noFill/>
                  </pic:spPr>
                </pic:pic>
              </a:graphicData>
            </a:graphic>
          </wp:anchor>
        </w:drawing>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31"/>
          <w:szCs w:val="31"/>
          <w:color w:val="FFFFFF"/>
          <w:vertAlign w:val="superscript"/>
        </w:rPr>
        <w:t>1</w:t>
      </w:r>
      <w:r>
        <w:rPr>
          <w:rFonts w:ascii="Arial" w:cs="Arial" w:eastAsia="Arial" w:hAnsi="Arial"/>
          <w:sz w:val="19"/>
          <w:szCs w:val="19"/>
          <w:color w:val="FFFFFF"/>
        </w:rPr>
        <w:t>Excludes $5.5 billion of notes exchangeable into common stcok</w:t>
      </w:r>
    </w:p>
    <w:p>
      <w:pPr>
        <w:ind w:left="240"/>
        <w:spacing w:after="0" w:line="198" w:lineRule="auto"/>
        <w:rPr>
          <w:sz w:val="20"/>
          <w:szCs w:val="20"/>
          <w:color w:val="auto"/>
        </w:rPr>
      </w:pPr>
      <w:r>
        <w:rPr>
          <w:rFonts w:ascii="Arial" w:cs="Arial" w:eastAsia="Arial" w:hAnsi="Arial"/>
          <w:sz w:val="31"/>
          <w:szCs w:val="31"/>
          <w:color w:val="FFFFFF"/>
          <w:vertAlign w:val="superscript"/>
        </w:rPr>
        <w:t>2</w:t>
      </w:r>
      <w:r>
        <w:rPr>
          <w:rFonts w:ascii="Arial" w:cs="Arial" w:eastAsia="Arial" w:hAnsi="Arial"/>
          <w:sz w:val="19"/>
          <w:szCs w:val="19"/>
          <w:color w:val="FFFFFF"/>
        </w:rPr>
        <w:t>Excludes $4.3 billion of notes exchangeable into common stcok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589280</wp:posOffset>
            </wp:positionV>
            <wp:extent cx="7270115"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99"/>
        <w:spacing w:after="0"/>
        <w:rPr>
          <w:sz w:val="20"/>
          <w:szCs w:val="20"/>
          <w:color w:val="auto"/>
        </w:rPr>
      </w:pPr>
      <w:r>
        <w:rPr>
          <w:rFonts w:ascii="Arial" w:cs="Arial" w:eastAsia="Arial" w:hAnsi="Arial"/>
          <w:sz w:val="38"/>
          <w:szCs w:val="38"/>
          <w:b w:val="1"/>
          <w:bCs w:val="1"/>
          <w:color w:val="auto"/>
        </w:rPr>
        <w:t>Non-Strategic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296545</wp:posOffset>
            </wp:positionV>
            <wp:extent cx="5081270" cy="424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8127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Asset Value: $10 - $12 Billion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20" w:hanging="407"/>
        <w:spacing w:after="0"/>
        <w:tabs>
          <w:tab w:leader="none" w:pos="920" w:val="left"/>
        </w:tabs>
        <w:numPr>
          <w:ilvl w:val="0"/>
          <w:numId w:val="9"/>
        </w:numPr>
        <w:rPr>
          <w:rFonts w:ascii="Arial" w:cs="Arial" w:eastAsia="Arial" w:hAnsi="Arial"/>
          <w:sz w:val="21"/>
          <w:szCs w:val="21"/>
          <w:b w:val="1"/>
          <w:bCs w:val="1"/>
          <w:color w:val="CC0000"/>
        </w:rPr>
      </w:pPr>
      <w:r>
        <w:rPr>
          <w:rFonts w:ascii="Arial" w:cs="Arial" w:eastAsia="Arial" w:hAnsi="Arial"/>
          <w:sz w:val="21"/>
          <w:szCs w:val="21"/>
          <w:b w:val="1"/>
          <w:bCs w:val="1"/>
          <w:color w:val="auto"/>
        </w:rPr>
        <w:t>$1.5 Billion Liberty Media Stock</w:t>
      </w:r>
    </w:p>
    <w:p>
      <w:pPr>
        <w:spacing w:after="0" w:line="200" w:lineRule="exact"/>
        <w:rPr>
          <w:rFonts w:ascii="Arial" w:cs="Arial" w:eastAsia="Arial" w:hAnsi="Arial"/>
          <w:sz w:val="21"/>
          <w:szCs w:val="21"/>
          <w:b w:val="1"/>
          <w:bCs w:val="1"/>
          <w:color w:val="CC0000"/>
        </w:rPr>
      </w:pPr>
    </w:p>
    <w:p>
      <w:pPr>
        <w:spacing w:after="0" w:line="227" w:lineRule="exact"/>
        <w:rPr>
          <w:rFonts w:ascii="Arial" w:cs="Arial" w:eastAsia="Arial" w:hAnsi="Arial"/>
          <w:sz w:val="21"/>
          <w:szCs w:val="21"/>
          <w:b w:val="1"/>
          <w:bCs w:val="1"/>
          <w:color w:val="CC0000"/>
        </w:rPr>
      </w:pPr>
    </w:p>
    <w:p>
      <w:pPr>
        <w:ind w:left="920" w:hanging="407"/>
        <w:spacing w:after="0"/>
        <w:tabs>
          <w:tab w:leader="none" w:pos="920" w:val="left"/>
        </w:tabs>
        <w:numPr>
          <w:ilvl w:val="0"/>
          <w:numId w:val="9"/>
        </w:numPr>
        <w:rPr>
          <w:rFonts w:ascii="Arial" w:cs="Arial" w:eastAsia="Arial" w:hAnsi="Arial"/>
          <w:sz w:val="21"/>
          <w:szCs w:val="21"/>
          <w:b w:val="1"/>
          <w:bCs w:val="1"/>
          <w:color w:val="CC0000"/>
        </w:rPr>
      </w:pPr>
      <w:r>
        <w:rPr>
          <w:rFonts w:ascii="Arial" w:cs="Arial" w:eastAsia="Arial" w:hAnsi="Arial"/>
          <w:sz w:val="21"/>
          <w:szCs w:val="21"/>
          <w:b w:val="1"/>
          <w:bCs w:val="1"/>
          <w:color w:val="auto"/>
        </w:rPr>
        <w:t>$1.5 Billion in TWX Stock</w:t>
      </w:r>
    </w:p>
    <w:p>
      <w:pPr>
        <w:spacing w:after="0" w:line="200" w:lineRule="exact"/>
        <w:rPr>
          <w:rFonts w:ascii="Arial" w:cs="Arial" w:eastAsia="Arial" w:hAnsi="Arial"/>
          <w:sz w:val="21"/>
          <w:szCs w:val="21"/>
          <w:b w:val="1"/>
          <w:bCs w:val="1"/>
          <w:color w:val="CC0000"/>
        </w:rPr>
      </w:pPr>
    </w:p>
    <w:p>
      <w:pPr>
        <w:spacing w:after="0" w:line="227" w:lineRule="exact"/>
        <w:rPr>
          <w:rFonts w:ascii="Arial" w:cs="Arial" w:eastAsia="Arial" w:hAnsi="Arial"/>
          <w:sz w:val="21"/>
          <w:szCs w:val="21"/>
          <w:b w:val="1"/>
          <w:bCs w:val="1"/>
          <w:color w:val="CC0000"/>
        </w:rPr>
      </w:pPr>
    </w:p>
    <w:p>
      <w:pPr>
        <w:ind w:left="920" w:hanging="407"/>
        <w:spacing w:after="0"/>
        <w:tabs>
          <w:tab w:leader="none" w:pos="920" w:val="left"/>
        </w:tabs>
        <w:numPr>
          <w:ilvl w:val="0"/>
          <w:numId w:val="9"/>
        </w:numPr>
        <w:rPr>
          <w:rFonts w:ascii="Arial" w:cs="Arial" w:eastAsia="Arial" w:hAnsi="Arial"/>
          <w:sz w:val="21"/>
          <w:szCs w:val="21"/>
          <w:b w:val="1"/>
          <w:bCs w:val="1"/>
          <w:color w:val="CC0000"/>
        </w:rPr>
      </w:pPr>
      <w:r>
        <w:rPr>
          <w:rFonts w:ascii="Arial" w:cs="Arial" w:eastAsia="Arial" w:hAnsi="Arial"/>
          <w:sz w:val="21"/>
          <w:szCs w:val="21"/>
          <w:b w:val="1"/>
          <w:bCs w:val="1"/>
          <w:color w:val="auto"/>
        </w:rPr>
        <w:t>21% Interest in Time Warner Cable</w:t>
      </w:r>
    </w:p>
    <w:p>
      <w:pPr>
        <w:spacing w:after="0" w:line="200" w:lineRule="exact"/>
        <w:rPr>
          <w:rFonts w:ascii="Arial" w:cs="Arial" w:eastAsia="Arial" w:hAnsi="Arial"/>
          <w:sz w:val="21"/>
          <w:szCs w:val="21"/>
          <w:b w:val="1"/>
          <w:bCs w:val="1"/>
          <w:color w:val="CC0000"/>
        </w:rPr>
      </w:pPr>
    </w:p>
    <w:p>
      <w:pPr>
        <w:spacing w:after="0" w:line="227" w:lineRule="exact"/>
        <w:rPr>
          <w:rFonts w:ascii="Arial" w:cs="Arial" w:eastAsia="Arial" w:hAnsi="Arial"/>
          <w:sz w:val="21"/>
          <w:szCs w:val="21"/>
          <w:b w:val="1"/>
          <w:bCs w:val="1"/>
          <w:color w:val="CC0000"/>
        </w:rPr>
      </w:pPr>
    </w:p>
    <w:p>
      <w:pPr>
        <w:ind w:left="920" w:hanging="407"/>
        <w:spacing w:after="0"/>
        <w:tabs>
          <w:tab w:leader="none" w:pos="920" w:val="left"/>
        </w:tabs>
        <w:numPr>
          <w:ilvl w:val="0"/>
          <w:numId w:val="9"/>
        </w:numPr>
        <w:rPr>
          <w:rFonts w:ascii="Arial" w:cs="Arial" w:eastAsia="Arial" w:hAnsi="Arial"/>
          <w:sz w:val="21"/>
          <w:szCs w:val="21"/>
          <w:b w:val="1"/>
          <w:bCs w:val="1"/>
          <w:color w:val="CC0000"/>
        </w:rPr>
      </w:pPr>
      <w:r>
        <w:rPr>
          <w:rFonts w:ascii="Arial" w:cs="Arial" w:eastAsia="Arial" w:hAnsi="Arial"/>
          <w:sz w:val="21"/>
          <w:szCs w:val="21"/>
          <w:b w:val="1"/>
          <w:bCs w:val="1"/>
          <w:color w:val="auto"/>
        </w:rPr>
        <w:t>Other Cable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346710</wp:posOffset>
            </wp:positionV>
            <wp:extent cx="7270115"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Significant FCF Generation</w:t>
      </w: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p>
        </w:tc>
        <w:tc>
          <w:tcPr>
            <w:tcW w:w="3480" w:type="dxa"/>
            <w:vAlign w:val="bottom"/>
            <w:gridSpan w:val="4"/>
          </w:tcPr>
          <w:p>
            <w:pPr>
              <w:jc w:val="center"/>
              <w:ind w:right="440"/>
              <w:spacing w:after="0"/>
              <w:rPr>
                <w:sz w:val="20"/>
                <w:szCs w:val="20"/>
                <w:color w:val="auto"/>
              </w:rPr>
            </w:pPr>
            <w:r>
              <w:rPr>
                <w:rFonts w:ascii="Arial" w:cs="Arial" w:eastAsia="Arial" w:hAnsi="Arial"/>
                <w:sz w:val="21"/>
                <w:szCs w:val="21"/>
                <w:b w:val="1"/>
                <w:bCs w:val="1"/>
                <w:color w:val="auto"/>
                <w:w w:val="99"/>
              </w:rPr>
              <w:t>Decrease in total cable 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...leads to significant FCF* generation</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160" w:type="dxa"/>
            <w:vAlign w:val="bottom"/>
            <w:tcBorders>
              <w:top w:val="single" w:sz="8" w:color="auto"/>
            </w:tcBorders>
            <w:gridSpan w:val="2"/>
            <w:vMerge w:val="restart"/>
          </w:tcPr>
          <w:p>
            <w:pPr>
              <w:jc w:val="center"/>
              <w:ind w:right="840"/>
              <w:spacing w:after="0" w:line="227" w:lineRule="exact"/>
              <w:rPr>
                <w:sz w:val="20"/>
                <w:szCs w:val="20"/>
                <w:color w:val="auto"/>
              </w:rPr>
            </w:pPr>
            <w:r>
              <w:rPr>
                <w:rFonts w:ascii="Arial" w:cs="Arial" w:eastAsia="Arial" w:hAnsi="Arial"/>
                <w:sz w:val="21"/>
                <w:szCs w:val="21"/>
                <w:b w:val="1"/>
                <w:bCs w:val="1"/>
                <w:color w:val="auto"/>
              </w:rPr>
              <w:t>expenditures</w:t>
            </w:r>
          </w:p>
        </w:tc>
        <w:tc>
          <w:tcPr>
            <w:tcW w:w="46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160" w:type="dxa"/>
            <w:vAlign w:val="bottom"/>
            <w:tcBorders>
              <w:top w:val="single" w:sz="8" w:color="auto"/>
            </w:tcBorders>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9"/>
        </w:trPr>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4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132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7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140" w:right="1440" w:bottom="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1243965</wp:posOffset>
            </wp:positionH>
            <wp:positionV relativeFrom="page">
              <wp:posOffset>88900</wp:posOffset>
            </wp:positionV>
            <wp:extent cx="5081270" cy="2458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81270" cy="245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 w:right="919"/>
        <w:spacing w:after="0"/>
        <w:rPr>
          <w:sz w:val="20"/>
          <w:szCs w:val="20"/>
          <w:color w:val="auto"/>
        </w:rPr>
      </w:pPr>
      <w:r>
        <w:rPr>
          <w:rFonts w:ascii="Arial" w:cs="Arial" w:eastAsia="Arial" w:hAnsi="Arial"/>
          <w:sz w:val="19"/>
          <w:szCs w:val="19"/>
          <w:color w:val="auto"/>
        </w:rPr>
        <w:t>*Operating Cash Flow less Cap Ex, Interest Expense and Cash Taxes. All amounts exclude QVC and One-Time Tax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453390</wp:posOffset>
            </wp:positionV>
            <wp:extent cx="7270115"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00"/>
        <w:spacing w:after="0"/>
        <w:rPr>
          <w:sz w:val="20"/>
          <w:szCs w:val="20"/>
          <w:color w:val="auto"/>
        </w:rPr>
      </w:pPr>
      <w:r>
        <w:rPr>
          <w:rFonts w:ascii="Arial" w:cs="Arial" w:eastAsia="Arial" w:hAnsi="Arial"/>
          <w:sz w:val="38"/>
          <w:szCs w:val="38"/>
          <w:b w:val="1"/>
          <w:bCs w:val="1"/>
          <w:color w:val="auto"/>
        </w:rPr>
        <w:t>Why Disney?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Combination Creates Significant New Business Opportunities</w:t>
      </w:r>
    </w:p>
    <w:p>
      <w:pPr>
        <w:spacing w:after="0" w:line="224" w:lineRule="exact"/>
        <w:rPr>
          <w:sz w:val="20"/>
          <w:szCs w:val="20"/>
          <w:color w:val="auto"/>
        </w:rPr>
      </w:pPr>
    </w:p>
    <w:p>
      <w:pPr>
        <w:ind w:left="920" w:hanging="407"/>
        <w:spacing w:after="0"/>
        <w:tabs>
          <w:tab w:leader="none" w:pos="920" w:val="left"/>
        </w:tabs>
        <w:numPr>
          <w:ilvl w:val="0"/>
          <w:numId w:val="10"/>
        </w:numPr>
        <w:rPr>
          <w:rFonts w:ascii="Arial" w:cs="Arial" w:eastAsia="Arial" w:hAnsi="Arial"/>
          <w:sz w:val="21"/>
          <w:szCs w:val="21"/>
          <w:color w:val="FF0000"/>
        </w:rPr>
      </w:pPr>
      <w:r>
        <w:rPr>
          <w:rFonts w:ascii="Arial" w:cs="Arial" w:eastAsia="Arial" w:hAnsi="Arial"/>
          <w:sz w:val="21"/>
          <w:szCs w:val="21"/>
          <w:color w:val="auto"/>
        </w:rPr>
        <w:t>Launch New Cable Channels</w:t>
      </w:r>
    </w:p>
    <w:p>
      <w:pPr>
        <w:spacing w:after="0" w:line="200" w:lineRule="exact"/>
        <w:rPr>
          <w:rFonts w:ascii="Arial" w:cs="Arial" w:eastAsia="Arial" w:hAnsi="Arial"/>
          <w:sz w:val="21"/>
          <w:szCs w:val="21"/>
          <w:color w:val="FF0000"/>
        </w:rPr>
      </w:pPr>
    </w:p>
    <w:p>
      <w:pPr>
        <w:spacing w:after="0" w:line="227" w:lineRule="exact"/>
        <w:rPr>
          <w:rFonts w:ascii="Arial" w:cs="Arial" w:eastAsia="Arial" w:hAnsi="Arial"/>
          <w:sz w:val="21"/>
          <w:szCs w:val="21"/>
          <w:color w:val="FF0000"/>
        </w:rPr>
      </w:pPr>
    </w:p>
    <w:p>
      <w:pPr>
        <w:ind w:left="920" w:right="2379" w:hanging="407"/>
        <w:spacing w:after="0" w:line="452" w:lineRule="auto"/>
        <w:tabs>
          <w:tab w:leader="none" w:pos="920" w:val="left"/>
        </w:tabs>
        <w:numPr>
          <w:ilvl w:val="0"/>
          <w:numId w:val="10"/>
        </w:numPr>
        <w:rPr>
          <w:rFonts w:ascii="Arial" w:cs="Arial" w:eastAsia="Arial" w:hAnsi="Arial"/>
          <w:sz w:val="21"/>
          <w:szCs w:val="21"/>
          <w:color w:val="FF0000"/>
        </w:rPr>
      </w:pPr>
      <w:r>
        <w:rPr>
          <w:rFonts w:ascii="Arial" w:cs="Arial" w:eastAsia="Arial" w:hAnsi="Arial"/>
          <w:sz w:val="21"/>
          <w:szCs w:val="21"/>
          <w:color w:val="auto"/>
        </w:rPr>
        <w:t xml:space="preserve">Maximize On Demand Capability for Digital Cable Customers </w:t>
      </w:r>
      <w:r>
        <w:rPr>
          <w:rFonts w:ascii="Arial" w:cs="Arial" w:eastAsia="Arial" w:hAnsi="Arial"/>
          <w:sz w:val="18"/>
          <w:szCs w:val="18"/>
          <w:color w:val="FF0000"/>
        </w:rPr>
        <w:t xml:space="preserve">n </w:t>
      </w:r>
      <w:r>
        <w:rPr>
          <w:rFonts w:ascii="Arial" w:cs="Arial" w:eastAsia="Arial" w:hAnsi="Arial"/>
          <w:sz w:val="21"/>
          <w:szCs w:val="21"/>
          <w:color w:val="000000"/>
        </w:rPr>
        <w:t>VOD Movies In Attractive Windows</w:t>
      </w:r>
    </w:p>
    <w:p>
      <w:pPr>
        <w:spacing w:after="0" w:line="1" w:lineRule="exact"/>
        <w:rPr>
          <w:rFonts w:ascii="Arial" w:cs="Arial" w:eastAsia="Arial" w:hAnsi="Arial"/>
          <w:sz w:val="21"/>
          <w:szCs w:val="21"/>
          <w:color w:val="FF0000"/>
        </w:rPr>
      </w:pPr>
    </w:p>
    <w:p>
      <w:pPr>
        <w:ind w:left="920"/>
        <w:spacing w:after="0"/>
        <w:rPr>
          <w:rFonts w:ascii="Arial" w:cs="Arial" w:eastAsia="Arial" w:hAnsi="Arial"/>
          <w:sz w:val="21"/>
          <w:szCs w:val="21"/>
          <w:color w:val="FF0000"/>
        </w:rPr>
      </w:pPr>
      <w:r>
        <w:rPr>
          <w:rFonts w:ascii="Arial" w:cs="Arial" w:eastAsia="Arial" w:hAnsi="Arial"/>
          <w:sz w:val="19"/>
          <w:szCs w:val="19"/>
          <w:color w:val="FF0000"/>
        </w:rPr>
        <w:t xml:space="preserve">n    </w:t>
      </w:r>
      <w:r>
        <w:rPr>
          <w:rFonts w:ascii="Arial" w:cs="Arial" w:eastAsia="Arial" w:hAnsi="Arial"/>
          <w:sz w:val="21"/>
          <w:szCs w:val="21"/>
          <w:color w:val="000000"/>
        </w:rPr>
        <w:t>Time Shifted ABC Programming</w:t>
      </w:r>
    </w:p>
    <w:p>
      <w:pPr>
        <w:spacing w:after="0" w:line="216" w:lineRule="exact"/>
        <w:rPr>
          <w:rFonts w:ascii="Arial" w:cs="Arial" w:eastAsia="Arial" w:hAnsi="Arial"/>
          <w:sz w:val="21"/>
          <w:szCs w:val="21"/>
          <w:color w:val="FF0000"/>
        </w:rPr>
      </w:pPr>
    </w:p>
    <w:p>
      <w:pPr>
        <w:ind w:left="920"/>
        <w:spacing w:after="0"/>
        <w:rPr>
          <w:rFonts w:ascii="Arial" w:cs="Arial" w:eastAsia="Arial" w:hAnsi="Arial"/>
          <w:sz w:val="21"/>
          <w:szCs w:val="21"/>
          <w:color w:val="FF0000"/>
        </w:rPr>
      </w:pPr>
      <w:r>
        <w:rPr>
          <w:rFonts w:ascii="Arial" w:cs="Arial" w:eastAsia="Arial" w:hAnsi="Arial"/>
          <w:sz w:val="19"/>
          <w:szCs w:val="19"/>
          <w:color w:val="FF0000"/>
        </w:rPr>
        <w:t xml:space="preserve">n    </w:t>
      </w:r>
      <w:r>
        <w:rPr>
          <w:rFonts w:ascii="Arial" w:cs="Arial" w:eastAsia="Arial" w:hAnsi="Arial"/>
          <w:sz w:val="21"/>
          <w:szCs w:val="21"/>
          <w:color w:val="000000"/>
        </w:rPr>
        <w:t>ESPN Interactive Television Features</w:t>
      </w:r>
    </w:p>
    <w:p>
      <w:pPr>
        <w:spacing w:after="0" w:line="200" w:lineRule="exact"/>
        <w:rPr>
          <w:rFonts w:ascii="Arial" w:cs="Arial" w:eastAsia="Arial" w:hAnsi="Arial"/>
          <w:sz w:val="21"/>
          <w:szCs w:val="21"/>
          <w:color w:val="FF0000"/>
        </w:rPr>
      </w:pPr>
    </w:p>
    <w:p>
      <w:pPr>
        <w:spacing w:after="0" w:line="231" w:lineRule="exact"/>
        <w:rPr>
          <w:rFonts w:ascii="Arial" w:cs="Arial" w:eastAsia="Arial" w:hAnsi="Arial"/>
          <w:sz w:val="21"/>
          <w:szCs w:val="21"/>
          <w:color w:val="FF0000"/>
        </w:rPr>
      </w:pPr>
    </w:p>
    <w:p>
      <w:pPr>
        <w:ind w:left="920" w:hanging="407"/>
        <w:spacing w:after="0"/>
        <w:tabs>
          <w:tab w:leader="none" w:pos="920" w:val="left"/>
        </w:tabs>
        <w:numPr>
          <w:ilvl w:val="0"/>
          <w:numId w:val="10"/>
        </w:numPr>
        <w:rPr>
          <w:rFonts w:ascii="Arial" w:cs="Arial" w:eastAsia="Arial" w:hAnsi="Arial"/>
          <w:sz w:val="21"/>
          <w:szCs w:val="21"/>
          <w:color w:val="FF0000"/>
        </w:rPr>
      </w:pPr>
      <w:r>
        <w:rPr>
          <w:rFonts w:ascii="Arial" w:cs="Arial" w:eastAsia="Arial" w:hAnsi="Arial"/>
          <w:sz w:val="21"/>
          <w:szCs w:val="21"/>
          <w:color w:val="auto"/>
        </w:rPr>
        <w:t>Develop New Services For Broadband Customers</w:t>
      </w:r>
    </w:p>
    <w:p>
      <w:pPr>
        <w:spacing w:after="0" w:line="212" w:lineRule="exact"/>
        <w:rPr>
          <w:rFonts w:ascii="Arial" w:cs="Arial" w:eastAsia="Arial" w:hAnsi="Arial"/>
          <w:sz w:val="21"/>
          <w:szCs w:val="21"/>
          <w:color w:val="FF0000"/>
        </w:rPr>
      </w:pPr>
    </w:p>
    <w:p>
      <w:pPr>
        <w:ind w:left="920" w:right="2839"/>
        <w:spacing w:after="0" w:line="470" w:lineRule="auto"/>
        <w:rPr>
          <w:rFonts w:ascii="Arial" w:cs="Arial" w:eastAsia="Arial" w:hAnsi="Arial"/>
          <w:sz w:val="21"/>
          <w:szCs w:val="21"/>
          <w:color w:val="FF0000"/>
        </w:rPr>
      </w:pPr>
      <w:r>
        <w:rPr>
          <w:rFonts w:ascii="Arial" w:cs="Arial" w:eastAsia="Arial" w:hAnsi="Arial"/>
          <w:sz w:val="19"/>
          <w:szCs w:val="19"/>
          <w:color w:val="FF0000"/>
        </w:rPr>
        <w:t xml:space="preserve">n </w:t>
      </w:r>
      <w:r>
        <w:rPr>
          <w:rFonts w:ascii="Arial" w:cs="Arial" w:eastAsia="Arial" w:hAnsi="Arial"/>
          <w:sz w:val="21"/>
          <w:szCs w:val="21"/>
          <w:color w:val="000000"/>
        </w:rPr>
        <w:t>Disney, ESPN, ABC Content For comcast.net Portal</w:t>
      </w:r>
      <w:r>
        <w:rPr>
          <w:rFonts w:ascii="Arial" w:cs="Arial" w:eastAsia="Arial" w:hAnsi="Arial"/>
          <w:sz w:val="19"/>
          <w:szCs w:val="19"/>
          <w:color w:val="FF0000"/>
        </w:rPr>
        <w:t xml:space="preserve"> n </w:t>
      </w:r>
      <w:r>
        <w:rPr>
          <w:rFonts w:ascii="Arial" w:cs="Arial" w:eastAsia="Arial" w:hAnsi="Arial"/>
          <w:sz w:val="21"/>
          <w:szCs w:val="21"/>
          <w:color w:val="000000"/>
        </w:rPr>
        <w:t>Streaming Internet Video Subscription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120650</wp:posOffset>
            </wp:positionV>
            <wp:extent cx="5079365" cy="400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79365" cy="400050"/>
                    </a:xfrm>
                    <a:prstGeom prst="rect">
                      <a:avLst/>
                    </a:prstGeom>
                    <a:noFill/>
                  </pic:spPr>
                </pic:pic>
              </a:graphicData>
            </a:graphic>
          </wp:anchor>
        </w:drawing>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auto"/>
        </w:rPr>
        <w:t xml:space="preserve">Increases the Value of Content </w:t>
      </w:r>
      <w:r>
        <w:rPr>
          <w:rFonts w:ascii="Arial" w:cs="Arial" w:eastAsia="Arial" w:hAnsi="Arial"/>
          <w:sz w:val="28"/>
          <w:szCs w:val="28"/>
          <w:b w:val="1"/>
          <w:bCs w:val="1"/>
          <w:i w:val="1"/>
          <w:iCs w:val="1"/>
          <w:u w:val="single" w:color="auto"/>
          <w:color w:val="auto"/>
        </w:rPr>
        <w:t>and</w:t>
      </w:r>
      <w:r>
        <w:rPr>
          <w:rFonts w:ascii="Arial" w:cs="Arial" w:eastAsia="Arial" w:hAnsi="Arial"/>
          <w:sz w:val="28"/>
          <w:szCs w:val="28"/>
          <w:b w:val="1"/>
          <w:bCs w:val="1"/>
          <w:color w:val="auto"/>
        </w:rPr>
        <w:t xml:space="preserv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581025</wp:posOffset>
            </wp:positionV>
            <wp:extent cx="7270115"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1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Consistent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565150</wp:posOffset>
            </wp:positionV>
            <wp:extent cx="5088890" cy="1172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8889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79"/>
        <w:spacing w:after="0"/>
        <w:rPr>
          <w:sz w:val="20"/>
          <w:szCs w:val="20"/>
          <w:color w:val="auto"/>
        </w:rPr>
      </w:pPr>
      <w:r>
        <w:rPr>
          <w:rFonts w:ascii="Arial" w:cs="Arial" w:eastAsia="Arial" w:hAnsi="Arial"/>
          <w:sz w:val="21"/>
          <w:szCs w:val="21"/>
          <w:b w:val="1"/>
          <w:bCs w:val="1"/>
          <w:color w:val="FFFFFF"/>
        </w:rPr>
        <w:t>1,000 shares of Comcast purchased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-133985</wp:posOffset>
            </wp:positionV>
            <wp:extent cx="2794000" cy="1038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000" cy="1038225"/>
                    </a:xfrm>
                    <a:prstGeom prst="rect">
                      <a:avLst/>
                    </a:prstGeom>
                    <a:noFill/>
                  </pic:spPr>
                </pic:pic>
              </a:graphicData>
            </a:graphic>
          </wp:anchor>
        </w:drawing>
      </w:r>
    </w:p>
    <w:p>
      <w:pPr>
        <w:spacing w:after="0" w:line="11" w:lineRule="exact"/>
        <w:rPr>
          <w:sz w:val="20"/>
          <w:szCs w:val="20"/>
          <w:color w:val="auto"/>
        </w:rPr>
      </w:pPr>
    </w:p>
    <w:p>
      <w:pPr>
        <w:jc w:val="center"/>
        <w:ind w:right="3779"/>
        <w:spacing w:after="0"/>
        <w:rPr>
          <w:sz w:val="20"/>
          <w:szCs w:val="20"/>
          <w:color w:val="auto"/>
        </w:rPr>
      </w:pPr>
      <w:r>
        <w:rPr>
          <w:rFonts w:ascii="Arial" w:cs="Arial" w:eastAsia="Arial" w:hAnsi="Arial"/>
          <w:sz w:val="21"/>
          <w:szCs w:val="21"/>
          <w:b w:val="1"/>
          <w:bCs w:val="1"/>
          <w:color w:val="FFFFFF"/>
        </w:rPr>
        <w:t>IPO for $7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5080</wp:posOffset>
            </wp:positionV>
            <wp:extent cx="2764155" cy="725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4155" cy="725170"/>
                    </a:xfrm>
                    <a:prstGeom prst="rect">
                      <a:avLst/>
                    </a:prstGeom>
                    <a:noFill/>
                  </pic:spPr>
                </pic:pic>
              </a:graphicData>
            </a:graphic>
          </wp:anchor>
        </w:drawing>
      </w:r>
    </w:p>
    <w:p>
      <w:pPr>
        <w:sectPr>
          <w:pgSz w:w="11900" w:h="16838" w:orient="portrait"/>
          <w:cols w:equalWidth="0" w:num="1">
            <w:col w:w="9019"/>
          </w:cols>
          <w:pgMar w:left="1440" w:top="1440" w:right="1440" w:bottom="724"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1236345</wp:posOffset>
            </wp:positionH>
            <wp:positionV relativeFrom="page">
              <wp:posOffset>88900</wp:posOffset>
            </wp:positionV>
            <wp:extent cx="5088890" cy="3233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88890" cy="323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 (1) Published on September 27,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465455</wp:posOffset>
            </wp:positionV>
            <wp:extent cx="7270115" cy="638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115" cy="638048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n"/>
      <w:numFmt w:val="bullet"/>
      <w:start w:val="1"/>
    </w:lvl>
    <w:lvl w:ilvl="1">
      <w:lvlJc w:val="left"/>
      <w:lvlText w:val="Ö"/>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n"/>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2019-12-12T11:48:08Z</dcterms:created>
  <dcterms:modified xsi:type="dcterms:W3CDTF">2019-12-12T11:48:08Z</dcterms:modified>
</cp:coreProperties>
</file>