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September 18, 2013</w:t>
      </w:r>
    </w:p>
    <w:p>
      <w:pPr>
        <w:spacing w:after="0" w:line="1" w:lineRule="exact"/>
        <w:rPr>
          <w:sz w:val="24"/>
          <w:szCs w:val="24"/>
          <w:color w:val="auto"/>
        </w:rPr>
      </w:pPr>
    </w:p>
    <w:p>
      <w:pPr>
        <w:ind w:left="97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41275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S-3</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 THE SECURITIES ACT OF 1933</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-232410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NBCUniversal Media, LLC</w:t>
      </w:r>
    </w:p>
    <w:p>
      <w:pPr>
        <w:jc w:val="center"/>
        <w:spacing w:after="0" w:line="221" w:lineRule="auto"/>
        <w:rPr>
          <w:sz w:val="20"/>
          <w:szCs w:val="20"/>
          <w:color w:val="auto"/>
        </w:rPr>
      </w:pPr>
      <w:r>
        <w:rPr>
          <w:rFonts w:ascii="Arial" w:cs="Arial" w:eastAsia="Arial" w:hAnsi="Arial"/>
          <w:sz w:val="14"/>
          <w:szCs w:val="14"/>
          <w:b w:val="1"/>
          <w:bCs w:val="1"/>
          <w:color w:val="auto"/>
        </w:rPr>
        <w:t>Comcast Cable Communications, LLC</w:t>
      </w:r>
    </w:p>
    <w:p>
      <w:pPr>
        <w:jc w:val="center"/>
        <w:spacing w:after="0" w:line="221" w:lineRule="auto"/>
        <w:rPr>
          <w:sz w:val="20"/>
          <w:szCs w:val="20"/>
          <w:color w:val="auto"/>
        </w:rPr>
      </w:pPr>
      <w:r>
        <w:rPr>
          <w:rFonts w:ascii="Arial" w:cs="Arial" w:eastAsia="Arial" w:hAnsi="Arial"/>
          <w:sz w:val="14"/>
          <w:szCs w:val="14"/>
          <w:b w:val="1"/>
          <w:bCs w:val="1"/>
          <w:color w:val="auto"/>
        </w:rPr>
        <w:t>Comcast Cable Holdings, LLC</w:t>
      </w:r>
    </w:p>
    <w:p>
      <w:pPr>
        <w:jc w:val="center"/>
        <w:spacing w:after="0" w:line="222" w:lineRule="auto"/>
        <w:rPr>
          <w:sz w:val="20"/>
          <w:szCs w:val="20"/>
          <w:color w:val="auto"/>
        </w:rPr>
      </w:pPr>
      <w:r>
        <w:rPr>
          <w:rFonts w:ascii="Arial" w:cs="Arial" w:eastAsia="Arial" w:hAnsi="Arial"/>
          <w:sz w:val="14"/>
          <w:szCs w:val="14"/>
          <w:b w:val="1"/>
          <w:bCs w:val="1"/>
          <w:color w:val="auto"/>
        </w:rPr>
        <w:t>Comcast MO Group, Inc.</w:t>
      </w:r>
    </w:p>
    <w:p>
      <w:pPr>
        <w:jc w:val="center"/>
        <w:spacing w:after="0" w:line="221" w:lineRule="auto"/>
        <w:rPr>
          <w:sz w:val="20"/>
          <w:szCs w:val="20"/>
          <w:color w:val="auto"/>
        </w:rPr>
      </w:pPr>
      <w:r>
        <w:rPr>
          <w:rFonts w:ascii="Arial" w:cs="Arial" w:eastAsia="Arial" w:hAnsi="Arial"/>
          <w:sz w:val="14"/>
          <w:szCs w:val="14"/>
          <w:b w:val="1"/>
          <w:bCs w:val="1"/>
          <w:color w:val="auto"/>
        </w:rPr>
        <w:t>Comcast MO of Delaware, LLC</w:t>
      </w:r>
    </w:p>
    <w:p>
      <w:pPr>
        <w:jc w:val="center"/>
        <w:spacing w:after="0"/>
        <w:rPr>
          <w:sz w:val="20"/>
          <w:szCs w:val="20"/>
          <w:color w:val="auto"/>
        </w:rPr>
      </w:pPr>
      <w:r>
        <w:rPr>
          <w:rFonts w:ascii="Arial" w:cs="Arial" w:eastAsia="Arial" w:hAnsi="Arial"/>
          <w:sz w:val="14"/>
          <w:szCs w:val="14"/>
          <w:b w:val="1"/>
          <w:bCs w:val="1"/>
          <w:color w:val="auto"/>
        </w:rPr>
        <w:t>(Exact Name of Registrants as Specified in Their Charters)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17145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4060" w:type="dxa"/>
            <w:vAlign w:val="bottom"/>
          </w:tcPr>
          <w:p>
            <w:pPr>
              <w:jc w:val="center"/>
              <w:ind w:right="392"/>
              <w:spacing w:after="0"/>
              <w:rPr>
                <w:sz w:val="20"/>
                <w:szCs w:val="20"/>
                <w:color w:val="auto"/>
              </w:rPr>
            </w:pPr>
            <w:r>
              <w:rPr>
                <w:rFonts w:ascii="Arial" w:cs="Arial" w:eastAsia="Arial" w:hAnsi="Arial"/>
                <w:sz w:val="14"/>
                <w:szCs w:val="14"/>
                <w:b w:val="1"/>
                <w:bCs w:val="1"/>
                <w:color w:val="auto"/>
                <w:w w:val="84"/>
              </w:rPr>
              <w:t>Pennsylvania</w:t>
            </w:r>
          </w:p>
        </w:tc>
        <w:tc>
          <w:tcPr>
            <w:tcW w:w="3300" w:type="dxa"/>
            <w:vAlign w:val="bottom"/>
          </w:tcPr>
          <w:p>
            <w:pPr>
              <w:jc w:val="center"/>
              <w:spacing w:after="0"/>
              <w:rPr>
                <w:sz w:val="20"/>
                <w:szCs w:val="20"/>
                <w:color w:val="auto"/>
              </w:rPr>
            </w:pPr>
            <w:r>
              <w:rPr>
                <w:rFonts w:ascii="Arial" w:cs="Arial" w:eastAsia="Arial" w:hAnsi="Arial"/>
                <w:sz w:val="14"/>
                <w:szCs w:val="14"/>
                <w:b w:val="1"/>
                <w:bCs w:val="1"/>
                <w:color w:val="auto"/>
                <w:w w:val="85"/>
              </w:rPr>
              <w:t>27-0000798</w:t>
            </w:r>
          </w:p>
        </w:tc>
        <w:tc>
          <w:tcPr>
            <w:tcW w:w="3780" w:type="dxa"/>
            <w:vAlign w:val="bottom"/>
          </w:tcPr>
          <w:p>
            <w:pPr>
              <w:jc w:val="center"/>
              <w:ind w:left="412"/>
              <w:spacing w:after="0"/>
              <w:rPr>
                <w:sz w:val="20"/>
                <w:szCs w:val="20"/>
                <w:color w:val="auto"/>
              </w:rPr>
            </w:pPr>
            <w:r>
              <w:rPr>
                <w:rFonts w:ascii="Arial" w:cs="Arial" w:eastAsia="Arial" w:hAnsi="Arial"/>
                <w:sz w:val="14"/>
                <w:szCs w:val="14"/>
                <w:b w:val="1"/>
                <w:bCs w:val="1"/>
                <w:color w:val="auto"/>
                <w:w w:val="88"/>
              </w:rPr>
              <w:t>One Comcast Center</w:t>
            </w:r>
          </w:p>
        </w:tc>
      </w:tr>
      <w:tr>
        <w:trPr>
          <w:trHeight w:val="149"/>
        </w:trPr>
        <w:tc>
          <w:tcPr>
            <w:tcW w:w="40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78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7"/>
              </w:rPr>
              <w:t>Philadelphia, Pennsylvania 19103-2838</w:t>
            </w:r>
          </w:p>
        </w:tc>
      </w:tr>
      <w:tr>
        <w:trPr>
          <w:trHeight w:val="162"/>
        </w:trPr>
        <w:tc>
          <w:tcPr>
            <w:tcW w:w="40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780" w:type="dxa"/>
            <w:vAlign w:val="bottom"/>
          </w:tcPr>
          <w:p>
            <w:pPr>
              <w:jc w:val="center"/>
              <w:ind w:left="412"/>
              <w:spacing w:after="0"/>
              <w:rPr>
                <w:sz w:val="20"/>
                <w:szCs w:val="20"/>
                <w:color w:val="auto"/>
              </w:rPr>
            </w:pPr>
            <w:r>
              <w:rPr>
                <w:rFonts w:ascii="Arial" w:cs="Arial" w:eastAsia="Arial" w:hAnsi="Arial"/>
                <w:sz w:val="14"/>
                <w:szCs w:val="14"/>
                <w:b w:val="1"/>
                <w:bCs w:val="1"/>
                <w:color w:val="auto"/>
                <w:w w:val="89"/>
              </w:rPr>
              <w:t>(215) 286-1700</w:t>
            </w:r>
          </w:p>
        </w:tc>
      </w:tr>
      <w:tr>
        <w:trPr>
          <w:trHeight w:val="149"/>
        </w:trPr>
        <w:tc>
          <w:tcPr>
            <w:tcW w:w="4060" w:type="dxa"/>
            <w:vAlign w:val="bottom"/>
          </w:tcPr>
          <w:p>
            <w:pPr>
              <w:jc w:val="center"/>
              <w:ind w:right="372"/>
              <w:spacing w:after="0" w:line="149" w:lineRule="exact"/>
              <w:rPr>
                <w:sz w:val="20"/>
                <w:szCs w:val="20"/>
                <w:color w:val="auto"/>
              </w:rPr>
            </w:pPr>
            <w:r>
              <w:rPr>
                <w:rFonts w:ascii="Arial" w:cs="Arial" w:eastAsia="Arial" w:hAnsi="Arial"/>
                <w:sz w:val="14"/>
                <w:szCs w:val="14"/>
                <w:b w:val="1"/>
                <w:bCs w:val="1"/>
                <w:color w:val="auto"/>
                <w:w w:val="87"/>
              </w:rPr>
              <w:t>Delaware</w:t>
            </w:r>
          </w:p>
        </w:tc>
        <w:tc>
          <w:tcPr>
            <w:tcW w:w="3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14-1682529</w:t>
            </w:r>
          </w:p>
        </w:tc>
        <w:tc>
          <w:tcPr>
            <w:tcW w:w="378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7"/>
              </w:rPr>
              <w:t>30 Rockefeller Plaza</w:t>
            </w:r>
          </w:p>
        </w:tc>
      </w:tr>
      <w:tr>
        <w:trPr>
          <w:trHeight w:val="149"/>
        </w:trPr>
        <w:tc>
          <w:tcPr>
            <w:tcW w:w="40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78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8"/>
              </w:rPr>
              <w:t>New York, New York 10112-0015</w:t>
            </w:r>
          </w:p>
        </w:tc>
      </w:tr>
      <w:tr>
        <w:trPr>
          <w:trHeight w:val="162"/>
        </w:trPr>
        <w:tc>
          <w:tcPr>
            <w:tcW w:w="40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780" w:type="dxa"/>
            <w:vAlign w:val="bottom"/>
          </w:tcPr>
          <w:p>
            <w:pPr>
              <w:jc w:val="center"/>
              <w:ind w:left="412"/>
              <w:spacing w:after="0"/>
              <w:rPr>
                <w:sz w:val="20"/>
                <w:szCs w:val="20"/>
                <w:color w:val="auto"/>
              </w:rPr>
            </w:pPr>
            <w:r>
              <w:rPr>
                <w:rFonts w:ascii="Arial" w:cs="Arial" w:eastAsia="Arial" w:hAnsi="Arial"/>
                <w:sz w:val="14"/>
                <w:szCs w:val="14"/>
                <w:b w:val="1"/>
                <w:bCs w:val="1"/>
                <w:color w:val="auto"/>
                <w:w w:val="89"/>
              </w:rPr>
              <w:t>(212) 664-4444</w:t>
            </w:r>
          </w:p>
        </w:tc>
      </w:tr>
      <w:tr>
        <w:trPr>
          <w:trHeight w:val="149"/>
        </w:trPr>
        <w:tc>
          <w:tcPr>
            <w:tcW w:w="4060" w:type="dxa"/>
            <w:vAlign w:val="bottom"/>
          </w:tcPr>
          <w:p>
            <w:pPr>
              <w:jc w:val="center"/>
              <w:ind w:right="372"/>
              <w:spacing w:after="0" w:line="149" w:lineRule="exact"/>
              <w:rPr>
                <w:sz w:val="20"/>
                <w:szCs w:val="20"/>
                <w:color w:val="auto"/>
              </w:rPr>
            </w:pPr>
            <w:r>
              <w:rPr>
                <w:rFonts w:ascii="Arial" w:cs="Arial" w:eastAsia="Arial" w:hAnsi="Arial"/>
                <w:sz w:val="14"/>
                <w:szCs w:val="14"/>
                <w:b w:val="1"/>
                <w:bCs w:val="1"/>
                <w:color w:val="auto"/>
                <w:w w:val="87"/>
              </w:rPr>
              <w:t>Delaware</w:t>
            </w:r>
          </w:p>
        </w:tc>
        <w:tc>
          <w:tcPr>
            <w:tcW w:w="3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23-2175755</w:t>
            </w:r>
          </w:p>
        </w:tc>
        <w:tc>
          <w:tcPr>
            <w:tcW w:w="378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8"/>
              </w:rPr>
              <w:t>One Comcast Center</w:t>
            </w:r>
          </w:p>
        </w:tc>
      </w:tr>
      <w:tr>
        <w:trPr>
          <w:trHeight w:val="149"/>
        </w:trPr>
        <w:tc>
          <w:tcPr>
            <w:tcW w:w="40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78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7"/>
              </w:rPr>
              <w:t>Philadelphia, Pennsylvania 19103-2838</w:t>
            </w:r>
          </w:p>
        </w:tc>
      </w:tr>
      <w:tr>
        <w:trPr>
          <w:trHeight w:val="162"/>
        </w:trPr>
        <w:tc>
          <w:tcPr>
            <w:tcW w:w="40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780" w:type="dxa"/>
            <w:vAlign w:val="bottom"/>
          </w:tcPr>
          <w:p>
            <w:pPr>
              <w:jc w:val="center"/>
              <w:ind w:left="412"/>
              <w:spacing w:after="0"/>
              <w:rPr>
                <w:sz w:val="20"/>
                <w:szCs w:val="20"/>
                <w:color w:val="auto"/>
              </w:rPr>
            </w:pPr>
            <w:r>
              <w:rPr>
                <w:rFonts w:ascii="Arial" w:cs="Arial" w:eastAsia="Arial" w:hAnsi="Arial"/>
                <w:sz w:val="14"/>
                <w:szCs w:val="14"/>
                <w:b w:val="1"/>
                <w:bCs w:val="1"/>
                <w:color w:val="auto"/>
                <w:w w:val="89"/>
              </w:rPr>
              <w:t>(215) 286-1700</w:t>
            </w:r>
          </w:p>
        </w:tc>
      </w:tr>
      <w:tr>
        <w:trPr>
          <w:trHeight w:val="149"/>
        </w:trPr>
        <w:tc>
          <w:tcPr>
            <w:tcW w:w="4060" w:type="dxa"/>
            <w:vAlign w:val="bottom"/>
          </w:tcPr>
          <w:p>
            <w:pPr>
              <w:jc w:val="center"/>
              <w:ind w:right="372"/>
              <w:spacing w:after="0" w:line="149" w:lineRule="exact"/>
              <w:rPr>
                <w:sz w:val="20"/>
                <w:szCs w:val="20"/>
                <w:color w:val="auto"/>
              </w:rPr>
            </w:pPr>
            <w:r>
              <w:rPr>
                <w:rFonts w:ascii="Arial" w:cs="Arial" w:eastAsia="Arial" w:hAnsi="Arial"/>
                <w:sz w:val="14"/>
                <w:szCs w:val="14"/>
                <w:b w:val="1"/>
                <w:bCs w:val="1"/>
                <w:color w:val="auto"/>
                <w:w w:val="87"/>
              </w:rPr>
              <w:t>Delaware</w:t>
            </w:r>
          </w:p>
        </w:tc>
        <w:tc>
          <w:tcPr>
            <w:tcW w:w="3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84-1260157</w:t>
            </w:r>
          </w:p>
        </w:tc>
        <w:tc>
          <w:tcPr>
            <w:tcW w:w="378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8"/>
              </w:rPr>
              <w:t>One Comcast Center</w:t>
            </w:r>
          </w:p>
        </w:tc>
      </w:tr>
      <w:tr>
        <w:trPr>
          <w:trHeight w:val="149"/>
        </w:trPr>
        <w:tc>
          <w:tcPr>
            <w:tcW w:w="40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78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7"/>
              </w:rPr>
              <w:t>Philadelphia, Pennsylvania 19103-2838</w:t>
            </w:r>
          </w:p>
        </w:tc>
      </w:tr>
      <w:tr>
        <w:trPr>
          <w:trHeight w:val="162"/>
        </w:trPr>
        <w:tc>
          <w:tcPr>
            <w:tcW w:w="40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780" w:type="dxa"/>
            <w:vAlign w:val="bottom"/>
          </w:tcPr>
          <w:p>
            <w:pPr>
              <w:jc w:val="center"/>
              <w:ind w:left="412"/>
              <w:spacing w:after="0"/>
              <w:rPr>
                <w:sz w:val="20"/>
                <w:szCs w:val="20"/>
                <w:color w:val="auto"/>
              </w:rPr>
            </w:pPr>
            <w:r>
              <w:rPr>
                <w:rFonts w:ascii="Arial" w:cs="Arial" w:eastAsia="Arial" w:hAnsi="Arial"/>
                <w:sz w:val="14"/>
                <w:szCs w:val="14"/>
                <w:b w:val="1"/>
                <w:bCs w:val="1"/>
                <w:color w:val="auto"/>
                <w:w w:val="89"/>
              </w:rPr>
              <w:t>(215) 286-1700</w:t>
            </w:r>
          </w:p>
        </w:tc>
      </w:tr>
      <w:tr>
        <w:trPr>
          <w:trHeight w:val="149"/>
        </w:trPr>
        <w:tc>
          <w:tcPr>
            <w:tcW w:w="4060" w:type="dxa"/>
            <w:vAlign w:val="bottom"/>
          </w:tcPr>
          <w:p>
            <w:pPr>
              <w:jc w:val="center"/>
              <w:ind w:right="372"/>
              <w:spacing w:after="0" w:line="149" w:lineRule="exact"/>
              <w:rPr>
                <w:sz w:val="20"/>
                <w:szCs w:val="20"/>
                <w:color w:val="auto"/>
              </w:rPr>
            </w:pPr>
            <w:r>
              <w:rPr>
                <w:rFonts w:ascii="Arial" w:cs="Arial" w:eastAsia="Arial" w:hAnsi="Arial"/>
                <w:sz w:val="14"/>
                <w:szCs w:val="14"/>
                <w:b w:val="1"/>
                <w:bCs w:val="1"/>
                <w:color w:val="auto"/>
                <w:w w:val="87"/>
              </w:rPr>
              <w:t>Delaware</w:t>
            </w:r>
          </w:p>
        </w:tc>
        <w:tc>
          <w:tcPr>
            <w:tcW w:w="3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91-2047743</w:t>
            </w:r>
          </w:p>
        </w:tc>
        <w:tc>
          <w:tcPr>
            <w:tcW w:w="378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8"/>
              </w:rPr>
              <w:t>One Comcast Center</w:t>
            </w:r>
          </w:p>
        </w:tc>
      </w:tr>
      <w:tr>
        <w:trPr>
          <w:trHeight w:val="149"/>
        </w:trPr>
        <w:tc>
          <w:tcPr>
            <w:tcW w:w="40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78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7"/>
              </w:rPr>
              <w:t>Philadelphia, Pennsylvania 19103-2838</w:t>
            </w:r>
          </w:p>
        </w:tc>
      </w:tr>
      <w:tr>
        <w:trPr>
          <w:trHeight w:val="162"/>
        </w:trPr>
        <w:tc>
          <w:tcPr>
            <w:tcW w:w="40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780" w:type="dxa"/>
            <w:vAlign w:val="bottom"/>
          </w:tcPr>
          <w:p>
            <w:pPr>
              <w:jc w:val="center"/>
              <w:ind w:left="412"/>
              <w:spacing w:after="0"/>
              <w:rPr>
                <w:sz w:val="20"/>
                <w:szCs w:val="20"/>
                <w:color w:val="auto"/>
              </w:rPr>
            </w:pPr>
            <w:r>
              <w:rPr>
                <w:rFonts w:ascii="Arial" w:cs="Arial" w:eastAsia="Arial" w:hAnsi="Arial"/>
                <w:sz w:val="14"/>
                <w:szCs w:val="14"/>
                <w:b w:val="1"/>
                <w:bCs w:val="1"/>
                <w:color w:val="auto"/>
                <w:w w:val="89"/>
              </w:rPr>
              <w:t>(215) 286-1700</w:t>
            </w:r>
          </w:p>
        </w:tc>
      </w:tr>
      <w:tr>
        <w:trPr>
          <w:trHeight w:val="149"/>
        </w:trPr>
        <w:tc>
          <w:tcPr>
            <w:tcW w:w="4060" w:type="dxa"/>
            <w:vAlign w:val="bottom"/>
          </w:tcPr>
          <w:p>
            <w:pPr>
              <w:jc w:val="center"/>
              <w:ind w:right="372"/>
              <w:spacing w:after="0" w:line="149" w:lineRule="exact"/>
              <w:rPr>
                <w:sz w:val="20"/>
                <w:szCs w:val="20"/>
                <w:color w:val="auto"/>
              </w:rPr>
            </w:pPr>
            <w:r>
              <w:rPr>
                <w:rFonts w:ascii="Arial" w:cs="Arial" w:eastAsia="Arial" w:hAnsi="Arial"/>
                <w:sz w:val="14"/>
                <w:szCs w:val="14"/>
                <w:b w:val="1"/>
                <w:bCs w:val="1"/>
                <w:color w:val="auto"/>
                <w:w w:val="87"/>
              </w:rPr>
              <w:t>Delaware</w:t>
            </w:r>
          </w:p>
        </w:tc>
        <w:tc>
          <w:tcPr>
            <w:tcW w:w="3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84-1372033</w:t>
            </w:r>
          </w:p>
        </w:tc>
        <w:tc>
          <w:tcPr>
            <w:tcW w:w="378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8"/>
              </w:rPr>
              <w:t>One Comcast Center</w:t>
            </w:r>
          </w:p>
        </w:tc>
      </w:tr>
      <w:tr>
        <w:trPr>
          <w:trHeight w:val="149"/>
        </w:trPr>
        <w:tc>
          <w:tcPr>
            <w:tcW w:w="40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78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7"/>
              </w:rPr>
              <w:t>Philadelphia, Pennsylvania 19103-2838</w:t>
            </w:r>
          </w:p>
        </w:tc>
      </w:tr>
      <w:tr>
        <w:trPr>
          <w:trHeight w:val="162"/>
        </w:trPr>
        <w:tc>
          <w:tcPr>
            <w:tcW w:w="40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780" w:type="dxa"/>
            <w:vAlign w:val="bottom"/>
          </w:tcPr>
          <w:p>
            <w:pPr>
              <w:jc w:val="center"/>
              <w:ind w:left="412"/>
              <w:spacing w:after="0"/>
              <w:rPr>
                <w:sz w:val="20"/>
                <w:szCs w:val="20"/>
                <w:color w:val="auto"/>
              </w:rPr>
            </w:pPr>
            <w:r>
              <w:rPr>
                <w:rFonts w:ascii="Arial" w:cs="Arial" w:eastAsia="Arial" w:hAnsi="Arial"/>
                <w:sz w:val="14"/>
                <w:szCs w:val="14"/>
                <w:b w:val="1"/>
                <w:bCs w:val="1"/>
                <w:color w:val="auto"/>
                <w:w w:val="89"/>
              </w:rPr>
              <w:t>(215) 286-1700</w:t>
            </w:r>
          </w:p>
        </w:tc>
      </w:tr>
      <w:tr>
        <w:trPr>
          <w:trHeight w:val="149"/>
        </w:trPr>
        <w:tc>
          <w:tcPr>
            <w:tcW w:w="4060" w:type="dxa"/>
            <w:vAlign w:val="bottom"/>
          </w:tcPr>
          <w:p>
            <w:pPr>
              <w:jc w:val="center"/>
              <w:ind w:right="392"/>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 or Organization)</w:t>
            </w:r>
          </w:p>
        </w:tc>
        <w:tc>
          <w:tcPr>
            <w:tcW w:w="3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(I.R.S. Employer Identification Number)</w:t>
            </w:r>
          </w:p>
        </w:tc>
        <w:tc>
          <w:tcPr>
            <w:tcW w:w="378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6"/>
              </w:rPr>
              <w:t>(Address, Including Zip Code, and Telephone Number,</w:t>
            </w:r>
          </w:p>
        </w:tc>
      </w:tr>
      <w:tr>
        <w:trPr>
          <w:trHeight w:val="149"/>
        </w:trPr>
        <w:tc>
          <w:tcPr>
            <w:tcW w:w="40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78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8"/>
              </w:rPr>
              <w:t>Including Area Code, of Registrant’s Principal Executive</w:t>
            </w:r>
          </w:p>
        </w:tc>
      </w:tr>
      <w:tr>
        <w:trPr>
          <w:trHeight w:val="174"/>
        </w:trPr>
        <w:tc>
          <w:tcPr>
            <w:tcW w:w="40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3780" w:type="dxa"/>
            <w:vAlign w:val="bottom"/>
          </w:tcPr>
          <w:p>
            <w:pPr>
              <w:jc w:val="center"/>
              <w:ind w:left="412"/>
              <w:spacing w:after="0"/>
              <w:rPr>
                <w:sz w:val="20"/>
                <w:szCs w:val="20"/>
                <w:color w:val="auto"/>
              </w:rPr>
            </w:pPr>
            <w:r>
              <w:rPr>
                <w:rFonts w:ascii="Arial" w:cs="Arial" w:eastAsia="Arial" w:hAnsi="Arial"/>
                <w:sz w:val="14"/>
                <w:szCs w:val="14"/>
                <w:b w:val="1"/>
                <w:bCs w:val="1"/>
                <w:color w:val="auto"/>
                <w:w w:val="88"/>
              </w:rPr>
              <w:t>Offices)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26035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Arthur R. Block, Esq.</w:t>
      </w:r>
    </w:p>
    <w:p>
      <w:pPr>
        <w:jc w:val="center"/>
        <w:spacing w:after="0" w:line="223" w:lineRule="auto"/>
        <w:rPr>
          <w:sz w:val="20"/>
          <w:szCs w:val="20"/>
          <w:color w:val="auto"/>
        </w:rPr>
      </w:pPr>
      <w:r>
        <w:rPr>
          <w:rFonts w:ascii="Arial" w:cs="Arial" w:eastAsia="Arial" w:hAnsi="Arial"/>
          <w:sz w:val="14"/>
          <w:szCs w:val="14"/>
          <w:b w:val="1"/>
          <w:bCs w:val="1"/>
          <w:color w:val="auto"/>
        </w:rPr>
        <w:t>Senior Vice President,</w:t>
      </w:r>
    </w:p>
    <w:p>
      <w:pPr>
        <w:jc w:val="center"/>
        <w:spacing w:after="0" w:line="222" w:lineRule="auto"/>
        <w:rPr>
          <w:sz w:val="20"/>
          <w:szCs w:val="20"/>
          <w:color w:val="auto"/>
        </w:rPr>
      </w:pPr>
      <w:r>
        <w:rPr>
          <w:rFonts w:ascii="Arial" w:cs="Arial" w:eastAsia="Arial" w:hAnsi="Arial"/>
          <w:sz w:val="14"/>
          <w:szCs w:val="14"/>
          <w:b w:val="1"/>
          <w:bCs w:val="1"/>
          <w:color w:val="auto"/>
        </w:rPr>
        <w:t>General Counsel and Secretary</w:t>
      </w:r>
    </w:p>
    <w:p>
      <w:pPr>
        <w:jc w:val="center"/>
        <w:spacing w:after="0" w:line="221" w:lineRule="auto"/>
        <w:rPr>
          <w:sz w:val="20"/>
          <w:szCs w:val="20"/>
          <w:color w:val="auto"/>
        </w:rPr>
      </w:pPr>
      <w:r>
        <w:rPr>
          <w:rFonts w:ascii="Arial" w:cs="Arial" w:eastAsia="Arial" w:hAnsi="Arial"/>
          <w:sz w:val="14"/>
          <w:szCs w:val="14"/>
          <w:b w:val="1"/>
          <w:bCs w:val="1"/>
          <w:color w:val="auto"/>
        </w:rPr>
        <w:t>Comcast Corporation</w:t>
      </w:r>
    </w:p>
    <w:p>
      <w:pPr>
        <w:jc w:val="center"/>
        <w:spacing w:after="0" w:line="222" w:lineRule="auto"/>
        <w:rPr>
          <w:sz w:val="20"/>
          <w:szCs w:val="20"/>
          <w:color w:val="auto"/>
        </w:rPr>
      </w:pPr>
      <w:r>
        <w:rPr>
          <w:rFonts w:ascii="Arial" w:cs="Arial" w:eastAsia="Arial" w:hAnsi="Arial"/>
          <w:sz w:val="14"/>
          <w:szCs w:val="14"/>
          <w:b w:val="1"/>
          <w:bCs w:val="1"/>
          <w:color w:val="auto"/>
        </w:rPr>
        <w:t>One Comcast Center</w:t>
      </w:r>
    </w:p>
    <w:p>
      <w:pPr>
        <w:jc w:val="center"/>
        <w:spacing w:after="0" w:line="221" w:lineRule="auto"/>
        <w:rPr>
          <w:sz w:val="20"/>
          <w:szCs w:val="20"/>
          <w:color w:val="auto"/>
        </w:rPr>
      </w:pPr>
      <w:r>
        <w:rPr>
          <w:rFonts w:ascii="Arial" w:cs="Arial" w:eastAsia="Arial" w:hAnsi="Arial"/>
          <w:sz w:val="14"/>
          <w:szCs w:val="14"/>
          <w:b w:val="1"/>
          <w:bCs w:val="1"/>
          <w:color w:val="auto"/>
        </w:rPr>
        <w:t>Philadelphia, Pennsylvania 19103-2838</w:t>
      </w:r>
    </w:p>
    <w:p>
      <w:pPr>
        <w:jc w:val="center"/>
        <w:spacing w:after="0" w:line="222" w:lineRule="auto"/>
        <w:rPr>
          <w:sz w:val="20"/>
          <w:szCs w:val="20"/>
          <w:color w:val="auto"/>
        </w:rPr>
      </w:pPr>
      <w:r>
        <w:rPr>
          <w:rFonts w:ascii="Arial" w:cs="Arial" w:eastAsia="Arial" w:hAnsi="Arial"/>
          <w:sz w:val="14"/>
          <w:szCs w:val="14"/>
          <w:b w:val="1"/>
          <w:bCs w:val="1"/>
          <w:color w:val="auto"/>
        </w:rPr>
        <w:t>(215) 286-1700</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17145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Copy to:</w:t>
      </w:r>
    </w:p>
    <w:p>
      <w:pPr>
        <w:jc w:val="center"/>
        <w:spacing w:after="0" w:line="221" w:lineRule="auto"/>
        <w:rPr>
          <w:sz w:val="20"/>
          <w:szCs w:val="20"/>
          <w:color w:val="auto"/>
        </w:rPr>
      </w:pPr>
      <w:r>
        <w:rPr>
          <w:rFonts w:ascii="Arial" w:cs="Arial" w:eastAsia="Arial" w:hAnsi="Arial"/>
          <w:sz w:val="14"/>
          <w:szCs w:val="14"/>
          <w:b w:val="1"/>
          <w:bCs w:val="1"/>
          <w:color w:val="auto"/>
        </w:rPr>
        <w:t>Bruce K. Dallas, Esq.</w:t>
      </w:r>
    </w:p>
    <w:p>
      <w:pPr>
        <w:jc w:val="center"/>
        <w:spacing w:after="0" w:line="221" w:lineRule="auto"/>
        <w:rPr>
          <w:sz w:val="20"/>
          <w:szCs w:val="20"/>
          <w:color w:val="auto"/>
        </w:rPr>
      </w:pPr>
      <w:r>
        <w:rPr>
          <w:rFonts w:ascii="Arial" w:cs="Arial" w:eastAsia="Arial" w:hAnsi="Arial"/>
          <w:sz w:val="14"/>
          <w:szCs w:val="14"/>
          <w:b w:val="1"/>
          <w:bCs w:val="1"/>
          <w:color w:val="auto"/>
        </w:rPr>
        <w:t>Davis Polk &amp; Wardwell LLP</w:t>
      </w:r>
    </w:p>
    <w:p>
      <w:pPr>
        <w:jc w:val="center"/>
        <w:spacing w:after="0" w:line="222" w:lineRule="auto"/>
        <w:rPr>
          <w:sz w:val="20"/>
          <w:szCs w:val="20"/>
          <w:color w:val="auto"/>
        </w:rPr>
      </w:pPr>
      <w:r>
        <w:rPr>
          <w:rFonts w:ascii="Arial" w:cs="Arial" w:eastAsia="Arial" w:hAnsi="Arial"/>
          <w:sz w:val="14"/>
          <w:szCs w:val="14"/>
          <w:b w:val="1"/>
          <w:bCs w:val="1"/>
          <w:color w:val="auto"/>
        </w:rPr>
        <w:t>1600 El Camino Real</w:t>
      </w:r>
    </w:p>
    <w:p>
      <w:pPr>
        <w:jc w:val="center"/>
        <w:spacing w:after="0" w:line="221" w:lineRule="auto"/>
        <w:rPr>
          <w:sz w:val="20"/>
          <w:szCs w:val="20"/>
          <w:color w:val="auto"/>
        </w:rPr>
      </w:pPr>
      <w:r>
        <w:rPr>
          <w:rFonts w:ascii="Arial" w:cs="Arial" w:eastAsia="Arial" w:hAnsi="Arial"/>
          <w:sz w:val="14"/>
          <w:szCs w:val="14"/>
          <w:b w:val="1"/>
          <w:bCs w:val="1"/>
          <w:color w:val="auto"/>
        </w:rPr>
        <w:t>Menlo Park, California 94025</w:t>
      </w:r>
    </w:p>
    <w:p>
      <w:pPr>
        <w:jc w:val="center"/>
        <w:spacing w:after="0"/>
        <w:rPr>
          <w:sz w:val="20"/>
          <w:szCs w:val="20"/>
          <w:color w:val="auto"/>
        </w:rPr>
      </w:pPr>
      <w:r>
        <w:rPr>
          <w:rFonts w:ascii="Arial" w:cs="Arial" w:eastAsia="Arial" w:hAnsi="Arial"/>
          <w:sz w:val="14"/>
          <w:szCs w:val="14"/>
          <w:b w:val="1"/>
          <w:bCs w:val="1"/>
          <w:color w:val="auto"/>
        </w:rPr>
        <w:t>(650) 752-2000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26035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45"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From time to time after this Registration Statement becomes effective.</w:t>
      </w:r>
    </w:p>
    <w:p>
      <w:pPr>
        <w:ind w:left="360"/>
        <w:spacing w:after="0" w:line="153" w:lineRule="exact"/>
        <w:rPr>
          <w:sz w:val="20"/>
          <w:szCs w:val="20"/>
          <w:color w:val="auto"/>
        </w:rPr>
      </w:pPr>
      <w:r>
        <w:rPr>
          <w:rFonts w:ascii="Arial" w:cs="Arial" w:eastAsia="Arial" w:hAnsi="Arial"/>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right="580" w:firstLine="342"/>
        <w:spacing w:after="0" w:line="149"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right="40" w:firstLine="342"/>
        <w:spacing w:after="0" w:line="149"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160" w:firstLine="342"/>
        <w:spacing w:after="0" w:line="149"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firstLine="342"/>
        <w:spacing w:after="0" w:line="149"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right="660" w:firstLine="342"/>
        <w:spacing w:after="0" w:line="149"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right="500" w:firstLine="342"/>
        <w:spacing w:after="0" w:line="22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1340" w:type="dxa"/>
            <w:vAlign w:val="bottom"/>
            <w:gridSpan w:val="2"/>
          </w:tcPr>
          <w:p>
            <w:pPr>
              <w:spacing w:after="0"/>
              <w:rPr>
                <w:sz w:val="20"/>
                <w:szCs w:val="20"/>
                <w:color w:val="auto"/>
              </w:rPr>
            </w:pPr>
            <w:r>
              <w:rPr>
                <w:rFonts w:ascii="Arial" w:cs="Arial" w:eastAsia="Arial" w:hAnsi="Arial"/>
                <w:sz w:val="14"/>
                <w:szCs w:val="14"/>
                <w:color w:val="auto"/>
                <w:w w:val="95"/>
              </w:rPr>
              <w:t>Large accelerated filer</w:t>
            </w:r>
          </w:p>
        </w:tc>
        <w:tc>
          <w:tcPr>
            <w:tcW w:w="29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2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820" w:type="dxa"/>
            <w:vAlign w:val="bottom"/>
          </w:tcPr>
          <w:p>
            <w:pPr>
              <w:ind w:left="160"/>
              <w:spacing w:after="0"/>
              <w:rPr>
                <w:sz w:val="20"/>
                <w:szCs w:val="20"/>
                <w:color w:val="auto"/>
              </w:rPr>
            </w:pPr>
            <w:r>
              <w:rPr>
                <w:rFonts w:ascii="Arial" w:cs="Arial" w:eastAsia="Arial" w:hAnsi="Arial"/>
                <w:sz w:val="14"/>
                <w:szCs w:val="14"/>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1"/>
        </w:trPr>
        <w:tc>
          <w:tcPr>
            <w:tcW w:w="1340" w:type="dxa"/>
            <w:vAlign w:val="bottom"/>
            <w:gridSpan w:val="2"/>
          </w:tcPr>
          <w:p>
            <w:pPr>
              <w:spacing w:after="0"/>
              <w:rPr>
                <w:sz w:val="20"/>
                <w:szCs w:val="20"/>
                <w:color w:val="auto"/>
              </w:rPr>
            </w:pPr>
            <w:r>
              <w:rPr>
                <w:rFonts w:ascii="Arial" w:cs="Arial" w:eastAsia="Arial" w:hAnsi="Arial"/>
                <w:sz w:val="14"/>
                <w:szCs w:val="14"/>
                <w:color w:val="auto"/>
              </w:rPr>
              <w:t>Non-accelerated filer</w:t>
            </w:r>
          </w:p>
        </w:tc>
        <w:tc>
          <w:tcPr>
            <w:tcW w:w="2960" w:type="dxa"/>
            <w:vAlign w:val="bottom"/>
          </w:tcPr>
          <w:p>
            <w:pPr>
              <w:ind w:left="120"/>
              <w:spacing w:after="0" w:line="161" w:lineRule="exact"/>
              <w:rPr>
                <w:sz w:val="20"/>
                <w:szCs w:val="20"/>
                <w:color w:val="auto"/>
              </w:rPr>
            </w:pPr>
            <w:r>
              <w:rPr>
                <w:rFonts w:ascii="MS PGothic" w:cs="MS PGothic" w:eastAsia="MS PGothic" w:hAnsi="MS PGothic"/>
                <w:sz w:val="14"/>
                <w:szCs w:val="14"/>
                <w:color w:val="auto"/>
                <w:w w:val="93"/>
              </w:rPr>
              <w:t>☐</w:t>
            </w:r>
            <w:r>
              <w:rPr>
                <w:rFonts w:ascii="Arial" w:cs="Arial" w:eastAsia="Arial" w:hAnsi="Arial"/>
                <w:sz w:val="14"/>
                <w:szCs w:val="14"/>
                <w:color w:val="auto"/>
                <w:w w:val="93"/>
              </w:rPr>
              <w:t xml:space="preserve"> (Do not check if a smaller reporting company)</w:t>
            </w:r>
          </w:p>
        </w:tc>
        <w:tc>
          <w:tcPr>
            <w:tcW w:w="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20" w:type="dxa"/>
            <w:vAlign w:val="bottom"/>
          </w:tcPr>
          <w:p>
            <w:pPr>
              <w:ind w:left="160"/>
              <w:spacing w:after="0"/>
              <w:rPr>
                <w:sz w:val="20"/>
                <w:szCs w:val="20"/>
                <w:color w:val="auto"/>
              </w:rPr>
            </w:pPr>
            <w:r>
              <w:rPr>
                <w:rFonts w:ascii="Arial" w:cs="Arial" w:eastAsia="Arial" w:hAnsi="Arial"/>
                <w:sz w:val="14"/>
                <w:szCs w:val="14"/>
                <w:color w:val="auto"/>
                <w:w w:val="98"/>
              </w:rPr>
              <w:t>Smaller reporting company</w:t>
            </w:r>
          </w:p>
        </w:tc>
        <w:tc>
          <w:tcPr>
            <w:tcW w:w="32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99"/>
              </w:rPr>
              <w:t>☐</w:t>
            </w:r>
          </w:p>
        </w:tc>
      </w:tr>
      <w:tr>
        <w:trPr>
          <w:trHeight w:val="32"/>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tcPr>
          <w:p>
            <w:pPr>
              <w:spacing w:after="0"/>
              <w:rPr>
                <w:sz w:val="16"/>
                <w:szCs w:val="16"/>
                <w:color w:val="auto"/>
              </w:rPr>
            </w:pPr>
          </w:p>
        </w:tc>
        <w:tc>
          <w:tcPr>
            <w:tcW w:w="49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CALCULATION OF REGISTRATION FEE</w:t>
            </w:r>
          </w:p>
        </w:tc>
        <w:tc>
          <w:tcPr>
            <w:tcW w:w="18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960" w:type="dxa"/>
            <w:vAlign w:val="bottom"/>
          </w:tcPr>
          <w:p>
            <w:pPr>
              <w:jc w:val="center"/>
              <w:ind w:left="932"/>
              <w:spacing w:after="0" w:line="123" w:lineRule="exact"/>
              <w:rPr>
                <w:sz w:val="20"/>
                <w:szCs w:val="20"/>
                <w:color w:val="auto"/>
              </w:rPr>
            </w:pPr>
            <w:r>
              <w:rPr>
                <w:rFonts w:ascii="Arial" w:cs="Arial" w:eastAsia="Arial" w:hAnsi="Arial"/>
                <w:sz w:val="14"/>
                <w:szCs w:val="14"/>
                <w:b w:val="1"/>
                <w:bCs w:val="1"/>
                <w:color w:val="auto"/>
                <w:w w:val="87"/>
              </w:rPr>
              <w:t>Title of Each Class of</w:t>
            </w:r>
          </w:p>
        </w:tc>
        <w:tc>
          <w:tcPr>
            <w:tcW w:w="220" w:type="dxa"/>
            <w:vAlign w:val="bottom"/>
          </w:tcPr>
          <w:p>
            <w:pPr>
              <w:spacing w:after="0"/>
              <w:rPr>
                <w:sz w:val="10"/>
                <w:szCs w:val="10"/>
                <w:color w:val="auto"/>
              </w:rPr>
            </w:pPr>
          </w:p>
        </w:tc>
        <w:tc>
          <w:tcPr>
            <w:tcW w:w="214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380" w:type="dxa"/>
            <w:vAlign w:val="bottom"/>
            <w:tcBorders>
              <w:right w:val="single" w:sz="8" w:color="auto"/>
            </w:tcBorders>
          </w:tcPr>
          <w:p>
            <w:pPr>
              <w:jc w:val="center"/>
              <w:ind w:right="92"/>
              <w:spacing w:after="0" w:line="123" w:lineRule="exact"/>
              <w:rPr>
                <w:sz w:val="20"/>
                <w:szCs w:val="20"/>
                <w:color w:val="auto"/>
              </w:rPr>
            </w:pPr>
            <w:r>
              <w:rPr>
                <w:rFonts w:ascii="Arial" w:cs="Arial" w:eastAsia="Arial" w:hAnsi="Arial"/>
                <w:sz w:val="14"/>
                <w:szCs w:val="14"/>
                <w:b w:val="1"/>
                <w:bCs w:val="1"/>
                <w:color w:val="auto"/>
                <w:w w:val="86"/>
              </w:rPr>
              <w:t>Proposed Maximum Aggregate</w:t>
            </w:r>
          </w:p>
        </w:tc>
        <w:tc>
          <w:tcPr>
            <w:tcW w:w="1820" w:type="dxa"/>
            <w:vAlign w:val="bottom"/>
          </w:tcPr>
          <w:p>
            <w:pPr>
              <w:jc w:val="center"/>
              <w:ind w:left="332"/>
              <w:spacing w:after="0" w:line="123" w:lineRule="exact"/>
              <w:rPr>
                <w:sz w:val="20"/>
                <w:szCs w:val="20"/>
                <w:color w:val="auto"/>
              </w:rPr>
            </w:pPr>
            <w:r>
              <w:rPr>
                <w:rFonts w:ascii="Arial" w:cs="Arial" w:eastAsia="Arial" w:hAnsi="Arial"/>
                <w:sz w:val="14"/>
                <w:szCs w:val="14"/>
                <w:b w:val="1"/>
                <w:bCs w:val="1"/>
                <w:color w:val="auto"/>
                <w:w w:val="88"/>
              </w:rPr>
              <w:t>Amount of</w:t>
            </w:r>
          </w:p>
        </w:tc>
        <w:tc>
          <w:tcPr>
            <w:tcW w:w="320" w:type="dxa"/>
            <w:vAlign w:val="bottom"/>
          </w:tcPr>
          <w:p>
            <w:pPr>
              <w:spacing w:after="0"/>
              <w:rPr>
                <w:sz w:val="10"/>
                <w:szCs w:val="10"/>
                <w:color w:val="auto"/>
              </w:rPr>
            </w:pPr>
          </w:p>
        </w:tc>
      </w:tr>
      <w:tr>
        <w:trPr>
          <w:trHeight w:val="161"/>
        </w:trPr>
        <w:tc>
          <w:tcPr>
            <w:tcW w:w="2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tcPr>
          <w:p>
            <w:pPr>
              <w:jc w:val="center"/>
              <w:ind w:left="932"/>
              <w:spacing w:after="0"/>
              <w:rPr>
                <w:sz w:val="20"/>
                <w:szCs w:val="20"/>
                <w:color w:val="auto"/>
              </w:rPr>
            </w:pPr>
            <w:r>
              <w:rPr>
                <w:rFonts w:ascii="Arial" w:cs="Arial" w:eastAsia="Arial" w:hAnsi="Arial"/>
                <w:sz w:val="14"/>
                <w:szCs w:val="14"/>
                <w:b w:val="1"/>
                <w:bCs w:val="1"/>
                <w:color w:val="auto"/>
                <w:w w:val="84"/>
              </w:rPr>
              <w:t>Securities to be Registered</w:t>
            </w:r>
          </w:p>
        </w:tc>
        <w:tc>
          <w:tcPr>
            <w:tcW w:w="220" w:type="dxa"/>
            <w:vAlign w:val="bottom"/>
            <w:tcBorders>
              <w:bottom w:val="single" w:sz="8" w:color="auto"/>
            </w:tcBorders>
          </w:tcPr>
          <w:p>
            <w:pPr>
              <w:spacing w:after="0"/>
              <w:rPr>
                <w:sz w:val="14"/>
                <w:szCs w:val="14"/>
                <w:color w:val="auto"/>
              </w:rPr>
            </w:pPr>
          </w:p>
        </w:tc>
        <w:tc>
          <w:tcPr>
            <w:tcW w:w="214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80" w:type="dxa"/>
            <w:vAlign w:val="bottom"/>
            <w:tcBorders>
              <w:bottom w:val="single" w:sz="8" w:color="auto"/>
              <w:right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Offering Price(1)</w:t>
            </w:r>
          </w:p>
        </w:tc>
        <w:tc>
          <w:tcPr>
            <w:tcW w:w="1820" w:type="dxa"/>
            <w:vAlign w:val="bottom"/>
            <w:tcBorders>
              <w:bottom w:val="single" w:sz="8" w:color="auto"/>
            </w:tcBorders>
          </w:tcPr>
          <w:p>
            <w:pPr>
              <w:jc w:val="center"/>
              <w:ind w:left="332"/>
              <w:spacing w:after="0"/>
              <w:rPr>
                <w:sz w:val="20"/>
                <w:szCs w:val="20"/>
                <w:color w:val="auto"/>
              </w:rPr>
            </w:pPr>
            <w:r>
              <w:rPr>
                <w:rFonts w:ascii="Arial" w:cs="Arial" w:eastAsia="Arial" w:hAnsi="Arial"/>
                <w:sz w:val="14"/>
                <w:szCs w:val="14"/>
                <w:b w:val="1"/>
                <w:bCs w:val="1"/>
                <w:color w:val="auto"/>
                <w:w w:val="86"/>
              </w:rPr>
              <w:t>Registration Fee(1)</w:t>
            </w:r>
          </w:p>
        </w:tc>
        <w:tc>
          <w:tcPr>
            <w:tcW w:w="320" w:type="dxa"/>
            <w:vAlign w:val="bottom"/>
            <w:tcBorders>
              <w:bottom w:val="single" w:sz="8" w:color="auto"/>
            </w:tcBorders>
          </w:tcPr>
          <w:p>
            <w:pPr>
              <w:spacing w:after="0"/>
              <w:rPr>
                <w:sz w:val="14"/>
                <w:szCs w:val="14"/>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42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Senior debt securities (“Senior Debt Securities”)</w:t>
            </w:r>
          </w:p>
        </w:tc>
        <w:tc>
          <w:tcPr>
            <w:tcW w:w="220" w:type="dxa"/>
            <w:vAlign w:val="bottom"/>
            <w:tcBorders>
              <w:bottom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38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r>
      <w:tr>
        <w:trPr>
          <w:trHeight w:val="142"/>
        </w:trPr>
        <w:tc>
          <w:tcPr>
            <w:tcW w:w="430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color w:val="auto"/>
              </w:rPr>
              <w:t>Preferred stock, without par value</w:t>
            </w:r>
          </w:p>
        </w:tc>
        <w:tc>
          <w:tcPr>
            <w:tcW w:w="220" w:type="dxa"/>
            <w:vAlign w:val="bottom"/>
            <w:tcBorders>
              <w:bottom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38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r>
      <w:tr>
        <w:trPr>
          <w:trHeight w:val="142"/>
        </w:trPr>
        <w:tc>
          <w:tcPr>
            <w:tcW w:w="430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color w:val="auto"/>
              </w:rPr>
              <w:t>Depositary shares representing preferred stock</w:t>
            </w:r>
          </w:p>
        </w:tc>
        <w:tc>
          <w:tcPr>
            <w:tcW w:w="220" w:type="dxa"/>
            <w:vAlign w:val="bottom"/>
            <w:tcBorders>
              <w:bottom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38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r>
      <w:tr>
        <w:trPr>
          <w:trHeight w:val="142"/>
        </w:trPr>
        <w:tc>
          <w:tcPr>
            <w:tcW w:w="430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color w:val="auto"/>
              </w:rPr>
              <w:t>Class A common stock, $0.01 par value</w:t>
            </w:r>
          </w:p>
        </w:tc>
        <w:tc>
          <w:tcPr>
            <w:tcW w:w="220" w:type="dxa"/>
            <w:vAlign w:val="bottom"/>
            <w:tcBorders>
              <w:bottom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38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r>
      <w:tr>
        <w:trPr>
          <w:trHeight w:val="142"/>
        </w:trPr>
        <w:tc>
          <w:tcPr>
            <w:tcW w:w="430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color w:val="auto"/>
              </w:rPr>
              <w:t>Class A Special common stock, $0.01 par value</w:t>
            </w:r>
          </w:p>
        </w:tc>
        <w:tc>
          <w:tcPr>
            <w:tcW w:w="220" w:type="dxa"/>
            <w:vAlign w:val="bottom"/>
            <w:tcBorders>
              <w:bottom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38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r>
      <w:tr>
        <w:trPr>
          <w:trHeight w:val="142"/>
        </w:trPr>
        <w:tc>
          <w:tcPr>
            <w:tcW w:w="13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Warrants</w:t>
            </w:r>
          </w:p>
        </w:tc>
        <w:tc>
          <w:tcPr>
            <w:tcW w:w="29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38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r>
      <w:tr>
        <w:trPr>
          <w:trHeight w:val="142"/>
        </w:trPr>
        <w:tc>
          <w:tcPr>
            <w:tcW w:w="13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Purchase Contracts</w:t>
            </w:r>
          </w:p>
        </w:tc>
        <w:tc>
          <w:tcPr>
            <w:tcW w:w="29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38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r>
      <w:tr>
        <w:trPr>
          <w:trHeight w:val="142"/>
        </w:trPr>
        <w:tc>
          <w:tcPr>
            <w:tcW w:w="13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Units</w:t>
            </w:r>
          </w:p>
        </w:tc>
        <w:tc>
          <w:tcPr>
            <w:tcW w:w="29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38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r>
      <w:tr>
        <w:trPr>
          <w:trHeight w:val="142"/>
        </w:trPr>
        <w:tc>
          <w:tcPr>
            <w:tcW w:w="430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color w:val="auto"/>
                <w:w w:val="95"/>
              </w:rPr>
              <w:t>Guarantees of Debt Securities, Warrants, Purchase Contracts and Units</w:t>
            </w:r>
          </w:p>
        </w:tc>
        <w:tc>
          <w:tcPr>
            <w:tcW w:w="220" w:type="dxa"/>
            <w:vAlign w:val="bottom"/>
            <w:tcBorders>
              <w:bottom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38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3" w:lineRule="exact"/>
        <w:rPr>
          <w:sz w:val="24"/>
          <w:szCs w:val="24"/>
          <w:color w:val="auto"/>
        </w:rPr>
      </w:pPr>
    </w:p>
    <w:p>
      <w:pPr>
        <w:ind w:left="340" w:right="100" w:hanging="339"/>
        <w:spacing w:after="0" w:line="318" w:lineRule="auto"/>
        <w:tabs>
          <w:tab w:leader="none" w:pos="320" w:val="left"/>
        </w:tabs>
        <w:rPr>
          <w:sz w:val="20"/>
          <w:szCs w:val="20"/>
          <w:color w:val="auto"/>
        </w:rPr>
      </w:pPr>
      <w:r>
        <w:rPr>
          <w:rFonts w:ascii="Arial" w:cs="Arial" w:eastAsia="Arial" w:hAnsi="Arial"/>
          <w:sz w:val="12"/>
          <w:szCs w:val="12"/>
          <w:color w:val="auto"/>
        </w:rPr>
        <w:t>(1)</w:t>
        <w:tab/>
        <w:t>An indeterminate amount of securities to be offered at indeterminate prices is being registered pursuant to this registration statement. The Registrants are deferring payment of the registration fee pursuant to Rule 456(b) and are omitting this information in reliance on Rule 456(b) and Rule 457(r). These securities may also be sold separately, together or as units with other securities registered hereunder.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872490</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194945</wp:posOffset>
            </wp:positionV>
            <wp:extent cx="1397635" cy="4889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are types of securities that may be offered and sold from time to time by Comcast Corporation or by selling security holders under this prospectus:</w:t>
      </w:r>
    </w:p>
    <w:p>
      <w:pPr>
        <w:sectPr>
          <w:pgSz w:w="11900" w:h="16838" w:orient="portrait"/>
          <w:cols w:equalWidth="0" w:num="1">
            <w:col w:w="11420"/>
          </w:cols>
          <w:pgMar w:left="240" w:top="459" w:right="239" w:bottom="1440" w:gutter="0" w:footer="0" w:header="0"/>
        </w:sectPr>
      </w:pPr>
    </w:p>
    <w:p>
      <w:pPr>
        <w:spacing w:after="0" w:line="17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Unsecured senior debt securities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 Preferred stock</w:t>
      </w:r>
    </w:p>
    <w:p>
      <w:pPr>
        <w:spacing w:after="0" w:line="50" w:lineRule="exact"/>
        <w:rPr>
          <w:sz w:val="20"/>
          <w:szCs w:val="20"/>
          <w:color w:val="auto"/>
        </w:rPr>
      </w:pPr>
    </w:p>
    <w:p>
      <w:pPr>
        <w:sectPr>
          <w:pgSz w:w="11900" w:h="16838" w:orient="portrait"/>
          <w:cols w:equalWidth="0" w:num="2">
            <w:col w:w="5420" w:space="720"/>
            <w:col w:w="528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 Warrants</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Purchase contracts</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Depositary shares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Class A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 Class A Special common stock</w:t>
      </w:r>
    </w:p>
    <w:p>
      <w:pPr>
        <w:spacing w:after="0" w:line="199" w:lineRule="exact"/>
        <w:rPr>
          <w:sz w:val="20"/>
          <w:szCs w:val="20"/>
          <w:color w:val="auto"/>
        </w:rPr>
      </w:pPr>
    </w:p>
    <w:p>
      <w:pPr>
        <w:sectPr>
          <w:pgSz w:w="11900" w:h="16838" w:orient="portrait"/>
          <w:cols w:equalWidth="0" w:num="2">
            <w:col w:w="5420" w:space="720"/>
            <w:col w:w="5280"/>
          </w:cols>
          <w:pgMar w:left="240" w:top="459" w:right="239" w:bottom="1440" w:gutter="0" w:footer="0" w:header="0"/>
          <w:type w:val="continuous"/>
        </w:sectPr>
      </w:pPr>
    </w:p>
    <w:p>
      <w:pPr>
        <w:ind w:right="820" w:firstLine="456"/>
        <w:spacing w:after="0" w:line="268"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 owned subsidiaries named in this prospectus.</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Class A common stock and Class A Special common stock are quoted on the Nasdaq Global Select Market under the ticker symbols “CMCSA” and “CMCSK”. On September 17, 2013, the reported last sale prices on the Nasdaq Global Select Market for our Class A common stock and our Class A Special common stock were $44.45 and $43.10, respectively.</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 Maturity</w:t>
            </w:r>
          </w:p>
        </w:tc>
        <w:tc>
          <w:tcPr>
            <w:tcW w:w="3720" w:type="dxa"/>
            <w:vAlign w:val="bottom"/>
          </w:tcPr>
          <w:p>
            <w:pPr>
              <w:ind w:left="600"/>
              <w:spacing w:after="0"/>
              <w:rPr>
                <w:sz w:val="20"/>
                <w:szCs w:val="20"/>
                <w:color w:val="auto"/>
              </w:rPr>
            </w:pPr>
            <w:r>
              <w:rPr>
                <w:rFonts w:ascii="Arial" w:cs="Arial" w:eastAsia="Arial" w:hAnsi="Arial"/>
                <w:sz w:val="18"/>
                <w:szCs w:val="18"/>
                <w:color w:val="auto"/>
              </w:rPr>
              <w:t>• Dividends</w:t>
            </w:r>
          </w:p>
        </w:tc>
        <w:tc>
          <w:tcPr>
            <w:tcW w:w="3000" w:type="dxa"/>
            <w:vAlign w:val="bottom"/>
          </w:tcPr>
          <w:p>
            <w:pPr>
              <w:ind w:left="760"/>
              <w:spacing w:after="0"/>
              <w:rPr>
                <w:sz w:val="20"/>
                <w:szCs w:val="20"/>
                <w:color w:val="auto"/>
              </w:rPr>
            </w:pPr>
            <w:r>
              <w:rPr>
                <w:rFonts w:ascii="Arial" w:cs="Arial" w:eastAsia="Arial" w:hAnsi="Arial"/>
                <w:sz w:val="18"/>
                <w:szCs w:val="18"/>
                <w:color w:val="auto"/>
                <w:w w:val="86"/>
              </w:rPr>
              <w:t>• Conversion or exchange rights</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 Interest rate</w:t>
            </w:r>
          </w:p>
        </w:tc>
        <w:tc>
          <w:tcPr>
            <w:tcW w:w="3720" w:type="dxa"/>
            <w:vAlign w:val="bottom"/>
          </w:tcPr>
          <w:p>
            <w:pPr>
              <w:ind w:left="600"/>
              <w:spacing w:after="0"/>
              <w:rPr>
                <w:sz w:val="20"/>
                <w:szCs w:val="20"/>
                <w:color w:val="auto"/>
              </w:rPr>
            </w:pPr>
            <w:r>
              <w:rPr>
                <w:rFonts w:ascii="Arial" w:cs="Arial" w:eastAsia="Arial" w:hAnsi="Arial"/>
                <w:sz w:val="18"/>
                <w:szCs w:val="18"/>
                <w:color w:val="auto"/>
              </w:rPr>
              <w:t>• Redemption terms</w:t>
            </w:r>
          </w:p>
        </w:tc>
        <w:tc>
          <w:tcPr>
            <w:tcW w:w="3000" w:type="dxa"/>
            <w:vAlign w:val="bottom"/>
          </w:tcPr>
          <w:p>
            <w:pPr>
              <w:ind w:left="760"/>
              <w:spacing w:after="0"/>
              <w:rPr>
                <w:sz w:val="20"/>
                <w:szCs w:val="20"/>
                <w:color w:val="auto"/>
              </w:rPr>
            </w:pPr>
            <w:r>
              <w:rPr>
                <w:rFonts w:ascii="Arial" w:cs="Arial" w:eastAsia="Arial" w:hAnsi="Arial"/>
                <w:sz w:val="18"/>
                <w:szCs w:val="18"/>
                <w:color w:val="auto"/>
              </w:rPr>
              <w:t>• Liquidation amount</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 Sinking fund terms</w:t>
            </w:r>
          </w:p>
        </w:tc>
        <w:tc>
          <w:tcPr>
            <w:tcW w:w="3720" w:type="dxa"/>
            <w:vAlign w:val="bottom"/>
          </w:tcPr>
          <w:p>
            <w:pPr>
              <w:ind w:left="600"/>
              <w:spacing w:after="0"/>
              <w:rPr>
                <w:sz w:val="20"/>
                <w:szCs w:val="20"/>
                <w:color w:val="auto"/>
              </w:rPr>
            </w:pPr>
            <w:r>
              <w:rPr>
                <w:rFonts w:ascii="Arial" w:cs="Arial" w:eastAsia="Arial" w:hAnsi="Arial"/>
                <w:sz w:val="18"/>
                <w:szCs w:val="18"/>
                <w:color w:val="auto"/>
              </w:rPr>
              <w:t>• Listing on a securities exchange</w:t>
            </w:r>
          </w:p>
        </w:tc>
        <w:tc>
          <w:tcPr>
            <w:tcW w:w="3000" w:type="dxa"/>
            <w:vAlign w:val="bottom"/>
          </w:tcPr>
          <w:p>
            <w:pPr>
              <w:ind w:left="760"/>
              <w:spacing w:after="0"/>
              <w:rPr>
                <w:sz w:val="20"/>
                <w:szCs w:val="20"/>
                <w:color w:val="auto"/>
              </w:rPr>
            </w:pPr>
            <w:r>
              <w:rPr>
                <w:rFonts w:ascii="Arial" w:cs="Arial" w:eastAsia="Arial" w:hAnsi="Arial"/>
                <w:sz w:val="18"/>
                <w:szCs w:val="18"/>
                <w:color w:val="auto"/>
              </w:rPr>
              <w:t>• Subsidiary guarantees</w:t>
            </w:r>
          </w:p>
        </w:tc>
      </w:tr>
      <w:tr>
        <w:trPr>
          <w:trHeight w:val="222"/>
        </w:trPr>
        <w:tc>
          <w:tcPr>
            <w:tcW w:w="2260" w:type="dxa"/>
            <w:vAlign w:val="bottom"/>
          </w:tcPr>
          <w:p>
            <w:pPr>
              <w:spacing w:after="0"/>
              <w:rPr>
                <w:sz w:val="20"/>
                <w:szCs w:val="20"/>
                <w:color w:val="auto"/>
              </w:rPr>
            </w:pPr>
            <w:r>
              <w:rPr>
                <w:rFonts w:ascii="Arial" w:cs="Arial" w:eastAsia="Arial" w:hAnsi="Arial"/>
                <w:sz w:val="18"/>
                <w:szCs w:val="18"/>
                <w:color w:val="auto"/>
              </w:rPr>
              <w:t>• Currency of payments</w:t>
            </w:r>
          </w:p>
        </w:tc>
        <w:tc>
          <w:tcPr>
            <w:tcW w:w="3720" w:type="dxa"/>
            <w:vAlign w:val="bottom"/>
          </w:tcPr>
          <w:p>
            <w:pPr>
              <w:ind w:left="600"/>
              <w:spacing w:after="0"/>
              <w:rPr>
                <w:sz w:val="20"/>
                <w:szCs w:val="20"/>
                <w:color w:val="auto"/>
              </w:rPr>
            </w:pPr>
            <w:r>
              <w:rPr>
                <w:rFonts w:ascii="Arial" w:cs="Arial" w:eastAsia="Arial" w:hAnsi="Arial"/>
                <w:sz w:val="18"/>
                <w:szCs w:val="18"/>
                <w:color w:val="auto"/>
              </w:rPr>
              <w:t>• Amount payable at maturity</w:t>
            </w:r>
          </w:p>
        </w:tc>
        <w:tc>
          <w:tcPr>
            <w:tcW w:w="30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Investing in these securities involves certain risks. See “Item 1A—Risk Factors” beginning on page 29 of Comcast’s annual report on Form 10-K for the year ended December 31, 2012, and beginning on page 14 of NBCUniversal’s annual report on Form 10-K for the year ended December 31, 2012, which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170180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170815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September 18, 2013</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520" w:type="dxa"/>
            <w:vAlign w:val="bottom"/>
            <w:gridSpan w:val="2"/>
          </w:tcPr>
          <w:p>
            <w:pPr>
              <w:ind w:left="1240"/>
              <w:spacing w:after="0"/>
              <w:rPr>
                <w:sz w:val="20"/>
                <w:szCs w:val="20"/>
                <w:color w:val="auto"/>
              </w:rPr>
            </w:pPr>
            <w:r>
              <w:rPr>
                <w:rFonts w:ascii="Arial" w:cs="Arial" w:eastAsia="Arial" w:hAnsi="Arial"/>
                <w:sz w:val="18"/>
                <w:szCs w:val="18"/>
                <w:b w:val="1"/>
                <w:bCs w:val="1"/>
                <w:color w:val="auto"/>
              </w:rPr>
              <w:t>TABLE OF CONTENTS</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120" w:type="dxa"/>
            <w:vAlign w:val="bottom"/>
            <w:gridSpan w:val="3"/>
            <w:vMerge w:val="restart"/>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The Companies</w:t>
              </w:r>
            </w:hyperlink>
          </w:p>
        </w:tc>
        <w:tc>
          <w:tcPr>
            <w:tcW w:w="9940" w:type="dxa"/>
            <w:vAlign w:val="bottom"/>
            <w:gridSpan w:val="10"/>
            <w:vMerge w:val="restart"/>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c>
          <w:tcPr>
            <w:tcW w:w="0" w:type="dxa"/>
            <w:vAlign w:val="bottom"/>
          </w:tcPr>
          <w:p>
            <w:pPr>
              <w:spacing w:after="0"/>
              <w:rPr>
                <w:sz w:val="1"/>
                <w:szCs w:val="1"/>
                <w:color w:val="auto"/>
              </w:rPr>
            </w:pPr>
          </w:p>
        </w:tc>
      </w:tr>
      <w:tr>
        <w:trPr>
          <w:trHeight w:val="174"/>
        </w:trPr>
        <w:tc>
          <w:tcPr>
            <w:tcW w:w="1120" w:type="dxa"/>
            <w:vAlign w:val="bottom"/>
            <w:tcBorders>
              <w:bottom w:val="single" w:sz="8" w:color="0000EE"/>
            </w:tcBorders>
            <w:gridSpan w:val="3"/>
            <w:vMerge w:val="continue"/>
          </w:tcPr>
          <w:p>
            <w:pPr>
              <w:spacing w:after="0"/>
              <w:rPr>
                <w:sz w:val="14"/>
                <w:szCs w:val="14"/>
                <w:color w:val="auto"/>
              </w:rPr>
            </w:pPr>
          </w:p>
        </w:tc>
        <w:tc>
          <w:tcPr>
            <w:tcW w:w="9940" w:type="dxa"/>
            <w:vAlign w:val="bottom"/>
            <w:gridSpan w:val="10"/>
            <w:vMerge w:val="continue"/>
          </w:tcPr>
          <w:p>
            <w:pPr>
              <w:spacing w:after="0"/>
              <w:rPr>
                <w:sz w:val="14"/>
                <w:szCs w:val="14"/>
                <w:color w:val="auto"/>
              </w:rPr>
            </w:pPr>
          </w:p>
        </w:tc>
        <w:tc>
          <w:tcPr>
            <w:tcW w:w="26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Caution Concerning Forward-Looking Statements</w:t>
              </w:r>
            </w:hyperlink>
          </w:p>
        </w:tc>
        <w:tc>
          <w:tcPr>
            <w:tcW w:w="7520" w:type="dxa"/>
            <w:vAlign w:val="bottom"/>
            <w:gridSpan w:val="2"/>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60" w:type="dxa"/>
            <w:vAlign w:val="bottom"/>
            <w:gridSpan w:val="13"/>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Use of Proceeds</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8">
              <w:r>
                <w:rPr>
                  <w:rFonts w:ascii="Arial" w:cs="Arial" w:eastAsia="Arial" w:hAnsi="Arial"/>
                  <w:sz w:val="18"/>
                  <w:szCs w:val="18"/>
                  <w:color w:val="0000EE"/>
                  <w:w w:val="92"/>
                </w:rPr>
                <w:t>Dividend Policy</w:t>
              </w:r>
            </w:hyperlink>
          </w:p>
        </w:tc>
        <w:tc>
          <w:tcPr>
            <w:tcW w:w="9900" w:type="dxa"/>
            <w:vAlign w:val="bottom"/>
            <w:gridSpan w:val="8"/>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60" w:type="dxa"/>
            <w:vAlign w:val="bottom"/>
            <w:gridSpan w:val="13"/>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Ratios of Earnings to Fixed Charges and of Earnings to Combined Fixed Charges and Preferred Dividends</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Description of Debt Securities and Guarantees</w:t>
              </w:r>
            </w:hyperlink>
          </w:p>
        </w:tc>
        <w:tc>
          <w:tcPr>
            <w:tcW w:w="3580" w:type="dxa"/>
            <w:vAlign w:val="bottom"/>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2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Global Securities</w:t>
              </w:r>
            </w:hyperlink>
          </w:p>
        </w:tc>
        <w:tc>
          <w:tcPr>
            <w:tcW w:w="7800" w:type="dxa"/>
            <w:vAlign w:val="bottom"/>
            <w:gridSpan w:val="3"/>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Description of Capital Stock</w:t>
              </w:r>
            </w:hyperlink>
          </w:p>
        </w:tc>
        <w:tc>
          <w:tcPr>
            <w:tcW w:w="9040" w:type="dxa"/>
            <w:vAlign w:val="bottom"/>
            <w:gridSpan w:val="4"/>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1060" w:type="dxa"/>
            <w:vAlign w:val="bottom"/>
            <w:gridSpan w:val="1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Plan of Distribution</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Legal Matters</w:t>
              </w:r>
            </w:hyperlink>
          </w:p>
        </w:tc>
        <w:tc>
          <w:tcPr>
            <w:tcW w:w="9660" w:type="dxa"/>
            <w:vAlign w:val="bottom"/>
            <w:gridSpan w:val="6"/>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Experts</w:t>
              </w:r>
            </w:hyperlink>
          </w:p>
        </w:tc>
        <w:tc>
          <w:tcPr>
            <w:tcW w:w="10080" w:type="dxa"/>
            <w:vAlign w:val="bottom"/>
            <w:gridSpan w:val="11"/>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1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Available Information</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30">
              <w:r>
                <w:rPr>
                  <w:rFonts w:ascii="Arial" w:cs="Arial" w:eastAsia="Arial" w:hAnsi="Arial"/>
                  <w:sz w:val="18"/>
                  <w:szCs w:val="18"/>
                  <w:color w:val="0000EE"/>
                  <w:w w:val="88"/>
                </w:rPr>
                <w:t>Incorporation of Certain Documents by Reference</w:t>
              </w:r>
            </w:hyperlink>
          </w:p>
        </w:tc>
        <w:tc>
          <w:tcPr>
            <w:tcW w:w="7520" w:type="dxa"/>
            <w:vAlign w:val="bottom"/>
            <w:gridSpan w:val="2"/>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We have not authorized anyone to provide you with different information. We are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refer to Comcast Corporation in this prospectus as “Comcast;” Comcast and its consolidated subsidiaries, including NBCUniversal, as “we,” “us,” “our” or comparable terms and to Comcast Holdings Corporation as “Comcast Holdings.” We refer to NBCUniversal Media, LLC as “NBCUniversal,” Comcast Cable Communications, LLC as “Comcast Cable,” Comcast MO Group, Inc. as “Comcast MO Group,” Comcast Cable Holdings, LLC as “Comcast Cable Holdings,” Comcast MO of Delaware, LLC as “Comcast MO of Delaware,” and all of them collectively as the “Guarantors.”</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We present our operations in the following five reportable business segments:</w:t>
      </w:r>
    </w:p>
    <w:p>
      <w:pPr>
        <w:spacing w:after="0" w:line="45" w:lineRule="exact"/>
        <w:rPr>
          <w:sz w:val="20"/>
          <w:szCs w:val="20"/>
          <w:color w:val="auto"/>
        </w:rPr>
      </w:pPr>
    </w:p>
    <w:p>
      <w:pPr>
        <w:ind w:left="900" w:hanging="325"/>
        <w:spacing w:after="0" w:line="334"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Cable Communications</w:t>
      </w:r>
      <w:r>
        <w:rPr>
          <w:rFonts w:ascii="Arial" w:cs="Arial" w:eastAsia="Arial" w:hAnsi="Arial"/>
          <w:sz w:val="16"/>
          <w:szCs w:val="16"/>
          <w:color w:val="auto"/>
        </w:rPr>
        <w:t>: Consists of the operations of Comcast Cable, which is the nation’s largest provider of video, high-speed Internet and voice</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to residential customers under the XFINITY brand, and Comcast Cable also provides these services to businesses.</w:t>
      </w:r>
    </w:p>
    <w:p>
      <w:pPr>
        <w:spacing w:after="0" w:line="1" w:lineRule="exact"/>
        <w:rPr>
          <w:rFonts w:ascii="Arial" w:cs="Arial" w:eastAsia="Arial" w:hAnsi="Arial"/>
          <w:sz w:val="16"/>
          <w:szCs w:val="16"/>
          <w:color w:val="auto"/>
        </w:rPr>
      </w:pPr>
    </w:p>
    <w:p>
      <w:pPr>
        <w:ind w:left="900" w:right="440" w:hanging="325"/>
        <w:spacing w:after="0" w:line="275"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Cable Networks</w:t>
      </w:r>
      <w:r>
        <w:rPr>
          <w:rFonts w:ascii="Arial" w:cs="Arial" w:eastAsia="Arial" w:hAnsi="Arial"/>
          <w:sz w:val="18"/>
          <w:szCs w:val="18"/>
          <w:color w:val="auto"/>
        </w:rPr>
        <w:t>: Consists primarily of NBCUniversal’s national cable networks, its regional sports and news networks, its international cable</w:t>
      </w:r>
      <w:r>
        <w:rPr>
          <w:rFonts w:ascii="Arial" w:cs="Arial" w:eastAsia="Arial" w:hAnsi="Arial"/>
          <w:sz w:val="18"/>
          <w:szCs w:val="18"/>
          <w:b w:val="1"/>
          <w:bCs w:val="1"/>
          <w:color w:val="auto"/>
        </w:rPr>
        <w:t xml:space="preserve"> </w:t>
      </w:r>
      <w:r>
        <w:rPr>
          <w:rFonts w:ascii="Arial" w:cs="Arial" w:eastAsia="Arial" w:hAnsi="Arial"/>
          <w:sz w:val="18"/>
          <w:szCs w:val="18"/>
          <w:color w:val="auto"/>
        </w:rPr>
        <w:t>networks, its cable television production operations, and its related digital media properties.</w:t>
      </w:r>
    </w:p>
    <w:p>
      <w:pPr>
        <w:spacing w:after="0" w:line="38" w:lineRule="exact"/>
        <w:rPr>
          <w:rFonts w:ascii="Arial" w:cs="Arial" w:eastAsia="Arial" w:hAnsi="Arial"/>
          <w:sz w:val="18"/>
          <w:szCs w:val="18"/>
          <w:color w:val="auto"/>
        </w:rPr>
      </w:pPr>
    </w:p>
    <w:p>
      <w:pPr>
        <w:ind w:left="900" w:right="460" w:hanging="325"/>
        <w:spacing w:after="0" w:line="334"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Broadcast Television</w:t>
      </w:r>
      <w:r>
        <w:rPr>
          <w:rFonts w:ascii="Arial" w:cs="Arial" w:eastAsia="Arial" w:hAnsi="Arial"/>
          <w:sz w:val="16"/>
          <w:szCs w:val="16"/>
          <w:color w:val="auto"/>
        </w:rPr>
        <w:t>: Consists primarily of NBCUniversal’s broadcast networks, NBC and Telemundo, its NBC and Telemundo owned local</w:t>
      </w:r>
      <w:r>
        <w:rPr>
          <w:rFonts w:ascii="Arial" w:cs="Arial" w:eastAsia="Arial" w:hAnsi="Arial"/>
          <w:sz w:val="16"/>
          <w:szCs w:val="16"/>
          <w:b w:val="1"/>
          <w:bCs w:val="1"/>
          <w:color w:val="auto"/>
        </w:rPr>
        <w:t xml:space="preserve"> </w:t>
      </w:r>
      <w:r>
        <w:rPr>
          <w:rFonts w:ascii="Arial" w:cs="Arial" w:eastAsia="Arial" w:hAnsi="Arial"/>
          <w:sz w:val="16"/>
          <w:szCs w:val="16"/>
          <w:color w:val="auto"/>
        </w:rPr>
        <w:t>broadcast television stations, its broadcast television production operations, and its related digital media properties.</w:t>
      </w:r>
    </w:p>
    <w:p>
      <w:pPr>
        <w:spacing w:after="0" w:line="1" w:lineRule="exact"/>
        <w:rPr>
          <w:rFonts w:ascii="Arial" w:cs="Arial" w:eastAsia="Arial" w:hAnsi="Arial"/>
          <w:sz w:val="16"/>
          <w:szCs w:val="16"/>
          <w:color w:val="auto"/>
        </w:rPr>
      </w:pPr>
    </w:p>
    <w:p>
      <w:pPr>
        <w:ind w:left="900" w:right="560" w:hanging="325"/>
        <w:spacing w:after="0" w:line="275"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primarily of the operations of Universal Pictures, which produces, acquires, markets and distributes filmed</w:t>
      </w:r>
      <w:r>
        <w:rPr>
          <w:rFonts w:ascii="Arial" w:cs="Arial" w:eastAsia="Arial" w:hAnsi="Arial"/>
          <w:sz w:val="18"/>
          <w:szCs w:val="18"/>
          <w:b w:val="1"/>
          <w:bCs w:val="1"/>
          <w:color w:val="auto"/>
        </w:rPr>
        <w:t xml:space="preserve"> </w:t>
      </w:r>
      <w:r>
        <w:rPr>
          <w:rFonts w:ascii="Arial" w:cs="Arial" w:eastAsia="Arial" w:hAnsi="Arial"/>
          <w:sz w:val="18"/>
          <w:szCs w:val="18"/>
          <w:color w:val="auto"/>
        </w:rPr>
        <w:t>entertainment worldwide.</w:t>
      </w:r>
    </w:p>
    <w:p>
      <w:pPr>
        <w:spacing w:after="0" w:line="38"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NBCUniversal’s Universal theme parks in Orlando and Hollywood.</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2012, the Cable Communications segment generated 63% of Comcast’s consolidated revenue and more than 80% of Comcast’s operating income before depreciation and amortization. The Cable Networks, Broadcast Television, Filmed Entertainment and Theme Parks segments comprise NBCUniversal’s businesses.</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other business interests primarily include Comcast-Spectacor, which owns the Philadelphia Flyers and the Wells Fargo Center arena in Philadelphia and operates arena management-related businesses.</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a description of the business, financial condition, results of operations and other important information regarding us, see our filings with the Securities and Exchange Commission (the “SEC” or the “Commission”) incorporated by reference in this prospectus. For instructions on how to find copies of these and other filings incorporated by reference in this prospectus, see “Available Information” in this prospectus.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Guarantors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obligations, including the payment of principal, premium, if any, and interest on the debt securities issued pursuant to this prospectus will be fully and unconditionally guaranteed by each of the Guarantors. In this prospectus, we refer to these guarantees as the “Guarantees.” We have numerous other subsidiaries, including Comcast Holdings, and its and the Guarantors’ respective subsidiaries, that will not be guarantors on the debt securities. If indicated in the relevant prospectus supplement, our obligations under the other securities we are offering and selling may be fully and unconditionally guaranteed by specified Guarantors.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900" w:right="4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NBCUniversal Media, LLC</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NBCUniversal is one of the world’s leading media and entertainment companies. It develops, produces and distributes entertainment, news and information, sports and other content for global audiences and owns and operates a diversified and integrated portfolio of some of the most recognizable media brands in the world.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 owned subsidiary of ours.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Holdings, LLC</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Comcast Cable Holdings is a Delaware limited liability company (formerly known as AT&amp;T Broadband, LLC) formed in 1994. Comcast Cable Holdings is a wholly owned subsidiary of Comcast Cable.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MO Group, Inc.</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Comcast MO Group is a Delaware corporation (formerly known as MediaOne Group, Inc.) incorporated in 1999. Comcast MO Group is a wholly owned subsidiary of Comcast Cable.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MO of Delaware, LLC</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Comcast MO of Delaware, which was incorporated in 1996 as a Delaware corporation, became a Delaware limited liability company in 2003. Comcast MO of Delaware is an indirect wholly owned subsidiary of Comcast MO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97790</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principal executive offices of Comcast and the Guarantors other than NBCUniversal are located at One Comcast Center, Philadelphia, Pennsylvania 19103-2838, and our telephone number is (215) 286-1700.</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principal executive offices of NBCUniversal are located at 30 Rockefeller Plaza, New York, New York 10112-0015, and its telephone number is (212) 664-4444.</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maintain a website at http://www.comcastcorporation.com where general information about us is available. We are not incorporating the contents of the website into this prospectus.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this prospectus and in the documents we incorporate by reference,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1A—Risk Factors” in our and NBCUniversal’s Annual Reports on Form 10-K for the year ended December 31, 2012 incorporated herein by reference. Actual events or our actual results may differ materially from any of our forward-looking statements. We undertake no obligation to update any forward-looking statements.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90" w:lineRule="exact"/>
        <w:rPr>
          <w:sz w:val="20"/>
          <w:szCs w:val="20"/>
          <w:color w:val="auto"/>
        </w:rPr>
      </w:pPr>
    </w:p>
    <w:p>
      <w:pPr>
        <w:ind w:left="900" w:right="42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businesses and results of operations could be adversely affected if we do not compete effectively;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consumer behavior driven by new technologies may adversely affect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programming expenses for our video services are increasing, which could adversely affect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are subject to regulation by federal, state, local and foreign authorities, which may impose additional costs and restrictions on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decline in advertising expenditures or changes in advertising markets could negatively impact our businesses;</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NBCUniversal’s success depends on consumer acceptance of its content, which is difficult to predict, and its businesses may be adversely affected if its content fails to achieve sufficient consumer acceptance or our costs to acquire content increase;</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NBCUniversal’s programming distribution agreements, or the renewal of these agreements on less favorable terms, could adversely affect its businesses;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businesses depend on using and protecting certain intellectual property rights and on not infringing the intellectual property rights of others;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labor disputes, whether involving employees or sports organizations, may disrupt our operations and adversely affect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key management personnel or popular on-air and creative talent could have an adverse effect on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of DVDs have been declining;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arising from the outcome of various litigation matters;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acquisitions and other strategic transactions present many risks, and we may not realize the financial and strategic goals that were contemplated at the time of any transaction; and</w:t>
      </w:r>
    </w:p>
    <w:p>
      <w:pPr>
        <w:spacing w:after="0" w:line="50" w:lineRule="exact"/>
        <w:rPr>
          <w:rFonts w:ascii="Arial" w:cs="Arial" w:eastAsia="Arial" w:hAnsi="Arial"/>
          <w:sz w:val="18"/>
          <w:szCs w:val="18"/>
          <w:color w:val="auto"/>
        </w:rPr>
      </w:pPr>
    </w:p>
    <w:p>
      <w:pPr>
        <w:ind w:left="900" w:right="6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intend to pay quarterly dividends at an annual rate currently of $0.78 per share. Our Board of Directors retains the right to change our dividend policy at any time.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 AND OF EARNINGS TO COMBINED FIXED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CHARGES AND PREFERRED DIVIDENDS</w:t>
      </w:r>
    </w:p>
    <w:p>
      <w:pPr>
        <w:spacing w:after="0" w:line="16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960" w:type="dxa"/>
            <w:vAlign w:val="bottom"/>
          </w:tcPr>
          <w:p>
            <w:pPr>
              <w:jc w:val="center"/>
              <w:ind w:right="22"/>
              <w:spacing w:after="0"/>
              <w:rPr>
                <w:sz w:val="20"/>
                <w:szCs w:val="20"/>
                <w:color w:val="auto"/>
              </w:rPr>
            </w:pPr>
            <w:r>
              <w:rPr>
                <w:rFonts w:ascii="Arial" w:cs="Arial" w:eastAsia="Arial" w:hAnsi="Arial"/>
                <w:sz w:val="14"/>
                <w:szCs w:val="14"/>
                <w:b w:val="1"/>
                <w:bCs w:val="1"/>
                <w:color w:val="auto"/>
                <w:w w:val="87"/>
              </w:rPr>
              <w:t>For the Six Months</w:t>
            </w:r>
          </w:p>
        </w:tc>
        <w:tc>
          <w:tcPr>
            <w:tcW w:w="2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For the Years Ended December 31,</w:t>
            </w:r>
          </w:p>
        </w:tc>
        <w:tc>
          <w:tcPr>
            <w:tcW w:w="13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r>
      <w:tr>
        <w:trPr>
          <w:trHeight w:val="156"/>
        </w:trPr>
        <w:tc>
          <w:tcPr>
            <w:tcW w:w="1960" w:type="dxa"/>
            <w:vAlign w:val="bottom"/>
            <w:tcBorders>
              <w:bottom w:val="single" w:sz="8" w:color="auto"/>
            </w:tcBorders>
          </w:tcPr>
          <w:p>
            <w:pPr>
              <w:jc w:val="center"/>
              <w:ind w:right="42"/>
              <w:spacing w:after="0" w:line="155" w:lineRule="exact"/>
              <w:rPr>
                <w:sz w:val="20"/>
                <w:szCs w:val="20"/>
                <w:color w:val="auto"/>
              </w:rPr>
            </w:pPr>
            <w:r>
              <w:rPr>
                <w:rFonts w:ascii="Arial" w:cs="Arial" w:eastAsia="Arial" w:hAnsi="Arial"/>
                <w:sz w:val="14"/>
                <w:szCs w:val="14"/>
                <w:b w:val="1"/>
                <w:bCs w:val="1"/>
                <w:color w:val="auto"/>
                <w:w w:val="87"/>
              </w:rPr>
              <w:t>Ended June 30, 2013</w:t>
            </w:r>
          </w:p>
        </w:tc>
        <w:tc>
          <w:tcPr>
            <w:tcW w:w="2120" w:type="dxa"/>
            <w:vAlign w:val="bottom"/>
            <w:tcBorders>
              <w:bottom w:val="single" w:sz="8" w:color="auto"/>
            </w:tcBorders>
          </w:tcPr>
          <w:p>
            <w:pPr>
              <w:jc w:val="right"/>
              <w:ind w:right="822"/>
              <w:spacing w:after="0" w:line="155" w:lineRule="exact"/>
              <w:rPr>
                <w:sz w:val="20"/>
                <w:szCs w:val="20"/>
                <w:color w:val="auto"/>
              </w:rPr>
            </w:pPr>
            <w:r>
              <w:rPr>
                <w:rFonts w:ascii="Arial" w:cs="Arial" w:eastAsia="Arial" w:hAnsi="Arial"/>
                <w:sz w:val="14"/>
                <w:szCs w:val="14"/>
                <w:b w:val="1"/>
                <w:bCs w:val="1"/>
                <w:color w:val="auto"/>
              </w:rPr>
              <w:t>2012</w:t>
            </w:r>
          </w:p>
        </w:tc>
        <w:tc>
          <w:tcPr>
            <w:tcW w:w="1420" w:type="dxa"/>
            <w:vAlign w:val="bottom"/>
            <w:tcBorders>
              <w:bottom w:val="single" w:sz="8" w:color="auto"/>
            </w:tcBorders>
          </w:tcPr>
          <w:p>
            <w:pPr>
              <w:jc w:val="right"/>
              <w:ind w:right="162"/>
              <w:spacing w:after="0" w:line="155" w:lineRule="exact"/>
              <w:rPr>
                <w:sz w:val="20"/>
                <w:szCs w:val="20"/>
                <w:color w:val="auto"/>
              </w:rPr>
            </w:pPr>
            <w:r>
              <w:rPr>
                <w:rFonts w:ascii="Arial" w:cs="Arial" w:eastAsia="Arial" w:hAnsi="Arial"/>
                <w:sz w:val="14"/>
                <w:szCs w:val="14"/>
                <w:b w:val="1"/>
                <w:bCs w:val="1"/>
                <w:color w:val="auto"/>
              </w:rPr>
              <w:t>2011</w:t>
            </w:r>
          </w:p>
        </w:tc>
        <w:tc>
          <w:tcPr>
            <w:tcW w:w="2800" w:type="dxa"/>
            <w:vAlign w:val="bottom"/>
            <w:tcBorders>
              <w:bottom w:val="single" w:sz="8" w:color="auto"/>
            </w:tcBorders>
          </w:tcPr>
          <w:p>
            <w:pPr>
              <w:jc w:val="right"/>
              <w:ind w:right="1146"/>
              <w:spacing w:after="0" w:line="155" w:lineRule="exact"/>
              <w:rPr>
                <w:sz w:val="20"/>
                <w:szCs w:val="20"/>
                <w:color w:val="auto"/>
              </w:rPr>
            </w:pPr>
            <w:r>
              <w:rPr>
                <w:rFonts w:ascii="Arial" w:cs="Arial" w:eastAsia="Arial" w:hAnsi="Arial"/>
                <w:sz w:val="14"/>
                <w:szCs w:val="14"/>
                <w:b w:val="1"/>
                <w:bCs w:val="1"/>
                <w:color w:val="auto"/>
              </w:rPr>
              <w:t>2010</w:t>
            </w:r>
          </w:p>
        </w:tc>
        <w:tc>
          <w:tcPr>
            <w:tcW w:w="136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2009</w:t>
            </w:r>
          </w:p>
        </w:tc>
        <w:tc>
          <w:tcPr>
            <w:tcW w:w="1760" w:type="dxa"/>
            <w:vAlign w:val="bottom"/>
            <w:tcBorders>
              <w:bottom w:val="single" w:sz="8" w:color="auto"/>
            </w:tcBorders>
          </w:tcPr>
          <w:p>
            <w:pPr>
              <w:jc w:val="right"/>
              <w:ind w:right="642"/>
              <w:spacing w:after="0" w:line="155" w:lineRule="exact"/>
              <w:rPr>
                <w:sz w:val="20"/>
                <w:szCs w:val="20"/>
                <w:color w:val="auto"/>
              </w:rPr>
            </w:pPr>
            <w:r>
              <w:rPr>
                <w:rFonts w:ascii="Arial" w:cs="Arial" w:eastAsia="Arial" w:hAnsi="Arial"/>
                <w:sz w:val="14"/>
                <w:szCs w:val="14"/>
                <w:b w:val="1"/>
                <w:bCs w:val="1"/>
                <w:color w:val="auto"/>
              </w:rPr>
              <w:t>2008</w:t>
            </w:r>
          </w:p>
        </w:tc>
      </w:tr>
      <w:tr>
        <w:trPr>
          <w:trHeight w:val="210"/>
        </w:trPr>
        <w:tc>
          <w:tcPr>
            <w:tcW w:w="83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w w:val="89"/>
              </w:rPr>
              <w:t>Ratio of earnings to fixed charges and ratio of earnings to combined fixed charges and preferred dividends:</w:t>
            </w:r>
          </w:p>
        </w:tc>
        <w:tc>
          <w:tcPr>
            <w:tcW w:w="13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22"/>
        </w:trPr>
        <w:tc>
          <w:tcPr>
            <w:tcW w:w="1960" w:type="dxa"/>
            <w:vAlign w:val="bottom"/>
          </w:tcPr>
          <w:p>
            <w:pPr>
              <w:jc w:val="center"/>
              <w:ind w:right="42"/>
              <w:spacing w:after="0"/>
              <w:rPr>
                <w:sz w:val="20"/>
                <w:szCs w:val="20"/>
                <w:color w:val="auto"/>
              </w:rPr>
            </w:pPr>
            <w:r>
              <w:rPr>
                <w:rFonts w:ascii="Arial" w:cs="Arial" w:eastAsia="Arial" w:hAnsi="Arial"/>
                <w:sz w:val="18"/>
                <w:szCs w:val="18"/>
                <w:color w:val="auto"/>
                <w:w w:val="90"/>
              </w:rPr>
              <w:t>4.68x</w:t>
            </w:r>
          </w:p>
        </w:tc>
        <w:tc>
          <w:tcPr>
            <w:tcW w:w="2120" w:type="dxa"/>
            <w:vAlign w:val="bottom"/>
          </w:tcPr>
          <w:p>
            <w:pPr>
              <w:jc w:val="center"/>
              <w:ind w:left="2"/>
              <w:spacing w:after="0"/>
              <w:rPr>
                <w:sz w:val="20"/>
                <w:szCs w:val="20"/>
                <w:color w:val="auto"/>
              </w:rPr>
            </w:pPr>
            <w:r>
              <w:rPr>
                <w:rFonts w:ascii="Arial" w:cs="Arial" w:eastAsia="Arial" w:hAnsi="Arial"/>
                <w:sz w:val="18"/>
                <w:szCs w:val="18"/>
                <w:color w:val="auto"/>
                <w:w w:val="90"/>
              </w:rPr>
              <w:t>4.82x</w:t>
            </w:r>
          </w:p>
        </w:tc>
        <w:tc>
          <w:tcPr>
            <w:tcW w:w="1420" w:type="dxa"/>
            <w:vAlign w:val="bottom"/>
          </w:tcPr>
          <w:p>
            <w:pPr>
              <w:jc w:val="center"/>
              <w:ind w:left="582"/>
              <w:spacing w:after="0"/>
              <w:rPr>
                <w:sz w:val="20"/>
                <w:szCs w:val="20"/>
                <w:color w:val="auto"/>
              </w:rPr>
            </w:pPr>
            <w:r>
              <w:rPr>
                <w:rFonts w:ascii="Arial" w:cs="Arial" w:eastAsia="Arial" w:hAnsi="Arial"/>
                <w:sz w:val="18"/>
                <w:szCs w:val="18"/>
                <w:color w:val="auto"/>
                <w:w w:val="90"/>
              </w:rPr>
              <w:t>4.04x</w:t>
            </w:r>
          </w:p>
        </w:tc>
        <w:tc>
          <w:tcPr>
            <w:tcW w:w="2800" w:type="dxa"/>
            <w:vAlign w:val="bottom"/>
          </w:tcPr>
          <w:p>
            <w:pPr>
              <w:jc w:val="center"/>
              <w:ind w:left="26"/>
              <w:spacing w:after="0"/>
              <w:rPr>
                <w:sz w:val="20"/>
                <w:szCs w:val="20"/>
                <w:color w:val="auto"/>
              </w:rPr>
            </w:pPr>
            <w:r>
              <w:rPr>
                <w:rFonts w:ascii="Arial" w:cs="Arial" w:eastAsia="Arial" w:hAnsi="Arial"/>
                <w:sz w:val="18"/>
                <w:szCs w:val="18"/>
                <w:color w:val="auto"/>
                <w:w w:val="86"/>
              </w:rPr>
              <w:t>3.57x</w:t>
            </w:r>
          </w:p>
        </w:tc>
        <w:tc>
          <w:tcPr>
            <w:tcW w:w="1360" w:type="dxa"/>
            <w:vAlign w:val="bottom"/>
          </w:tcPr>
          <w:p>
            <w:pPr>
              <w:jc w:val="center"/>
              <w:ind w:right="362"/>
              <w:spacing w:after="0"/>
              <w:rPr>
                <w:sz w:val="20"/>
                <w:szCs w:val="20"/>
                <w:color w:val="auto"/>
              </w:rPr>
            </w:pPr>
            <w:r>
              <w:rPr>
                <w:rFonts w:ascii="Arial" w:cs="Arial" w:eastAsia="Arial" w:hAnsi="Arial"/>
                <w:sz w:val="18"/>
                <w:szCs w:val="18"/>
                <w:color w:val="auto"/>
                <w:w w:val="90"/>
              </w:rPr>
              <w:t>3.01x</w:t>
            </w:r>
          </w:p>
        </w:tc>
        <w:tc>
          <w:tcPr>
            <w:tcW w:w="1760" w:type="dxa"/>
            <w:vAlign w:val="bottom"/>
          </w:tcPr>
          <w:p>
            <w:pPr>
              <w:jc w:val="center"/>
              <w:spacing w:after="0"/>
              <w:rPr>
                <w:sz w:val="20"/>
                <w:szCs w:val="20"/>
                <w:color w:val="auto"/>
              </w:rPr>
            </w:pPr>
            <w:r>
              <w:rPr>
                <w:rFonts w:ascii="Arial" w:cs="Arial" w:eastAsia="Arial" w:hAnsi="Arial"/>
                <w:sz w:val="18"/>
                <w:szCs w:val="18"/>
                <w:color w:val="auto"/>
                <w:w w:val="86"/>
              </w:rPr>
              <w:t>2.49x</w:t>
            </w:r>
          </w:p>
        </w:tc>
      </w:tr>
    </w:tbl>
    <w:p>
      <w:pPr>
        <w:spacing w:after="0" w:line="161" w:lineRule="exact"/>
        <w:rPr>
          <w:sz w:val="20"/>
          <w:szCs w:val="20"/>
          <w:color w:val="auto"/>
        </w:rPr>
      </w:pPr>
    </w:p>
    <w:p>
      <w:pPr>
        <w:ind w:right="180" w:firstLine="456"/>
        <w:spacing w:after="0" w:line="303" w:lineRule="auto"/>
        <w:rPr>
          <w:sz w:val="20"/>
          <w:szCs w:val="20"/>
          <w:color w:val="auto"/>
        </w:rPr>
      </w:pPr>
      <w:r>
        <w:rPr>
          <w:rFonts w:ascii="Arial" w:cs="Arial" w:eastAsia="Arial" w:hAnsi="Arial"/>
          <w:sz w:val="15"/>
          <w:szCs w:val="15"/>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w:t>
      </w:r>
    </w:p>
    <w:p>
      <w:pPr>
        <w:spacing w:after="0" w:line="1" w:lineRule="exact"/>
        <w:rPr>
          <w:sz w:val="20"/>
          <w:szCs w:val="20"/>
          <w:color w:val="auto"/>
        </w:rPr>
      </w:pPr>
    </w:p>
    <w:p>
      <w:pPr>
        <w:ind w:firstLine="8"/>
        <w:spacing w:after="0" w:line="312" w:lineRule="auto"/>
        <w:tabs>
          <w:tab w:leader="none" w:pos="239" w:val="left"/>
        </w:tabs>
        <w:numPr>
          <w:ilvl w:val="0"/>
          <w:numId w:val="5"/>
        </w:numPr>
        <w:rPr>
          <w:rFonts w:ascii="Arial" w:cs="Arial" w:eastAsia="Arial" w:hAnsi="Arial"/>
          <w:sz w:val="15"/>
          <w:szCs w:val="15"/>
          <w:color w:val="auto"/>
        </w:rPr>
      </w:pPr>
      <w:r>
        <w:rPr>
          <w:rFonts w:ascii="Arial" w:cs="Arial" w:eastAsia="Arial" w:hAnsi="Arial"/>
          <w:sz w:val="15"/>
          <w:szCs w:val="15"/>
          <w:color w:val="auto"/>
        </w:rPr>
        <w:t>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DEBT SECURITIES AND GUARANTEES</w:t>
      </w:r>
    </w:p>
    <w:p>
      <w:pPr>
        <w:spacing w:after="0" w:line="177"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Our debt securities, consisting of notes, debentures or other evidences of indebtedness, may be issued from time to time in one or more series under a senior indenture dated September 18, 2013, entered into among us, the Guarantors and The Bank of New York Mellon, as trustee.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senior indenture is included as an exhibit to the registration statement of which this prospectus is a part.</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Because the following is only a summary of the indenture and the debt securities, it does not contain all information that you may find useful. For further information about the indenture and the debt securities, you should read the indenture. As used in this section of the prospectus and under the caption “Description of Capital Stock,” the terms “we,” “us” and “our” refer solely to Comcast Corporation and such references do not include any subsidiaries of Comcast Corporation, including the Guarantors.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senior debt securities will constitute our unsecured and unsubordinated obligations. The debt securities will be fully and unconditionally guaranteed by the Guarantors, as described below. The debt securities will not be guaranteed by any of our other subsidiaries, including the Guarantors’ respective subsidiaries.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Guarantors with respect to the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9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90" w:lineRule="exact"/>
        <w:rPr>
          <w:rFonts w:ascii="Arial" w:cs="Arial" w:eastAsia="Arial" w:hAnsi="Arial"/>
          <w:sz w:val="18"/>
          <w:szCs w:val="18"/>
          <w:color w:val="auto"/>
        </w:rPr>
      </w:pPr>
    </w:p>
    <w:p>
      <w:pPr>
        <w:ind w:left="900" w:right="56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90"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Debt</w:t>
      </w:r>
      <w:r>
        <w:rPr>
          <w:rFonts w:ascii="Arial" w:cs="Arial" w:eastAsia="Arial" w:hAnsi="Arial"/>
          <w:sz w:val="18"/>
          <w:szCs w:val="18"/>
          <w:color w:val="auto"/>
        </w:rPr>
        <w:t>” means, with respect to an Obligor, the sum of the following as of the date of determination:</w:t>
      </w:r>
    </w:p>
    <w:p>
      <w:pPr>
        <w:spacing w:after="0" w:line="96" w:lineRule="exact"/>
        <w:rPr>
          <w:sz w:val="20"/>
          <w:szCs w:val="20"/>
          <w:color w:val="auto"/>
        </w:rPr>
      </w:pPr>
    </w:p>
    <w:p>
      <w:pPr>
        <w:ind w:right="320" w:firstLine="464"/>
        <w:spacing w:after="0" w:line="268"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aggregate principal amount of such Obligor’s Indebtedness incurred after the date of initial issuance of the senior debt securities and secured by Liens not permitted by the first sentence under “—</w:t>
      </w: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and</w:t>
      </w:r>
    </w:p>
    <w:p>
      <w:pPr>
        <w:spacing w:after="0" w:line="131" w:lineRule="exact"/>
        <w:rPr>
          <w:rFonts w:ascii="Arial" w:cs="Arial" w:eastAsia="Arial" w:hAnsi="Arial"/>
          <w:sz w:val="18"/>
          <w:szCs w:val="18"/>
          <w:color w:val="auto"/>
        </w:rPr>
      </w:pPr>
    </w:p>
    <w:p>
      <w:pPr>
        <w:ind w:right="460" w:firstLine="464"/>
        <w:spacing w:after="0" w:line="268" w:lineRule="auto"/>
        <w:tabs>
          <w:tab w:leader="none" w:pos="705"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such Obligor’s Attributable Liens in respect of sale and lease-back transactions entered into after the date of the initial issuance of the senior debt securities pursuant to the second paragraph of “—</w:t>
      </w: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Attributable Liens</w:t>
      </w:r>
      <w:r>
        <w:rPr>
          <w:rFonts w:ascii="Arial" w:cs="Arial" w:eastAsia="Arial" w:hAnsi="Arial"/>
          <w:sz w:val="18"/>
          <w:szCs w:val="18"/>
          <w:color w:val="auto"/>
        </w:rPr>
        <w:t>” means in connection with a sale and lease-back transaction of an Obligor the lesser of:</w:t>
      </w:r>
    </w:p>
    <w:p>
      <w:pPr>
        <w:spacing w:after="0" w:line="96" w:lineRule="exact"/>
        <w:rPr>
          <w:sz w:val="20"/>
          <w:szCs w:val="20"/>
          <w:color w:val="auto"/>
        </w:rPr>
      </w:pPr>
    </w:p>
    <w:p>
      <w:pPr>
        <w:ind w:right="480" w:firstLine="464"/>
        <w:spacing w:after="0" w:line="268"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transaction (as determined in good faith by our board of directors (in our case) or the equivalent governing body of any Guarantor); and</w:t>
      </w:r>
    </w:p>
    <w:p>
      <w:pPr>
        <w:spacing w:after="0" w:line="131"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present value (discounted at a rate per annum equal to the average interest borne by all outstanding debt securities issued under the senior indenture (which may include debt securities in addition to the senior debt security) determined on a weighted average basis and compounded semi-annually) of the obligations of the lessee for rental payments during the term of the related lease.</w:t>
      </w:r>
    </w:p>
    <w:p>
      <w:pPr>
        <w:spacing w:after="0" w:line="134" w:lineRule="exact"/>
        <w:rPr>
          <w:sz w:val="20"/>
          <w:szCs w:val="20"/>
          <w:color w:val="auto"/>
        </w:rPr>
      </w:pPr>
    </w:p>
    <w:p>
      <w:pPr>
        <w:ind w:right="16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Lease</w:t>
      </w:r>
      <w:r>
        <w:rPr>
          <w:rFonts w:ascii="Arial" w:cs="Arial" w:eastAsia="Arial" w:hAnsi="Arial"/>
          <w:sz w:val="16"/>
          <w:szCs w:val="16"/>
          <w:color w:val="auto"/>
        </w:rPr>
        <w:t>”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senior indenture, whether entered into before or after the date of the senior indenture.</w:t>
      </w:r>
    </w:p>
    <w:p>
      <w:pPr>
        <w:spacing w:after="0" w:line="97"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Worth</w:t>
      </w:r>
      <w:r>
        <w:rPr>
          <w:rFonts w:ascii="Arial" w:cs="Arial" w:eastAsia="Arial" w:hAnsi="Arial"/>
          <w:sz w:val="18"/>
          <w:szCs w:val="18"/>
          <w:color w:val="auto"/>
        </w:rPr>
        <w:t>” of any Person means, as of any date of determination, stockholders’ equity or members’ capital of such Person as reflected on the most recent consolidated balance sheet of such Person and prepared in accordance with GAAP.</w:t>
      </w:r>
    </w:p>
    <w:p>
      <w:pPr>
        <w:spacing w:after="0" w:line="120" w:lineRule="exact"/>
        <w:rPr>
          <w:sz w:val="20"/>
          <w:szCs w:val="20"/>
          <w:color w:val="auto"/>
        </w:rPr>
      </w:pPr>
    </w:p>
    <w:p>
      <w:pPr>
        <w:ind w:right="80" w:firstLine="456"/>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GAAP</w:t>
      </w:r>
      <w:r>
        <w:rPr>
          <w:rFonts w:ascii="Arial" w:cs="Arial" w:eastAsia="Arial" w:hAnsi="Arial"/>
          <w:sz w:val="15"/>
          <w:szCs w:val="15"/>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senior indenture, for purposes of the definition of “Capital Lease” and (ii) the date of determination, for all other purposes under the senior indenture.</w:t>
      </w:r>
    </w:p>
    <w:p>
      <w:pPr>
        <w:spacing w:after="0" w:line="89" w:lineRule="exact"/>
        <w:rPr>
          <w:sz w:val="20"/>
          <w:szCs w:val="20"/>
          <w:color w:val="auto"/>
        </w:rPr>
      </w:pPr>
    </w:p>
    <w:p>
      <w:pPr>
        <w:ind w:right="160" w:firstLine="456"/>
        <w:spacing w:after="0" w:line="31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Governmental Obligations</w:t>
      </w:r>
      <w:r>
        <w:rPr>
          <w:rFonts w:ascii="Arial" w:cs="Arial" w:eastAsia="Arial" w:hAnsi="Arial"/>
          <w:sz w:val="15"/>
          <w:szCs w:val="15"/>
          <w:color w:val="auto"/>
        </w:rPr>
        <w:t>”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03"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08"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lien, security interest, charge or encumbrance of any kind (including any conditional sale or other title retention agreement, any lease in the nature thereof, and any agreement to give any security interest).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w:t>
      </w:r>
      <w:r>
        <w:rPr>
          <w:rFonts w:ascii="Arial" w:cs="Arial" w:eastAsia="Arial" w:hAnsi="Arial"/>
          <w:sz w:val="18"/>
          <w:szCs w:val="18"/>
          <w:color w:val="auto"/>
        </w:rPr>
        <w:t>” means us and the Guarantors.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 with respect to an Obligor:</w:t>
      </w:r>
    </w:p>
    <w:p>
      <w:pPr>
        <w:spacing w:after="0" w:line="96" w:lineRule="exact"/>
        <w:rPr>
          <w:sz w:val="20"/>
          <w:szCs w:val="20"/>
          <w:color w:val="auto"/>
        </w:rPr>
      </w:pPr>
    </w:p>
    <w:p>
      <w:pPr>
        <w:ind w:right="120" w:firstLine="464"/>
        <w:spacing w:after="0" w:line="259" w:lineRule="auto"/>
        <w:tabs>
          <w:tab w:leader="none" w:pos="6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120" w:lineRule="exact"/>
        <w:rPr>
          <w:sz w:val="20"/>
          <w:szCs w:val="20"/>
          <w:color w:val="auto"/>
        </w:rPr>
      </w:pPr>
    </w:p>
    <w:p>
      <w:pPr>
        <w:ind w:left="700" w:hanging="236"/>
        <w:spacing w:after="0"/>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Liens in favor of customs and revenue authorities arising as a matter of law to secure payment of customs duties in connection with the importation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goods;</w:t>
      </w:r>
    </w:p>
    <w:p>
      <w:pPr>
        <w:spacing w:after="0" w:line="164" w:lineRule="exact"/>
        <w:rPr>
          <w:rFonts w:ascii="Arial" w:cs="Arial" w:eastAsia="Arial" w:hAnsi="Arial"/>
          <w:sz w:val="16"/>
          <w:szCs w:val="16"/>
          <w:color w:val="auto"/>
        </w:rPr>
      </w:pPr>
    </w:p>
    <w:p>
      <w:pPr>
        <w:ind w:right="60" w:firstLine="464"/>
        <w:spacing w:after="0" w:line="268" w:lineRule="auto"/>
        <w:tabs>
          <w:tab w:leader="none" w:pos="7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Liens for taxes not yet due or that are being contested in good faith by appropriate proceedings, provided that adequate reserves with respect thereto are maintained on such Obligor’s books in conformity with GAAP;</w:t>
      </w:r>
    </w:p>
    <w:p>
      <w:pPr>
        <w:spacing w:after="0" w:line="131" w:lineRule="exact"/>
        <w:rPr>
          <w:rFonts w:ascii="Arial" w:cs="Arial" w:eastAsia="Arial" w:hAnsi="Arial"/>
          <w:sz w:val="18"/>
          <w:szCs w:val="18"/>
          <w:color w:val="auto"/>
        </w:rPr>
      </w:pPr>
    </w:p>
    <w:p>
      <w:pPr>
        <w:ind w:right="160" w:firstLine="464"/>
        <w:spacing w:after="0" w:line="268" w:lineRule="auto"/>
        <w:tabs>
          <w:tab w:leader="none" w:pos="6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products and proceeds thereof;</w:t>
      </w:r>
    </w:p>
    <w:p>
      <w:pPr>
        <w:spacing w:after="0" w:line="131" w:lineRule="exact"/>
        <w:rPr>
          <w:rFonts w:ascii="Arial" w:cs="Arial" w:eastAsia="Arial" w:hAnsi="Arial"/>
          <w:sz w:val="18"/>
          <w:szCs w:val="18"/>
          <w:color w:val="auto"/>
        </w:rPr>
      </w:pPr>
    </w:p>
    <w:p>
      <w:pPr>
        <w:ind w:right="360" w:firstLine="464"/>
        <w:spacing w:after="0" w:line="259" w:lineRule="auto"/>
        <w:tabs>
          <w:tab w:leader="none" w:pos="676"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Liens in favor of us or any Guarantor;</w:t>
      </w:r>
    </w:p>
    <w:p>
      <w:pPr>
        <w:spacing w:after="0" w:line="171" w:lineRule="exact"/>
        <w:rPr>
          <w:rFonts w:ascii="Arial" w:cs="Arial" w:eastAsia="Arial" w:hAnsi="Arial"/>
          <w:sz w:val="18"/>
          <w:szCs w:val="18"/>
          <w:color w:val="auto"/>
        </w:rPr>
      </w:pPr>
    </w:p>
    <w:p>
      <w:pPr>
        <w:ind w:right="320" w:firstLine="464"/>
        <w:spacing w:after="0" w:line="259" w:lineRule="auto"/>
        <w:tabs>
          <w:tab w:leader="none" w:pos="7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40" w:lineRule="exact"/>
        <w:rPr>
          <w:rFonts w:ascii="Arial" w:cs="Arial" w:eastAsia="Arial" w:hAnsi="Arial"/>
          <w:sz w:val="18"/>
          <w:szCs w:val="18"/>
          <w:color w:val="auto"/>
        </w:rPr>
      </w:pPr>
    </w:p>
    <w:p>
      <w:pPr>
        <w:ind w:right="360" w:firstLine="464"/>
        <w:spacing w:after="0" w:line="268" w:lineRule="auto"/>
        <w:tabs>
          <w:tab w:leader="none" w:pos="6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31" w:lineRule="exact"/>
        <w:rPr>
          <w:rFonts w:ascii="Arial" w:cs="Arial" w:eastAsia="Arial" w:hAnsi="Arial"/>
          <w:sz w:val="18"/>
          <w:szCs w:val="18"/>
          <w:color w:val="auto"/>
        </w:rPr>
      </w:pPr>
    </w:p>
    <w:p>
      <w:pPr>
        <w:ind w:right="380" w:firstLine="464"/>
        <w:spacing w:after="0" w:line="268" w:lineRule="auto"/>
        <w:tabs>
          <w:tab w:leader="none" w:pos="6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31" w:lineRule="exact"/>
        <w:rPr>
          <w:rFonts w:ascii="Arial" w:cs="Arial" w:eastAsia="Arial" w:hAnsi="Arial"/>
          <w:sz w:val="18"/>
          <w:szCs w:val="18"/>
          <w:color w:val="auto"/>
        </w:rPr>
      </w:pPr>
    </w:p>
    <w:p>
      <w:pPr>
        <w:ind w:firstLine="464"/>
        <w:spacing w:after="0" w:line="259" w:lineRule="auto"/>
        <w:tabs>
          <w:tab w:leader="none" w:pos="7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Liens consisting of pledges or deposits of Property to secure performance in connection with operating leases made in the ordinary course of business to which such Obligor is a party as lessee, provided the aggregate value of all such pledges and deposits in connection with any such lease does not at any time exceed 16 2/3% of the annual fixed rentals payable under such lease;</w:t>
      </w:r>
    </w:p>
    <w:p>
      <w:pPr>
        <w:spacing w:after="0" w:line="140" w:lineRule="exact"/>
        <w:rPr>
          <w:rFonts w:ascii="Arial" w:cs="Arial" w:eastAsia="Arial" w:hAnsi="Arial"/>
          <w:sz w:val="18"/>
          <w:szCs w:val="18"/>
          <w:color w:val="auto"/>
        </w:rPr>
      </w:pPr>
    </w:p>
    <w:p>
      <w:pPr>
        <w:ind w:left="680" w:hanging="216"/>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such Obligor’s statutory obligations in the ordinary course of our business;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64"/>
        <w:spacing w:after="0" w:line="268" w:lineRule="auto"/>
        <w:tabs>
          <w:tab w:leader="none" w:pos="754" w:val="left"/>
        </w:tabs>
        <w:numPr>
          <w:ilvl w:val="1"/>
          <w:numId w:val="12"/>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(or in lieu of) surety, appeal or customs bonds in proceedings to which such Obligor is a party in the ordinary course of its business, but not in excess of $25,000,000;</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171" w:lineRule="exact"/>
        <w:rPr>
          <w:rFonts w:ascii="Arial" w:cs="Arial" w:eastAsia="Arial" w:hAnsi="Arial"/>
          <w:sz w:val="18"/>
          <w:szCs w:val="18"/>
          <w:color w:val="auto"/>
        </w:rPr>
      </w:pPr>
    </w:p>
    <w:p>
      <w:pPr>
        <w:ind w:right="240" w:firstLine="464"/>
        <w:spacing w:after="0" w:line="268" w:lineRule="auto"/>
        <w:tabs>
          <w:tab w:leader="none" w:pos="705" w:val="left"/>
        </w:tabs>
        <w:numPr>
          <w:ilvl w:val="1"/>
          <w:numId w:val="12"/>
        </w:numPr>
        <w:rPr>
          <w:rFonts w:ascii="Arial" w:cs="Arial" w:eastAsia="Arial" w:hAnsi="Arial"/>
          <w:sz w:val="18"/>
          <w:szCs w:val="18"/>
          <w:color w:val="auto"/>
        </w:rPr>
      </w:pPr>
      <w:r>
        <w:rPr>
          <w:rFonts w:ascii="Arial" w:cs="Arial" w:eastAsia="Arial" w:hAnsi="Arial"/>
          <w:sz w:val="18"/>
          <w:szCs w:val="18"/>
          <w:color w:val="auto"/>
        </w:rPr>
        <w:t>Liens permitted under sale and lease-back transactions, and any renewals or extensions thereof, so long as the Indebtedness secured thereby does not exceed $300,000,000 in the aggregate;</w:t>
      </w:r>
    </w:p>
    <w:p>
      <w:pPr>
        <w:spacing w:after="0" w:line="131" w:lineRule="exact"/>
        <w:rPr>
          <w:rFonts w:ascii="Arial" w:cs="Arial" w:eastAsia="Arial" w:hAnsi="Arial"/>
          <w:sz w:val="18"/>
          <w:szCs w:val="18"/>
          <w:color w:val="auto"/>
        </w:rPr>
      </w:pPr>
    </w:p>
    <w:p>
      <w:pPr>
        <w:ind w:right="600" w:firstLine="464"/>
        <w:spacing w:after="0" w:line="268" w:lineRule="auto"/>
        <w:tabs>
          <w:tab w:leader="none" w:pos="705" w:val="left"/>
        </w:tabs>
        <w:numPr>
          <w:ilvl w:val="1"/>
          <w:numId w:val="12"/>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of all Obligors secured thereby does not exceed $300,000,000 at any one time;</w:t>
      </w:r>
    </w:p>
    <w:p>
      <w:pPr>
        <w:spacing w:after="0" w:line="131" w:lineRule="exact"/>
        <w:rPr>
          <w:rFonts w:ascii="Arial" w:cs="Arial" w:eastAsia="Arial" w:hAnsi="Arial"/>
          <w:sz w:val="18"/>
          <w:szCs w:val="18"/>
          <w:color w:val="auto"/>
        </w:rPr>
      </w:pPr>
    </w:p>
    <w:p>
      <w:pPr>
        <w:ind w:firstLine="464"/>
        <w:spacing w:after="0" w:line="332" w:lineRule="auto"/>
        <w:tabs>
          <w:tab w:leader="none" w:pos="705" w:val="left"/>
        </w:tabs>
        <w:numPr>
          <w:ilvl w:val="1"/>
          <w:numId w:val="12"/>
        </w:numPr>
        <w:rPr>
          <w:rFonts w:ascii="Arial" w:cs="Arial" w:eastAsia="Arial" w:hAnsi="Arial"/>
          <w:sz w:val="16"/>
          <w:szCs w:val="16"/>
          <w:color w:val="auto"/>
        </w:rPr>
      </w:pPr>
      <w:r>
        <w:rPr>
          <w:rFonts w:ascii="Arial" w:cs="Arial" w:eastAsia="Arial" w:hAnsi="Arial"/>
          <w:sz w:val="16"/>
          <w:szCs w:val="16"/>
          <w:color w:val="auto"/>
        </w:rPr>
        <w:t>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85" w:lineRule="exact"/>
        <w:rPr>
          <w:rFonts w:ascii="Arial" w:cs="Arial" w:eastAsia="Arial" w:hAnsi="Arial"/>
          <w:sz w:val="16"/>
          <w:szCs w:val="16"/>
          <w:color w:val="auto"/>
        </w:rPr>
      </w:pPr>
    </w:p>
    <w:p>
      <w:pPr>
        <w:ind w:right="200" w:firstLine="464"/>
        <w:spacing w:after="0" w:line="286" w:lineRule="auto"/>
        <w:tabs>
          <w:tab w:leader="none" w:pos="676" w:val="left"/>
        </w:tabs>
        <w:numPr>
          <w:ilvl w:val="1"/>
          <w:numId w:val="12"/>
        </w:numPr>
        <w:rPr>
          <w:rFonts w:ascii="Arial" w:cs="Arial" w:eastAsia="Arial" w:hAnsi="Arial"/>
          <w:sz w:val="16"/>
          <w:szCs w:val="16"/>
          <w:color w:val="auto"/>
        </w:rPr>
      </w:pPr>
      <w:r>
        <w:rPr>
          <w:rFonts w:ascii="Arial" w:cs="Arial" w:eastAsia="Arial" w:hAnsi="Arial"/>
          <w:sz w:val="16"/>
          <w:szCs w:val="16"/>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w:t>
      </w: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attaching to other prepayments, deposits or earnest money in the ordinary course of business; and</w:t>
      </w:r>
    </w:p>
    <w:p>
      <w:pPr>
        <w:spacing w:after="0" w:line="164" w:lineRule="exact"/>
        <w:rPr>
          <w:rFonts w:ascii="Arial" w:cs="Arial" w:eastAsia="Arial" w:hAnsi="Arial"/>
          <w:sz w:val="18"/>
          <w:szCs w:val="18"/>
          <w:color w:val="auto"/>
        </w:rPr>
      </w:pPr>
    </w:p>
    <w:p>
      <w:pPr>
        <w:ind w:left="700" w:hanging="236"/>
        <w:spacing w:after="0"/>
        <w:tabs>
          <w:tab w:leader="none" w:pos="7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Take-or-pay obligations arising in the ordinary course of business.</w:t>
      </w:r>
    </w:p>
    <w:p>
      <w:pPr>
        <w:spacing w:after="0" w:line="165"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Property</w:t>
      </w:r>
      <w:r>
        <w:rPr>
          <w:rFonts w:ascii="Arial" w:cs="Arial" w:eastAsia="Arial" w:hAnsi="Arial"/>
          <w:sz w:val="16"/>
          <w:szCs w:val="16"/>
          <w:color w:val="auto"/>
        </w:rPr>
        <w:t>” means with respect to any Person any property or asset, whether real, personal or mixed, or tangible or intangible, including shares of capital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159"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Guarantees</w:t>
      </w:r>
    </w:p>
    <w:p>
      <w:pPr>
        <w:spacing w:after="0" w:line="90"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color w:val="auto"/>
        </w:rPr>
        <w:t>Our obligations under the senior debt securities, including the payment of principal, premium, if any, and interest, will be fully and unconditionally guaranteed by each of the Guarantors. The Guarantees will rank equally with all other general unsecured and unsubordinated obligations of the Guarantors.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900" w:right="12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and the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Limitation on Liens Securing Indebtedness. </w:t>
      </w:r>
      <w:r>
        <w:rPr>
          <w:rFonts w:ascii="Arial" w:cs="Arial" w:eastAsia="Arial" w:hAnsi="Arial"/>
          <w:sz w:val="18"/>
          <w:szCs w:val="18"/>
          <w:color w:val="auto"/>
        </w:rPr>
        <w:t>With respect to the senior debt securities of each series, each Obligor will covenant under the senior indenture</w:t>
      </w:r>
      <w:r>
        <w:rPr>
          <w:rFonts w:ascii="Arial" w:cs="Arial" w:eastAsia="Arial" w:hAnsi="Arial"/>
          <w:sz w:val="18"/>
          <w:szCs w:val="18"/>
          <w:i w:val="1"/>
          <w:iCs w:val="1"/>
          <w:color w:val="auto"/>
        </w:rPr>
        <w:t xml:space="preserve"> </w:t>
      </w:r>
      <w:r>
        <w:rPr>
          <w:rFonts w:ascii="Arial" w:cs="Arial" w:eastAsia="Arial" w:hAnsi="Arial"/>
          <w:sz w:val="18"/>
          <w:szCs w:val="18"/>
          <w:color w:val="auto"/>
        </w:rPr>
        <w:t>not to create or incur any Lien on any of its Properties, whether owned at the time the senior indenture is executed or acquired afterward, in order to secure any of its Indebtedness, without effectively providing that the senior debt securities of such series shall be equally and ratably secured until such time as such Indebtedness is no longer secured by such Lien, except</w:t>
      </w:r>
      <w:r>
        <w:rPr>
          <w:rFonts w:ascii="Arial" w:cs="Arial" w:eastAsia="Arial" w:hAnsi="Arial"/>
          <w:sz w:val="18"/>
          <w:szCs w:val="18"/>
          <w:i w:val="1"/>
          <w:iCs w:val="1"/>
          <w:color w:val="auto"/>
        </w:rPr>
        <w:t>:</w:t>
      </w:r>
    </w:p>
    <w:p>
      <w:pPr>
        <w:spacing w:after="0" w:line="62"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Liens existing as of the date of initial issuance of the senior debt securities of such series;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Liens granted after the date of initial issuance of the senior debt securities of such series, created in favor of the registered holders of the senior debt securities of such series;</w:t>
      </w:r>
    </w:p>
    <w:p>
      <w:pPr>
        <w:spacing w:after="0" w:line="50" w:lineRule="exact"/>
        <w:rPr>
          <w:rFonts w:ascii="Arial" w:cs="Arial" w:eastAsia="Arial" w:hAnsi="Arial"/>
          <w:sz w:val="18"/>
          <w:szCs w:val="18"/>
          <w:color w:val="auto"/>
        </w:rPr>
      </w:pPr>
    </w:p>
    <w:p>
      <w:pPr>
        <w:ind w:left="900" w:right="20" w:hanging="325"/>
        <w:spacing w:after="0" w:line="323" w:lineRule="auto"/>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Liens securing such Obligor’s Indebtedness which are incurred to extend, renew or refinance Indebtedness which is secured by Liens permitted to be incurred under the lien restriction covenant of the senior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16" w:lineRule="exact"/>
        <w:rPr>
          <w:rFonts w:ascii="Arial" w:cs="Arial" w:eastAsia="Arial" w:hAnsi="Arial"/>
          <w:sz w:val="15"/>
          <w:szCs w:val="15"/>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118"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 With respect to the senior debt securities of each series, each Obligor will covenant under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not to enter into any sale and lease-back transaction for the sale and leasing back of any Property, whether owned at the time the senior indenture is executed or acquired afterward, unless:</w:t>
      </w:r>
    </w:p>
    <w:p>
      <w:pPr>
        <w:spacing w:after="0" w:line="59"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transaction was entered into prior to the date of the initial issuance of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such Obligor of any Property by one of its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transaction involves a lease for less than three years;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325"/>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Obligor would be entitled to incur Indebtedness secured by a mortgage on the Property to be leased in an amount equal to the Attributable Liens with respect to such sale and lease-back transaction without equally and ratably securing the senior debt securities of such series pursuant to the first paragraph of “—</w:t>
      </w: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above; or</w:t>
      </w:r>
    </w:p>
    <w:p>
      <w:pPr>
        <w:spacing w:after="0" w:line="59" w:lineRule="exact"/>
        <w:rPr>
          <w:rFonts w:ascii="Arial" w:cs="Arial" w:eastAsia="Arial" w:hAnsi="Arial"/>
          <w:sz w:val="18"/>
          <w:szCs w:val="18"/>
          <w:color w:val="auto"/>
        </w:rPr>
      </w:pPr>
    </w:p>
    <w:p>
      <w:pPr>
        <w:ind w:left="900" w:right="100" w:hanging="325"/>
        <w:spacing w:after="0" w:line="256"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senior debt securities of such series.</w:t>
      </w:r>
    </w:p>
    <w:p>
      <w:pPr>
        <w:spacing w:after="0" w:line="14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i w:val="1"/>
          <w:iCs w:val="1"/>
          <w:color w:val="auto"/>
        </w:rPr>
        <w:t xml:space="preserve">Consolidation, Merger and Sale of Assets. </w:t>
      </w:r>
      <w:r>
        <w:rPr>
          <w:rFonts w:ascii="Arial" w:cs="Arial" w:eastAsia="Arial" w:hAnsi="Arial"/>
          <w:sz w:val="18"/>
          <w:szCs w:val="18"/>
          <w:color w:val="auto"/>
        </w:rPr>
        <w:t>We will not consolidate or combine with or merge with or into or, directly or indirectly, sell, assign, convey,</w:t>
      </w:r>
      <w:r>
        <w:rPr>
          <w:rFonts w:ascii="Arial" w:cs="Arial" w:eastAsia="Arial" w:hAnsi="Arial"/>
          <w:sz w:val="18"/>
          <w:szCs w:val="18"/>
          <w:i w:val="1"/>
          <w:iCs w:val="1"/>
          <w:color w:val="auto"/>
        </w:rPr>
        <w:t xml:space="preserve"> </w:t>
      </w:r>
      <w:r>
        <w:rPr>
          <w:rFonts w:ascii="Arial" w:cs="Arial" w:eastAsia="Arial" w:hAnsi="Arial"/>
          <w:sz w:val="18"/>
          <w:szCs w:val="18"/>
          <w:color w:val="auto"/>
        </w:rPr>
        <w:t>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59" w:lineRule="exact"/>
        <w:rPr>
          <w:sz w:val="20"/>
          <w:szCs w:val="20"/>
          <w:color w:val="auto"/>
        </w:rPr>
      </w:pPr>
    </w:p>
    <w:p>
      <w:pPr>
        <w:ind w:left="900" w:right="300" w:hanging="325"/>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59"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surviving entity will expressly assume all of our obligations under the senior debt securities and the indenture and will execute a supplemental indenture, in a form satisfactory to the trustee, which will be delivered to the trustee;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or series of transactions on a pro forma basis, no default has occurred and is continuing; and</w:t>
      </w:r>
    </w:p>
    <w:p>
      <w:pPr>
        <w:spacing w:after="0" w:line="113" w:lineRule="exact"/>
        <w:rPr>
          <w:rFonts w:ascii="Arial" w:cs="Arial" w:eastAsia="Arial" w:hAnsi="Arial"/>
          <w:sz w:val="16"/>
          <w:szCs w:val="16"/>
          <w:color w:val="auto"/>
        </w:rPr>
      </w:pPr>
    </w:p>
    <w:p>
      <w:pPr>
        <w:ind w:left="900" w:right="420" w:hanging="325"/>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in the third bullet above shall not be applicable to:</w:t>
      </w:r>
    </w:p>
    <w:p>
      <w:pPr>
        <w:spacing w:after="0" w:line="90" w:lineRule="exact"/>
        <w:rPr>
          <w:sz w:val="20"/>
          <w:szCs w:val="20"/>
          <w:color w:val="auto"/>
        </w:rPr>
      </w:pPr>
    </w:p>
    <w:p>
      <w:pPr>
        <w:ind w:left="900" w:right="2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if our board of directors, determines in good faith that the purpose of such transaction is principally to change our state of incorporation or convert our form of organization to another form; or</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person will succeed 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and be substituted for, and may exercise every right and power of ours under the indenture with the same effect as if such successor person had been named in our place in the indenture. We will (except in the case of a lease) be discharged from all obligations and covenants under the indenture and any debt securities issued thereunder (including the senior debt securities).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Existence</w:t>
      </w:r>
      <w:r>
        <w:rPr>
          <w:rFonts w:ascii="Arial" w:cs="Arial" w:eastAsia="Arial" w:hAnsi="Arial"/>
          <w:sz w:val="18"/>
          <w:szCs w:val="18"/>
          <w:color w:val="auto"/>
        </w:rPr>
        <w:t>. Except as permitted under “—</w:t>
      </w:r>
      <w:r>
        <w:rPr>
          <w:rFonts w:ascii="Arial" w:cs="Arial" w:eastAsia="Arial" w:hAnsi="Arial"/>
          <w:sz w:val="18"/>
          <w:szCs w:val="18"/>
          <w:i w:val="1"/>
          <w:iCs w:val="1"/>
          <w:color w:val="auto"/>
        </w:rPr>
        <w:t>Consolidation, Merger and Sale of Assets</w:t>
      </w:r>
      <w:r>
        <w:rPr>
          <w:rFonts w:ascii="Arial" w:cs="Arial" w:eastAsia="Arial" w:hAnsi="Arial"/>
          <w:sz w:val="18"/>
          <w:szCs w:val="18"/>
          <w:color w:val="auto"/>
        </w:rPr>
        <w:t>,” the indenture requires us to do or cause to be done all things necessary</w:t>
      </w:r>
      <w:r>
        <w:rPr>
          <w:rFonts w:ascii="Arial" w:cs="Arial" w:eastAsia="Arial" w:hAnsi="Arial"/>
          <w:sz w:val="18"/>
          <w:szCs w:val="18"/>
          <w:i w:val="1"/>
          <w:iCs w:val="1"/>
          <w:color w:val="auto"/>
        </w:rPr>
        <w:t xml:space="preserve"> </w:t>
      </w:r>
      <w:r>
        <w:rPr>
          <w:rFonts w:ascii="Arial" w:cs="Arial" w:eastAsia="Arial" w:hAnsi="Arial"/>
          <w:sz w:val="18"/>
          <w:szCs w:val="18"/>
          <w:color w:val="auto"/>
        </w:rPr>
        <w:t>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Information. </w:t>
      </w:r>
      <w:r>
        <w:rPr>
          <w:rFonts w:ascii="Arial" w:cs="Arial" w:eastAsia="Arial" w:hAnsi="Arial"/>
          <w:sz w:val="18"/>
          <w:szCs w:val="18"/>
          <w:color w:val="auto"/>
        </w:rPr>
        <w:t>We will furnish to the trustee any document or report we are required to file with the SEC pursuant to Section 13 or Section 15(d)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will constitute an event of default in the senior indenture with respect to the senior debt securities of any series:</w:t>
      </w:r>
    </w:p>
    <w:p>
      <w:pPr>
        <w:spacing w:after="0" w:line="90" w:lineRule="exact"/>
        <w:rPr>
          <w:sz w:val="20"/>
          <w:szCs w:val="20"/>
          <w:color w:val="auto"/>
        </w:rPr>
      </w:pPr>
    </w:p>
    <w:p>
      <w:pPr>
        <w:ind w:left="700" w:hanging="236"/>
        <w:spacing w:after="0"/>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default in paying interest on the senior debt securities of such series when it becomes due and the default continues for a period of 30 days or more;</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default in paying principal on the senior debt securities of such series when due;</w:t>
      </w:r>
    </w:p>
    <w:p>
      <w:pPr>
        <w:spacing w:after="0" w:line="171" w:lineRule="exact"/>
        <w:rPr>
          <w:rFonts w:ascii="Arial" w:cs="Arial" w:eastAsia="Arial" w:hAnsi="Arial"/>
          <w:sz w:val="18"/>
          <w:szCs w:val="18"/>
          <w:color w:val="auto"/>
        </w:rPr>
      </w:pPr>
    </w:p>
    <w:p>
      <w:pPr>
        <w:jc w:val="both"/>
        <w:ind w:right="180" w:firstLine="464"/>
        <w:spacing w:after="0" w:line="256" w:lineRule="auto"/>
        <w:tabs>
          <w:tab w:leader="none" w:pos="6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default by any Obligor in the performance, or breach, of any covenant in the senior indenture (other than defaults specified in clause (a) or (b)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senior indenture (voting together as a single class);</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certain events of bankruptcy, insolvency, reorganization, administration or similar proceedings with respect to us or any Obligor have occurred; or</w:t>
      </w:r>
    </w:p>
    <w:p>
      <w:pPr>
        <w:spacing w:after="0" w:line="194" w:lineRule="exact"/>
        <w:rPr>
          <w:rFonts w:ascii="Arial" w:cs="Arial" w:eastAsia="Arial" w:hAnsi="Arial"/>
          <w:sz w:val="16"/>
          <w:szCs w:val="16"/>
          <w:color w:val="auto"/>
        </w:rPr>
      </w:pPr>
    </w:p>
    <w:p>
      <w:pPr>
        <w:ind w:left="700" w:hanging="23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Guarantee shall not be (or shall be claimed by the relevant Guarantor not to be) in full force and effect.</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an event of default (other than an event of default specified in clause (d) above) under the senior indenture occurs and is continuing, then the trustee may and, at the direction of the holders of at least 25% in aggregate principal amount of the senior debt securities of all affected series and the debt securities of all other affected series outstanding under the senior indenture (voting together as a single class), will by written notice, require us to repay immediately the entire principal amount of the outstanding debt securities of each affected series, together with all accrued and unpaid interest.</w:t>
      </w:r>
    </w:p>
    <w:p>
      <w:pPr>
        <w:spacing w:after="0" w:line="11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If an event of default under the senior indenture specified in clause (d) occurs and is continuing, then the entire principal amount of the outstanding senior debt securities will automatically become due immediately and payable without any declaration or other act on the part of the trustee or any holder.</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After a declaration of acceleration or any automatic acceleration under clause (d) described above, the holders of a majority in principal amount of the outstanding senior debt securities of any series (each such series voting as a separate class) may rescind this accelerated payment requirement with respect to the senior debt securities of such series if all existing events of default with respect to the senior debt securities of such series, 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senior indenture and the reasonable compensation, expenses, disbursements and advances of the trustee and its agents and counsel have been paid.</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holders of a majority in principal amount of the senior debt securities of all affected series and the debt securities of all other affected series outstanding under the senior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w:t>
      </w:r>
    </w:p>
    <w:p>
      <w:pPr>
        <w:spacing w:after="0" w:line="11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holders of at least 25% in aggregate principal amount of the senior debt securities of all affected series and the debt securities of all other affected series outstanding under the senior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the existence of an event of default of which a responsible officer of the trustee has actual knowledge or has received written notice from us or any holder of the senior debt securities, the trustee is required to exercise the rights and powers vested in it under the senior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senior indenture (voting together as a single class) have the right to direct the time, method and place of conducting any proceeding for any remedy available to the trustee, or exercising any trust, or power conferred on the trustee.</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are required to furnish to the trustee an annual statement as to compliance with all conditions and covenants under the senior indenture within 120 days of the end of each fiscal year.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terminate our obligations and the obligations of the Guarantors under the indenture with respect to the senior debt securities of any series and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Guarantees of such series of senior debt securities, when:</w:t>
      </w:r>
    </w:p>
    <w:p>
      <w:pPr>
        <w:spacing w:after="0" w:line="84"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480" w:right="440" w:hanging="446"/>
        <w:spacing w:after="0" w:line="268" w:lineRule="auto"/>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the senior debt securities of such series that have been authenticated and delivered have been canceled or delivered to the trustee for cancellation; or</w:t>
      </w:r>
    </w:p>
    <w:p>
      <w:pPr>
        <w:spacing w:after="0" w:line="50" w:lineRule="exact"/>
        <w:rPr>
          <w:rFonts w:ascii="Arial" w:cs="Arial" w:eastAsia="Arial" w:hAnsi="Arial"/>
          <w:sz w:val="18"/>
          <w:szCs w:val="18"/>
          <w:color w:val="auto"/>
        </w:rPr>
      </w:pPr>
    </w:p>
    <w:p>
      <w:pPr>
        <w:ind w:left="1480" w:right="40" w:hanging="446"/>
        <w:spacing w:after="0" w:line="294" w:lineRule="auto"/>
        <w:tabs>
          <w:tab w:leader="none" w:pos="14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the senior debt securities of such series issued that have not been canceled or delivered to the trustee for cancellation have become due and payable, are by their terms to become due and 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w:t>
      </w:r>
    </w:p>
    <w:p>
      <w:pPr>
        <w:spacing w:after="0" w:line="34"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have paid or caused to be paid all other sums then due and payable under the indenture with respect to the senior debt securities of such series; and</w:t>
      </w:r>
    </w:p>
    <w:p>
      <w:pPr>
        <w:spacing w:after="0" w:line="50" w:lineRule="exact"/>
        <w:rPr>
          <w:rFonts w:ascii="Arial" w:cs="Arial" w:eastAsia="Arial" w:hAnsi="Arial"/>
          <w:sz w:val="18"/>
          <w:szCs w:val="18"/>
          <w:color w:val="auto"/>
        </w:rPr>
      </w:pPr>
    </w:p>
    <w:p>
      <w:pPr>
        <w:ind w:left="900" w:right="460" w:hanging="325"/>
        <w:spacing w:after="0" w:line="370" w:lineRule="auto"/>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w:t>
      </w:r>
    </w:p>
    <w:p>
      <w:pPr>
        <w:spacing w:after="0" w:line="6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w:t>
      </w:r>
    </w:p>
    <w:p>
      <w:pPr>
        <w:spacing w:after="0" w:line="26"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rights of holders of the senior debt securities of such series to receive principal or interest when due;</w:t>
      </w:r>
    </w:p>
    <w:p>
      <w:pPr>
        <w:spacing w:after="0" w:line="90" w:lineRule="exact"/>
        <w:rPr>
          <w:rFonts w:ascii="Arial" w:cs="Arial" w:eastAsia="Arial" w:hAnsi="Arial"/>
          <w:sz w:val="18"/>
          <w:szCs w:val="18"/>
          <w:color w:val="auto"/>
        </w:rPr>
      </w:pPr>
    </w:p>
    <w:p>
      <w:pPr>
        <w:jc w:val="both"/>
        <w:ind w:left="900" w:right="200" w:hanging="325"/>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w:t>
      </w:r>
    </w:p>
    <w:p>
      <w:pPr>
        <w:spacing w:after="0" w:line="59" w:lineRule="exact"/>
        <w:rPr>
          <w:rFonts w:ascii="Arial" w:cs="Arial" w:eastAsia="Arial" w:hAnsi="Arial"/>
          <w:sz w:val="18"/>
          <w:szCs w:val="18"/>
          <w:color w:val="auto"/>
        </w:rPr>
      </w:pPr>
    </w:p>
    <w:p>
      <w:pPr>
        <w:ind w:left="900" w:right="58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provisions relating to the resignation and removal of the trustee and the appointment of a successor trustee;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we may elect to have our and the Guarantors’ obligations released with respect to certain covenants in the indenture (“covenant defeasance”). In the event covenant defeasance occurs, certain events, not including nonpayment, bankruptcy and insolvency events, described under “—</w:t>
      </w:r>
      <w:r>
        <w:rPr>
          <w:rFonts w:ascii="Arial" w:cs="Arial" w:eastAsia="Arial" w:hAnsi="Arial"/>
          <w:sz w:val="18"/>
          <w:szCs w:val="18"/>
          <w:i w:val="1"/>
          <w:iCs w:val="1"/>
          <w:color w:val="auto"/>
        </w:rPr>
        <w:t>Events of Default</w:t>
      </w:r>
      <w:r>
        <w:rPr>
          <w:rFonts w:ascii="Arial" w:cs="Arial" w:eastAsia="Arial" w:hAnsi="Arial"/>
          <w:sz w:val="18"/>
          <w:szCs w:val="18"/>
          <w:color w:val="auto"/>
        </w:rPr>
        <w:t>” will no longer constitute an event of default for that series.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order to exercise either legal defeasance or covenant defeasance with respect to outstanding senior debt securities and Guarantees of any series:</w:t>
      </w:r>
    </w:p>
    <w:p>
      <w:pPr>
        <w:spacing w:after="0" w:line="113" w:lineRule="exact"/>
        <w:rPr>
          <w:sz w:val="20"/>
          <w:szCs w:val="20"/>
          <w:color w:val="auto"/>
        </w:rPr>
      </w:pPr>
    </w:p>
    <w:p>
      <w:pPr>
        <w:ind w:left="900" w:right="440" w:hanging="325"/>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must irrevocably have deposited or caused to be deposited with the trustee as trust funds for the purpose of making the following payments, specifically pledged as security for, and dedicated solely to the benefits of the holders of the senior debt securities of such series:</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cash;</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U.S. Government Obligations (measured with respect to the scheduled payments of principal and interest thereon);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combination of cash and U.S. Government Obligations;</w:t>
      </w:r>
    </w:p>
    <w:p>
      <w:pPr>
        <w:spacing w:after="0" w:line="90"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62" w:lineRule="exact"/>
        <w:rPr>
          <w:sz w:val="20"/>
          <w:szCs w:val="20"/>
          <w:color w:val="auto"/>
        </w:rPr>
      </w:pPr>
    </w:p>
    <w:p>
      <w:pPr>
        <w:ind w:left="900" w:right="100" w:hanging="325"/>
        <w:spacing w:after="0" w:line="298"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the case of legal defeasance, we have delivered to the trustee an opinion of counsel stating that, as a result of an Internal Revenue Service (“IRS”) ruling or a change in applicable federal income tax law, the holders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31" w:lineRule="exact"/>
        <w:rPr>
          <w:rFonts w:ascii="Arial" w:cs="Arial" w:eastAsia="Arial" w:hAnsi="Arial"/>
          <w:sz w:val="16"/>
          <w:szCs w:val="16"/>
          <w:color w:val="auto"/>
        </w:rPr>
      </w:pPr>
    </w:p>
    <w:p>
      <w:pPr>
        <w:ind w:left="900" w:right="60" w:hanging="325"/>
        <w:spacing w:after="0" w:line="306"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the case of covenant defeasance, we have delivered to the trustee an opinion of counsel to the effect that the holders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25" w:lineRule="exact"/>
        <w:rPr>
          <w:rFonts w:ascii="Arial" w:cs="Arial" w:eastAsia="Arial" w:hAnsi="Arial"/>
          <w:sz w:val="16"/>
          <w:szCs w:val="16"/>
          <w:color w:val="auto"/>
        </w:rPr>
      </w:pPr>
    </w:p>
    <w:p>
      <w:pPr>
        <w:ind w:left="900" w:hanging="325"/>
        <w:spacing w:after="0" w:line="298"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31" w:lineRule="exact"/>
        <w:rPr>
          <w:rFonts w:ascii="Arial" w:cs="Arial" w:eastAsia="Arial" w:hAnsi="Arial"/>
          <w:sz w:val="16"/>
          <w:szCs w:val="16"/>
          <w:color w:val="auto"/>
        </w:rPr>
      </w:pPr>
    </w:p>
    <w:p>
      <w:pPr>
        <w:ind w:left="900" w:right="28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cause the trustee to have a conflicting interest within the meaning of the Trust Indenture Act, assuming all senior debt securities of such series were in default within the meaning of such act;</w:t>
      </w:r>
    </w:p>
    <w:p>
      <w:pPr>
        <w:spacing w:after="0" w:line="50" w:lineRule="exact"/>
        <w:rPr>
          <w:rFonts w:ascii="Arial" w:cs="Arial" w:eastAsia="Arial" w:hAnsi="Arial"/>
          <w:sz w:val="18"/>
          <w:szCs w:val="18"/>
          <w:color w:val="auto"/>
        </w:rPr>
      </w:pPr>
    </w:p>
    <w:p>
      <w:pPr>
        <w:jc w:val="both"/>
        <w:ind w:left="900" w:right="60" w:hanging="325"/>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Guarantors or any other material agreement or instrument to which we are a party;</w:t>
      </w:r>
    </w:p>
    <w:p>
      <w:pPr>
        <w:spacing w:after="0" w:line="59" w:lineRule="exact"/>
        <w:rPr>
          <w:rFonts w:ascii="Arial" w:cs="Arial" w:eastAsia="Arial" w:hAnsi="Arial"/>
          <w:sz w:val="18"/>
          <w:szCs w:val="18"/>
          <w:color w:val="auto"/>
        </w:rPr>
      </w:pPr>
    </w:p>
    <w:p>
      <w:pPr>
        <w:ind w:left="900" w:right="460" w:hanging="325"/>
        <w:spacing w:after="0" w:line="357" w:lineRule="auto"/>
        <w:tabs>
          <w:tab w:leader="none" w:pos="9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ind w:left="900" w:right="4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the Guarantors and the trustee may amend or modify the senior indenture or the senior debt securities of any series without notice to or the consent of any holder in order to:</w:t>
      </w:r>
    </w:p>
    <w:p>
      <w:pPr>
        <w:spacing w:after="0" w:line="51" w:lineRule="exact"/>
        <w:rPr>
          <w:sz w:val="20"/>
          <w:szCs w:val="20"/>
          <w:color w:val="auto"/>
        </w:rPr>
      </w:pPr>
    </w:p>
    <w:p>
      <w:pPr>
        <w:ind w:left="900" w:right="46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cure any ambiguities, omissions, defects or inconsistencies in the senior indenture in a manner that does not adversely affect the interests of the holders in any material respect;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the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for or add guarantors with respect to the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secure the senior debt securities of any series;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the form or terms of senior debt securities of any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for uncertificated senior debt securities in addition to or in place of certificated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for the assumption by our successor, if any, to our or their obligations to holders of any outstanding senior debt securities in compliance with the applicable provisions of the indenture;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qualify the indenture under the Trust Indenture Act;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conform any provision in the indenture to this “Description of Debt Securities and Guarantees”;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in any material respect.</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Other amendments and modifications of the senior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senior debt securities)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39" w:lineRule="exact"/>
        <w:rPr>
          <w:sz w:val="20"/>
          <w:szCs w:val="20"/>
          <w:color w:val="auto"/>
        </w:rPr>
      </w:pPr>
    </w:p>
    <w:p>
      <w:pPr>
        <w:ind w:left="900" w:right="18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 the principal amount, or extend the fixed maturity, of the senior debt securities of such series or alter or waive the redemption provisions of the senior debt securities of such series;</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impair the right of any holder of the senior debt securities of such series to receive payment of principal or interest on the senior debt securities of such series on and after the due dates for such principal or interest;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 the currency in which principal, any premium or interest is paid;</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 the percentage in principal amount outstanding of senior debt securities of such series which must consent to an amendment, supplement or waiver or consent to take any 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waive a payment default with respect to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 the interest rate or extend the time for payment of interest on the senior debt securities of such series;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adversely affect the ranking of the senior debt securities of such series.</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senior indenture provides that no recourse shall be had under or upon any obligation, covenant or agreement contained in the senior indenture, the Guarantees or in any senior debt security, or because of any indebtedness evidenced thereby, shall be had against any incorporator, as such, or against any past, present or future stockholder, employee, officer or director, as such, of us, any Guarantor, or of any of their respective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Except during the continuance of an event of default, the trustee need perform only those duties that are specifically set forth in the senior indenture and no others, and no implied covenants or obligations will be read into the senior indenture against the trustee. In case an event of default of which a certain officers of the trustee shall have actual knowledge or shall have received written notice from us or any holder of our senior debt securities of any series has occurred and is continuing, the trustee shall exercise those rights and powers vested in it by the senior indenture, and use the same degree of care and skill in their exercise, as a prudent person would exercise or use under the circumstances in the conduct of such person’s own affairs.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senior indenture, including any Guarantee, and each senior debt security is governed by and construed in accordance with the laws of the State of New</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Gerald L. Hassell, one of our directors, is the Chairman and Chief Executive Officer and a director of the trustee.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Securities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85"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0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2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40"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00"/>
          </w:cols>
          <w:pgMar w:left="240" w:top="45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this section, references to the “Company,” “we,” “us” and “our” refer only to Comcast Corporation and not any of its subsidiaries. 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three classes of common stock outstanding: Class A common stock, $0.01 par value per share; Class A Special common stock, $0.01 par value per share; and Class B common stock, $0.01 par value per share. There are currently authorized 7.5 billion shares of Class A common stock, 7.5 billion shares of Class A Special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Subject to the preferential rights of any preferred stock then outstanding, holders of our Class A common stock, Class A Special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stock dividends on, or stock splits of, our Class B common stock may also be paid or issued in shares of our Class A Special common stock.</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pay quarterly dividends at an annual rate currently of $0.78 per share. See “Dividend Policy” above.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Except as required by law, holders of our Class A Special common stock are not entitled to vote. When holders of our Class A Special common stock are entitled to vote by applicable law, each share of our Class A Special common stock has the same number of votes as each share of our Class A common stock.</w:t>
      </w:r>
    </w:p>
    <w:p>
      <w:pPr>
        <w:spacing w:after="0" w:line="6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As of December 31, 2012, on all matters submitted for a vote of holders of all classes of our voting stock, holders of our Class A common stock in the aggregate hold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xml:space="preserve">% of the aggregate voting power of our capital stock. As of December 31, 2012, our Class B common stock has a nondilutable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combined voting power of our common stock. This nondilutable voting power is subject to proportional decrease to the extent the number of shares of Class B common stock is reduced below 9,444,375, subject to adjustment in specified situations. Stock dividends payable on the Class B common stock in the form of Class B or Class A Special common stock do not decrease the nondilutable voting power of the Class B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Rights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Except as required by law, holders of Class A Special common stock and Class A common stock have no specific approval rights over any corporate actions. Holders of our Class B common stock have an approval right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 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 xml:space="preserve">Brian L. Roberts, our Chairman, Chief Executive Officer and President, beneficially owns all outstanding shares of our Class B common stock, which has a nondilutable 33 </w:t>
      </w:r>
      <w:r>
        <w:rPr>
          <w:rFonts w:ascii="Arial" w:cs="Arial" w:eastAsia="Arial" w:hAnsi="Arial"/>
          <w:sz w:val="10"/>
          <w:szCs w:val="10"/>
          <w:color w:val="auto"/>
        </w:rPr>
        <w:t>1</w:t>
      </w:r>
      <w:r>
        <w:rPr>
          <w:rFonts w:ascii="Arial" w:cs="Arial" w:eastAsia="Arial" w:hAnsi="Arial"/>
          <w:sz w:val="15"/>
          <w:szCs w:val="15"/>
          <w:color w:val="auto"/>
        </w:rPr>
        <w:t>/</w:t>
      </w:r>
      <w:r>
        <w:rPr>
          <w:rFonts w:ascii="Arial" w:cs="Arial" w:eastAsia="Arial" w:hAnsi="Arial"/>
          <w:sz w:val="10"/>
          <w:szCs w:val="10"/>
          <w:color w:val="auto"/>
        </w:rPr>
        <w:t>3</w:t>
      </w:r>
      <w:r>
        <w:rPr>
          <w:rFonts w:ascii="Arial" w:cs="Arial" w:eastAsia="Arial" w:hAnsi="Arial"/>
          <w:sz w:val="15"/>
          <w:szCs w:val="15"/>
          <w:color w:val="auto"/>
        </w:rPr>
        <w:t>% of the combined voting power of our stock and which also has separate approval rights over certain material transactions, as described above under “—Approval Rights.” Accordingly, Mr. Roberts has considerable influence over our operations and has the ability to transfer potential effective control by selling the Class B common stock. The Class B common stock is convertible on a share-for-share basis into Class A common stock or Class A Special common stock. As of June 30, 2013, if Mr. Roberts were to convert the Class B common stock he beneficially owns into Class A common stock, Mr. Roberts would beneficially own 13,993,718 shares of Class A common stock, which is less than 1% of the Class A common stock that would be outstanding after the conversion.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Class B common stock is convertible share for share into either the Class A common stock or the Class A Special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on Liquidation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Consolidations, Etc.</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charter provides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holders of Class A common stock, Class A Special common stock and Class B common stock do not have any preemptive rights. All shares of Class A common stock, Class A Special common stock and Class B common stock presently outstanding are, and all shares of the Class A common stock and Class A Special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common stock offered hereby, or issuable upon conversion, exchange or exercise of securities offered hereby, will, when issued, be, fully paid and nonassessable.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We have been advised that the Class A common stock and Class A Special common stock are exempt from existing Pennsylvania personal property tax.</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transfer agent and registrar for our Class A Special common stock and Class A common stock is Wells Fargo Shareowner Services, P.O. Box 64874, St.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Paul, Minnesota 55164-0874 . Their telephone number is (888) 883-8903.</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or selling security holders may sell the securities being offered hereby in four ways:</w:t>
      </w:r>
    </w:p>
    <w:p>
      <w:pPr>
        <w:spacing w:after="0" w:line="90"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1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 xml:space="preserve">As to matters governed by Pennsylvania law, Arthur R. Block, Esquire, Senior Vice President, General Counsel and Secretary of Comcast, and as to matters governed by New York and Delaware law, Davis Polk &amp; Wardwell LLP, will pass upon the validity of the securities on our behalf and on behalf of the Guarantors, although we may use other counsel, including our employees, to do so. Unless otherwise indicated in the accompanying prospectus supplement, Cahill Gordon &amp; Reindel </w:t>
      </w:r>
      <w:r>
        <w:rPr>
          <w:rFonts w:ascii="Arial" w:cs="Arial" w:eastAsia="Arial" w:hAnsi="Arial"/>
          <w:sz w:val="14"/>
          <w:szCs w:val="14"/>
          <w:color w:val="auto"/>
        </w:rPr>
        <w:t>LLP</w:t>
      </w:r>
      <w:r>
        <w:rPr>
          <w:rFonts w:ascii="Arial" w:cs="Arial" w:eastAsia="Arial" w:hAnsi="Arial"/>
          <w:sz w:val="18"/>
          <w:szCs w:val="18"/>
          <w:color w:val="auto"/>
        </w:rPr>
        <w:t xml:space="preserve"> will represent the underwriters.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consolidated financial statements of Comcast Corporation and subsidiaries, incorporated herein by reference from Comcast Corporation’s Current Report on Form 8-K filed with the SEC on September 18, 2013, the related financial statement schedule incorporated in this prospectus by reference from Comcast Corporation’s Annual Report on Form 10-K for the year ended December 31, 2012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2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NBC Universal, Inc. and its subsidiaries (predecessor) and NBCUniversal Media, LLC and its subsidiaries (successor) for the period from January 1, 2011 to January 28, 2011 (predecessor period) and for the period from January 29, 2011 to December 31, 2011 and for the year ended December 31, 2012 (successor period), incorporated in this prospectus by reference from NBCUniversal Media, LLC’s Annual Report on Form 10-K for the year ended December 31, 2012 have been audited by Deloitte &amp; Touche LLP, an independent registered public accounting firm, as stated in their reports (which report on the consolidated financial statements expresses an unqualified opinion and includes an explanatory paragraph referring to General Electric Company’s transaction with Comcast Corporation on January 28, 2011),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18"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The consolidated financial statements and financial statement schedule of NBC Universal, Inc. and its consolidated subsidiaries for the year ended December 31, 2010 (predecessor), appearing in the 2012 Annual Report on Form 10-K of NBCUniversal Media, LLC incorporated in this prospectus by reference from NBCUniversal Media, LLC’s Annual Report on Form 10-K for the year ended December 31, 2012, have been audited by KPMG LLP, an independent registered public accounting firm, as stated in their report, which is incorporated herein by reference. Such consolidated financial statements and consolidated financial statement schedule have been so incorporated in reliance upon the report of KPMG LLP as experts in accounting and auditing.</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1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Comcast and NBCUniversal file annual, quarterly and special reports and other information with the SEC. Comcast Cable, Comcast Cable Holdings, Comcast MO Group and Comcast MO of Delaware do not currently file information with the SEC. Although the Guarantors other than NBCUniversal would normally be required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298" w:lineRule="auto"/>
        <w:rPr>
          <w:sz w:val="20"/>
          <w:szCs w:val="20"/>
          <w:color w:val="auto"/>
        </w:rPr>
      </w:pPr>
      <w:r>
        <w:rPr>
          <w:rFonts w:ascii="Arial" w:cs="Arial" w:eastAsia="Arial" w:hAnsi="Arial"/>
          <w:sz w:val="16"/>
          <w:szCs w:val="16"/>
          <w:color w:val="auto"/>
        </w:rPr>
        <w:t xml:space="preserve">file information with the SEC on an ongoing basis, we expect that these Guarantors will be exempt from this filing obligation for as long as we continue to file our information with the SEC. You may read and copy any document we or NBCUniversal files at the SEC’s public reference room located at 100 F Street, NE, Washington, D.C. 20549. Please call the SEC at 1-800-SEC-0330 for further information on the public reference rooms. Our and NBCUniversal’s SEC filings, including the complete registration statement and all of the exhibits to it, are available through the SEC’s website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not authorized anyone to provide any information other than that contained or incorporated by reference in this prospectus, any prospectus supplement, in any free writing prospectus prepared by or on behalf of us or to which we have referred you and in material we or NBCUniversal file with the SEC and incorporate by reference herein.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any such free writing prospectus and our and NBCUniversal’s filings with the SEC is accurate as of any date other than their respective dates.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SEC allows us to “incorporate by reference” the information we and NBCUniversal file with them, which means that we and NBCUniversal can disclose important information to you by referring you directly to those documents. The information incorporated by reference is considered to be part of this prospectus. In addition, information we or NBCUniversal files with the SEC in the future will automatically update and supersede information contained in this prospectus and any accompanying prospectus supplement.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90"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Comcast’s Annual Report on Form 10-K for the year ended December 31, 2012, filed on February 21, 2013.</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Comcast’s Quarterly Report on Form 10-Q for the quarterly period ended March 31, 2013, filed on May 1, 2013 and for the quarterly period ended June 30, 2013, filed on July 31, 2013.</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Comcast’s Current Reports on Form 8-K filed on January 9, 2013, February 12, 2013 (except to the extent information is furnished pursuant to Item 7.01), March 19, 2013, March 27, 2013, May 16, 2013, July 24, 2013, August 16, 2013 and September 18, 2013.</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section of Comcast’s Definitive Proxy Statement on Schedule 14A for the 2013 annual meeting of shareholders incorporated by reference in Comcast’s Annual Report on Form 10-K for the year ended December 31, 2012.</w:t>
      </w:r>
    </w:p>
    <w:p>
      <w:pPr>
        <w:spacing w:after="0" w:line="50" w:lineRule="exact"/>
        <w:rPr>
          <w:rFonts w:ascii="Arial" w:cs="Arial" w:eastAsia="Arial" w:hAnsi="Arial"/>
          <w:sz w:val="18"/>
          <w:szCs w:val="18"/>
          <w:color w:val="auto"/>
        </w:rPr>
      </w:pPr>
    </w:p>
    <w:p>
      <w:pPr>
        <w:jc w:val="both"/>
        <w:ind w:left="900" w:hanging="325"/>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description of our capital stock incorporated in Comcast’s Current Report on Form 8-K12G3 and Registration Statement on Form 8-A12G, each filed on November 18, 2002, as amended by our Registration Statement on Form 8-A12B/A filed on December 20, 2010, as the same may be further amended from time to time.</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NBCUniversal’s Annual Report on Form 10-K for the year ended December 31, 2012, filed on February 21, 2013.</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NBCUniversal’s Quarterly Report on Form 10-Q for the quarterly period ended March 31, 2013, filed on May 1, 2013 and for the quarterly period ended June 30, 2013, filed on July 31, 2013.</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NBCUniversal’s Current Reports on Form 8-K dated February 12, 2013 (except to the extent information is furnished pursuant to Item 7.01), March 19, 2013 and March 27, 2013.</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and NBCUniversal also incorporate by reference into this prospectus additional documents that we or NBCUniversal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sets forth the estimated costs and expenses payable by the Registrants in connection with this Registration Statement.</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Legal fees and expenses</w:t>
      </w:r>
    </w:p>
    <w:p>
      <w:pPr>
        <w:spacing w:after="0" w:line="1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Printing and engraving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Accounting fees and expenses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0"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  Omitted because the registration fee is being deferred pursuant to Rule 456(b).</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jc w:val="center"/>
        <w:ind w:right="1919"/>
        <w:spacing w:after="0"/>
        <w:rPr>
          <w:sz w:val="20"/>
          <w:szCs w:val="20"/>
          <w:color w:val="auto"/>
        </w:rPr>
      </w:pPr>
      <w:r>
        <w:rPr>
          <w:rFonts w:ascii="Arial" w:cs="Arial" w:eastAsia="Arial" w:hAnsi="Arial"/>
          <w:sz w:val="12"/>
          <w:szCs w:val="12"/>
          <w:b w:val="1"/>
          <w:bCs w:val="1"/>
          <w:color w:val="auto"/>
        </w:rPr>
        <w:t>Amount to be</w:t>
      </w:r>
    </w:p>
    <w:p>
      <w:pPr>
        <w:spacing w:after="0" w:line="24" w:lineRule="exact"/>
        <w:rPr>
          <w:sz w:val="20"/>
          <w:szCs w:val="20"/>
          <w:color w:val="auto"/>
        </w:rPr>
      </w:pPr>
    </w:p>
    <w:p>
      <w:pPr>
        <w:jc w:val="center"/>
        <w:ind w:right="1919"/>
        <w:spacing w:after="0"/>
        <w:rPr>
          <w:sz w:val="20"/>
          <w:szCs w:val="20"/>
          <w:color w:val="auto"/>
        </w:rPr>
      </w:pPr>
      <w:r>
        <w:rPr>
          <w:rFonts w:ascii="Arial" w:cs="Arial" w:eastAsia="Arial" w:hAnsi="Arial"/>
          <w:sz w:val="14"/>
          <w:szCs w:val="14"/>
          <w:b w:val="1"/>
          <w:bCs w:val="1"/>
          <w:color w:val="auto"/>
        </w:rPr>
        <w:t>Paid</w:t>
      </w:r>
    </w:p>
    <w:p>
      <w:pPr>
        <w:ind w:left="701" w:hanging="701"/>
        <w:spacing w:after="0"/>
        <w:tabs>
          <w:tab w:leader="none" w:pos="701"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p>
    <w:p>
      <w:pPr>
        <w:spacing w:after="0" w:line="7" w:lineRule="exact"/>
        <w:rPr>
          <w:rFonts w:ascii="Arial" w:cs="Arial" w:eastAsia="Arial" w:hAnsi="Arial"/>
          <w:sz w:val="18"/>
          <w:szCs w:val="18"/>
          <w:color w:val="auto"/>
        </w:rPr>
      </w:pPr>
    </w:p>
    <w:p>
      <w:pPr>
        <w:ind w:left="321"/>
        <w:spacing w:after="0"/>
        <w:rPr>
          <w:rFonts w:ascii="Arial" w:cs="Arial" w:eastAsia="Arial" w:hAnsi="Arial"/>
          <w:sz w:val="18"/>
          <w:szCs w:val="18"/>
          <w:color w:val="auto"/>
        </w:rPr>
      </w:pPr>
      <w:r>
        <w:rPr>
          <w:rFonts w:ascii="Arial" w:cs="Arial" w:eastAsia="Arial" w:hAnsi="Arial"/>
          <w:sz w:val="15"/>
          <w:szCs w:val="15"/>
          <w:color w:val="auto"/>
        </w:rPr>
        <w:t>75,000</w:t>
      </w:r>
    </w:p>
    <w:p>
      <w:pPr>
        <w:spacing w:after="0" w:line="43" w:lineRule="exact"/>
        <w:rPr>
          <w:rFonts w:ascii="Arial" w:cs="Arial" w:eastAsia="Arial" w:hAnsi="Arial"/>
          <w:sz w:val="18"/>
          <w:szCs w:val="18"/>
          <w:color w:val="auto"/>
        </w:rPr>
      </w:pPr>
    </w:p>
    <w:p>
      <w:pPr>
        <w:ind w:left="321"/>
        <w:spacing w:after="0"/>
        <w:rPr>
          <w:rFonts w:ascii="Arial" w:cs="Arial" w:eastAsia="Arial" w:hAnsi="Arial"/>
          <w:sz w:val="18"/>
          <w:szCs w:val="18"/>
          <w:color w:val="auto"/>
        </w:rPr>
      </w:pPr>
      <w:r>
        <w:rPr>
          <w:rFonts w:ascii="Arial" w:cs="Arial" w:eastAsia="Arial" w:hAnsi="Arial"/>
          <w:sz w:val="15"/>
          <w:szCs w:val="15"/>
          <w:color w:val="auto"/>
        </w:rPr>
        <w:t>50,000</w:t>
      </w:r>
    </w:p>
    <w:p>
      <w:pPr>
        <w:spacing w:after="0" w:line="43" w:lineRule="exact"/>
        <w:rPr>
          <w:rFonts w:ascii="Arial" w:cs="Arial" w:eastAsia="Arial" w:hAnsi="Arial"/>
          <w:sz w:val="18"/>
          <w:szCs w:val="18"/>
          <w:color w:val="auto"/>
        </w:rPr>
      </w:pPr>
    </w:p>
    <w:p>
      <w:pPr>
        <w:ind w:left="321"/>
        <w:spacing w:after="0"/>
        <w:rPr>
          <w:rFonts w:ascii="Arial" w:cs="Arial" w:eastAsia="Arial" w:hAnsi="Arial"/>
          <w:sz w:val="18"/>
          <w:szCs w:val="18"/>
          <w:color w:val="auto"/>
        </w:rPr>
      </w:pPr>
      <w:r>
        <w:rPr>
          <w:rFonts w:ascii="Arial" w:cs="Arial" w:eastAsia="Arial" w:hAnsi="Arial"/>
          <w:sz w:val="15"/>
          <w:szCs w:val="15"/>
          <w:color w:val="auto"/>
        </w:rPr>
        <w:t>45,000</w:t>
      </w:r>
    </w:p>
    <w:p>
      <w:pPr>
        <w:spacing w:after="0" w:line="43" w:lineRule="exact"/>
        <w:rPr>
          <w:rFonts w:ascii="Arial" w:cs="Arial" w:eastAsia="Arial" w:hAnsi="Arial"/>
          <w:sz w:val="18"/>
          <w:szCs w:val="18"/>
          <w:color w:val="auto"/>
        </w:rPr>
      </w:pPr>
    </w:p>
    <w:p>
      <w:pPr>
        <w:ind w:left="321"/>
        <w:spacing w:after="0"/>
        <w:rPr>
          <w:rFonts w:ascii="Arial" w:cs="Arial" w:eastAsia="Arial" w:hAnsi="Arial"/>
          <w:sz w:val="18"/>
          <w:szCs w:val="18"/>
          <w:color w:val="auto"/>
        </w:rPr>
      </w:pPr>
      <w:r>
        <w:rPr>
          <w:rFonts w:ascii="Arial" w:cs="Arial" w:eastAsia="Arial" w:hAnsi="Arial"/>
          <w:sz w:val="15"/>
          <w:szCs w:val="15"/>
          <w:color w:val="auto"/>
        </w:rPr>
        <w:t>30,000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5060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44" w:lineRule="exact"/>
        <w:rPr>
          <w:sz w:val="20"/>
          <w:szCs w:val="20"/>
          <w:color w:val="auto"/>
        </w:rPr>
      </w:pPr>
    </w:p>
    <w:p>
      <w:pPr>
        <w:ind w:left="1"/>
        <w:spacing w:after="0"/>
        <w:tabs>
          <w:tab w:leader="none" w:pos="201"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u w:val="single" w:color="auto"/>
          <w:color w:val="auto"/>
        </w:rPr>
        <w:t>200,000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5060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595" w:lineRule="exact"/>
        <w:rPr>
          <w:sz w:val="20"/>
          <w:szCs w:val="20"/>
          <w:color w:val="auto"/>
        </w:rPr>
      </w:pPr>
    </w:p>
    <w:p>
      <w:pPr>
        <w:sectPr>
          <w:pgSz w:w="11900" w:h="16838" w:orient="portrait"/>
          <w:cols w:equalWidth="0" w:num="2">
            <w:col w:w="7979" w:space="720"/>
            <w:col w:w="2721"/>
          </w:cols>
          <w:pgMar w:left="240" w:top="459" w:right="239" w:bottom="1440" w:gutter="0" w:footer="0" w:header="0"/>
          <w:type w:val="continuous"/>
        </w:sectPr>
      </w:pPr>
    </w:p>
    <w:p>
      <w:pPr>
        <w:spacing w:after="0" w:line="1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Indemnification under Pennsylvania Law and Comcast’s Charter and By-laws.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Sections 1741 through 1750 of Subchapter D, Chapter 17, of the Pennsylvania Business Corporation Law (“PBCL”) contain provisions for mandatory and discretionary indemnification of a corporation’s directors, officers and other personnel, and related matters.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or corporate actions), to which any such officer or director is a party or is threatened to be made a party by reason of such officer or director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 conduct was unlawful.</w:t>
      </w:r>
    </w:p>
    <w:p>
      <w:pPr>
        <w:spacing w:after="0" w:line="11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Section 1742 of the PBCL permits indemnification in derivative and corporate actions if the director or officer acted in good faith and in a manner he reasonably believed to be in, or not opposed to, the best interests of the corporation, except in respect of any claim, issue or matter as to which the officer or director has been adjudged to be liable to the corporation unless and only to the extent that the proper court determines upon application that, despite the adjudication of liability but in view of all the circumstances of the case, the officer or director is fairly and reasonably entitled to indemnity for the expenses that the court deems proper.</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Under Section 1743 of the PBCL, indemnification is mandatory to the extent that the officer or director has been successful on the merits or otherwise in defense of any action or proceeding referred to in Section 1741 or 1742 of the PBCL.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Section 1744 of the PBCL provides that, unless ordered by a court, any indemnification under Section 1741 or 1742 of the PBCL shall be made by the corporation only as authorized in the specific case upon a determination that the officer or director met the applicable standard of conduct, and such determination must be made by (i) the board of directors by a majority vote of a quorum of directors not parties to the action or proceeding, (ii) if a quorum is not obtainable, or if obtainable and a majority vote of a quorum of disinterested directors so directs, by independent legal counsel in a written opinion, or (iii) by the shareholders.</w:t>
      </w:r>
    </w:p>
    <w:p>
      <w:pPr>
        <w:spacing w:after="0" w:line="9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1745 of the PBCL provides that expenses (including attorneys’ fees) incurred by a director or officer in defending any action or proceeding referred to in Subchapter D of Chapter 17 of the PBCL may be paid by the corporation in advance of the final disposition of such action or proceeding upon receipt of an undertaking by or on behalf of such person to repay such amount if it shall ultimately be determined that he is not entitled to be indemnified by the corporation. Except as otherwise provided in the corporation’s by-laws, advancement of expenses must be authorized by the board of directors.</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Section 1746 of the PBCL provides generally that the indemnification and advancement of expenses provided by Subchapter D of Chapter 17 of the PBCL shall not be deemed exclusive of any other rights to which an officer or director seeking indemnification or advancement of expenses may be entitled under any by-law, agreement, vote of shareholders or disinterested directors or otherwise, both as to action in his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spacing w:after="0" w:line="116"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Section 1747 of the PBCL grants a corporation the power to purchase and maintain insurance on behalf of any director or officer against any liability incurred by him in his capacity as officer or director, whether or not the corporation would have the power to indemnify him against that liability under Subchapter D of Chapter 17 of the PBCL.</w:t>
      </w:r>
    </w:p>
    <w:p>
      <w:pPr>
        <w:spacing w:after="0" w:line="14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Sections 1748 and 1749 of the PBCL extend the indemnification and advancement of expenses provisions contained in Subchapter D of Chapter 17 of the PBCL to successor corporations in fundamental changes and to officers and directors serving as fiduciaries of employee benefit plans.</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Section 1750 of the PBCL provides that the indemnification and advancement of expenses provided by, or granted pursuant to, Subchapter D of Chapter 17 of the PBCL shall, unless otherwise provided when authorized or ratified, continue as to a person who has ceased to be a director or officer shall inure to the benefit of the heirs and personal representatives of such person.</w:t>
      </w:r>
    </w:p>
    <w:p>
      <w:pPr>
        <w:spacing w:after="0" w:line="140"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Article Twelfth of the Comcast charter provides that no director of Comcast will be personally liable, as such, for monetary damages (other than under criminal statutes and under laws imposing such liability on directors for the payment of taxes) unless such person’s conduct constitutes self-dealing, willful misconduct or recklessness. Article Twelfth of the Comcast charter extends such protection to officers.</w:t>
      </w:r>
    </w:p>
    <w:p>
      <w:pPr>
        <w:spacing w:after="0" w:line="10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Article 7 of the Comcast by-laws provides that each officer and director of Comcast will be indemnified and held harmless by Comcast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Comcast), whether civil, criminal, administrative or investigative (a “Proceeding”). No indemnification will be made, however, in any case where the act or failure to act giving rise to the claim for indemnification is determined by a court to have constituted willful misconduct or recklessness, or in connection with a Proceeding (or part of a Proceeding) initiated by an officer or director (except in connection with a Proceeding to enforce a right to indemnification or advancement of expenses), unless the Proceeding (or part of the Proceeding) was authorized by the Board of Directors. The right to indemnification includes the right to have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expenses incurred by such director or officer in participating in any Proceeding paid by Comcast in advance of the final disposition of the Proceeding automatically and without any action or approval required by the Board of Directors, provided that, if Pennsylvania law requires, the payment of expenses incurred by such director or officer in advance of the final disposition of a Proceeding shall only be made upon delivery to Comcast of an undertaking, by or on behalf of the director or officer, to repay all advanced amounts without interest if it is ultimately determined that the director or officer is not entitled to be so indemnified.</w:t>
      </w:r>
    </w:p>
    <w:p>
      <w:pPr>
        <w:spacing w:after="0" w:line="143"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Article 7 of the Comcast by-laws also provides that Comcast may purchase and maintain insurance, at its expense, for the benefit of any person on behalf of whom insurance is permitted to be purchased by Pennsylvania law against any expense, liability or loss, whether or not Comcast would have the power to indemnify such person under Pennsylvania or any other law. Comcast may also purchase and maintain insurance to insure its indemnification obligations.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foregoing statements are subject to the detailed provisions of the PBCL and to the applicable provisions of the Comcast charter and by-laws.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96"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NBCUniversal Media, LLC is a limited liability company organized under the laws of the State of Delaware. Section 18-108 of the Limited Liability Company Act of Delaware permits a limited liability company, subject to any restrictions set forth in its limited liability company agreement, to indemnify its members, managers and officers from and against any and all claims and demands. Members, managers and officers of NBCUniversal Media, LLC are also entitled to mandatory and discretionary indemnification as described above under “Comcast Corporation.” NBCUniversal, LLC is the sole member of NBCUniversal Media, LLC.</w:t>
      </w:r>
    </w:p>
    <w:p>
      <w:pPr>
        <w:spacing w:after="0" w:line="14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Comcast maintains standard policies of insurance on behalf of NBCUniversal Media, LLC and NBCUniversal, LLC under which coverage is provided to their respective officers and NBCUniversal, LLC’s directors against loss arising from claims made by reason of a breach of duty or other wrongful act.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Cable Communications, LLC</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Comcast Cable is a limited liability company organized under the laws of the State of Delaware. Section 18-108 of the Delaware Limited Liability Company Act permits a limited liability company, subject to any restrictions that may be set forth in its limited liability company agreement, to indemnify its members and managers from and against any and all claims and demands.</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Section 18.1 of Comcast Cable’s Limited Liability Company Agreement (“LLC Agreement”) provides that Comcast Cable will indemnify the member, Comcast Holdings Corporation, any officer of Comcast Cable and any officer of Comcast Cable who is or was serving as a director, officer, employee or agent of another entity at Comcast Cable’s request (each, an “Indemnified Person”) against expenses (including attorneys’ fees), judgments, fines and amounts paid in settlement, actually and reasonably incurred by such Indemnified Person, to the fullest extent permitted by law in connection with any threatened, pending or contemplated action, suit or proceeding, whether civil, criminal, administrative or investigative (hereinafter, a “proceeding”), brought or threatened to be brought against such Indemnified Person by reason of the fact that he or she is or was serving in any such capacity or in any other capacity on behalf of Comcast Cable, the member or any of Comcast Cable’s subsidiaries. In addition, the member may, by resolution, similarly indemnify any other person (hereinafter, an “Other Person”) for liabilities incurred by him or her in connection with services rendered by him or her for or at the request of Comcast Cable, the member or any of Comcast Cable’s subsidiaries.</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Section 18.2 of Comcast Cable’s LLC Agreement provides that expenses (including attorneys’ fees) incurred by any Indemnified Person in defending a proceeding will be paid by Comcast Cable in advance of the final disposition of such proceeding as authorized by the member upon receipt of an undertaking, by or on behalf of such Indemnified Person, to repay such amount if it is ultimately determined that he or she is not entitled to be</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40"/>
          </w:cols>
          <w:pgMar w:left="240" w:top="459" w:right="3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indemnified by Comcast Cable as authorized by law. Advance expenses (including attorneys’ fees) incurred by Other Persons may be paid by Comcast Cable if the member deems appropriate and upon such terms and conditions, including the giving of an undertaking, as the member deems appropriate.</w:t>
      </w:r>
    </w:p>
    <w:p>
      <w:pPr>
        <w:spacing w:after="0" w:line="8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Section 18.4 of Comcast Cable’s LLC Agreement provides that Comcast Cable may purchase and maintain insurance on behalf of any person who is or was an Indemnified Person or Other Person against any liability asserted against him or her and incurred by him or her in any such capacity, or arising out of his or her status as such, whether or not Comcast Cable would have the power to indemnify him or her against such liability under applicable law.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Cable Holdings, LLC</w:t>
      </w:r>
    </w:p>
    <w:p>
      <w:pPr>
        <w:spacing w:after="0" w:line="96" w:lineRule="exact"/>
        <w:rPr>
          <w:sz w:val="20"/>
          <w:szCs w:val="20"/>
          <w:color w:val="auto"/>
        </w:rPr>
      </w:pPr>
    </w:p>
    <w:p>
      <w:pPr>
        <w:ind w:right="560" w:firstLine="456"/>
        <w:spacing w:after="0" w:line="306" w:lineRule="auto"/>
        <w:rPr>
          <w:sz w:val="20"/>
          <w:szCs w:val="20"/>
          <w:color w:val="auto"/>
        </w:rPr>
      </w:pPr>
      <w:r>
        <w:rPr>
          <w:rFonts w:ascii="Arial" w:cs="Arial" w:eastAsia="Arial" w:hAnsi="Arial"/>
          <w:sz w:val="16"/>
          <w:szCs w:val="16"/>
          <w:color w:val="auto"/>
        </w:rPr>
        <w:t>Comcast Cable Holdings is a limited liability company organized under the laws of the State of Delaware. The indemnification of officers and other persons provided for by Comcast Cable Holdings’ LLC Agreement and the Delaware Limited Liability Company Act is identical to the indemnification provisions described under “—Comcast Cable Communications, LLC,” except that the member of Comcast Cable Holdings is Comcast Cable.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MO Group, Inc.</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Comcast MO Group is a corporation organized under the laws of the State of Delaware. Subsection (a) of Section 145 of the General Corporation Law of the State of Delaware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may be made in respect to any claim, issue or matter as to which such person shall have been adjudged to be liable to the corporation unless and only to the extent that the Court of Chancery or the court in which such action or suit was brought shall determine, that despite the adjudication of liability but in view of all the circumstances of the case, such person is fairly and reasonably entitled to be indemnified for such expenses which the Court of Chancery or the court shall deem proper.</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Section 145 further provides that to the extent a director or officer of a corporation has been successful in the defense of any action, suit or proceeding referred to in subsections (a) or (b) or in the defense of any claim, issue or matter therein, he shall be indemnified against expenses (including attorneys’ fees) actually and reasonably incurred by him in connection therewith; that indemnification and advancement of expenses provided for by Section 145 shall not be deemed exclusive of any other rights to which the indemnified party may be entitled; and empowers the corporation to purchase and maintain insurance on behalf of a director, officer, employee or agent of the corporation against any liability asserted against him or incurred by him in any such capacity or arising out of his status as such, whether or not the corporation would have the power to indemnify him against such liabilities under Section 145.</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Article VIII, Section 1 of Comcast MO Group’s Certificate of Incorporation provides that a director of Comcast MO Group will not be personally liable to Comcast MO Group or its stockholders for monetary damages for breach of fiduciary duty as director, except to the extent this exemption is not permitted by the General Corporation Law of the State of Delaware. Any repeal or modification of this provision will not affect the rights of a director of Comcast MO Group prior to such repeal or modification.</w:t>
      </w:r>
    </w:p>
    <w:p>
      <w:pPr>
        <w:spacing w:after="0" w:line="143"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 xml:space="preserve">Article VIII, Section 2 of Comcast MO Group’s Certificate of Incorporation provides that each person who was or is made a party or is threatened to be made a party to or is otherwise in any way involved in any action, suit or proceeding, whether civil, criminal, administrative or investigative (hereinafter a “proceeding”), by reason of the fact that he, or the person of whom he is the legal representative, is or was a director or officer of Comcast MO Group or is or was serving at its request as a director, officer, employee or agent of another corporation or of a partnership, joint venture, trust or other enterprise, including service with respect to an employee benefit plan (hereinafter an “indemnitee”), whether the basis of the proceeding is alleged action in an official capacity or in any other capacity while serving as a director, officer, employee, or agent will be indemnified and held harmless by Comcast MO Group to the fullest extent authorized by the General Corporation Law of the State of Delaware against all expense, liability and loss (including attorneys’ fees, judgments, fines, amounts paid or to be paid in settlement and Employee Retirement Income Security Act of 1974 excise taxes or penalties) reasonably incurred or suffered by the indemnitee in connection with the proceeding. However, except in the case of proceedings to enforce rights to indemnification, Comcast MO Group will indemnify an indemnitee in connection with a proceeding (or part thereof) initiated by the indemnitee only if the proceeding was authorized by the Board of Directors of Comcast MO Group. The right to indemnification includes the right to be paid by Comcast MO Group the advancement of expenses incurred in defending any proceeding in advance of its final disposition;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General Corporation Law of the State of Delaware requires, an advancement of expenses incurred by an indemnitee in his capacity as a director or officer will be made only upon delivery to Comcast MO Group of an undertaking, by or on behalf of the indemnitee, to repay all amounts so advanced if it is ultimately determined that the indemnitee is not entitled to be indemnified for the expenses. Also, the Board of Directors of Comcast MO Group may grant rights to indemnification as described above to any of Comcast MO Group’s employees and agents.</w:t>
      </w:r>
    </w:p>
    <w:p>
      <w:pPr>
        <w:spacing w:after="0" w:line="124"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If a claim for indemnification is not paid in full within 30 days after a written claim is received by Comcast MO Group, the claimant may bring suit to recover the unpaid amount of the claim, and if successful in whole or in part, the indemnitee will be entitled to be paid also the expense of prosecuting the suit. It shall be a defense to any such action (other than an action brought to enforce a claim for expenses incurred in defending any proceeding in advance of its final disposition where the required undertaking, if any is required, has been tendered) that the claimant has not met the standards of conduct which make it permissible under the General Corporation Law of the State of Delaware for Comcast MO Group to indemnify the claimant for the amount claimed, but Comcast MO Group would bear the burden of proving this defense.</w:t>
      </w:r>
    </w:p>
    <w:p>
      <w:pPr>
        <w:spacing w:after="0" w:line="144"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Comcast MO Group may maintain insurance, at its expense, to protect itself and any director, officer, employee or agent of Comcast MO Group or another corporation, partnership, joint venture, trust or other enterprise against any expense, liability or loss, whether or not Comcast MO Group would have the power to indemnify such person under the General Corporation Law of the State of Delaware.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MO of Delaware, LLC</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Comcast MO of Delaware is a limited liability company organized under the laws of the State of Delaware. The indemnification of officers and other persons provided for by Comcast MO of Delaware’s LLC Agreement and the Delaware Limited Liability Company Act is identical to the indemnification provisions described under “—Comcast Cable Communications, LLC,” except that the member of Comcast MO of Delaware is Comcast of Georgia/Virginia, Inc.</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jc w:val="right"/>
              <w:ind w:right="13"/>
              <w:spacing w:after="0"/>
              <w:rPr>
                <w:sz w:val="20"/>
                <w:szCs w:val="20"/>
                <w:color w:val="auto"/>
              </w:rPr>
            </w:pPr>
            <w:r>
              <w:rPr>
                <w:rFonts w:ascii="Arial" w:cs="Arial" w:eastAsia="Arial" w:hAnsi="Arial"/>
                <w:sz w:val="18"/>
                <w:szCs w:val="18"/>
                <w:b w:val="1"/>
                <w:bCs w:val="1"/>
                <w:color w:val="auto"/>
                <w:w w:val="89"/>
              </w:rPr>
              <w:t>Item 16.</w:t>
            </w:r>
          </w:p>
        </w:tc>
        <w:tc>
          <w:tcPr>
            <w:tcW w:w="10620" w:type="dxa"/>
            <w:vAlign w:val="bottom"/>
            <w:gridSpan w:val="3"/>
          </w:tcPr>
          <w:p>
            <w:pPr>
              <w:ind w:left="320"/>
              <w:spacing w:after="0"/>
              <w:rPr>
                <w:sz w:val="20"/>
                <w:szCs w:val="20"/>
                <w:color w:val="auto"/>
              </w:rPr>
            </w:pPr>
            <w:r>
              <w:rPr>
                <w:rFonts w:ascii="Arial" w:cs="Arial" w:eastAsia="Arial" w:hAnsi="Arial"/>
                <w:sz w:val="18"/>
                <w:szCs w:val="18"/>
                <w:b w:val="1"/>
                <w:bCs w:val="1"/>
                <w:i w:val="1"/>
                <w:iCs w:val="1"/>
                <w:color w:val="auto"/>
              </w:rPr>
              <w:t>Exhibits and Financial Statement Schedules</w:t>
            </w:r>
          </w:p>
        </w:tc>
      </w:tr>
      <w:tr>
        <w:trPr>
          <w:trHeight w:val="297"/>
        </w:trPr>
        <w:tc>
          <w:tcPr>
            <w:tcW w:w="11340" w:type="dxa"/>
            <w:vAlign w:val="bottom"/>
            <w:gridSpan w:val="4"/>
          </w:tcPr>
          <w:p>
            <w:pPr>
              <w:ind w:left="460"/>
              <w:spacing w:after="0"/>
              <w:rPr>
                <w:sz w:val="20"/>
                <w:szCs w:val="20"/>
                <w:color w:val="auto"/>
              </w:rPr>
            </w:pPr>
            <w:r>
              <w:rPr>
                <w:rFonts w:ascii="Arial" w:cs="Arial" w:eastAsia="Arial" w:hAnsi="Arial"/>
                <w:sz w:val="18"/>
                <w:szCs w:val="18"/>
                <w:color w:val="auto"/>
              </w:rPr>
              <w:t>(a)   The following exhibits are filed as part of this Registration Statement:</w:t>
            </w:r>
          </w:p>
        </w:tc>
      </w:tr>
      <w:tr>
        <w:trPr>
          <w:trHeight w:val="353"/>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Exhibit No.</w:t>
            </w:r>
          </w:p>
        </w:tc>
        <w:tc>
          <w:tcPr>
            <w:tcW w:w="5480" w:type="dxa"/>
            <w:vAlign w:val="bottom"/>
          </w:tcPr>
          <w:p>
            <w:pPr>
              <w:spacing w:after="0"/>
              <w:rPr>
                <w:sz w:val="24"/>
                <w:szCs w:val="2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Document</w:t>
            </w:r>
          </w:p>
        </w:tc>
        <w:tc>
          <w:tcPr>
            <w:tcW w:w="4520" w:type="dxa"/>
            <w:vAlign w:val="bottom"/>
          </w:tcPr>
          <w:p>
            <w:pPr>
              <w:spacing w:after="0"/>
              <w:rPr>
                <w:sz w:val="24"/>
                <w:szCs w:val="24"/>
                <w:color w:val="auto"/>
              </w:rPr>
            </w:pPr>
          </w:p>
        </w:tc>
      </w:tr>
      <w:tr>
        <w:trPr>
          <w:trHeight w:val="316"/>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1.1</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Underwriting Agreement (Debt Securities)*</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1.2</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Underwriting Agreement Standard Provisions (Debt Securities)*</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1.3</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93"/>
              </w:rPr>
              <w:t>Form of Underwriting Agreement (Preferred Stock, Depositary Shares, Common Stock, Warrants, Purchase Contracts and Units)**</w:t>
            </w:r>
          </w:p>
        </w:tc>
      </w:tr>
      <w:tr>
        <w:trPr>
          <w:trHeight w:val="318"/>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4.1</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90"/>
              </w:rPr>
              <w:t>Specimen Class A Common Stock Certificate (incorporated by reference to Comcast’s Annual Report on Form 10-K for the year ended</w:t>
            </w:r>
          </w:p>
        </w:tc>
      </w:tr>
      <w:tr>
        <w:trPr>
          <w:trHeight w:val="222"/>
        </w:trPr>
        <w:tc>
          <w:tcPr>
            <w:tcW w:w="72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December 31, 2002, filed on March 20, 2003)</w:t>
            </w:r>
          </w:p>
        </w:tc>
      </w:tr>
      <w:tr>
        <w:trPr>
          <w:trHeight w:val="318"/>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4.2</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90"/>
              </w:rPr>
              <w:t>Specimen Class A Special Common Stock Certificate (incorporated by reference to Comcast’s Annual Report on Form 10-K for the year</w:t>
            </w:r>
          </w:p>
        </w:tc>
      </w:tr>
      <w:tr>
        <w:trPr>
          <w:trHeight w:val="222"/>
        </w:trPr>
        <w:tc>
          <w:tcPr>
            <w:tcW w:w="72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ended December 31, 2002, filed on March 20, 2003)</w:t>
            </w:r>
          </w:p>
        </w:tc>
      </w:tr>
      <w:tr>
        <w:trPr>
          <w:trHeight w:val="318"/>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4.3</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91"/>
              </w:rPr>
              <w:t>Senior Indenture dated September 18, 2013 among the Company, the guarantors party thereto and The Bank of New York Mellon, as</w:t>
            </w:r>
          </w:p>
        </w:tc>
      </w:tr>
      <w:tr>
        <w:trPr>
          <w:trHeight w:val="222"/>
        </w:trPr>
        <w:tc>
          <w:tcPr>
            <w:tcW w:w="72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Trustee*</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4.4</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Senior Debt Security*</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4.5</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Purchase Contract Agreement relating to Purchase Contracts**</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4.6</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Unit Agreement**</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4.7</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Warrant Agreement for Warrants sold separately**</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4.8</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Warrant for Warrants sold separately**</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4.9</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Warrant Agreement for Warrants sold attached to other Securities**</w:t>
            </w:r>
          </w:p>
        </w:tc>
      </w:tr>
      <w:tr>
        <w:trPr>
          <w:trHeight w:val="324"/>
        </w:trPr>
        <w:tc>
          <w:tcPr>
            <w:tcW w:w="720" w:type="dxa"/>
            <w:vAlign w:val="bottom"/>
          </w:tcPr>
          <w:p>
            <w:pPr>
              <w:jc w:val="right"/>
              <w:ind w:right="233"/>
              <w:spacing w:after="0"/>
              <w:rPr>
                <w:sz w:val="20"/>
                <w:szCs w:val="20"/>
                <w:color w:val="auto"/>
              </w:rPr>
            </w:pPr>
            <w:r>
              <w:rPr>
                <w:rFonts w:ascii="Arial" w:cs="Arial" w:eastAsia="Arial" w:hAnsi="Arial"/>
                <w:sz w:val="18"/>
                <w:szCs w:val="18"/>
                <w:color w:val="auto"/>
              </w:rPr>
              <w:t>4.10</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Warrant for Warrants sold attached to other Securities**</w:t>
            </w:r>
          </w:p>
        </w:tc>
      </w:tr>
      <w:tr>
        <w:trPr>
          <w:trHeight w:val="324"/>
        </w:trPr>
        <w:tc>
          <w:tcPr>
            <w:tcW w:w="720" w:type="dxa"/>
            <w:vAlign w:val="bottom"/>
          </w:tcPr>
          <w:p>
            <w:pPr>
              <w:jc w:val="right"/>
              <w:ind w:right="233"/>
              <w:spacing w:after="0"/>
              <w:rPr>
                <w:sz w:val="20"/>
                <w:szCs w:val="20"/>
                <w:color w:val="auto"/>
              </w:rPr>
            </w:pPr>
            <w:r>
              <w:rPr>
                <w:rFonts w:ascii="Arial" w:cs="Arial" w:eastAsia="Arial" w:hAnsi="Arial"/>
                <w:sz w:val="18"/>
                <w:szCs w:val="18"/>
                <w:color w:val="auto"/>
              </w:rPr>
              <w:t>4.11</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Pledge Agreement**</w:t>
            </w:r>
          </w:p>
        </w:tc>
      </w:tr>
      <w:tr>
        <w:trPr>
          <w:trHeight w:val="324"/>
        </w:trPr>
        <w:tc>
          <w:tcPr>
            <w:tcW w:w="720" w:type="dxa"/>
            <w:vAlign w:val="bottom"/>
          </w:tcPr>
          <w:p>
            <w:pPr>
              <w:jc w:val="right"/>
              <w:ind w:right="233"/>
              <w:spacing w:after="0"/>
              <w:rPr>
                <w:sz w:val="20"/>
                <w:szCs w:val="20"/>
                <w:color w:val="auto"/>
              </w:rPr>
            </w:pPr>
            <w:r>
              <w:rPr>
                <w:rFonts w:ascii="Arial" w:cs="Arial" w:eastAsia="Arial" w:hAnsi="Arial"/>
                <w:sz w:val="18"/>
                <w:szCs w:val="18"/>
                <w:color w:val="auto"/>
              </w:rPr>
              <w:t>4.12</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Deposit Agreement**</w:t>
            </w:r>
          </w:p>
        </w:tc>
      </w:tr>
      <w:tr>
        <w:trPr>
          <w:trHeight w:val="324"/>
        </w:trPr>
        <w:tc>
          <w:tcPr>
            <w:tcW w:w="720" w:type="dxa"/>
            <w:vAlign w:val="bottom"/>
          </w:tcPr>
          <w:p>
            <w:pPr>
              <w:jc w:val="right"/>
              <w:ind w:right="233"/>
              <w:spacing w:after="0"/>
              <w:rPr>
                <w:sz w:val="20"/>
                <w:szCs w:val="20"/>
                <w:color w:val="auto"/>
              </w:rPr>
            </w:pPr>
            <w:r>
              <w:rPr>
                <w:rFonts w:ascii="Arial" w:cs="Arial" w:eastAsia="Arial" w:hAnsi="Arial"/>
                <w:sz w:val="18"/>
                <w:szCs w:val="18"/>
                <w:color w:val="auto"/>
              </w:rPr>
              <w:t>4.13</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Depositary Share**</w:t>
            </w:r>
          </w:p>
        </w:tc>
      </w:tr>
      <w:tr>
        <w:trPr>
          <w:trHeight w:val="324"/>
        </w:trPr>
        <w:tc>
          <w:tcPr>
            <w:tcW w:w="720" w:type="dxa"/>
            <w:vAlign w:val="bottom"/>
          </w:tcPr>
          <w:p>
            <w:pPr>
              <w:jc w:val="right"/>
              <w:ind w:right="233"/>
              <w:spacing w:after="0"/>
              <w:rPr>
                <w:sz w:val="20"/>
                <w:szCs w:val="20"/>
                <w:color w:val="auto"/>
              </w:rPr>
            </w:pPr>
            <w:r>
              <w:rPr>
                <w:rFonts w:ascii="Arial" w:cs="Arial" w:eastAsia="Arial" w:hAnsi="Arial"/>
                <w:sz w:val="18"/>
                <w:szCs w:val="18"/>
                <w:color w:val="auto"/>
              </w:rPr>
              <w:t>4.14</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Guarantee (Warrants, Purchase Contracts and Units)**</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5.1</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Opinion of Arthur R. Block, Esquire*</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5.2</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Opinion of Davis Polk &amp; Wardwell LLP*</w:t>
            </w:r>
          </w:p>
        </w:tc>
      </w:tr>
      <w:tr>
        <w:trPr>
          <w:trHeight w:val="318"/>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12.1</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88"/>
              </w:rPr>
              <w:t>Statement Regarding Computation of Ratio of Earnings to Fixed Charges and Ratio of Earnings to Combined Fixed Charges and Preferred</w:t>
            </w:r>
          </w:p>
        </w:tc>
      </w:tr>
      <w:tr>
        <w:trPr>
          <w:trHeight w:val="216"/>
        </w:trPr>
        <w:tc>
          <w:tcPr>
            <w:tcW w:w="720" w:type="dxa"/>
            <w:vAlign w:val="bottom"/>
          </w:tcPr>
          <w:p>
            <w:pPr>
              <w:spacing w:after="0"/>
              <w:rPr>
                <w:sz w:val="18"/>
                <w:szCs w:val="18"/>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88"/>
              </w:rPr>
              <w:t>Dividends of Comcast Corporation (incorporated by reference to our Annual Report on Form 10-K for the year ended December 31, 2012,</w:t>
            </w:r>
          </w:p>
        </w:tc>
      </w:tr>
      <w:tr>
        <w:trPr>
          <w:trHeight w:val="222"/>
        </w:trPr>
        <w:tc>
          <w:tcPr>
            <w:tcW w:w="72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filed on February 21, 2013)</w:t>
            </w:r>
          </w:p>
        </w:tc>
      </w:tr>
      <w:tr>
        <w:trPr>
          <w:trHeight w:val="318"/>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12.2</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88"/>
              </w:rPr>
              <w:t>Statement Regarding Computation of Ratio of Earnings to Fixed Charges and Ratio of Earnings to Combined Fixed Charges and Preferred</w:t>
            </w:r>
          </w:p>
        </w:tc>
      </w:tr>
      <w:tr>
        <w:trPr>
          <w:trHeight w:val="222"/>
        </w:trPr>
        <w:tc>
          <w:tcPr>
            <w:tcW w:w="72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Dividends of Comcast Corporation for the six months ended June 30, 2013*</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23.1</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Consent of Deloitte &amp; Touche LLP (Comcast Corporation)*</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23.2</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Consent of Deloitte &amp; Touche LLP (NBCUniversal Media, LLC)*</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23.3</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Consent of KPMG LLP (NBCUniversal Media, LLC)*</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23.4</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Consent of Arthur R. Block, Esquire (included in Exhibit 5.1)</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23.5</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Consent of Davis Polk &amp; Wardwell LLP (included in Exhibit 5.2)</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24.1</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Powers of Attorney (included on the signature pages hereof)</w:t>
            </w:r>
          </w:p>
        </w:tc>
      </w:tr>
      <w:tr>
        <w:trPr>
          <w:trHeight w:val="318"/>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25.1</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89"/>
              </w:rPr>
              <w:t>Statement of Eligibility under the Trust Indenture Act of 1939, as amended, of The Bank of New York Mellon, as Trustee under the Senior</w:t>
            </w:r>
          </w:p>
        </w:tc>
      </w:tr>
      <w:tr>
        <w:trPr>
          <w:trHeight w:val="222"/>
        </w:trPr>
        <w:tc>
          <w:tcPr>
            <w:tcW w:w="72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Indenture*</w:t>
            </w:r>
          </w:p>
        </w:tc>
      </w:tr>
    </w:tbl>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340"/>
          </w:cols>
          <w:pgMar w:left="240" w:top="459" w:right="3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be filed by Current Report on Form 8-K.</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96"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undersigned registrants hereby undertake: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2"/>
          <w:numId w:val="3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90" w:lineRule="exact"/>
        <w:rPr>
          <w:rFonts w:ascii="Arial" w:cs="Arial" w:eastAsia="Arial" w:hAnsi="Arial"/>
          <w:sz w:val="18"/>
          <w:szCs w:val="18"/>
          <w:color w:val="auto"/>
        </w:rPr>
      </w:pPr>
    </w:p>
    <w:p>
      <w:pPr>
        <w:ind w:left="920" w:right="20" w:firstLine="421"/>
        <w:spacing w:after="0" w:line="253" w:lineRule="auto"/>
        <w:tabs>
          <w:tab w:leader="none" w:pos="1598" w:val="left"/>
        </w:tabs>
        <w:numPr>
          <w:ilvl w:val="2"/>
          <w:numId w:val="3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66" w:lineRule="exact"/>
        <w:rPr>
          <w:rFonts w:ascii="Arial" w:cs="Arial" w:eastAsia="Arial" w:hAnsi="Arial"/>
          <w:sz w:val="18"/>
          <w:szCs w:val="18"/>
          <w:color w:val="auto"/>
        </w:rPr>
      </w:pPr>
    </w:p>
    <w:p>
      <w:pPr>
        <w:ind w:left="920" w:right="280" w:firstLine="421"/>
        <w:spacing w:after="0" w:line="268" w:lineRule="auto"/>
        <w:tabs>
          <w:tab w:leader="none" w:pos="1647" w:val="left"/>
        </w:tabs>
        <w:numPr>
          <w:ilvl w:val="2"/>
          <w:numId w:val="3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1" w:lineRule="exact"/>
        <w:rPr>
          <w:sz w:val="20"/>
          <w:szCs w:val="20"/>
          <w:color w:val="auto"/>
        </w:rPr>
      </w:pPr>
    </w:p>
    <w:p>
      <w:pPr>
        <w:ind w:left="460" w:right="380"/>
        <w:spacing w:after="0" w:line="256"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(a)(1)(ii) and (a)(1)(iii) of this section do not apply if the information required to be included in a post-effective amendment by those paragraphs is contained in reports filed with or furnished to the Commission by the registrants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62" w:lineRule="exact"/>
        <w:rPr>
          <w:sz w:val="20"/>
          <w:szCs w:val="20"/>
          <w:color w:val="auto"/>
        </w:rPr>
      </w:pPr>
    </w:p>
    <w:p>
      <w:pPr>
        <w:ind w:left="460" w:right="20" w:firstLine="443"/>
        <w:spacing w:after="0" w:line="259" w:lineRule="auto"/>
        <w:tabs>
          <w:tab w:leader="none" w:pos="1147"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59" w:lineRule="exact"/>
        <w:rPr>
          <w:rFonts w:ascii="Arial" w:cs="Arial" w:eastAsia="Arial" w:hAnsi="Arial"/>
          <w:sz w:val="18"/>
          <w:szCs w:val="18"/>
          <w:color w:val="auto"/>
        </w:rPr>
      </w:pPr>
    </w:p>
    <w:p>
      <w:pPr>
        <w:ind w:left="460" w:right="820" w:firstLine="443"/>
        <w:spacing w:after="0" w:line="268" w:lineRule="auto"/>
        <w:tabs>
          <w:tab w:leader="none" w:pos="114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90" w:lineRule="exact"/>
        <w:rPr>
          <w:rFonts w:ascii="Arial" w:cs="Arial" w:eastAsia="Arial" w:hAnsi="Arial"/>
          <w:sz w:val="18"/>
          <w:szCs w:val="18"/>
          <w:color w:val="auto"/>
        </w:rPr>
      </w:pPr>
    </w:p>
    <w:p>
      <w:pPr>
        <w:ind w:left="920" w:right="60" w:firstLine="421"/>
        <w:spacing w:after="0" w:line="268" w:lineRule="auto"/>
        <w:tabs>
          <w:tab w:leader="none" w:pos="1549" w:val="left"/>
        </w:tabs>
        <w:numPr>
          <w:ilvl w:val="1"/>
          <w:numId w:val="35"/>
        </w:numPr>
        <w:rPr>
          <w:rFonts w:ascii="Arial" w:cs="Arial" w:eastAsia="Arial" w:hAnsi="Arial"/>
          <w:sz w:val="18"/>
          <w:szCs w:val="18"/>
          <w:color w:val="auto"/>
        </w:rPr>
      </w:pPr>
      <w:r>
        <w:rPr>
          <w:rFonts w:ascii="Arial" w:cs="Arial" w:eastAsia="Arial" w:hAnsi="Arial"/>
          <w:sz w:val="18"/>
          <w:szCs w:val="18"/>
          <w:color w:val="auto"/>
        </w:rPr>
        <w:t>Each prospectus filed by the registrants pursuant to Rule 424(b)(3) shall be deemed to be part of the registration statement as of the date the filed prospectus was deemed part of and included in the registration statement; and</w:t>
      </w:r>
    </w:p>
    <w:p>
      <w:pPr>
        <w:spacing w:after="0" w:line="50" w:lineRule="exact"/>
        <w:rPr>
          <w:rFonts w:ascii="Arial" w:cs="Arial" w:eastAsia="Arial" w:hAnsi="Arial"/>
          <w:sz w:val="18"/>
          <w:szCs w:val="18"/>
          <w:color w:val="auto"/>
        </w:rPr>
      </w:pPr>
    </w:p>
    <w:p>
      <w:pPr>
        <w:ind w:left="920" w:firstLine="421"/>
        <w:spacing w:after="0" w:line="302" w:lineRule="auto"/>
        <w:tabs>
          <w:tab w:leader="none" w:pos="1598" w:val="left"/>
        </w:tabs>
        <w:numPr>
          <w:ilvl w:val="1"/>
          <w:numId w:val="35"/>
        </w:numPr>
        <w:rPr>
          <w:rFonts w:ascii="Arial" w:cs="Arial" w:eastAsia="Arial" w:hAnsi="Arial"/>
          <w:sz w:val="15"/>
          <w:szCs w:val="15"/>
          <w:color w:val="auto"/>
        </w:rPr>
      </w:pPr>
      <w:r>
        <w:rPr>
          <w:rFonts w:ascii="Arial" w:cs="Arial" w:eastAsia="Arial" w:hAnsi="Arial"/>
          <w:sz w:val="15"/>
          <w:szCs w:val="15"/>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w:t>
      </w:r>
    </w:p>
    <w:p>
      <w:pPr>
        <w:spacing w:after="0" w:line="2" w:lineRule="exact"/>
        <w:rPr>
          <w:rFonts w:ascii="Arial" w:cs="Arial" w:eastAsia="Arial" w:hAnsi="Arial"/>
          <w:sz w:val="15"/>
          <w:szCs w:val="15"/>
          <w:color w:val="auto"/>
        </w:rPr>
      </w:pPr>
    </w:p>
    <w:p>
      <w:pPr>
        <w:jc w:val="both"/>
        <w:ind w:left="920" w:right="80"/>
        <w:spacing w:after="0" w:line="302" w:lineRule="auto"/>
        <w:rPr>
          <w:rFonts w:ascii="Arial" w:cs="Arial" w:eastAsia="Arial" w:hAnsi="Arial"/>
          <w:sz w:val="15"/>
          <w:szCs w:val="15"/>
          <w:color w:val="auto"/>
        </w:rPr>
      </w:pPr>
      <w:r>
        <w:rPr>
          <w:rFonts w:ascii="Arial" w:cs="Arial" w:eastAsia="Arial" w:hAnsi="Arial"/>
          <w:sz w:val="16"/>
          <w:szCs w:val="16"/>
          <w:color w:val="auto"/>
        </w:rPr>
        <w:t xml:space="preserve">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0"/>
        <w:spacing w:after="0" w:line="298" w:lineRule="auto"/>
        <w:rPr>
          <w:sz w:val="20"/>
          <w:szCs w:val="20"/>
          <w:color w:val="auto"/>
        </w:rPr>
      </w:pPr>
      <w:r>
        <w:rPr>
          <w:rFonts w:ascii="Arial" w:cs="Arial" w:eastAsia="Arial" w:hAnsi="Arial"/>
          <w:sz w:val="16"/>
          <w:szCs w:val="16"/>
          <w:color w:val="auto"/>
        </w:rPr>
        <w:t>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32" w:lineRule="exact"/>
        <w:rPr>
          <w:sz w:val="20"/>
          <w:szCs w:val="20"/>
          <w:color w:val="auto"/>
        </w:rPr>
      </w:pPr>
    </w:p>
    <w:p>
      <w:pPr>
        <w:ind w:left="460" w:right="160" w:firstLine="443"/>
        <w:spacing w:after="0" w:line="268" w:lineRule="auto"/>
        <w:tabs>
          <w:tab w:leader="none" w:pos="114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registrants under the Securities Act of 1933 to any purchaser in the initial distribution of the securities:</w:t>
      </w:r>
    </w:p>
    <w:p>
      <w:pPr>
        <w:spacing w:after="0" w:line="51" w:lineRule="exact"/>
        <w:rPr>
          <w:sz w:val="20"/>
          <w:szCs w:val="20"/>
          <w:color w:val="auto"/>
        </w:rPr>
      </w:pPr>
    </w:p>
    <w:p>
      <w:pPr>
        <w:ind w:left="920" w:right="100" w:firstLine="420"/>
        <w:spacing w:after="0" w:line="256" w:lineRule="auto"/>
        <w:rPr>
          <w:sz w:val="20"/>
          <w:szCs w:val="20"/>
          <w:color w:val="auto"/>
        </w:rPr>
      </w:pPr>
      <w:r>
        <w:rPr>
          <w:rFonts w:ascii="Arial" w:cs="Arial" w:eastAsia="Arial" w:hAnsi="Arial"/>
          <w:sz w:val="18"/>
          <w:szCs w:val="18"/>
          <w:color w:val="auto"/>
        </w:rPr>
        <w:t>The undersigned registrants undertake that in a primary offering of securities of the undersigned registrants pursuant to this registration statement, regardless of the underwriting method used to sell the securities to the purchaser, if the securities are offered or sold to such purchaser by means of any of the following communications, the undersigned registrants will be sellers to the purchaser and will be considered to offer or sell such securities to such purchaser:</w:t>
      </w:r>
    </w:p>
    <w:p>
      <w:pPr>
        <w:spacing w:after="0" w:line="62" w:lineRule="exact"/>
        <w:rPr>
          <w:sz w:val="20"/>
          <w:szCs w:val="20"/>
          <w:color w:val="auto"/>
        </w:rPr>
      </w:pPr>
    </w:p>
    <w:p>
      <w:pPr>
        <w:ind w:left="1560" w:hanging="219"/>
        <w:spacing w:after="0"/>
        <w:tabs>
          <w:tab w:leader="none" w:pos="15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registrants relating to the offering required to be filed pursuant to Rule 424;</w:t>
      </w:r>
    </w:p>
    <w:p>
      <w:pPr>
        <w:spacing w:after="0" w:line="113" w:lineRule="exact"/>
        <w:rPr>
          <w:rFonts w:ascii="Arial" w:cs="Arial" w:eastAsia="Arial" w:hAnsi="Arial"/>
          <w:sz w:val="16"/>
          <w:szCs w:val="16"/>
          <w:color w:val="auto"/>
        </w:rPr>
      </w:pPr>
    </w:p>
    <w:p>
      <w:pPr>
        <w:ind w:left="920" w:right="320" w:firstLine="421"/>
        <w:spacing w:after="0" w:line="268" w:lineRule="auto"/>
        <w:tabs>
          <w:tab w:leader="none" w:pos="1598"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registrants or used or referred to by the undersigned registrants;</w:t>
      </w:r>
    </w:p>
    <w:p>
      <w:pPr>
        <w:spacing w:after="0" w:line="50" w:lineRule="exact"/>
        <w:rPr>
          <w:rFonts w:ascii="Arial" w:cs="Arial" w:eastAsia="Arial" w:hAnsi="Arial"/>
          <w:sz w:val="18"/>
          <w:szCs w:val="18"/>
          <w:color w:val="auto"/>
        </w:rPr>
      </w:pPr>
    </w:p>
    <w:p>
      <w:pPr>
        <w:ind w:left="920" w:right="100" w:firstLine="421"/>
        <w:spacing w:after="0" w:line="268" w:lineRule="auto"/>
        <w:tabs>
          <w:tab w:leader="none" w:pos="1647"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registrants or their securities provided by or on behalf of the undersigned registrants; and</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registrants to the purchaser.</w:t>
      </w:r>
    </w:p>
    <w:p>
      <w:pPr>
        <w:spacing w:after="0" w:line="90" w:lineRule="exact"/>
        <w:rPr>
          <w:rFonts w:ascii="Arial" w:cs="Arial" w:eastAsia="Arial" w:hAnsi="Arial"/>
          <w:sz w:val="18"/>
          <w:szCs w:val="18"/>
          <w:color w:val="auto"/>
        </w:rPr>
      </w:pPr>
    </w:p>
    <w:p>
      <w:pPr>
        <w:ind w:left="900" w:right="60" w:hanging="446"/>
        <w:spacing w:after="0" w:line="294"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The undersigned registrants hereby undertake that, for purposes of determining any liability under the Securities Act of 1933, each filing of Comcast Corporation’s or NBCUniversal’s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34" w:lineRule="exact"/>
        <w:rPr>
          <w:rFonts w:ascii="Arial" w:cs="Arial" w:eastAsia="Arial" w:hAnsi="Arial"/>
          <w:sz w:val="16"/>
          <w:szCs w:val="16"/>
          <w:color w:val="auto"/>
        </w:rPr>
      </w:pPr>
    </w:p>
    <w:p>
      <w:pPr>
        <w:ind w:left="900" w:right="60" w:hanging="446"/>
        <w:spacing w:after="0" w:line="298"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undersigned registrants hereby undertake to supplement the prospectus, after the expiration of the subscription period, to set forth the results of the subscription offer, the transactions by the underwriters during the subscription period, the amount of unsubscribed securities to be purchased by the underwriters, and the terms of any subsequent reoffering thereof. If any public offering by the underwriters is to be made on terms differing from those set forth on the cover page of the prospectus, a post-effective amendment will be filed to set forth the terms of such offering.</w:t>
      </w:r>
    </w:p>
    <w:p>
      <w:pPr>
        <w:spacing w:after="0" w:line="31" w:lineRule="exact"/>
        <w:rPr>
          <w:rFonts w:ascii="Arial" w:cs="Arial" w:eastAsia="Arial" w:hAnsi="Arial"/>
          <w:sz w:val="16"/>
          <w:szCs w:val="16"/>
          <w:color w:val="auto"/>
        </w:rPr>
      </w:pPr>
    </w:p>
    <w:p>
      <w:pPr>
        <w:ind w:left="900" w:hanging="446"/>
        <w:spacing w:after="0" w:line="289"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registrants pursuant to the foregoing provisions, or otherwise, the registrants have been advised that in the opinion of the Commission such indemnification is against public policy as expressed in the Securities Act of 1933 and is, therefore, unenforceable. In the event that a claim for indemnification against such liabilities (other than the payment by the registrants of expenses incurred or paid by a director, officer or controlling person of the registrants in the successful defense of any action, suit or proceeding) is asserted by such director, officer or controlling person in connection with the securities being registered, the registrants will, unless in the opinion of their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 FOR COMCAST CORPORATION</w:t>
      </w:r>
    </w:p>
    <w:p>
      <w:pPr>
        <w:spacing w:after="0" w:line="17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Comcast Corporation certifies that it has reasonable grounds to believe that it meets all of the requirements for filing on Form S-3 and has duly caused this Registration Statement to be signed on its behalf by the undersigned, thereunto duly authorized, in the City of Philadelphia, State of Pennsylvania, on September 18, 2013.</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R. B</w:t>
            </w:r>
            <w:r>
              <w:rPr>
                <w:rFonts w:ascii="Arial" w:cs="Arial" w:eastAsia="Arial" w:hAnsi="Arial"/>
                <w:sz w:val="14"/>
                <w:szCs w:val="14"/>
                <w:color w:val="auto"/>
              </w:rPr>
              <w:t>LOCK</w:t>
            </w:r>
          </w:p>
        </w:tc>
      </w:tr>
      <w:tr>
        <w:trPr>
          <w:trHeight w:val="190"/>
        </w:trPr>
        <w:tc>
          <w:tcPr>
            <w:tcW w:w="540" w:type="dxa"/>
            <w:vAlign w:val="bottom"/>
          </w:tcPr>
          <w:p>
            <w:pPr>
              <w:spacing w:after="0" w:line="190" w:lineRule="exact"/>
              <w:rPr>
                <w:sz w:val="20"/>
                <w:szCs w:val="20"/>
                <w:color w:val="auto"/>
              </w:rPr>
            </w:pPr>
            <w:r>
              <w:rPr>
                <w:rFonts w:ascii="Arial" w:cs="Arial" w:eastAsia="Arial" w:hAnsi="Arial"/>
                <w:sz w:val="18"/>
                <w:szCs w:val="18"/>
                <w:color w:val="auto"/>
                <w:w w:val="98"/>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91"/>
              </w:rPr>
              <w:t>Arthur R. Block</w:t>
            </w: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6"/>
              </w:rPr>
              <w:t>Senior Vice President</w:t>
            </w:r>
          </w:p>
        </w:tc>
      </w:tr>
    </w:tbl>
    <w:p>
      <w:pPr>
        <w:spacing w:after="0" w:line="14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hereby constitutes and appoints Brian L. Roberts, Michael J. Angelakis, David L. Cohen, Lawrence J. Salva and Arthur R. Block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40" w:type="dxa"/>
            <w:vAlign w:val="bottom"/>
          </w:tcPr>
          <w:p>
            <w:pPr>
              <w:spacing w:after="0"/>
              <w:rPr>
                <w:sz w:val="14"/>
                <w:szCs w:val="14"/>
                <w:color w:val="auto"/>
              </w:rPr>
            </w:pPr>
          </w:p>
        </w:tc>
        <w:tc>
          <w:tcPr>
            <w:tcW w:w="4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Title</w:t>
            </w:r>
          </w:p>
        </w:tc>
        <w:tc>
          <w:tcPr>
            <w:tcW w:w="1100" w:type="dxa"/>
            <w:vAlign w:val="bottom"/>
          </w:tcPr>
          <w:p>
            <w:pPr>
              <w:spacing w:after="0"/>
              <w:rPr>
                <w:sz w:val="14"/>
                <w:szCs w:val="14"/>
                <w:color w:val="auto"/>
              </w:rPr>
            </w:pPr>
          </w:p>
        </w:tc>
        <w:tc>
          <w:tcPr>
            <w:tcW w:w="8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4"/>
        </w:trPr>
        <w:tc>
          <w:tcPr>
            <w:tcW w:w="1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w:t>
            </w:r>
          </w:p>
        </w:tc>
        <w:tc>
          <w:tcPr>
            <w:tcW w:w="3300" w:type="dxa"/>
            <w:vAlign w:val="bottom"/>
            <w:tcBorders>
              <w:bottom w:val="single" w:sz="8" w:color="auto"/>
            </w:tcBorders>
            <w:gridSpan w:val="3"/>
          </w:tcPr>
          <w:p>
            <w:pPr>
              <w:jc w:val="center"/>
              <w:ind w:right="1800"/>
              <w:spacing w:after="0"/>
              <w:rPr>
                <w:sz w:val="20"/>
                <w:szCs w:val="20"/>
                <w:color w:val="auto"/>
              </w:rPr>
            </w:pPr>
            <w:r>
              <w:rPr>
                <w:rFonts w:ascii="Arial" w:cs="Arial" w:eastAsia="Arial" w:hAnsi="Arial"/>
                <w:sz w:val="18"/>
                <w:szCs w:val="18"/>
                <w:color w:val="auto"/>
                <w:w w:val="94"/>
              </w:rPr>
              <w:t>B</w:t>
            </w:r>
            <w:r>
              <w:rPr>
                <w:rFonts w:ascii="Arial" w:cs="Arial" w:eastAsia="Arial" w:hAnsi="Arial"/>
                <w:sz w:val="14"/>
                <w:szCs w:val="14"/>
                <w:color w:val="auto"/>
                <w:w w:val="94"/>
              </w:rPr>
              <w:t>RIAN</w:t>
            </w:r>
            <w:r>
              <w:rPr>
                <w:rFonts w:ascii="Arial" w:cs="Arial" w:eastAsia="Arial" w:hAnsi="Arial"/>
                <w:sz w:val="18"/>
                <w:szCs w:val="18"/>
                <w:color w:val="auto"/>
                <w:w w:val="94"/>
              </w:rPr>
              <w:t xml:space="preserve"> L. Roberts</w:t>
            </w:r>
          </w:p>
        </w:tc>
        <w:tc>
          <w:tcPr>
            <w:tcW w:w="4060" w:type="dxa"/>
            <w:vAlign w:val="bottom"/>
            <w:gridSpan w:val="3"/>
          </w:tcPr>
          <w:p>
            <w:pPr>
              <w:jc w:val="center"/>
              <w:spacing w:after="0"/>
              <w:rPr>
                <w:sz w:val="20"/>
                <w:szCs w:val="20"/>
                <w:color w:val="auto"/>
              </w:rPr>
            </w:pPr>
            <w:r>
              <w:rPr>
                <w:rFonts w:ascii="Arial" w:cs="Arial" w:eastAsia="Arial" w:hAnsi="Arial"/>
                <w:sz w:val="18"/>
                <w:szCs w:val="18"/>
                <w:color w:val="auto"/>
                <w:w w:val="89"/>
              </w:rPr>
              <w:t>Chairman and CEO; Director</w:t>
            </w:r>
          </w:p>
        </w:tc>
        <w:tc>
          <w:tcPr>
            <w:tcW w:w="1940" w:type="dxa"/>
            <w:vAlign w:val="bottom"/>
            <w:gridSpan w:val="3"/>
          </w:tcPr>
          <w:p>
            <w:pPr>
              <w:jc w:val="center"/>
              <w:ind w:left="432"/>
              <w:spacing w:after="0"/>
              <w:rPr>
                <w:sz w:val="20"/>
                <w:szCs w:val="20"/>
                <w:color w:val="auto"/>
              </w:rPr>
            </w:pPr>
            <w:r>
              <w:rPr>
                <w:rFonts w:ascii="Arial" w:cs="Arial" w:eastAsia="Arial" w:hAnsi="Arial"/>
                <w:sz w:val="18"/>
                <w:szCs w:val="18"/>
                <w:color w:val="auto"/>
                <w:w w:val="87"/>
              </w:rPr>
              <w:t>September 18, 2013</w:t>
            </w:r>
          </w:p>
        </w:tc>
      </w:tr>
      <w:tr>
        <w:trPr>
          <w:trHeight w:val="202"/>
        </w:trPr>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0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88"/>
              </w:rPr>
              <w:t>Brian L. Roberts</w:t>
            </w:r>
          </w:p>
        </w:tc>
        <w:tc>
          <w:tcPr>
            <w:tcW w:w="4060" w:type="dxa"/>
            <w:vAlign w:val="bottom"/>
            <w:gridSpan w:val="3"/>
          </w:tcPr>
          <w:p>
            <w:pPr>
              <w:jc w:val="center"/>
              <w:spacing w:after="0" w:line="202" w:lineRule="exact"/>
              <w:rPr>
                <w:sz w:val="20"/>
                <w:szCs w:val="20"/>
                <w:color w:val="auto"/>
              </w:rPr>
            </w:pPr>
            <w:r>
              <w:rPr>
                <w:rFonts w:ascii="Arial" w:cs="Arial" w:eastAsia="Arial" w:hAnsi="Arial"/>
                <w:sz w:val="18"/>
                <w:szCs w:val="18"/>
                <w:color w:val="auto"/>
                <w:w w:val="91"/>
              </w:rPr>
              <w:t>(Principal Executive Officer)</w:t>
            </w: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440"/>
        </w:trPr>
        <w:tc>
          <w:tcPr>
            <w:tcW w:w="1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300" w:type="dxa"/>
            <w:vAlign w:val="bottom"/>
            <w:tcBorders>
              <w:bottom w:val="single" w:sz="8" w:color="auto"/>
            </w:tcBorders>
            <w:gridSpan w:val="3"/>
          </w:tcPr>
          <w:p>
            <w:pPr>
              <w:jc w:val="center"/>
              <w:ind w:right="1740"/>
              <w:spacing w:after="0"/>
              <w:rPr>
                <w:sz w:val="20"/>
                <w:szCs w:val="20"/>
                <w:color w:val="auto"/>
              </w:rPr>
            </w:pPr>
            <w:r>
              <w:rPr>
                <w:rFonts w:ascii="Arial" w:cs="Arial" w:eastAsia="Arial" w:hAnsi="Arial"/>
                <w:sz w:val="18"/>
                <w:szCs w:val="18"/>
                <w:color w:val="auto"/>
                <w:w w:val="94"/>
              </w:rPr>
              <w:t>R</w:t>
            </w:r>
            <w:r>
              <w:rPr>
                <w:rFonts w:ascii="Arial" w:cs="Arial" w:eastAsia="Arial" w:hAnsi="Arial"/>
                <w:sz w:val="14"/>
                <w:szCs w:val="14"/>
                <w:color w:val="auto"/>
                <w:w w:val="94"/>
              </w:rPr>
              <w:t>ALPH</w:t>
            </w:r>
            <w:r>
              <w:rPr>
                <w:rFonts w:ascii="Arial" w:cs="Arial" w:eastAsia="Arial" w:hAnsi="Arial"/>
                <w:sz w:val="18"/>
                <w:szCs w:val="18"/>
                <w:color w:val="auto"/>
                <w:w w:val="94"/>
              </w:rPr>
              <w:t xml:space="preserve"> J. R</w:t>
            </w:r>
            <w:r>
              <w:rPr>
                <w:rFonts w:ascii="Arial" w:cs="Arial" w:eastAsia="Arial" w:hAnsi="Arial"/>
                <w:sz w:val="14"/>
                <w:szCs w:val="14"/>
                <w:color w:val="auto"/>
                <w:w w:val="94"/>
              </w:rPr>
              <w:t>OBERTS</w:t>
            </w:r>
          </w:p>
        </w:tc>
        <w:tc>
          <w:tcPr>
            <w:tcW w:w="4060" w:type="dxa"/>
            <w:vAlign w:val="bottom"/>
            <w:gridSpan w:val="3"/>
          </w:tcPr>
          <w:p>
            <w:pPr>
              <w:jc w:val="center"/>
              <w:spacing w:after="0"/>
              <w:rPr>
                <w:sz w:val="20"/>
                <w:szCs w:val="20"/>
                <w:color w:val="auto"/>
              </w:rPr>
            </w:pPr>
            <w:r>
              <w:rPr>
                <w:rFonts w:ascii="Arial" w:cs="Arial" w:eastAsia="Arial" w:hAnsi="Arial"/>
                <w:sz w:val="18"/>
                <w:szCs w:val="18"/>
                <w:color w:val="auto"/>
                <w:w w:val="89"/>
              </w:rPr>
              <w:t>Founder; Chairman Emeritus of the Board</w:t>
            </w:r>
          </w:p>
        </w:tc>
        <w:tc>
          <w:tcPr>
            <w:tcW w:w="1940" w:type="dxa"/>
            <w:vAlign w:val="bottom"/>
            <w:gridSpan w:val="3"/>
          </w:tcPr>
          <w:p>
            <w:pPr>
              <w:jc w:val="center"/>
              <w:ind w:left="432"/>
              <w:spacing w:after="0"/>
              <w:rPr>
                <w:sz w:val="20"/>
                <w:szCs w:val="20"/>
                <w:color w:val="auto"/>
              </w:rPr>
            </w:pPr>
            <w:r>
              <w:rPr>
                <w:rFonts w:ascii="Arial" w:cs="Arial" w:eastAsia="Arial" w:hAnsi="Arial"/>
                <w:sz w:val="18"/>
                <w:szCs w:val="18"/>
                <w:color w:val="auto"/>
                <w:w w:val="87"/>
              </w:rPr>
              <w:t>September 18, 2013</w:t>
            </w:r>
          </w:p>
        </w:tc>
      </w:tr>
      <w:tr>
        <w:trPr>
          <w:trHeight w:val="169"/>
        </w:trPr>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0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86"/>
              </w:rPr>
              <w:t>Ralph J. Roberts</w:t>
            </w: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418"/>
        </w:trPr>
        <w:tc>
          <w:tcPr>
            <w:tcW w:w="152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w w:val="73"/>
              </w:rPr>
              <w:t>/s/</w:t>
            </w:r>
          </w:p>
        </w:tc>
        <w:tc>
          <w:tcPr>
            <w:tcW w:w="3560" w:type="dxa"/>
            <w:vAlign w:val="bottom"/>
            <w:tcBorders>
              <w:bottom w:val="single" w:sz="8" w:color="auto"/>
            </w:tcBorders>
            <w:gridSpan w:val="4"/>
          </w:tcPr>
          <w:p>
            <w:pPr>
              <w:jc w:val="center"/>
              <w:ind w:right="146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ICHAEL</w:t>
            </w:r>
            <w:r>
              <w:rPr>
                <w:rFonts w:ascii="Arial" w:cs="Arial" w:eastAsia="Arial" w:hAnsi="Arial"/>
                <w:sz w:val="18"/>
                <w:szCs w:val="18"/>
                <w:color w:val="auto"/>
              </w:rPr>
              <w:t xml:space="preserve"> J. A</w:t>
            </w:r>
            <w:r>
              <w:rPr>
                <w:rFonts w:ascii="Arial" w:cs="Arial" w:eastAsia="Arial" w:hAnsi="Arial"/>
                <w:sz w:val="14"/>
                <w:szCs w:val="14"/>
                <w:color w:val="auto"/>
              </w:rPr>
              <w:t>NGELAKIS</w:t>
            </w:r>
          </w:p>
        </w:tc>
        <w:tc>
          <w:tcPr>
            <w:tcW w:w="4060" w:type="dxa"/>
            <w:vAlign w:val="bottom"/>
            <w:gridSpan w:val="3"/>
          </w:tcPr>
          <w:p>
            <w:pPr>
              <w:jc w:val="center"/>
              <w:spacing w:after="0"/>
              <w:rPr>
                <w:sz w:val="20"/>
                <w:szCs w:val="20"/>
                <w:color w:val="auto"/>
              </w:rPr>
            </w:pPr>
            <w:r>
              <w:rPr>
                <w:rFonts w:ascii="Arial" w:cs="Arial" w:eastAsia="Arial" w:hAnsi="Arial"/>
                <w:sz w:val="18"/>
                <w:szCs w:val="18"/>
                <w:color w:val="auto"/>
                <w:w w:val="88"/>
              </w:rPr>
              <w:t>Vice Chairman and CFO</w:t>
            </w:r>
          </w:p>
        </w:tc>
        <w:tc>
          <w:tcPr>
            <w:tcW w:w="1940" w:type="dxa"/>
            <w:vAlign w:val="bottom"/>
            <w:gridSpan w:val="3"/>
          </w:tcPr>
          <w:p>
            <w:pPr>
              <w:jc w:val="center"/>
              <w:ind w:left="432"/>
              <w:spacing w:after="0"/>
              <w:rPr>
                <w:sz w:val="20"/>
                <w:szCs w:val="20"/>
                <w:color w:val="auto"/>
              </w:rPr>
            </w:pPr>
            <w:r>
              <w:rPr>
                <w:rFonts w:ascii="Arial" w:cs="Arial" w:eastAsia="Arial" w:hAnsi="Arial"/>
                <w:sz w:val="18"/>
                <w:szCs w:val="18"/>
                <w:color w:val="auto"/>
                <w:w w:val="87"/>
              </w:rPr>
              <w:t>September 18, 2013</w:t>
            </w:r>
          </w:p>
        </w:tc>
      </w:tr>
      <w:tr>
        <w:trPr>
          <w:trHeight w:val="202"/>
        </w:trPr>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0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87"/>
              </w:rPr>
              <w:t>Michael J. Angelakis</w:t>
            </w:r>
          </w:p>
        </w:tc>
        <w:tc>
          <w:tcPr>
            <w:tcW w:w="4060" w:type="dxa"/>
            <w:vAlign w:val="bottom"/>
            <w:gridSpan w:val="3"/>
          </w:tcPr>
          <w:p>
            <w:pPr>
              <w:jc w:val="center"/>
              <w:spacing w:after="0" w:line="202" w:lineRule="exact"/>
              <w:rPr>
                <w:sz w:val="20"/>
                <w:szCs w:val="20"/>
                <w:color w:val="auto"/>
              </w:rPr>
            </w:pPr>
            <w:r>
              <w:rPr>
                <w:rFonts w:ascii="Arial" w:cs="Arial" w:eastAsia="Arial" w:hAnsi="Arial"/>
                <w:sz w:val="18"/>
                <w:szCs w:val="18"/>
                <w:color w:val="auto"/>
                <w:w w:val="92"/>
              </w:rPr>
              <w:t>(Principal Financial Officer)</w:t>
            </w: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439"/>
        </w:trPr>
        <w:tc>
          <w:tcPr>
            <w:tcW w:w="1780" w:type="dxa"/>
            <w:vAlign w:val="bottom"/>
            <w:tcBorders>
              <w:bottom w:val="single" w:sz="8" w:color="auto"/>
            </w:tcBorders>
            <w:gridSpan w:val="2"/>
          </w:tcPr>
          <w:p>
            <w:pPr>
              <w:ind w:left="1480"/>
              <w:spacing w:after="0"/>
              <w:rPr>
                <w:sz w:val="20"/>
                <w:szCs w:val="20"/>
                <w:color w:val="auto"/>
              </w:rPr>
            </w:pPr>
            <w:r>
              <w:rPr>
                <w:rFonts w:ascii="Arial" w:cs="Arial" w:eastAsia="Arial" w:hAnsi="Arial"/>
                <w:sz w:val="18"/>
                <w:szCs w:val="18"/>
                <w:color w:val="auto"/>
              </w:rPr>
              <w:t>/s/</w:t>
            </w:r>
          </w:p>
        </w:tc>
        <w:tc>
          <w:tcPr>
            <w:tcW w:w="3300" w:type="dxa"/>
            <w:vAlign w:val="bottom"/>
            <w:tcBorders>
              <w:bottom w:val="single" w:sz="8" w:color="auto"/>
            </w:tcBorders>
            <w:gridSpan w:val="3"/>
          </w:tcPr>
          <w:p>
            <w:pPr>
              <w:jc w:val="center"/>
              <w:ind w:right="1720"/>
              <w:spacing w:after="0"/>
              <w:rPr>
                <w:sz w:val="20"/>
                <w:szCs w:val="20"/>
                <w:color w:val="auto"/>
              </w:rPr>
            </w:pPr>
            <w:r>
              <w:rPr>
                <w:rFonts w:ascii="Arial" w:cs="Arial" w:eastAsia="Arial" w:hAnsi="Arial"/>
                <w:sz w:val="18"/>
                <w:szCs w:val="18"/>
                <w:color w:val="auto"/>
                <w:w w:val="97"/>
              </w:rPr>
              <w:t>L</w:t>
            </w:r>
            <w:r>
              <w:rPr>
                <w:rFonts w:ascii="Arial" w:cs="Arial" w:eastAsia="Arial" w:hAnsi="Arial"/>
                <w:sz w:val="14"/>
                <w:szCs w:val="14"/>
                <w:color w:val="auto"/>
                <w:w w:val="97"/>
              </w:rPr>
              <w:t>AWRENCE</w:t>
            </w:r>
            <w:r>
              <w:rPr>
                <w:rFonts w:ascii="Arial" w:cs="Arial" w:eastAsia="Arial" w:hAnsi="Arial"/>
                <w:sz w:val="18"/>
                <w:szCs w:val="18"/>
                <w:color w:val="auto"/>
                <w:w w:val="97"/>
              </w:rPr>
              <w:t xml:space="preserve"> J. S</w:t>
            </w:r>
            <w:r>
              <w:rPr>
                <w:rFonts w:ascii="Arial" w:cs="Arial" w:eastAsia="Arial" w:hAnsi="Arial"/>
                <w:sz w:val="14"/>
                <w:szCs w:val="14"/>
                <w:color w:val="auto"/>
                <w:w w:val="97"/>
              </w:rPr>
              <w:t>ALVA</w:t>
            </w:r>
          </w:p>
        </w:tc>
        <w:tc>
          <w:tcPr>
            <w:tcW w:w="4060" w:type="dxa"/>
            <w:vAlign w:val="bottom"/>
            <w:gridSpan w:val="3"/>
          </w:tcPr>
          <w:p>
            <w:pPr>
              <w:jc w:val="center"/>
              <w:spacing w:after="0"/>
              <w:rPr>
                <w:sz w:val="20"/>
                <w:szCs w:val="20"/>
                <w:color w:val="auto"/>
              </w:rPr>
            </w:pPr>
            <w:r>
              <w:rPr>
                <w:rFonts w:ascii="Arial" w:cs="Arial" w:eastAsia="Arial" w:hAnsi="Arial"/>
                <w:sz w:val="18"/>
                <w:szCs w:val="18"/>
                <w:color w:val="auto"/>
                <w:w w:val="87"/>
              </w:rPr>
              <w:t>Senior Vice President,</w:t>
            </w:r>
          </w:p>
        </w:tc>
        <w:tc>
          <w:tcPr>
            <w:tcW w:w="1940" w:type="dxa"/>
            <w:vAlign w:val="bottom"/>
            <w:gridSpan w:val="3"/>
          </w:tcPr>
          <w:p>
            <w:pPr>
              <w:jc w:val="center"/>
              <w:ind w:left="432"/>
              <w:spacing w:after="0"/>
              <w:rPr>
                <w:sz w:val="20"/>
                <w:szCs w:val="20"/>
                <w:color w:val="auto"/>
              </w:rPr>
            </w:pPr>
            <w:r>
              <w:rPr>
                <w:rFonts w:ascii="Arial" w:cs="Arial" w:eastAsia="Arial" w:hAnsi="Arial"/>
                <w:sz w:val="18"/>
                <w:szCs w:val="18"/>
                <w:color w:val="auto"/>
                <w:w w:val="87"/>
              </w:rPr>
              <w:t>September 18, 2013</w:t>
            </w:r>
          </w:p>
        </w:tc>
      </w:tr>
      <w:tr>
        <w:trPr>
          <w:trHeight w:val="190"/>
        </w:trPr>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0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86"/>
              </w:rPr>
              <w:t>Lawrence J. Salva</w:t>
            </w:r>
          </w:p>
        </w:tc>
        <w:tc>
          <w:tcPr>
            <w:tcW w:w="4060" w:type="dxa"/>
            <w:vAlign w:val="bottom"/>
            <w:gridSpan w:val="3"/>
          </w:tcPr>
          <w:p>
            <w:pPr>
              <w:jc w:val="center"/>
              <w:spacing w:after="0" w:line="190" w:lineRule="exact"/>
              <w:rPr>
                <w:sz w:val="20"/>
                <w:szCs w:val="20"/>
                <w:color w:val="auto"/>
              </w:rPr>
            </w:pPr>
            <w:r>
              <w:rPr>
                <w:rFonts w:ascii="Arial" w:cs="Arial" w:eastAsia="Arial" w:hAnsi="Arial"/>
                <w:sz w:val="18"/>
                <w:szCs w:val="18"/>
                <w:color w:val="auto"/>
                <w:w w:val="91"/>
              </w:rPr>
              <w:t>Chief Accounting Officer and</w:t>
            </w: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6"/>
        </w:trPr>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060" w:type="dxa"/>
            <w:vAlign w:val="bottom"/>
            <w:gridSpan w:val="3"/>
          </w:tcPr>
          <w:p>
            <w:pPr>
              <w:jc w:val="center"/>
              <w:spacing w:after="0"/>
              <w:rPr>
                <w:sz w:val="20"/>
                <w:szCs w:val="20"/>
                <w:color w:val="auto"/>
              </w:rPr>
            </w:pPr>
            <w:r>
              <w:rPr>
                <w:rFonts w:ascii="Arial" w:cs="Arial" w:eastAsia="Arial" w:hAnsi="Arial"/>
                <w:sz w:val="18"/>
                <w:szCs w:val="18"/>
                <w:color w:val="auto"/>
                <w:w w:val="92"/>
              </w:rPr>
              <w:t>Controller</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060" w:type="dxa"/>
            <w:vAlign w:val="bottom"/>
            <w:gridSpan w:val="3"/>
          </w:tcPr>
          <w:p>
            <w:pPr>
              <w:jc w:val="center"/>
              <w:spacing w:after="0"/>
              <w:rPr>
                <w:sz w:val="20"/>
                <w:szCs w:val="20"/>
                <w:color w:val="auto"/>
              </w:rPr>
            </w:pPr>
            <w:r>
              <w:rPr>
                <w:rFonts w:ascii="Arial" w:cs="Arial" w:eastAsia="Arial" w:hAnsi="Arial"/>
                <w:sz w:val="18"/>
                <w:szCs w:val="18"/>
                <w:color w:val="auto"/>
                <w:w w:val="92"/>
              </w:rPr>
              <w:t>(Principal Accounting Officer)</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47"/>
        </w:trPr>
        <w:tc>
          <w:tcPr>
            <w:tcW w:w="1780" w:type="dxa"/>
            <w:vAlign w:val="bottom"/>
            <w:tcBorders>
              <w:bottom w:val="single" w:sz="8" w:color="auto"/>
            </w:tcBorders>
            <w:gridSpan w:val="2"/>
          </w:tcPr>
          <w:p>
            <w:pPr>
              <w:ind w:left="1500"/>
              <w:spacing w:after="0"/>
              <w:rPr>
                <w:sz w:val="20"/>
                <w:szCs w:val="20"/>
                <w:color w:val="auto"/>
              </w:rPr>
            </w:pPr>
            <w:r>
              <w:rPr>
                <w:rFonts w:ascii="Arial" w:cs="Arial" w:eastAsia="Arial" w:hAnsi="Arial"/>
                <w:sz w:val="18"/>
                <w:szCs w:val="18"/>
                <w:color w:val="auto"/>
              </w:rPr>
              <w:t>/s/</w:t>
            </w:r>
          </w:p>
        </w:tc>
        <w:tc>
          <w:tcPr>
            <w:tcW w:w="3300" w:type="dxa"/>
            <w:vAlign w:val="bottom"/>
            <w:tcBorders>
              <w:bottom w:val="single" w:sz="8" w:color="auto"/>
            </w:tcBorders>
            <w:gridSpan w:val="3"/>
          </w:tcPr>
          <w:p>
            <w:pPr>
              <w:jc w:val="center"/>
              <w:ind w:right="1740"/>
              <w:spacing w:after="0"/>
              <w:rPr>
                <w:sz w:val="20"/>
                <w:szCs w:val="20"/>
                <w:color w:val="auto"/>
              </w:rPr>
            </w:pPr>
            <w:r>
              <w:rPr>
                <w:rFonts w:ascii="Arial" w:cs="Arial" w:eastAsia="Arial" w:hAnsi="Arial"/>
                <w:sz w:val="18"/>
                <w:szCs w:val="18"/>
                <w:color w:val="auto"/>
                <w:w w:val="98"/>
              </w:rPr>
              <w:t>K</w:t>
            </w:r>
            <w:r>
              <w:rPr>
                <w:rFonts w:ascii="Arial" w:cs="Arial" w:eastAsia="Arial" w:hAnsi="Arial"/>
                <w:sz w:val="14"/>
                <w:szCs w:val="14"/>
                <w:color w:val="auto"/>
                <w:w w:val="98"/>
              </w:rPr>
              <w:t>ENNETH</w:t>
            </w:r>
            <w:r>
              <w:rPr>
                <w:rFonts w:ascii="Arial" w:cs="Arial" w:eastAsia="Arial" w:hAnsi="Arial"/>
                <w:sz w:val="18"/>
                <w:szCs w:val="18"/>
                <w:color w:val="auto"/>
                <w:w w:val="98"/>
              </w:rPr>
              <w:t xml:space="preserve"> J. B</w:t>
            </w:r>
            <w:r>
              <w:rPr>
                <w:rFonts w:ascii="Arial" w:cs="Arial" w:eastAsia="Arial" w:hAnsi="Arial"/>
                <w:sz w:val="14"/>
                <w:szCs w:val="14"/>
                <w:color w:val="auto"/>
                <w:w w:val="98"/>
              </w:rPr>
              <w:t>ACON</w:t>
            </w:r>
          </w:p>
        </w:tc>
        <w:tc>
          <w:tcPr>
            <w:tcW w:w="4060" w:type="dxa"/>
            <w:vAlign w:val="bottom"/>
            <w:gridSpan w:val="3"/>
          </w:tcPr>
          <w:p>
            <w:pPr>
              <w:jc w:val="center"/>
              <w:spacing w:after="0"/>
              <w:rPr>
                <w:sz w:val="20"/>
                <w:szCs w:val="20"/>
                <w:color w:val="auto"/>
              </w:rPr>
            </w:pPr>
            <w:r>
              <w:rPr>
                <w:rFonts w:ascii="Arial" w:cs="Arial" w:eastAsia="Arial" w:hAnsi="Arial"/>
                <w:sz w:val="18"/>
                <w:szCs w:val="18"/>
                <w:color w:val="auto"/>
                <w:w w:val="91"/>
              </w:rPr>
              <w:t>Director</w:t>
            </w:r>
          </w:p>
        </w:tc>
        <w:tc>
          <w:tcPr>
            <w:tcW w:w="1940" w:type="dxa"/>
            <w:vAlign w:val="bottom"/>
            <w:gridSpan w:val="3"/>
          </w:tcPr>
          <w:p>
            <w:pPr>
              <w:jc w:val="center"/>
              <w:ind w:left="432"/>
              <w:spacing w:after="0"/>
              <w:rPr>
                <w:sz w:val="20"/>
                <w:szCs w:val="20"/>
                <w:color w:val="auto"/>
              </w:rPr>
            </w:pPr>
            <w:r>
              <w:rPr>
                <w:rFonts w:ascii="Arial" w:cs="Arial" w:eastAsia="Arial" w:hAnsi="Arial"/>
                <w:sz w:val="18"/>
                <w:szCs w:val="18"/>
                <w:color w:val="auto"/>
                <w:w w:val="87"/>
              </w:rPr>
              <w:t>September 18, 2013</w:t>
            </w:r>
          </w:p>
        </w:tc>
      </w:tr>
      <w:tr>
        <w:trPr>
          <w:trHeight w:val="169"/>
        </w:trPr>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0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87"/>
              </w:rPr>
              <w:t>Kenneth J. Bacon</w:t>
            </w: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419"/>
        </w:trPr>
        <w:tc>
          <w:tcPr>
            <w:tcW w:w="152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w w:val="83"/>
              </w:rPr>
              <w:t>/s/</w:t>
            </w:r>
          </w:p>
        </w:tc>
        <w:tc>
          <w:tcPr>
            <w:tcW w:w="3560" w:type="dxa"/>
            <w:vAlign w:val="bottom"/>
            <w:tcBorders>
              <w:bottom w:val="single" w:sz="8" w:color="auto"/>
            </w:tcBorders>
            <w:gridSpan w:val="4"/>
          </w:tcPr>
          <w:p>
            <w:pPr>
              <w:jc w:val="center"/>
              <w:ind w:right="14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HELDON</w:t>
            </w:r>
            <w:r>
              <w:rPr>
                <w:rFonts w:ascii="Arial" w:cs="Arial" w:eastAsia="Arial" w:hAnsi="Arial"/>
                <w:sz w:val="18"/>
                <w:szCs w:val="18"/>
                <w:color w:val="auto"/>
              </w:rPr>
              <w:t xml:space="preserve"> M. B</w:t>
            </w:r>
            <w:r>
              <w:rPr>
                <w:rFonts w:ascii="Arial" w:cs="Arial" w:eastAsia="Arial" w:hAnsi="Arial"/>
                <w:sz w:val="14"/>
                <w:szCs w:val="14"/>
                <w:color w:val="auto"/>
              </w:rPr>
              <w:t>ONOVITZ</w:t>
            </w:r>
          </w:p>
        </w:tc>
        <w:tc>
          <w:tcPr>
            <w:tcW w:w="4060" w:type="dxa"/>
            <w:vAlign w:val="bottom"/>
            <w:gridSpan w:val="3"/>
          </w:tcPr>
          <w:p>
            <w:pPr>
              <w:jc w:val="center"/>
              <w:spacing w:after="0"/>
              <w:rPr>
                <w:sz w:val="20"/>
                <w:szCs w:val="20"/>
                <w:color w:val="auto"/>
              </w:rPr>
            </w:pPr>
            <w:r>
              <w:rPr>
                <w:rFonts w:ascii="Arial" w:cs="Arial" w:eastAsia="Arial" w:hAnsi="Arial"/>
                <w:sz w:val="18"/>
                <w:szCs w:val="18"/>
                <w:color w:val="auto"/>
                <w:w w:val="91"/>
              </w:rPr>
              <w:t>Director</w:t>
            </w:r>
          </w:p>
        </w:tc>
        <w:tc>
          <w:tcPr>
            <w:tcW w:w="1940" w:type="dxa"/>
            <w:vAlign w:val="bottom"/>
            <w:gridSpan w:val="3"/>
          </w:tcPr>
          <w:p>
            <w:pPr>
              <w:jc w:val="center"/>
              <w:ind w:left="432"/>
              <w:spacing w:after="0"/>
              <w:rPr>
                <w:sz w:val="20"/>
                <w:szCs w:val="20"/>
                <w:color w:val="auto"/>
              </w:rPr>
            </w:pPr>
            <w:r>
              <w:rPr>
                <w:rFonts w:ascii="Arial" w:cs="Arial" w:eastAsia="Arial" w:hAnsi="Arial"/>
                <w:sz w:val="18"/>
                <w:szCs w:val="18"/>
                <w:color w:val="auto"/>
                <w:w w:val="87"/>
              </w:rPr>
              <w:t>September 18, 2013</w:t>
            </w:r>
          </w:p>
        </w:tc>
      </w:tr>
      <w:tr>
        <w:trPr>
          <w:trHeight w:val="169"/>
        </w:trPr>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0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87"/>
              </w:rPr>
              <w:t>Sheldon M. Bonovitz</w:t>
            </w: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419"/>
        </w:trPr>
        <w:tc>
          <w:tcPr>
            <w:tcW w:w="1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300" w:type="dxa"/>
            <w:vAlign w:val="bottom"/>
            <w:tcBorders>
              <w:bottom w:val="single" w:sz="8" w:color="auto"/>
            </w:tcBorders>
            <w:gridSpan w:val="3"/>
          </w:tcPr>
          <w:p>
            <w:pPr>
              <w:jc w:val="center"/>
              <w:ind w:right="1740"/>
              <w:spacing w:after="0"/>
              <w:rPr>
                <w:sz w:val="20"/>
                <w:szCs w:val="20"/>
                <w:color w:val="auto"/>
              </w:rPr>
            </w:pPr>
            <w:r>
              <w:rPr>
                <w:rFonts w:ascii="Arial" w:cs="Arial" w:eastAsia="Arial" w:hAnsi="Arial"/>
                <w:sz w:val="18"/>
                <w:szCs w:val="18"/>
                <w:color w:val="auto"/>
                <w:w w:val="93"/>
              </w:rPr>
              <w:t>J</w:t>
            </w:r>
            <w:r>
              <w:rPr>
                <w:rFonts w:ascii="Arial" w:cs="Arial" w:eastAsia="Arial" w:hAnsi="Arial"/>
                <w:sz w:val="14"/>
                <w:szCs w:val="14"/>
                <w:color w:val="auto"/>
                <w:w w:val="93"/>
              </w:rPr>
              <w:t>OSEPH</w:t>
            </w:r>
            <w:r>
              <w:rPr>
                <w:rFonts w:ascii="Arial" w:cs="Arial" w:eastAsia="Arial" w:hAnsi="Arial"/>
                <w:sz w:val="18"/>
                <w:szCs w:val="18"/>
                <w:color w:val="auto"/>
                <w:w w:val="93"/>
              </w:rPr>
              <w:t xml:space="preserve"> J. C</w:t>
            </w:r>
            <w:r>
              <w:rPr>
                <w:rFonts w:ascii="Arial" w:cs="Arial" w:eastAsia="Arial" w:hAnsi="Arial"/>
                <w:sz w:val="14"/>
                <w:szCs w:val="14"/>
                <w:color w:val="auto"/>
                <w:w w:val="93"/>
              </w:rPr>
              <w:t>OLLINS</w:t>
            </w:r>
          </w:p>
        </w:tc>
        <w:tc>
          <w:tcPr>
            <w:tcW w:w="4060" w:type="dxa"/>
            <w:vAlign w:val="bottom"/>
            <w:gridSpan w:val="3"/>
          </w:tcPr>
          <w:p>
            <w:pPr>
              <w:jc w:val="center"/>
              <w:spacing w:after="0"/>
              <w:rPr>
                <w:sz w:val="20"/>
                <w:szCs w:val="20"/>
                <w:color w:val="auto"/>
              </w:rPr>
            </w:pPr>
            <w:r>
              <w:rPr>
                <w:rFonts w:ascii="Arial" w:cs="Arial" w:eastAsia="Arial" w:hAnsi="Arial"/>
                <w:sz w:val="18"/>
                <w:szCs w:val="18"/>
                <w:color w:val="auto"/>
                <w:w w:val="91"/>
              </w:rPr>
              <w:t>Director</w:t>
            </w:r>
          </w:p>
        </w:tc>
        <w:tc>
          <w:tcPr>
            <w:tcW w:w="1940" w:type="dxa"/>
            <w:vAlign w:val="bottom"/>
            <w:gridSpan w:val="3"/>
          </w:tcPr>
          <w:p>
            <w:pPr>
              <w:jc w:val="center"/>
              <w:ind w:left="432"/>
              <w:spacing w:after="0"/>
              <w:rPr>
                <w:sz w:val="20"/>
                <w:szCs w:val="20"/>
                <w:color w:val="auto"/>
              </w:rPr>
            </w:pPr>
            <w:r>
              <w:rPr>
                <w:rFonts w:ascii="Arial" w:cs="Arial" w:eastAsia="Arial" w:hAnsi="Arial"/>
                <w:sz w:val="18"/>
                <w:szCs w:val="18"/>
                <w:color w:val="auto"/>
                <w:w w:val="87"/>
              </w:rPr>
              <w:t>September 18, 2013</w:t>
            </w:r>
          </w:p>
        </w:tc>
      </w:tr>
      <w:tr>
        <w:trPr>
          <w:trHeight w:val="169"/>
        </w:trPr>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0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83"/>
              </w:rPr>
              <w:t>Joseph J. Collins</w:t>
            </w: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r>
    </w:tbl>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40" w:type="dxa"/>
            <w:vAlign w:val="bottom"/>
          </w:tcPr>
          <w:p>
            <w:pPr>
              <w:spacing w:after="0"/>
              <w:rPr>
                <w:sz w:val="14"/>
                <w:szCs w:val="14"/>
                <w:color w:val="auto"/>
              </w:rPr>
            </w:pPr>
          </w:p>
        </w:tc>
        <w:tc>
          <w:tcPr>
            <w:tcW w:w="3480" w:type="dxa"/>
            <w:vAlign w:val="bottom"/>
            <w:gridSpan w:val="3"/>
          </w:tcPr>
          <w:p>
            <w:pPr>
              <w:jc w:val="center"/>
              <w:ind w:left="575"/>
              <w:spacing w:after="0"/>
              <w:rPr>
                <w:sz w:val="20"/>
                <w:szCs w:val="20"/>
                <w:color w:val="auto"/>
              </w:rPr>
            </w:pPr>
            <w:r>
              <w:rPr>
                <w:rFonts w:ascii="Arial" w:cs="Arial" w:eastAsia="Arial" w:hAnsi="Arial"/>
                <w:sz w:val="14"/>
                <w:szCs w:val="14"/>
                <w:b w:val="1"/>
                <w:bCs w:val="1"/>
                <w:color w:val="auto"/>
                <w:w w:val="90"/>
              </w:rPr>
              <w:t>Title</w:t>
            </w:r>
          </w:p>
        </w:tc>
        <w:tc>
          <w:tcPr>
            <w:tcW w:w="1680" w:type="dxa"/>
            <w:vAlign w:val="bottom"/>
          </w:tcPr>
          <w:p>
            <w:pPr>
              <w:spacing w:after="0"/>
              <w:rPr>
                <w:sz w:val="14"/>
                <w:szCs w:val="14"/>
                <w:color w:val="auto"/>
              </w:rPr>
            </w:pPr>
          </w:p>
        </w:tc>
        <w:tc>
          <w:tcPr>
            <w:tcW w:w="8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5"/>
        </w:trPr>
        <w:tc>
          <w:tcPr>
            <w:tcW w:w="1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3"/>
              </w:rPr>
              <w:t>/s/</w:t>
            </w:r>
          </w:p>
        </w:tc>
        <w:tc>
          <w:tcPr>
            <w:tcW w:w="3340" w:type="dxa"/>
            <w:vAlign w:val="bottom"/>
            <w:tcBorders>
              <w:bottom w:val="single" w:sz="8" w:color="auto"/>
            </w:tcBorders>
            <w:gridSpan w:val="3"/>
          </w:tcPr>
          <w:p>
            <w:pPr>
              <w:jc w:val="center"/>
              <w:ind w:right="1700"/>
              <w:spacing w:after="0"/>
              <w:rPr>
                <w:sz w:val="20"/>
                <w:szCs w:val="20"/>
                <w:color w:val="auto"/>
              </w:rPr>
            </w:pPr>
            <w:r>
              <w:rPr>
                <w:rFonts w:ascii="Arial" w:cs="Arial" w:eastAsia="Arial" w:hAnsi="Arial"/>
                <w:sz w:val="18"/>
                <w:szCs w:val="18"/>
                <w:color w:val="auto"/>
                <w:w w:val="98"/>
              </w:rPr>
              <w:t>J. M</w:t>
            </w:r>
            <w:r>
              <w:rPr>
                <w:rFonts w:ascii="Arial" w:cs="Arial" w:eastAsia="Arial" w:hAnsi="Arial"/>
                <w:sz w:val="14"/>
                <w:szCs w:val="14"/>
                <w:color w:val="auto"/>
                <w:w w:val="98"/>
              </w:rPr>
              <w:t>ICHAEL</w:t>
            </w:r>
            <w:r>
              <w:rPr>
                <w:rFonts w:ascii="Arial" w:cs="Arial" w:eastAsia="Arial" w:hAnsi="Arial"/>
                <w:sz w:val="18"/>
                <w:szCs w:val="18"/>
                <w:color w:val="auto"/>
                <w:w w:val="98"/>
              </w:rPr>
              <w:t xml:space="preserve"> C</w:t>
            </w:r>
            <w:r>
              <w:rPr>
                <w:rFonts w:ascii="Arial" w:cs="Arial" w:eastAsia="Arial" w:hAnsi="Arial"/>
                <w:sz w:val="14"/>
                <w:szCs w:val="14"/>
                <w:color w:val="auto"/>
                <w:w w:val="98"/>
              </w:rPr>
              <w:t>OOK</w:t>
            </w:r>
          </w:p>
        </w:tc>
        <w:tc>
          <w:tcPr>
            <w:tcW w:w="3480" w:type="dxa"/>
            <w:vAlign w:val="bottom"/>
            <w:gridSpan w:val="3"/>
          </w:tcPr>
          <w:p>
            <w:pPr>
              <w:jc w:val="center"/>
              <w:ind w:left="575"/>
              <w:spacing w:after="0"/>
              <w:rPr>
                <w:sz w:val="20"/>
                <w:szCs w:val="20"/>
                <w:color w:val="auto"/>
              </w:rPr>
            </w:pPr>
            <w:r>
              <w:rPr>
                <w:rFonts w:ascii="Arial" w:cs="Arial" w:eastAsia="Arial" w:hAnsi="Arial"/>
                <w:sz w:val="18"/>
                <w:szCs w:val="18"/>
                <w:color w:val="auto"/>
                <w:w w:val="91"/>
              </w:rPr>
              <w:t>Director</w:t>
            </w:r>
          </w:p>
        </w:tc>
        <w:tc>
          <w:tcPr>
            <w:tcW w:w="2520" w:type="dxa"/>
            <w:vAlign w:val="bottom"/>
            <w:gridSpan w:val="3"/>
          </w:tcPr>
          <w:p>
            <w:pPr>
              <w:jc w:val="center"/>
              <w:ind w:left="1012"/>
              <w:spacing w:after="0"/>
              <w:rPr>
                <w:sz w:val="20"/>
                <w:szCs w:val="20"/>
                <w:color w:val="auto"/>
              </w:rPr>
            </w:pPr>
            <w:r>
              <w:rPr>
                <w:rFonts w:ascii="Arial" w:cs="Arial" w:eastAsia="Arial" w:hAnsi="Arial"/>
                <w:sz w:val="18"/>
                <w:szCs w:val="18"/>
                <w:color w:val="auto"/>
                <w:w w:val="87"/>
              </w:rPr>
              <w:t>September 18, 2013</w:t>
            </w:r>
          </w:p>
        </w:tc>
      </w:tr>
      <w:tr>
        <w:trPr>
          <w:trHeight w:val="169"/>
        </w:trPr>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4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90"/>
              </w:rPr>
              <w:t>J. Michael Cook</w:t>
            </w: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419"/>
        </w:trPr>
        <w:tc>
          <w:tcPr>
            <w:tcW w:w="1740" w:type="dxa"/>
            <w:vAlign w:val="bottom"/>
            <w:tcBorders>
              <w:bottom w:val="single" w:sz="8" w:color="auto"/>
            </w:tcBorders>
            <w:gridSpan w:val="2"/>
          </w:tcPr>
          <w:p>
            <w:pPr>
              <w:ind w:left="1460"/>
              <w:spacing w:after="0"/>
              <w:rPr>
                <w:sz w:val="20"/>
                <w:szCs w:val="20"/>
                <w:color w:val="auto"/>
              </w:rPr>
            </w:pPr>
            <w:r>
              <w:rPr>
                <w:rFonts w:ascii="Arial" w:cs="Arial" w:eastAsia="Arial" w:hAnsi="Arial"/>
                <w:sz w:val="18"/>
                <w:szCs w:val="18"/>
                <w:color w:val="auto"/>
              </w:rPr>
              <w:t>/s/</w:t>
            </w:r>
          </w:p>
        </w:tc>
        <w:tc>
          <w:tcPr>
            <w:tcW w:w="3340" w:type="dxa"/>
            <w:vAlign w:val="bottom"/>
            <w:tcBorders>
              <w:bottom w:val="single" w:sz="8" w:color="auto"/>
            </w:tcBorders>
            <w:gridSpan w:val="3"/>
          </w:tcPr>
          <w:p>
            <w:pPr>
              <w:jc w:val="center"/>
              <w:ind w:right="170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ERALD</w:t>
            </w:r>
            <w:r>
              <w:rPr>
                <w:rFonts w:ascii="Arial" w:cs="Arial" w:eastAsia="Arial" w:hAnsi="Arial"/>
                <w:sz w:val="18"/>
                <w:szCs w:val="18"/>
                <w:color w:val="auto"/>
              </w:rPr>
              <w:t xml:space="preserve"> L. H</w:t>
            </w:r>
            <w:r>
              <w:rPr>
                <w:rFonts w:ascii="Arial" w:cs="Arial" w:eastAsia="Arial" w:hAnsi="Arial"/>
                <w:sz w:val="14"/>
                <w:szCs w:val="14"/>
                <w:color w:val="auto"/>
              </w:rPr>
              <w:t>ASSELL</w:t>
            </w:r>
          </w:p>
        </w:tc>
        <w:tc>
          <w:tcPr>
            <w:tcW w:w="3480" w:type="dxa"/>
            <w:vAlign w:val="bottom"/>
            <w:gridSpan w:val="3"/>
          </w:tcPr>
          <w:p>
            <w:pPr>
              <w:jc w:val="center"/>
              <w:ind w:left="575"/>
              <w:spacing w:after="0"/>
              <w:rPr>
                <w:sz w:val="20"/>
                <w:szCs w:val="20"/>
                <w:color w:val="auto"/>
              </w:rPr>
            </w:pPr>
            <w:r>
              <w:rPr>
                <w:rFonts w:ascii="Arial" w:cs="Arial" w:eastAsia="Arial" w:hAnsi="Arial"/>
                <w:sz w:val="18"/>
                <w:szCs w:val="18"/>
                <w:color w:val="auto"/>
                <w:w w:val="91"/>
              </w:rPr>
              <w:t>Director</w:t>
            </w:r>
          </w:p>
        </w:tc>
        <w:tc>
          <w:tcPr>
            <w:tcW w:w="2520" w:type="dxa"/>
            <w:vAlign w:val="bottom"/>
            <w:gridSpan w:val="3"/>
          </w:tcPr>
          <w:p>
            <w:pPr>
              <w:jc w:val="center"/>
              <w:ind w:left="1012"/>
              <w:spacing w:after="0"/>
              <w:rPr>
                <w:sz w:val="20"/>
                <w:szCs w:val="20"/>
                <w:color w:val="auto"/>
              </w:rPr>
            </w:pPr>
            <w:r>
              <w:rPr>
                <w:rFonts w:ascii="Arial" w:cs="Arial" w:eastAsia="Arial" w:hAnsi="Arial"/>
                <w:sz w:val="18"/>
                <w:szCs w:val="18"/>
                <w:color w:val="auto"/>
                <w:w w:val="87"/>
              </w:rPr>
              <w:t>September 18, 2013</w:t>
            </w:r>
          </w:p>
        </w:tc>
      </w:tr>
      <w:tr>
        <w:trPr>
          <w:trHeight w:val="169"/>
        </w:trPr>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4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87"/>
              </w:rPr>
              <w:t>Gerald L. Hassell</w:t>
            </w: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419"/>
        </w:trPr>
        <w:tc>
          <w:tcPr>
            <w:tcW w:w="152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w w:val="94"/>
              </w:rPr>
              <w:t>/s/</w:t>
            </w:r>
          </w:p>
        </w:tc>
        <w:tc>
          <w:tcPr>
            <w:tcW w:w="3560" w:type="dxa"/>
            <w:vAlign w:val="bottom"/>
            <w:tcBorders>
              <w:bottom w:val="single" w:sz="8" w:color="auto"/>
            </w:tcBorders>
            <w:gridSpan w:val="4"/>
          </w:tcPr>
          <w:p>
            <w:pPr>
              <w:jc w:val="center"/>
              <w:ind w:right="148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EFFREY</w:t>
            </w:r>
            <w:r>
              <w:rPr>
                <w:rFonts w:ascii="Arial" w:cs="Arial" w:eastAsia="Arial" w:hAnsi="Arial"/>
                <w:sz w:val="18"/>
                <w:szCs w:val="18"/>
                <w:color w:val="auto"/>
              </w:rPr>
              <w:t xml:space="preserve"> A. H</w:t>
            </w:r>
            <w:r>
              <w:rPr>
                <w:rFonts w:ascii="Arial" w:cs="Arial" w:eastAsia="Arial" w:hAnsi="Arial"/>
                <w:sz w:val="14"/>
                <w:szCs w:val="14"/>
                <w:color w:val="auto"/>
              </w:rPr>
              <w:t>ONICKMAN</w:t>
            </w:r>
          </w:p>
        </w:tc>
        <w:tc>
          <w:tcPr>
            <w:tcW w:w="3480" w:type="dxa"/>
            <w:vAlign w:val="bottom"/>
            <w:gridSpan w:val="3"/>
          </w:tcPr>
          <w:p>
            <w:pPr>
              <w:jc w:val="center"/>
              <w:ind w:left="575"/>
              <w:spacing w:after="0"/>
              <w:rPr>
                <w:sz w:val="20"/>
                <w:szCs w:val="20"/>
                <w:color w:val="auto"/>
              </w:rPr>
            </w:pPr>
            <w:r>
              <w:rPr>
                <w:rFonts w:ascii="Arial" w:cs="Arial" w:eastAsia="Arial" w:hAnsi="Arial"/>
                <w:sz w:val="18"/>
                <w:szCs w:val="18"/>
                <w:color w:val="auto"/>
                <w:w w:val="91"/>
              </w:rPr>
              <w:t>Director</w:t>
            </w:r>
          </w:p>
        </w:tc>
        <w:tc>
          <w:tcPr>
            <w:tcW w:w="2520" w:type="dxa"/>
            <w:vAlign w:val="bottom"/>
            <w:gridSpan w:val="3"/>
          </w:tcPr>
          <w:p>
            <w:pPr>
              <w:jc w:val="center"/>
              <w:ind w:left="1012"/>
              <w:spacing w:after="0"/>
              <w:rPr>
                <w:sz w:val="20"/>
                <w:szCs w:val="20"/>
                <w:color w:val="auto"/>
              </w:rPr>
            </w:pPr>
            <w:r>
              <w:rPr>
                <w:rFonts w:ascii="Arial" w:cs="Arial" w:eastAsia="Arial" w:hAnsi="Arial"/>
                <w:sz w:val="18"/>
                <w:szCs w:val="18"/>
                <w:color w:val="auto"/>
                <w:w w:val="87"/>
              </w:rPr>
              <w:t>September 18, 2013</w:t>
            </w:r>
          </w:p>
        </w:tc>
      </w:tr>
      <w:tr>
        <w:trPr>
          <w:trHeight w:val="169"/>
        </w:trPr>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4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89"/>
              </w:rPr>
              <w:t>Jeffrey A. Honickman</w:t>
            </w: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419"/>
        </w:trPr>
        <w:tc>
          <w:tcPr>
            <w:tcW w:w="1740" w:type="dxa"/>
            <w:vAlign w:val="bottom"/>
            <w:tcBorders>
              <w:bottom w:val="single" w:sz="8" w:color="auto"/>
            </w:tcBorders>
            <w:gridSpan w:val="2"/>
          </w:tcPr>
          <w:p>
            <w:pPr>
              <w:ind w:left="1420"/>
              <w:spacing w:after="0"/>
              <w:rPr>
                <w:sz w:val="20"/>
                <w:szCs w:val="20"/>
                <w:color w:val="auto"/>
              </w:rPr>
            </w:pPr>
            <w:r>
              <w:rPr>
                <w:rFonts w:ascii="Arial" w:cs="Arial" w:eastAsia="Arial" w:hAnsi="Arial"/>
                <w:sz w:val="18"/>
                <w:szCs w:val="18"/>
                <w:color w:val="auto"/>
              </w:rPr>
              <w:t>/s/</w:t>
            </w:r>
          </w:p>
        </w:tc>
        <w:tc>
          <w:tcPr>
            <w:tcW w:w="3340" w:type="dxa"/>
            <w:vAlign w:val="bottom"/>
            <w:tcBorders>
              <w:bottom w:val="single" w:sz="8" w:color="auto"/>
            </w:tcBorders>
            <w:gridSpan w:val="3"/>
          </w:tcPr>
          <w:p>
            <w:pPr>
              <w:jc w:val="center"/>
              <w:ind w:right="1700"/>
              <w:spacing w:after="0"/>
              <w:rPr>
                <w:sz w:val="20"/>
                <w:szCs w:val="20"/>
                <w:color w:val="auto"/>
              </w:rPr>
            </w:pPr>
            <w:r>
              <w:rPr>
                <w:rFonts w:ascii="Arial" w:cs="Arial" w:eastAsia="Arial" w:hAnsi="Arial"/>
                <w:sz w:val="18"/>
                <w:szCs w:val="18"/>
                <w:color w:val="auto"/>
                <w:w w:val="97"/>
              </w:rPr>
              <w:t>E</w:t>
            </w:r>
            <w:r>
              <w:rPr>
                <w:rFonts w:ascii="Arial" w:cs="Arial" w:eastAsia="Arial" w:hAnsi="Arial"/>
                <w:sz w:val="14"/>
                <w:szCs w:val="14"/>
                <w:color w:val="auto"/>
                <w:w w:val="97"/>
              </w:rPr>
              <w:t>DUARDO</w:t>
            </w:r>
            <w:r>
              <w:rPr>
                <w:rFonts w:ascii="Arial" w:cs="Arial" w:eastAsia="Arial" w:hAnsi="Arial"/>
                <w:sz w:val="18"/>
                <w:szCs w:val="18"/>
                <w:color w:val="auto"/>
                <w:w w:val="97"/>
              </w:rPr>
              <w:t xml:space="preserve"> G. M</w:t>
            </w:r>
            <w:r>
              <w:rPr>
                <w:rFonts w:ascii="Arial" w:cs="Arial" w:eastAsia="Arial" w:hAnsi="Arial"/>
                <w:sz w:val="14"/>
                <w:szCs w:val="14"/>
                <w:color w:val="auto"/>
                <w:w w:val="97"/>
              </w:rPr>
              <w:t>ESTRE</w:t>
            </w:r>
          </w:p>
        </w:tc>
        <w:tc>
          <w:tcPr>
            <w:tcW w:w="3480" w:type="dxa"/>
            <w:vAlign w:val="bottom"/>
            <w:gridSpan w:val="3"/>
          </w:tcPr>
          <w:p>
            <w:pPr>
              <w:jc w:val="center"/>
              <w:ind w:left="575"/>
              <w:spacing w:after="0"/>
              <w:rPr>
                <w:sz w:val="20"/>
                <w:szCs w:val="20"/>
                <w:color w:val="auto"/>
              </w:rPr>
            </w:pPr>
            <w:r>
              <w:rPr>
                <w:rFonts w:ascii="Arial" w:cs="Arial" w:eastAsia="Arial" w:hAnsi="Arial"/>
                <w:sz w:val="18"/>
                <w:szCs w:val="18"/>
                <w:color w:val="auto"/>
                <w:w w:val="91"/>
              </w:rPr>
              <w:t>Director</w:t>
            </w:r>
          </w:p>
        </w:tc>
        <w:tc>
          <w:tcPr>
            <w:tcW w:w="2520" w:type="dxa"/>
            <w:vAlign w:val="bottom"/>
            <w:gridSpan w:val="3"/>
          </w:tcPr>
          <w:p>
            <w:pPr>
              <w:jc w:val="center"/>
              <w:ind w:left="1012"/>
              <w:spacing w:after="0"/>
              <w:rPr>
                <w:sz w:val="20"/>
                <w:szCs w:val="20"/>
                <w:color w:val="auto"/>
              </w:rPr>
            </w:pPr>
            <w:r>
              <w:rPr>
                <w:rFonts w:ascii="Arial" w:cs="Arial" w:eastAsia="Arial" w:hAnsi="Arial"/>
                <w:sz w:val="18"/>
                <w:szCs w:val="18"/>
                <w:color w:val="auto"/>
                <w:w w:val="87"/>
              </w:rPr>
              <w:t>September 18, 2013</w:t>
            </w:r>
          </w:p>
        </w:tc>
      </w:tr>
      <w:tr>
        <w:trPr>
          <w:trHeight w:val="169"/>
        </w:trPr>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4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89"/>
              </w:rPr>
              <w:t>Eduardo G. Mestre</w:t>
            </w: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419"/>
        </w:trPr>
        <w:tc>
          <w:tcPr>
            <w:tcW w:w="152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/s/</w:t>
            </w:r>
          </w:p>
        </w:tc>
        <w:tc>
          <w:tcPr>
            <w:tcW w:w="3560" w:type="dxa"/>
            <w:vAlign w:val="bottom"/>
            <w:tcBorders>
              <w:bottom w:val="single" w:sz="8" w:color="auto"/>
            </w:tcBorders>
            <w:gridSpan w:val="4"/>
          </w:tcPr>
          <w:p>
            <w:pPr>
              <w:jc w:val="center"/>
              <w:ind w:right="1480"/>
              <w:spacing w:after="0"/>
              <w:rPr>
                <w:sz w:val="20"/>
                <w:szCs w:val="20"/>
                <w:color w:val="auto"/>
              </w:rPr>
            </w:pPr>
            <w:r>
              <w:rPr>
                <w:rFonts w:ascii="Arial" w:cs="Arial" w:eastAsia="Arial" w:hAnsi="Arial"/>
                <w:sz w:val="18"/>
                <w:szCs w:val="18"/>
                <w:color w:val="auto"/>
                <w:w w:val="97"/>
              </w:rPr>
              <w:t>J</w:t>
            </w:r>
            <w:r>
              <w:rPr>
                <w:rFonts w:ascii="Arial" w:cs="Arial" w:eastAsia="Arial" w:hAnsi="Arial"/>
                <w:sz w:val="14"/>
                <w:szCs w:val="14"/>
                <w:color w:val="auto"/>
                <w:w w:val="97"/>
              </w:rPr>
              <w:t>OHNATHAN</w:t>
            </w:r>
            <w:r>
              <w:rPr>
                <w:rFonts w:ascii="Arial" w:cs="Arial" w:eastAsia="Arial" w:hAnsi="Arial"/>
                <w:sz w:val="18"/>
                <w:szCs w:val="18"/>
                <w:color w:val="auto"/>
                <w:w w:val="97"/>
              </w:rPr>
              <w:t xml:space="preserve"> A. R</w:t>
            </w:r>
            <w:r>
              <w:rPr>
                <w:rFonts w:ascii="Arial" w:cs="Arial" w:eastAsia="Arial" w:hAnsi="Arial"/>
                <w:sz w:val="14"/>
                <w:szCs w:val="14"/>
                <w:color w:val="auto"/>
                <w:w w:val="97"/>
              </w:rPr>
              <w:t>ODGERS</w:t>
            </w:r>
          </w:p>
        </w:tc>
        <w:tc>
          <w:tcPr>
            <w:tcW w:w="3480" w:type="dxa"/>
            <w:vAlign w:val="bottom"/>
            <w:gridSpan w:val="3"/>
          </w:tcPr>
          <w:p>
            <w:pPr>
              <w:jc w:val="center"/>
              <w:ind w:left="575"/>
              <w:spacing w:after="0"/>
              <w:rPr>
                <w:sz w:val="20"/>
                <w:szCs w:val="20"/>
                <w:color w:val="auto"/>
              </w:rPr>
            </w:pPr>
            <w:r>
              <w:rPr>
                <w:rFonts w:ascii="Arial" w:cs="Arial" w:eastAsia="Arial" w:hAnsi="Arial"/>
                <w:sz w:val="18"/>
                <w:szCs w:val="18"/>
                <w:color w:val="auto"/>
                <w:w w:val="91"/>
              </w:rPr>
              <w:t>Director</w:t>
            </w:r>
          </w:p>
        </w:tc>
        <w:tc>
          <w:tcPr>
            <w:tcW w:w="2520" w:type="dxa"/>
            <w:vAlign w:val="bottom"/>
            <w:gridSpan w:val="3"/>
          </w:tcPr>
          <w:p>
            <w:pPr>
              <w:jc w:val="center"/>
              <w:ind w:left="1012"/>
              <w:spacing w:after="0"/>
              <w:rPr>
                <w:sz w:val="20"/>
                <w:szCs w:val="20"/>
                <w:color w:val="auto"/>
              </w:rPr>
            </w:pPr>
            <w:r>
              <w:rPr>
                <w:rFonts w:ascii="Arial" w:cs="Arial" w:eastAsia="Arial" w:hAnsi="Arial"/>
                <w:sz w:val="18"/>
                <w:szCs w:val="18"/>
                <w:color w:val="auto"/>
                <w:w w:val="87"/>
              </w:rPr>
              <w:t>September 18, 2013</w:t>
            </w:r>
          </w:p>
        </w:tc>
      </w:tr>
      <w:tr>
        <w:trPr>
          <w:trHeight w:val="169"/>
        </w:trPr>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4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85"/>
              </w:rPr>
              <w:t>Johnathan A. Rodgers</w:t>
            </w: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419"/>
        </w:trPr>
        <w:tc>
          <w:tcPr>
            <w:tcW w:w="1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4"/>
              </w:rPr>
              <w:t>/s/</w:t>
            </w:r>
          </w:p>
        </w:tc>
        <w:tc>
          <w:tcPr>
            <w:tcW w:w="3340" w:type="dxa"/>
            <w:vAlign w:val="bottom"/>
            <w:tcBorders>
              <w:bottom w:val="single" w:sz="8" w:color="auto"/>
            </w:tcBorders>
            <w:gridSpan w:val="3"/>
          </w:tcPr>
          <w:p>
            <w:pPr>
              <w:jc w:val="center"/>
              <w:ind w:right="1700"/>
              <w:spacing w:after="0"/>
              <w:rPr>
                <w:sz w:val="20"/>
                <w:szCs w:val="20"/>
                <w:color w:val="auto"/>
              </w:rPr>
            </w:pPr>
            <w:r>
              <w:rPr>
                <w:rFonts w:ascii="Arial" w:cs="Arial" w:eastAsia="Arial" w:hAnsi="Arial"/>
                <w:sz w:val="18"/>
                <w:szCs w:val="18"/>
                <w:color w:val="auto"/>
                <w:w w:val="98"/>
              </w:rPr>
              <w:t>D</w:t>
            </w:r>
            <w:r>
              <w:rPr>
                <w:rFonts w:ascii="Arial" w:cs="Arial" w:eastAsia="Arial" w:hAnsi="Arial"/>
                <w:sz w:val="14"/>
                <w:szCs w:val="14"/>
                <w:color w:val="auto"/>
                <w:w w:val="98"/>
              </w:rPr>
              <w:t>R</w:t>
            </w:r>
            <w:r>
              <w:rPr>
                <w:rFonts w:ascii="Arial" w:cs="Arial" w:eastAsia="Arial" w:hAnsi="Arial"/>
                <w:sz w:val="18"/>
                <w:szCs w:val="18"/>
                <w:color w:val="auto"/>
                <w:w w:val="98"/>
              </w:rPr>
              <w:t>. J</w:t>
            </w:r>
            <w:r>
              <w:rPr>
                <w:rFonts w:ascii="Arial" w:cs="Arial" w:eastAsia="Arial" w:hAnsi="Arial"/>
                <w:sz w:val="14"/>
                <w:szCs w:val="14"/>
                <w:color w:val="auto"/>
                <w:w w:val="98"/>
              </w:rPr>
              <w:t>UDITH</w:t>
            </w:r>
            <w:r>
              <w:rPr>
                <w:rFonts w:ascii="Arial" w:cs="Arial" w:eastAsia="Arial" w:hAnsi="Arial"/>
                <w:sz w:val="18"/>
                <w:szCs w:val="18"/>
                <w:color w:val="auto"/>
                <w:w w:val="98"/>
              </w:rPr>
              <w:t xml:space="preserve"> R</w:t>
            </w:r>
            <w:r>
              <w:rPr>
                <w:rFonts w:ascii="Arial" w:cs="Arial" w:eastAsia="Arial" w:hAnsi="Arial"/>
                <w:sz w:val="14"/>
                <w:szCs w:val="14"/>
                <w:color w:val="auto"/>
                <w:w w:val="98"/>
              </w:rPr>
              <w:t>ODIN</w:t>
            </w:r>
          </w:p>
        </w:tc>
        <w:tc>
          <w:tcPr>
            <w:tcW w:w="3480" w:type="dxa"/>
            <w:vAlign w:val="bottom"/>
            <w:gridSpan w:val="3"/>
          </w:tcPr>
          <w:p>
            <w:pPr>
              <w:jc w:val="center"/>
              <w:ind w:left="575"/>
              <w:spacing w:after="0"/>
              <w:rPr>
                <w:sz w:val="20"/>
                <w:szCs w:val="20"/>
                <w:color w:val="auto"/>
              </w:rPr>
            </w:pPr>
            <w:r>
              <w:rPr>
                <w:rFonts w:ascii="Arial" w:cs="Arial" w:eastAsia="Arial" w:hAnsi="Arial"/>
                <w:sz w:val="18"/>
                <w:szCs w:val="18"/>
                <w:color w:val="auto"/>
                <w:w w:val="91"/>
              </w:rPr>
              <w:t>Director</w:t>
            </w:r>
          </w:p>
        </w:tc>
        <w:tc>
          <w:tcPr>
            <w:tcW w:w="2520" w:type="dxa"/>
            <w:vAlign w:val="bottom"/>
            <w:gridSpan w:val="3"/>
          </w:tcPr>
          <w:p>
            <w:pPr>
              <w:jc w:val="center"/>
              <w:ind w:left="1012"/>
              <w:spacing w:after="0"/>
              <w:rPr>
                <w:sz w:val="20"/>
                <w:szCs w:val="20"/>
                <w:color w:val="auto"/>
              </w:rPr>
            </w:pPr>
            <w:r>
              <w:rPr>
                <w:rFonts w:ascii="Arial" w:cs="Arial" w:eastAsia="Arial" w:hAnsi="Arial"/>
                <w:sz w:val="18"/>
                <w:szCs w:val="18"/>
                <w:color w:val="auto"/>
                <w:w w:val="87"/>
              </w:rPr>
              <w:t>September 18, 2013</w:t>
            </w:r>
          </w:p>
        </w:tc>
      </w:tr>
      <w:tr>
        <w:trPr>
          <w:trHeight w:val="169"/>
        </w:trPr>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4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88"/>
              </w:rPr>
              <w:t>Dr. Judith Rodin</w:t>
            </w: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50"/>
        </w:trPr>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480" w:type="dxa"/>
            <w:vAlign w:val="bottom"/>
            <w:gridSpan w:val="3"/>
          </w:tcPr>
          <w:p>
            <w:pPr>
              <w:ind w:left="460"/>
              <w:spacing w:after="0"/>
              <w:rPr>
                <w:sz w:val="20"/>
                <w:szCs w:val="20"/>
                <w:color w:val="auto"/>
              </w:rPr>
            </w:pPr>
            <w:r>
              <w:rPr>
                <w:rFonts w:ascii="Arial" w:cs="Arial" w:eastAsia="Arial" w:hAnsi="Arial"/>
                <w:sz w:val="18"/>
                <w:szCs w:val="18"/>
                <w:color w:val="auto"/>
              </w:rPr>
              <w:t>II-10</w:t>
            </w: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080"/>
          </w:cols>
          <w:pgMar w:left="240" w:top="459" w:right="5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 FOR NBCUNIVERSAL MEDIA, LLC</w:t>
      </w:r>
    </w:p>
    <w:p>
      <w:pPr>
        <w:spacing w:after="0" w:line="17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NBCUniversal Media, LLC certifies that it has reasonable grounds to believe that it meets all of the requirements for filing on Form S-3 and has duly caused this Registration Statement to be signed on its behalf by the undersigned, thereunto duly authorized, in the City of New York, State of New York, on September 18, 2013.</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NBCUNIVERSAL MEDIA, LLC</w:t>
      </w:r>
    </w:p>
    <w:p>
      <w:pPr>
        <w:spacing w:after="0" w:line="1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gridSpan w:val="2"/>
          </w:tcPr>
          <w:p>
            <w:pPr>
              <w:ind w:left="60"/>
              <w:spacing w:after="0"/>
              <w:rPr>
                <w:sz w:val="20"/>
                <w:szCs w:val="20"/>
                <w:color w:val="auto"/>
              </w:rPr>
            </w:pPr>
            <w:r>
              <w:rPr>
                <w:rFonts w:ascii="Arial" w:cs="Arial" w:eastAsia="Arial" w:hAnsi="Arial"/>
                <w:sz w:val="18"/>
                <w:szCs w:val="18"/>
                <w:color w:val="auto"/>
              </w:rPr>
              <w:t>NBCUNIVERSAL, LLC, its sole member</w:t>
            </w:r>
          </w:p>
        </w:tc>
      </w:tr>
      <w:tr>
        <w:trPr>
          <w:trHeight w:val="365"/>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398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TEPHEN</w:t>
            </w:r>
            <w:r>
              <w:rPr>
                <w:rFonts w:ascii="Arial" w:cs="Arial" w:eastAsia="Arial" w:hAnsi="Arial"/>
                <w:sz w:val="18"/>
                <w:szCs w:val="18"/>
                <w:color w:val="auto"/>
              </w:rPr>
              <w:t xml:space="preserve"> B. B</w:t>
            </w:r>
            <w:r>
              <w:rPr>
                <w:rFonts w:ascii="Arial" w:cs="Arial" w:eastAsia="Arial" w:hAnsi="Arial"/>
                <w:sz w:val="14"/>
                <w:szCs w:val="14"/>
                <w:color w:val="auto"/>
              </w:rPr>
              <w:t>URKE</w:t>
            </w:r>
          </w:p>
        </w:tc>
      </w:tr>
      <w:tr>
        <w:trPr>
          <w:trHeight w:val="217"/>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6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7"/>
              </w:rPr>
              <w:t>Stephen B. Burke</w:t>
            </w:r>
          </w:p>
        </w:tc>
      </w:tr>
      <w:tr>
        <w:trPr>
          <w:trHeight w:val="237"/>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w:t>
            </w:r>
          </w:p>
        </w:tc>
      </w:tr>
    </w:tbl>
    <w:p>
      <w:pPr>
        <w:spacing w:after="0" w:line="14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hereby constitutes and appoints Brian L. Roberts, Michael J. Angelakis, David L. Cohen, Lawrence J. Salva and Arthur R. Block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40" w:type="dxa"/>
            <w:vAlign w:val="bottom"/>
          </w:tcPr>
          <w:p>
            <w:pPr>
              <w:spacing w:after="0"/>
              <w:rPr>
                <w:sz w:val="14"/>
                <w:szCs w:val="14"/>
                <w:color w:val="auto"/>
              </w:rPr>
            </w:pPr>
          </w:p>
        </w:tc>
        <w:tc>
          <w:tcPr>
            <w:tcW w:w="43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Title</w:t>
            </w:r>
          </w:p>
        </w:tc>
        <w:tc>
          <w:tcPr>
            <w:tcW w:w="860" w:type="dxa"/>
            <w:vAlign w:val="bottom"/>
          </w:tcPr>
          <w:p>
            <w:pPr>
              <w:spacing w:after="0"/>
              <w:rPr>
                <w:sz w:val="14"/>
                <w:szCs w:val="14"/>
                <w:color w:val="auto"/>
              </w:rPr>
            </w:pPr>
          </w:p>
        </w:tc>
        <w:tc>
          <w:tcPr>
            <w:tcW w:w="8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4"/>
        </w:trPr>
        <w:tc>
          <w:tcPr>
            <w:tcW w:w="180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rPr>
              <w:t>/s/</w:t>
            </w:r>
          </w:p>
        </w:tc>
        <w:tc>
          <w:tcPr>
            <w:tcW w:w="3280" w:type="dxa"/>
            <w:vAlign w:val="bottom"/>
            <w:tcBorders>
              <w:bottom w:val="single" w:sz="8" w:color="auto"/>
            </w:tcBorders>
            <w:gridSpan w:val="3"/>
          </w:tcPr>
          <w:p>
            <w:pPr>
              <w:jc w:val="center"/>
              <w:ind w:right="1740"/>
              <w:spacing w:after="0"/>
              <w:rPr>
                <w:sz w:val="20"/>
                <w:szCs w:val="20"/>
                <w:color w:val="auto"/>
              </w:rPr>
            </w:pPr>
            <w:r>
              <w:rPr>
                <w:rFonts w:ascii="Arial" w:cs="Arial" w:eastAsia="Arial" w:hAnsi="Arial"/>
                <w:sz w:val="18"/>
                <w:szCs w:val="18"/>
                <w:color w:val="auto"/>
                <w:w w:val="97"/>
              </w:rPr>
              <w:t>B</w:t>
            </w:r>
            <w:r>
              <w:rPr>
                <w:rFonts w:ascii="Arial" w:cs="Arial" w:eastAsia="Arial" w:hAnsi="Arial"/>
                <w:sz w:val="14"/>
                <w:szCs w:val="14"/>
                <w:color w:val="auto"/>
                <w:w w:val="97"/>
              </w:rPr>
              <w:t>RIAN</w:t>
            </w:r>
            <w:r>
              <w:rPr>
                <w:rFonts w:ascii="Arial" w:cs="Arial" w:eastAsia="Arial" w:hAnsi="Arial"/>
                <w:sz w:val="18"/>
                <w:szCs w:val="18"/>
                <w:color w:val="auto"/>
                <w:w w:val="97"/>
              </w:rPr>
              <w:t xml:space="preserve"> L. R</w:t>
            </w:r>
            <w:r>
              <w:rPr>
                <w:rFonts w:ascii="Arial" w:cs="Arial" w:eastAsia="Arial" w:hAnsi="Arial"/>
                <w:sz w:val="14"/>
                <w:szCs w:val="14"/>
                <w:color w:val="auto"/>
                <w:w w:val="97"/>
              </w:rPr>
              <w:t>OBERTS</w:t>
            </w:r>
          </w:p>
        </w:tc>
        <w:tc>
          <w:tcPr>
            <w:tcW w:w="430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Principal Executive Officer of NBCUniversal Media,</w:t>
            </w:r>
          </w:p>
        </w:tc>
        <w:tc>
          <w:tcPr>
            <w:tcW w:w="1700" w:type="dxa"/>
            <w:vAlign w:val="bottom"/>
            <w:gridSpan w:val="3"/>
          </w:tcPr>
          <w:p>
            <w:pPr>
              <w:jc w:val="center"/>
              <w:ind w:left="192"/>
              <w:spacing w:after="0"/>
              <w:rPr>
                <w:sz w:val="20"/>
                <w:szCs w:val="20"/>
                <w:color w:val="auto"/>
              </w:rPr>
            </w:pPr>
            <w:r>
              <w:rPr>
                <w:rFonts w:ascii="Arial" w:cs="Arial" w:eastAsia="Arial" w:hAnsi="Arial"/>
                <w:sz w:val="18"/>
                <w:szCs w:val="18"/>
                <w:color w:val="auto"/>
                <w:w w:val="87"/>
              </w:rPr>
              <w:t>September 18, 2013</w:t>
            </w:r>
          </w:p>
        </w:tc>
      </w:tr>
      <w:tr>
        <w:trPr>
          <w:trHeight w:val="202"/>
        </w:trPr>
        <w:tc>
          <w:tcPr>
            <w:tcW w:w="1800" w:type="dxa"/>
            <w:vAlign w:val="bottom"/>
          </w:tcPr>
          <w:p>
            <w:pPr>
              <w:spacing w:after="0"/>
              <w:rPr>
                <w:sz w:val="17"/>
                <w:szCs w:val="17"/>
                <w:color w:val="auto"/>
              </w:rPr>
            </w:pPr>
          </w:p>
        </w:tc>
        <w:tc>
          <w:tcPr>
            <w:tcW w:w="328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88"/>
              </w:rPr>
              <w:t>Brian L. Roberts</w:t>
            </w:r>
          </w:p>
        </w:tc>
        <w:tc>
          <w:tcPr>
            <w:tcW w:w="1940" w:type="dxa"/>
            <w:vAlign w:val="bottom"/>
          </w:tcPr>
          <w:p>
            <w:pPr>
              <w:spacing w:after="0"/>
              <w:rPr>
                <w:sz w:val="17"/>
                <w:szCs w:val="17"/>
                <w:color w:val="auto"/>
              </w:rPr>
            </w:pPr>
          </w:p>
        </w:tc>
        <w:tc>
          <w:tcPr>
            <w:tcW w:w="2360" w:type="dxa"/>
            <w:vAlign w:val="bottom"/>
            <w:gridSpan w:val="2"/>
          </w:tcPr>
          <w:p>
            <w:pPr>
              <w:jc w:val="center"/>
              <w:ind w:right="1900"/>
              <w:spacing w:after="0" w:line="202" w:lineRule="exact"/>
              <w:rPr>
                <w:sz w:val="20"/>
                <w:szCs w:val="20"/>
                <w:color w:val="auto"/>
              </w:rPr>
            </w:pPr>
            <w:r>
              <w:rPr>
                <w:rFonts w:ascii="Arial" w:cs="Arial" w:eastAsia="Arial" w:hAnsi="Arial"/>
                <w:sz w:val="18"/>
                <w:szCs w:val="18"/>
                <w:color w:val="auto"/>
              </w:rPr>
              <w:t>LLC</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426"/>
        </w:trPr>
        <w:tc>
          <w:tcPr>
            <w:tcW w:w="5080" w:type="dxa"/>
            <w:vAlign w:val="bottom"/>
            <w:tcBorders>
              <w:bottom w:val="single" w:sz="8" w:color="auto"/>
            </w:tcBorders>
            <w:gridSpan w:val="4"/>
          </w:tcPr>
          <w:p>
            <w:pPr>
              <w:ind w:left="136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ICHAEL</w:t>
            </w:r>
            <w:r>
              <w:rPr>
                <w:rFonts w:ascii="Arial" w:cs="Arial" w:eastAsia="Arial" w:hAnsi="Arial"/>
                <w:sz w:val="18"/>
                <w:szCs w:val="18"/>
                <w:color w:val="auto"/>
              </w:rPr>
              <w:t xml:space="preserve"> J. A</w:t>
            </w:r>
            <w:r>
              <w:rPr>
                <w:rFonts w:ascii="Arial" w:cs="Arial" w:eastAsia="Arial" w:hAnsi="Arial"/>
                <w:sz w:val="14"/>
                <w:szCs w:val="14"/>
                <w:color w:val="auto"/>
              </w:rPr>
              <w:t>NGELAKIS</w:t>
            </w:r>
          </w:p>
        </w:tc>
        <w:tc>
          <w:tcPr>
            <w:tcW w:w="430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Principal Financial Officer of NBCUniversal Media,</w:t>
            </w:r>
          </w:p>
        </w:tc>
        <w:tc>
          <w:tcPr>
            <w:tcW w:w="1700" w:type="dxa"/>
            <w:vAlign w:val="bottom"/>
            <w:gridSpan w:val="3"/>
          </w:tcPr>
          <w:p>
            <w:pPr>
              <w:jc w:val="center"/>
              <w:ind w:left="192"/>
              <w:spacing w:after="0"/>
              <w:rPr>
                <w:sz w:val="20"/>
                <w:szCs w:val="20"/>
                <w:color w:val="auto"/>
              </w:rPr>
            </w:pPr>
            <w:r>
              <w:rPr>
                <w:rFonts w:ascii="Arial" w:cs="Arial" w:eastAsia="Arial" w:hAnsi="Arial"/>
                <w:sz w:val="18"/>
                <w:szCs w:val="18"/>
                <w:color w:val="auto"/>
                <w:w w:val="87"/>
              </w:rPr>
              <w:t>September 18, 2013</w:t>
            </w:r>
          </w:p>
        </w:tc>
      </w:tr>
      <w:tr>
        <w:trPr>
          <w:trHeight w:val="190"/>
        </w:trPr>
        <w:tc>
          <w:tcPr>
            <w:tcW w:w="1800" w:type="dxa"/>
            <w:vAlign w:val="bottom"/>
          </w:tcPr>
          <w:p>
            <w:pPr>
              <w:spacing w:after="0"/>
              <w:rPr>
                <w:sz w:val="16"/>
                <w:szCs w:val="16"/>
                <w:color w:val="auto"/>
              </w:rPr>
            </w:pPr>
          </w:p>
        </w:tc>
        <w:tc>
          <w:tcPr>
            <w:tcW w:w="328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87"/>
              </w:rPr>
              <w:t>Michael J. Angelakis</w:t>
            </w:r>
          </w:p>
        </w:tc>
        <w:tc>
          <w:tcPr>
            <w:tcW w:w="1940" w:type="dxa"/>
            <w:vAlign w:val="bottom"/>
          </w:tcPr>
          <w:p>
            <w:pPr>
              <w:spacing w:after="0"/>
              <w:rPr>
                <w:sz w:val="16"/>
                <w:szCs w:val="16"/>
                <w:color w:val="auto"/>
              </w:rPr>
            </w:pPr>
          </w:p>
        </w:tc>
        <w:tc>
          <w:tcPr>
            <w:tcW w:w="2360" w:type="dxa"/>
            <w:vAlign w:val="bottom"/>
            <w:gridSpan w:val="2"/>
          </w:tcPr>
          <w:p>
            <w:pPr>
              <w:jc w:val="center"/>
              <w:ind w:right="1900"/>
              <w:spacing w:after="0" w:line="190" w:lineRule="exact"/>
              <w:rPr>
                <w:sz w:val="20"/>
                <w:szCs w:val="20"/>
                <w:color w:val="auto"/>
              </w:rPr>
            </w:pPr>
            <w:r>
              <w:rPr>
                <w:rFonts w:ascii="Arial" w:cs="Arial" w:eastAsia="Arial" w:hAnsi="Arial"/>
                <w:sz w:val="18"/>
                <w:szCs w:val="18"/>
                <w:color w:val="auto"/>
                <w:w w:val="99"/>
              </w:rPr>
              <w:t>LLC;</w:t>
            </w: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22"/>
        </w:trPr>
        <w:tc>
          <w:tcPr>
            <w:tcW w:w="1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300" w:type="dxa"/>
            <w:vAlign w:val="bottom"/>
            <w:gridSpan w:val="3"/>
          </w:tcPr>
          <w:p>
            <w:pPr>
              <w:jc w:val="center"/>
              <w:ind w:right="180"/>
              <w:spacing w:after="0"/>
              <w:rPr>
                <w:sz w:val="20"/>
                <w:szCs w:val="20"/>
                <w:color w:val="auto"/>
              </w:rPr>
            </w:pPr>
            <w:r>
              <w:rPr>
                <w:rFonts w:ascii="Arial" w:cs="Arial" w:eastAsia="Arial" w:hAnsi="Arial"/>
                <w:sz w:val="18"/>
                <w:szCs w:val="18"/>
                <w:color w:val="auto"/>
                <w:w w:val="93"/>
              </w:rPr>
              <w:t>Director of NBCUniversal, LLC</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46"/>
        </w:trPr>
        <w:tc>
          <w:tcPr>
            <w:tcW w:w="1800" w:type="dxa"/>
            <w:vAlign w:val="bottom"/>
            <w:tcBorders>
              <w:bottom w:val="single" w:sz="8" w:color="auto"/>
            </w:tcBorders>
          </w:tcPr>
          <w:p>
            <w:pPr>
              <w:ind w:left="1600"/>
              <w:spacing w:after="0"/>
              <w:rPr>
                <w:sz w:val="20"/>
                <w:szCs w:val="20"/>
                <w:color w:val="auto"/>
              </w:rPr>
            </w:pPr>
            <w:r>
              <w:rPr>
                <w:rFonts w:ascii="Arial" w:cs="Arial" w:eastAsia="Arial" w:hAnsi="Arial"/>
                <w:sz w:val="18"/>
                <w:szCs w:val="18"/>
                <w:color w:val="auto"/>
                <w:w w:val="94"/>
              </w:rPr>
              <w:t>/s/</w:t>
            </w:r>
          </w:p>
        </w:tc>
        <w:tc>
          <w:tcPr>
            <w:tcW w:w="328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AVID</w:t>
            </w:r>
            <w:r>
              <w:rPr>
                <w:rFonts w:ascii="Arial" w:cs="Arial" w:eastAsia="Arial" w:hAnsi="Arial"/>
                <w:sz w:val="18"/>
                <w:szCs w:val="18"/>
                <w:color w:val="auto"/>
                <w:w w:val="99"/>
              </w:rPr>
              <w:t xml:space="preserve"> L. C</w:t>
            </w:r>
            <w:r>
              <w:rPr>
                <w:rFonts w:ascii="Arial" w:cs="Arial" w:eastAsia="Arial" w:hAnsi="Arial"/>
                <w:sz w:val="14"/>
                <w:szCs w:val="14"/>
                <w:color w:val="auto"/>
                <w:w w:val="99"/>
              </w:rPr>
              <w:t>OHEN</w:t>
            </w:r>
          </w:p>
        </w:tc>
        <w:tc>
          <w:tcPr>
            <w:tcW w:w="430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Executive Vice President;</w:t>
            </w:r>
          </w:p>
        </w:tc>
        <w:tc>
          <w:tcPr>
            <w:tcW w:w="1700" w:type="dxa"/>
            <w:vAlign w:val="bottom"/>
            <w:gridSpan w:val="3"/>
          </w:tcPr>
          <w:p>
            <w:pPr>
              <w:jc w:val="center"/>
              <w:ind w:left="192"/>
              <w:spacing w:after="0"/>
              <w:rPr>
                <w:sz w:val="20"/>
                <w:szCs w:val="20"/>
                <w:color w:val="auto"/>
              </w:rPr>
            </w:pPr>
            <w:r>
              <w:rPr>
                <w:rFonts w:ascii="Arial" w:cs="Arial" w:eastAsia="Arial" w:hAnsi="Arial"/>
                <w:sz w:val="18"/>
                <w:szCs w:val="18"/>
                <w:color w:val="auto"/>
                <w:w w:val="87"/>
              </w:rPr>
              <w:t>September 18, 2013</w:t>
            </w:r>
          </w:p>
        </w:tc>
      </w:tr>
      <w:tr>
        <w:trPr>
          <w:trHeight w:val="202"/>
        </w:trPr>
        <w:tc>
          <w:tcPr>
            <w:tcW w:w="1800" w:type="dxa"/>
            <w:vAlign w:val="bottom"/>
          </w:tcPr>
          <w:p>
            <w:pPr>
              <w:spacing w:after="0"/>
              <w:rPr>
                <w:sz w:val="17"/>
                <w:szCs w:val="17"/>
                <w:color w:val="auto"/>
              </w:rPr>
            </w:pPr>
          </w:p>
        </w:tc>
        <w:tc>
          <w:tcPr>
            <w:tcW w:w="328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90"/>
              </w:rPr>
              <w:t>David L. Cohen</w:t>
            </w:r>
          </w:p>
        </w:tc>
        <w:tc>
          <w:tcPr>
            <w:tcW w:w="4300" w:type="dxa"/>
            <w:vAlign w:val="bottom"/>
            <w:gridSpan w:val="3"/>
          </w:tcPr>
          <w:p>
            <w:pPr>
              <w:jc w:val="center"/>
              <w:ind w:right="180"/>
              <w:spacing w:after="0" w:line="202" w:lineRule="exact"/>
              <w:rPr>
                <w:sz w:val="20"/>
                <w:szCs w:val="20"/>
                <w:color w:val="auto"/>
              </w:rPr>
            </w:pPr>
            <w:r>
              <w:rPr>
                <w:rFonts w:ascii="Arial" w:cs="Arial" w:eastAsia="Arial" w:hAnsi="Arial"/>
                <w:sz w:val="18"/>
                <w:szCs w:val="18"/>
                <w:color w:val="auto"/>
                <w:w w:val="93"/>
              </w:rPr>
              <w:t>Director of NBCUniversal, LLC</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439"/>
        </w:trPr>
        <w:tc>
          <w:tcPr>
            <w:tcW w:w="180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rPr>
              <w:t>/s/</w:t>
            </w:r>
          </w:p>
        </w:tc>
        <w:tc>
          <w:tcPr>
            <w:tcW w:w="328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w w:val="97"/>
              </w:rPr>
              <w:t>A</w:t>
            </w:r>
            <w:r>
              <w:rPr>
                <w:rFonts w:ascii="Arial" w:cs="Arial" w:eastAsia="Arial" w:hAnsi="Arial"/>
                <w:sz w:val="14"/>
                <w:szCs w:val="14"/>
                <w:color w:val="auto"/>
                <w:w w:val="97"/>
              </w:rPr>
              <w:t>RTHUR</w:t>
            </w:r>
            <w:r>
              <w:rPr>
                <w:rFonts w:ascii="Arial" w:cs="Arial" w:eastAsia="Arial" w:hAnsi="Arial"/>
                <w:sz w:val="18"/>
                <w:szCs w:val="18"/>
                <w:color w:val="auto"/>
                <w:w w:val="97"/>
              </w:rPr>
              <w:t xml:space="preserve"> R. B</w:t>
            </w:r>
            <w:r>
              <w:rPr>
                <w:rFonts w:ascii="Arial" w:cs="Arial" w:eastAsia="Arial" w:hAnsi="Arial"/>
                <w:sz w:val="14"/>
                <w:szCs w:val="14"/>
                <w:color w:val="auto"/>
                <w:w w:val="97"/>
              </w:rPr>
              <w:t>LOCK</w:t>
            </w:r>
          </w:p>
        </w:tc>
        <w:tc>
          <w:tcPr>
            <w:tcW w:w="430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Senior Vice President;</w:t>
            </w:r>
          </w:p>
        </w:tc>
        <w:tc>
          <w:tcPr>
            <w:tcW w:w="1700" w:type="dxa"/>
            <w:vAlign w:val="bottom"/>
            <w:gridSpan w:val="3"/>
          </w:tcPr>
          <w:p>
            <w:pPr>
              <w:jc w:val="center"/>
              <w:ind w:left="192"/>
              <w:spacing w:after="0"/>
              <w:rPr>
                <w:sz w:val="20"/>
                <w:szCs w:val="20"/>
                <w:color w:val="auto"/>
              </w:rPr>
            </w:pPr>
            <w:r>
              <w:rPr>
                <w:rFonts w:ascii="Arial" w:cs="Arial" w:eastAsia="Arial" w:hAnsi="Arial"/>
                <w:sz w:val="18"/>
                <w:szCs w:val="18"/>
                <w:color w:val="auto"/>
                <w:w w:val="87"/>
              </w:rPr>
              <w:t>September 18, 2013</w:t>
            </w:r>
          </w:p>
        </w:tc>
      </w:tr>
      <w:tr>
        <w:trPr>
          <w:trHeight w:val="202"/>
        </w:trPr>
        <w:tc>
          <w:tcPr>
            <w:tcW w:w="1800" w:type="dxa"/>
            <w:vAlign w:val="bottom"/>
          </w:tcPr>
          <w:p>
            <w:pPr>
              <w:spacing w:after="0"/>
              <w:rPr>
                <w:sz w:val="17"/>
                <w:szCs w:val="17"/>
                <w:color w:val="auto"/>
              </w:rPr>
            </w:pPr>
          </w:p>
        </w:tc>
        <w:tc>
          <w:tcPr>
            <w:tcW w:w="328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93"/>
              </w:rPr>
              <w:t>Arthur R. Block</w:t>
            </w:r>
          </w:p>
        </w:tc>
        <w:tc>
          <w:tcPr>
            <w:tcW w:w="4300" w:type="dxa"/>
            <w:vAlign w:val="bottom"/>
            <w:gridSpan w:val="3"/>
          </w:tcPr>
          <w:p>
            <w:pPr>
              <w:jc w:val="center"/>
              <w:ind w:right="180"/>
              <w:spacing w:after="0" w:line="202" w:lineRule="exact"/>
              <w:rPr>
                <w:sz w:val="20"/>
                <w:szCs w:val="20"/>
                <w:color w:val="auto"/>
              </w:rPr>
            </w:pPr>
            <w:r>
              <w:rPr>
                <w:rFonts w:ascii="Arial" w:cs="Arial" w:eastAsia="Arial" w:hAnsi="Arial"/>
                <w:sz w:val="18"/>
                <w:szCs w:val="18"/>
                <w:color w:val="auto"/>
                <w:w w:val="93"/>
              </w:rPr>
              <w:t>Director of NBCUniversal, LLC</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439"/>
        </w:trPr>
        <w:tc>
          <w:tcPr>
            <w:tcW w:w="180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/s/</w:t>
            </w:r>
          </w:p>
        </w:tc>
        <w:tc>
          <w:tcPr>
            <w:tcW w:w="3280" w:type="dxa"/>
            <w:vAlign w:val="bottom"/>
            <w:tcBorders>
              <w:bottom w:val="single" w:sz="8" w:color="auto"/>
            </w:tcBorders>
            <w:gridSpan w:val="3"/>
          </w:tcPr>
          <w:p>
            <w:pPr>
              <w:jc w:val="center"/>
              <w:ind w:right="1740"/>
              <w:spacing w:after="0"/>
              <w:rPr>
                <w:sz w:val="20"/>
                <w:szCs w:val="20"/>
                <w:color w:val="auto"/>
              </w:rPr>
            </w:pPr>
            <w:r>
              <w:rPr>
                <w:rFonts w:ascii="Arial" w:cs="Arial" w:eastAsia="Arial" w:hAnsi="Arial"/>
                <w:sz w:val="18"/>
                <w:szCs w:val="18"/>
                <w:color w:val="auto"/>
                <w:w w:val="97"/>
              </w:rPr>
              <w:t>L</w:t>
            </w:r>
            <w:r>
              <w:rPr>
                <w:rFonts w:ascii="Arial" w:cs="Arial" w:eastAsia="Arial" w:hAnsi="Arial"/>
                <w:sz w:val="14"/>
                <w:szCs w:val="14"/>
                <w:color w:val="auto"/>
                <w:w w:val="97"/>
              </w:rPr>
              <w:t>AWRENCE</w:t>
            </w:r>
            <w:r>
              <w:rPr>
                <w:rFonts w:ascii="Arial" w:cs="Arial" w:eastAsia="Arial" w:hAnsi="Arial"/>
                <w:sz w:val="18"/>
                <w:szCs w:val="18"/>
                <w:color w:val="auto"/>
                <w:w w:val="97"/>
              </w:rPr>
              <w:t xml:space="preserve"> J. S</w:t>
            </w:r>
            <w:r>
              <w:rPr>
                <w:rFonts w:ascii="Arial" w:cs="Arial" w:eastAsia="Arial" w:hAnsi="Arial"/>
                <w:sz w:val="14"/>
                <w:szCs w:val="14"/>
                <w:color w:val="auto"/>
                <w:w w:val="97"/>
              </w:rPr>
              <w:t>ALVA</w:t>
            </w:r>
          </w:p>
        </w:tc>
        <w:tc>
          <w:tcPr>
            <w:tcW w:w="430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Principal Accounting Officer of NBCUniversal Media,</w:t>
            </w:r>
          </w:p>
        </w:tc>
        <w:tc>
          <w:tcPr>
            <w:tcW w:w="1700" w:type="dxa"/>
            <w:vAlign w:val="bottom"/>
            <w:gridSpan w:val="3"/>
          </w:tcPr>
          <w:p>
            <w:pPr>
              <w:jc w:val="center"/>
              <w:ind w:left="192"/>
              <w:spacing w:after="0"/>
              <w:rPr>
                <w:sz w:val="20"/>
                <w:szCs w:val="20"/>
                <w:color w:val="auto"/>
              </w:rPr>
            </w:pPr>
            <w:r>
              <w:rPr>
                <w:rFonts w:ascii="Arial" w:cs="Arial" w:eastAsia="Arial" w:hAnsi="Arial"/>
                <w:sz w:val="18"/>
                <w:szCs w:val="18"/>
                <w:color w:val="auto"/>
                <w:w w:val="87"/>
              </w:rPr>
              <w:t>September 18, 2013</w:t>
            </w:r>
          </w:p>
        </w:tc>
      </w:tr>
      <w:tr>
        <w:trPr>
          <w:trHeight w:val="202"/>
        </w:trPr>
        <w:tc>
          <w:tcPr>
            <w:tcW w:w="1800" w:type="dxa"/>
            <w:vAlign w:val="bottom"/>
          </w:tcPr>
          <w:p>
            <w:pPr>
              <w:spacing w:after="0"/>
              <w:rPr>
                <w:sz w:val="17"/>
                <w:szCs w:val="17"/>
                <w:color w:val="auto"/>
              </w:rPr>
            </w:pPr>
          </w:p>
        </w:tc>
        <w:tc>
          <w:tcPr>
            <w:tcW w:w="328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86"/>
              </w:rPr>
              <w:t>Lawrence J. Salva</w:t>
            </w:r>
          </w:p>
        </w:tc>
        <w:tc>
          <w:tcPr>
            <w:tcW w:w="1940" w:type="dxa"/>
            <w:vAlign w:val="bottom"/>
          </w:tcPr>
          <w:p>
            <w:pPr>
              <w:spacing w:after="0"/>
              <w:rPr>
                <w:sz w:val="17"/>
                <w:szCs w:val="17"/>
                <w:color w:val="auto"/>
              </w:rPr>
            </w:pPr>
          </w:p>
        </w:tc>
        <w:tc>
          <w:tcPr>
            <w:tcW w:w="2360" w:type="dxa"/>
            <w:vAlign w:val="bottom"/>
            <w:gridSpan w:val="2"/>
          </w:tcPr>
          <w:p>
            <w:pPr>
              <w:jc w:val="center"/>
              <w:ind w:right="1900"/>
              <w:spacing w:after="0" w:line="202" w:lineRule="exact"/>
              <w:rPr>
                <w:sz w:val="20"/>
                <w:szCs w:val="20"/>
                <w:color w:val="auto"/>
              </w:rPr>
            </w:pPr>
            <w:r>
              <w:rPr>
                <w:rFonts w:ascii="Arial" w:cs="Arial" w:eastAsia="Arial" w:hAnsi="Arial"/>
                <w:sz w:val="18"/>
                <w:szCs w:val="18"/>
                <w:color w:val="auto"/>
              </w:rPr>
              <w:t>LLC</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358"/>
        </w:trPr>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300" w:type="dxa"/>
            <w:vAlign w:val="bottom"/>
            <w:gridSpan w:val="3"/>
          </w:tcPr>
          <w:p>
            <w:pPr>
              <w:ind w:left="460"/>
              <w:spacing w:after="0"/>
              <w:rPr>
                <w:sz w:val="20"/>
                <w:szCs w:val="20"/>
                <w:color w:val="auto"/>
              </w:rPr>
            </w:pPr>
            <w:r>
              <w:rPr>
                <w:rFonts w:ascii="Arial" w:cs="Arial" w:eastAsia="Arial" w:hAnsi="Arial"/>
                <w:sz w:val="18"/>
                <w:szCs w:val="18"/>
                <w:color w:val="auto"/>
              </w:rPr>
              <w:t>II-11</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CABLE COMMUNICATIONS, LLC</w:t>
      </w:r>
    </w:p>
    <w:p>
      <w:pPr>
        <w:spacing w:after="0" w:line="165"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Comcast Cable Communications, LLC certifies that it has reasonable grounds to believe that it meets all of the requirements for filing on Form S-3 and has duly caused this Registration Statement to be signed on its behalf by the undersigned, thereunto duly authorized, in the City of Philadelphia, State of Pennsylvania, on September 18, 2013.</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CABLE COMMUNICATIONS,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R. B</w:t>
            </w:r>
            <w:r>
              <w:rPr>
                <w:rFonts w:ascii="Arial" w:cs="Arial" w:eastAsia="Arial" w:hAnsi="Arial"/>
                <w:sz w:val="14"/>
                <w:szCs w:val="14"/>
                <w:color w:val="auto"/>
              </w:rPr>
              <w:t>LOCK</w:t>
            </w:r>
          </w:p>
        </w:tc>
      </w:tr>
      <w:tr>
        <w:trPr>
          <w:trHeight w:val="190"/>
        </w:trPr>
        <w:tc>
          <w:tcPr>
            <w:tcW w:w="540" w:type="dxa"/>
            <w:vAlign w:val="bottom"/>
          </w:tcPr>
          <w:p>
            <w:pPr>
              <w:spacing w:after="0" w:line="190" w:lineRule="exact"/>
              <w:rPr>
                <w:sz w:val="20"/>
                <w:szCs w:val="20"/>
                <w:color w:val="auto"/>
              </w:rPr>
            </w:pPr>
            <w:r>
              <w:rPr>
                <w:rFonts w:ascii="Arial" w:cs="Arial" w:eastAsia="Arial" w:hAnsi="Arial"/>
                <w:sz w:val="18"/>
                <w:szCs w:val="18"/>
                <w:color w:val="auto"/>
                <w:w w:val="98"/>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91"/>
              </w:rPr>
              <w:t>Arthur R. Block</w:t>
            </w: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6"/>
              </w:rPr>
              <w:t>Senior Vice President</w:t>
            </w:r>
          </w:p>
        </w:tc>
      </w:tr>
    </w:tbl>
    <w:p>
      <w:pPr>
        <w:spacing w:after="0" w:line="14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hereby constitutes and appoints Brian L. Roberts, Michael J. Angelakis, David L. Cohen, Lawrence J. Salva and Arthur R. Block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40" w:type="dxa"/>
            <w:vAlign w:val="bottom"/>
            <w:gridSpan w:val="2"/>
          </w:tcPr>
          <w:p>
            <w:pPr>
              <w:spacing w:after="0"/>
              <w:rPr>
                <w:sz w:val="14"/>
                <w:szCs w:val="14"/>
                <w:color w:val="auto"/>
              </w:rPr>
            </w:pPr>
          </w:p>
        </w:tc>
        <w:tc>
          <w:tcPr>
            <w:tcW w:w="3860" w:type="dxa"/>
            <w:vAlign w:val="bottom"/>
            <w:gridSpan w:val="3"/>
          </w:tcPr>
          <w:p>
            <w:pPr>
              <w:jc w:val="center"/>
              <w:ind w:left="194"/>
              <w:spacing w:after="0"/>
              <w:rPr>
                <w:sz w:val="20"/>
                <w:szCs w:val="20"/>
                <w:color w:val="auto"/>
              </w:rPr>
            </w:pPr>
            <w:r>
              <w:rPr>
                <w:rFonts w:ascii="Arial" w:cs="Arial" w:eastAsia="Arial" w:hAnsi="Arial"/>
                <w:sz w:val="14"/>
                <w:szCs w:val="14"/>
                <w:b w:val="1"/>
                <w:bCs w:val="1"/>
                <w:color w:val="auto"/>
                <w:w w:val="90"/>
              </w:rPr>
              <w:t>Title</w:t>
            </w:r>
          </w:p>
        </w:tc>
        <w:tc>
          <w:tcPr>
            <w:tcW w:w="1300" w:type="dxa"/>
            <w:vAlign w:val="bottom"/>
          </w:tcPr>
          <w:p>
            <w:pPr>
              <w:spacing w:after="0"/>
              <w:rPr>
                <w:sz w:val="14"/>
                <w:szCs w:val="14"/>
                <w:color w:val="auto"/>
              </w:rPr>
            </w:pPr>
          </w:p>
        </w:tc>
        <w:tc>
          <w:tcPr>
            <w:tcW w:w="8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4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24"/>
        </w:trPr>
        <w:tc>
          <w:tcPr>
            <w:tcW w:w="4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ind w:left="108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4"/>
          </w:tcPr>
          <w:p>
            <w:pPr>
              <w:jc w:val="center"/>
              <w:ind w:right="1800"/>
              <w:spacing w:after="0"/>
              <w:rPr>
                <w:sz w:val="20"/>
                <w:szCs w:val="20"/>
                <w:color w:val="auto"/>
              </w:rPr>
            </w:pPr>
            <w:r>
              <w:rPr>
                <w:rFonts w:ascii="Arial" w:cs="Arial" w:eastAsia="Arial" w:hAnsi="Arial"/>
                <w:sz w:val="18"/>
                <w:szCs w:val="18"/>
                <w:color w:val="auto"/>
                <w:w w:val="97"/>
              </w:rPr>
              <w:t>B</w:t>
            </w:r>
            <w:r>
              <w:rPr>
                <w:rFonts w:ascii="Arial" w:cs="Arial" w:eastAsia="Arial" w:hAnsi="Arial"/>
                <w:sz w:val="14"/>
                <w:szCs w:val="14"/>
                <w:color w:val="auto"/>
                <w:w w:val="97"/>
              </w:rPr>
              <w:t>RIAN</w:t>
            </w:r>
            <w:r>
              <w:rPr>
                <w:rFonts w:ascii="Arial" w:cs="Arial" w:eastAsia="Arial" w:hAnsi="Arial"/>
                <w:sz w:val="18"/>
                <w:szCs w:val="18"/>
                <w:color w:val="auto"/>
                <w:w w:val="97"/>
              </w:rPr>
              <w:t xml:space="preserve"> L. R</w:t>
            </w:r>
            <w:r>
              <w:rPr>
                <w:rFonts w:ascii="Arial" w:cs="Arial" w:eastAsia="Arial" w:hAnsi="Arial"/>
                <w:sz w:val="14"/>
                <w:szCs w:val="14"/>
                <w:color w:val="auto"/>
                <w:w w:val="97"/>
              </w:rPr>
              <w:t>OBERTS</w:t>
            </w:r>
          </w:p>
        </w:tc>
        <w:tc>
          <w:tcPr>
            <w:tcW w:w="3860" w:type="dxa"/>
            <w:vAlign w:val="bottom"/>
            <w:gridSpan w:val="3"/>
          </w:tcPr>
          <w:p>
            <w:pPr>
              <w:jc w:val="center"/>
              <w:ind w:left="194"/>
              <w:spacing w:after="0"/>
              <w:rPr>
                <w:sz w:val="20"/>
                <w:szCs w:val="20"/>
                <w:color w:val="auto"/>
              </w:rPr>
            </w:pPr>
            <w:r>
              <w:rPr>
                <w:rFonts w:ascii="Arial" w:cs="Arial" w:eastAsia="Arial" w:hAnsi="Arial"/>
                <w:sz w:val="18"/>
                <w:szCs w:val="18"/>
                <w:color w:val="auto"/>
                <w:w w:val="89"/>
              </w:rPr>
              <w:t>Chairman</w:t>
            </w:r>
          </w:p>
        </w:tc>
        <w:tc>
          <w:tcPr>
            <w:tcW w:w="216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September 18, 2013</w:t>
            </w:r>
          </w:p>
        </w:tc>
      </w:tr>
      <w:tr>
        <w:trPr>
          <w:trHeight w:val="202"/>
        </w:trPr>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20" w:type="dxa"/>
            <w:vAlign w:val="bottom"/>
            <w:gridSpan w:val="4"/>
          </w:tcPr>
          <w:p>
            <w:pPr>
              <w:jc w:val="center"/>
              <w:ind w:right="1860"/>
              <w:spacing w:after="0"/>
              <w:rPr>
                <w:sz w:val="20"/>
                <w:szCs w:val="20"/>
                <w:color w:val="auto"/>
              </w:rPr>
            </w:pPr>
            <w:r>
              <w:rPr>
                <w:rFonts w:ascii="Arial" w:cs="Arial" w:eastAsia="Arial" w:hAnsi="Arial"/>
                <w:sz w:val="14"/>
                <w:szCs w:val="14"/>
                <w:b w:val="1"/>
                <w:bCs w:val="1"/>
                <w:color w:val="auto"/>
                <w:w w:val="88"/>
              </w:rPr>
              <w:t>Brian L. Roberts</w:t>
            </w:r>
          </w:p>
        </w:tc>
        <w:tc>
          <w:tcPr>
            <w:tcW w:w="3860" w:type="dxa"/>
            <w:vAlign w:val="bottom"/>
            <w:gridSpan w:val="3"/>
          </w:tcPr>
          <w:p>
            <w:pPr>
              <w:jc w:val="center"/>
              <w:ind w:left="174"/>
              <w:spacing w:after="0" w:line="202" w:lineRule="exact"/>
              <w:rPr>
                <w:sz w:val="20"/>
                <w:szCs w:val="20"/>
                <w:color w:val="auto"/>
              </w:rPr>
            </w:pPr>
            <w:r>
              <w:rPr>
                <w:rFonts w:ascii="Arial" w:cs="Arial" w:eastAsia="Arial" w:hAnsi="Arial"/>
                <w:sz w:val="18"/>
                <w:szCs w:val="18"/>
                <w:color w:val="auto"/>
                <w:w w:val="91"/>
              </w:rPr>
              <w:t>(Principal Executive Officer)</w:t>
            </w: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39"/>
        </w:trPr>
        <w:tc>
          <w:tcPr>
            <w:tcW w:w="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/s/</w:t>
            </w:r>
          </w:p>
        </w:tc>
        <w:tc>
          <w:tcPr>
            <w:tcW w:w="3420" w:type="dxa"/>
            <w:vAlign w:val="bottom"/>
            <w:tcBorders>
              <w:bottom w:val="single" w:sz="8" w:color="auto"/>
            </w:tcBorders>
            <w:gridSpan w:val="5"/>
          </w:tcPr>
          <w:p>
            <w:pPr>
              <w:jc w:val="center"/>
              <w:ind w:right="160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ICHAEL</w:t>
            </w:r>
            <w:r>
              <w:rPr>
                <w:rFonts w:ascii="Arial" w:cs="Arial" w:eastAsia="Arial" w:hAnsi="Arial"/>
                <w:sz w:val="18"/>
                <w:szCs w:val="18"/>
                <w:color w:val="auto"/>
              </w:rPr>
              <w:t xml:space="preserve"> J. A</w:t>
            </w:r>
            <w:r>
              <w:rPr>
                <w:rFonts w:ascii="Arial" w:cs="Arial" w:eastAsia="Arial" w:hAnsi="Arial"/>
                <w:sz w:val="14"/>
                <w:szCs w:val="14"/>
                <w:color w:val="auto"/>
              </w:rPr>
              <w:t>NGELAKIS</w:t>
            </w:r>
          </w:p>
        </w:tc>
        <w:tc>
          <w:tcPr>
            <w:tcW w:w="3860" w:type="dxa"/>
            <w:vAlign w:val="bottom"/>
            <w:gridSpan w:val="3"/>
          </w:tcPr>
          <w:p>
            <w:pPr>
              <w:jc w:val="center"/>
              <w:ind w:left="174"/>
              <w:spacing w:after="0"/>
              <w:rPr>
                <w:sz w:val="20"/>
                <w:szCs w:val="20"/>
                <w:color w:val="auto"/>
              </w:rPr>
            </w:pPr>
            <w:r>
              <w:rPr>
                <w:rFonts w:ascii="Arial" w:cs="Arial" w:eastAsia="Arial" w:hAnsi="Arial"/>
                <w:sz w:val="18"/>
                <w:szCs w:val="18"/>
                <w:color w:val="auto"/>
                <w:w w:val="88"/>
              </w:rPr>
              <w:t>Executive Vice President</w:t>
            </w:r>
          </w:p>
        </w:tc>
        <w:tc>
          <w:tcPr>
            <w:tcW w:w="216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September 18, 2013</w:t>
            </w:r>
          </w:p>
        </w:tc>
      </w:tr>
      <w:tr>
        <w:trPr>
          <w:trHeight w:val="202"/>
        </w:trPr>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20" w:type="dxa"/>
            <w:vAlign w:val="bottom"/>
            <w:gridSpan w:val="4"/>
          </w:tcPr>
          <w:p>
            <w:pPr>
              <w:jc w:val="center"/>
              <w:ind w:right="1860"/>
              <w:spacing w:after="0"/>
              <w:rPr>
                <w:sz w:val="20"/>
                <w:szCs w:val="20"/>
                <w:color w:val="auto"/>
              </w:rPr>
            </w:pPr>
            <w:r>
              <w:rPr>
                <w:rFonts w:ascii="Arial" w:cs="Arial" w:eastAsia="Arial" w:hAnsi="Arial"/>
                <w:sz w:val="14"/>
                <w:szCs w:val="14"/>
                <w:b w:val="1"/>
                <w:bCs w:val="1"/>
                <w:color w:val="auto"/>
                <w:w w:val="87"/>
              </w:rPr>
              <w:t>Michael J. Angelakis</w:t>
            </w:r>
          </w:p>
        </w:tc>
        <w:tc>
          <w:tcPr>
            <w:tcW w:w="3860" w:type="dxa"/>
            <w:vAlign w:val="bottom"/>
            <w:gridSpan w:val="3"/>
          </w:tcPr>
          <w:p>
            <w:pPr>
              <w:jc w:val="center"/>
              <w:ind w:left="174"/>
              <w:spacing w:after="0" w:line="202" w:lineRule="exact"/>
              <w:rPr>
                <w:sz w:val="20"/>
                <w:szCs w:val="20"/>
                <w:color w:val="auto"/>
              </w:rPr>
            </w:pPr>
            <w:r>
              <w:rPr>
                <w:rFonts w:ascii="Arial" w:cs="Arial" w:eastAsia="Arial" w:hAnsi="Arial"/>
                <w:sz w:val="18"/>
                <w:szCs w:val="18"/>
                <w:color w:val="auto"/>
                <w:w w:val="92"/>
              </w:rPr>
              <w:t>(Principal Financial Officer)</w:t>
            </w: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39"/>
        </w:trPr>
        <w:tc>
          <w:tcPr>
            <w:tcW w:w="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w w:val="83"/>
              </w:rPr>
              <w:t>/s/</w:t>
            </w:r>
          </w:p>
        </w:tc>
        <w:tc>
          <w:tcPr>
            <w:tcW w:w="3420" w:type="dxa"/>
            <w:vAlign w:val="bottom"/>
            <w:tcBorders>
              <w:bottom w:val="single" w:sz="8" w:color="auto"/>
            </w:tcBorders>
            <w:gridSpan w:val="5"/>
          </w:tcPr>
          <w:p>
            <w:pPr>
              <w:jc w:val="center"/>
              <w:ind w:right="1600"/>
              <w:spacing w:after="0"/>
              <w:rPr>
                <w:sz w:val="20"/>
                <w:szCs w:val="20"/>
                <w:color w:val="auto"/>
              </w:rPr>
            </w:pPr>
            <w:r>
              <w:rPr>
                <w:rFonts w:ascii="Arial" w:cs="Arial" w:eastAsia="Arial" w:hAnsi="Arial"/>
                <w:sz w:val="18"/>
                <w:szCs w:val="18"/>
                <w:color w:val="auto"/>
                <w:w w:val="97"/>
              </w:rPr>
              <w:t>L</w:t>
            </w:r>
            <w:r>
              <w:rPr>
                <w:rFonts w:ascii="Arial" w:cs="Arial" w:eastAsia="Arial" w:hAnsi="Arial"/>
                <w:sz w:val="14"/>
                <w:szCs w:val="14"/>
                <w:color w:val="auto"/>
                <w:w w:val="97"/>
              </w:rPr>
              <w:t>AWRENCE</w:t>
            </w:r>
            <w:r>
              <w:rPr>
                <w:rFonts w:ascii="Arial" w:cs="Arial" w:eastAsia="Arial" w:hAnsi="Arial"/>
                <w:sz w:val="18"/>
                <w:szCs w:val="18"/>
                <w:color w:val="auto"/>
                <w:w w:val="97"/>
              </w:rPr>
              <w:t xml:space="preserve"> J. S</w:t>
            </w:r>
            <w:r>
              <w:rPr>
                <w:rFonts w:ascii="Arial" w:cs="Arial" w:eastAsia="Arial" w:hAnsi="Arial"/>
                <w:sz w:val="14"/>
                <w:szCs w:val="14"/>
                <w:color w:val="auto"/>
                <w:w w:val="97"/>
              </w:rPr>
              <w:t>ALVA</w:t>
            </w:r>
          </w:p>
        </w:tc>
        <w:tc>
          <w:tcPr>
            <w:tcW w:w="3860" w:type="dxa"/>
            <w:vAlign w:val="bottom"/>
            <w:gridSpan w:val="3"/>
          </w:tcPr>
          <w:p>
            <w:pPr>
              <w:jc w:val="center"/>
              <w:ind w:left="174"/>
              <w:spacing w:after="0"/>
              <w:rPr>
                <w:sz w:val="20"/>
                <w:szCs w:val="20"/>
                <w:color w:val="auto"/>
              </w:rPr>
            </w:pPr>
            <w:r>
              <w:rPr>
                <w:rFonts w:ascii="Arial" w:cs="Arial" w:eastAsia="Arial" w:hAnsi="Arial"/>
                <w:sz w:val="18"/>
                <w:szCs w:val="18"/>
                <w:color w:val="auto"/>
                <w:w w:val="87"/>
              </w:rPr>
              <w:t>Senior Vice President</w:t>
            </w:r>
          </w:p>
        </w:tc>
        <w:tc>
          <w:tcPr>
            <w:tcW w:w="216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September 18, 2013</w:t>
            </w:r>
          </w:p>
        </w:tc>
      </w:tr>
      <w:tr>
        <w:trPr>
          <w:trHeight w:val="202"/>
        </w:trPr>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20" w:type="dxa"/>
            <w:vAlign w:val="bottom"/>
            <w:gridSpan w:val="4"/>
          </w:tcPr>
          <w:p>
            <w:pPr>
              <w:jc w:val="center"/>
              <w:ind w:right="1860"/>
              <w:spacing w:after="0"/>
              <w:rPr>
                <w:sz w:val="20"/>
                <w:szCs w:val="20"/>
                <w:color w:val="auto"/>
              </w:rPr>
            </w:pPr>
            <w:r>
              <w:rPr>
                <w:rFonts w:ascii="Arial" w:cs="Arial" w:eastAsia="Arial" w:hAnsi="Arial"/>
                <w:sz w:val="14"/>
                <w:szCs w:val="14"/>
                <w:b w:val="1"/>
                <w:bCs w:val="1"/>
                <w:color w:val="auto"/>
                <w:w w:val="86"/>
              </w:rPr>
              <w:t>Lawrence J. Salva</w:t>
            </w:r>
          </w:p>
        </w:tc>
        <w:tc>
          <w:tcPr>
            <w:tcW w:w="3860" w:type="dxa"/>
            <w:vAlign w:val="bottom"/>
            <w:gridSpan w:val="3"/>
          </w:tcPr>
          <w:p>
            <w:pPr>
              <w:jc w:val="center"/>
              <w:ind w:left="174"/>
              <w:spacing w:after="0" w:line="202" w:lineRule="exact"/>
              <w:rPr>
                <w:sz w:val="20"/>
                <w:szCs w:val="20"/>
                <w:color w:val="auto"/>
              </w:rPr>
            </w:pPr>
            <w:r>
              <w:rPr>
                <w:rFonts w:ascii="Arial" w:cs="Arial" w:eastAsia="Arial" w:hAnsi="Arial"/>
                <w:sz w:val="18"/>
                <w:szCs w:val="18"/>
                <w:color w:val="auto"/>
                <w:w w:val="92"/>
              </w:rPr>
              <w:t>(Principal Accounting Officer)</w:t>
            </w: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12"/>
        </w:trPr>
        <w:tc>
          <w:tcPr>
            <w:tcW w:w="460" w:type="dxa"/>
            <w:vAlign w:val="bottom"/>
          </w:tcPr>
          <w:p>
            <w:pPr>
              <w:spacing w:after="0"/>
              <w:rPr>
                <w:sz w:val="24"/>
                <w:szCs w:val="24"/>
                <w:color w:val="auto"/>
              </w:rPr>
            </w:pPr>
          </w:p>
        </w:tc>
        <w:tc>
          <w:tcPr>
            <w:tcW w:w="4620" w:type="dxa"/>
            <w:vAlign w:val="bottom"/>
            <w:gridSpan w:val="6"/>
          </w:tcPr>
          <w:p>
            <w:pPr>
              <w:ind w:left="460"/>
              <w:spacing w:after="0"/>
              <w:rPr>
                <w:sz w:val="20"/>
                <w:szCs w:val="20"/>
                <w:color w:val="auto"/>
              </w:rPr>
            </w:pPr>
            <w:r>
              <w:rPr>
                <w:rFonts w:ascii="Arial" w:cs="Arial" w:eastAsia="Arial" w:hAnsi="Arial"/>
                <w:sz w:val="18"/>
                <w:szCs w:val="18"/>
                <w:color w:val="auto"/>
              </w:rPr>
              <w:t>COMCAST HOLDINGS CORPORATION</w:t>
            </w:r>
          </w:p>
        </w:tc>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33"/>
        </w:trPr>
        <w:tc>
          <w:tcPr>
            <w:tcW w:w="1660" w:type="dxa"/>
            <w:vAlign w:val="bottom"/>
            <w:gridSpan w:val="2"/>
          </w:tcPr>
          <w:p>
            <w:pPr>
              <w:spacing w:after="0"/>
              <w:rPr>
                <w:sz w:val="20"/>
                <w:szCs w:val="20"/>
                <w:color w:val="auto"/>
              </w:rPr>
            </w:pPr>
            <w:r>
              <w:rPr>
                <w:rFonts w:ascii="Arial" w:cs="Arial" w:eastAsia="Arial" w:hAnsi="Arial"/>
                <w:sz w:val="18"/>
                <w:szCs w:val="18"/>
                <w:color w:val="auto"/>
              </w:rPr>
              <w:t>By:</w:t>
            </w:r>
          </w:p>
        </w:tc>
        <w:tc>
          <w:tcPr>
            <w:tcW w:w="200" w:type="dxa"/>
            <w:vAlign w:val="bottom"/>
          </w:tcPr>
          <w:p>
            <w:pPr>
              <w:ind w:left="20"/>
              <w:spacing w:after="0"/>
              <w:rPr>
                <w:sz w:val="20"/>
                <w:szCs w:val="20"/>
                <w:color w:val="auto"/>
              </w:rPr>
            </w:pPr>
            <w:r>
              <w:rPr>
                <w:rFonts w:ascii="Arial" w:cs="Arial" w:eastAsia="Arial" w:hAnsi="Arial"/>
                <w:sz w:val="18"/>
                <w:szCs w:val="18"/>
                <w:color w:val="auto"/>
                <w:w w:val="83"/>
              </w:rPr>
              <w:t>/s/</w:t>
            </w:r>
          </w:p>
        </w:tc>
        <w:tc>
          <w:tcPr>
            <w:tcW w:w="3220" w:type="dxa"/>
            <w:vAlign w:val="bottom"/>
            <w:gridSpan w:val="4"/>
          </w:tcPr>
          <w:p>
            <w:pPr>
              <w:jc w:val="center"/>
              <w:ind w:right="1560"/>
              <w:spacing w:after="0"/>
              <w:rPr>
                <w:sz w:val="20"/>
                <w:szCs w:val="20"/>
                <w:color w:val="auto"/>
              </w:rPr>
            </w:pPr>
            <w:r>
              <w:rPr>
                <w:rFonts w:ascii="Arial" w:cs="Arial" w:eastAsia="Arial" w:hAnsi="Arial"/>
                <w:sz w:val="18"/>
                <w:szCs w:val="18"/>
                <w:color w:val="auto"/>
                <w:w w:val="99"/>
              </w:rPr>
              <w:t>A</w:t>
            </w:r>
            <w:r>
              <w:rPr>
                <w:rFonts w:ascii="Arial" w:cs="Arial" w:eastAsia="Arial" w:hAnsi="Arial"/>
                <w:sz w:val="14"/>
                <w:szCs w:val="14"/>
                <w:color w:val="auto"/>
                <w:w w:val="99"/>
              </w:rPr>
              <w:t>RTHUR</w:t>
            </w:r>
            <w:r>
              <w:rPr>
                <w:rFonts w:ascii="Arial" w:cs="Arial" w:eastAsia="Arial" w:hAnsi="Arial"/>
                <w:sz w:val="18"/>
                <w:szCs w:val="18"/>
                <w:color w:val="auto"/>
                <w:w w:val="99"/>
              </w:rPr>
              <w:t xml:space="preserve"> R. B</w:t>
            </w:r>
            <w:r>
              <w:rPr>
                <w:rFonts w:ascii="Arial" w:cs="Arial" w:eastAsia="Arial" w:hAnsi="Arial"/>
                <w:sz w:val="14"/>
                <w:szCs w:val="14"/>
                <w:color w:val="auto"/>
                <w:w w:val="99"/>
              </w:rPr>
              <w:t>LOCK</w:t>
            </w:r>
          </w:p>
        </w:tc>
        <w:tc>
          <w:tcPr>
            <w:tcW w:w="3860" w:type="dxa"/>
            <w:vAlign w:val="bottom"/>
            <w:gridSpan w:val="3"/>
          </w:tcPr>
          <w:p>
            <w:pPr>
              <w:jc w:val="center"/>
              <w:ind w:left="194"/>
              <w:spacing w:after="0"/>
              <w:rPr>
                <w:sz w:val="20"/>
                <w:szCs w:val="20"/>
                <w:color w:val="auto"/>
              </w:rPr>
            </w:pPr>
            <w:r>
              <w:rPr>
                <w:rFonts w:ascii="Arial" w:cs="Arial" w:eastAsia="Arial" w:hAnsi="Arial"/>
                <w:sz w:val="18"/>
                <w:szCs w:val="18"/>
                <w:color w:val="auto"/>
                <w:w w:val="87"/>
              </w:rPr>
              <w:t>Sole Member</w:t>
            </w:r>
          </w:p>
        </w:tc>
        <w:tc>
          <w:tcPr>
            <w:tcW w:w="2160" w:type="dxa"/>
            <w:vAlign w:val="bottom"/>
            <w:gridSpan w:val="3"/>
          </w:tcPr>
          <w:p>
            <w:pPr>
              <w:jc w:val="center"/>
              <w:ind w:left="652"/>
              <w:spacing w:after="0"/>
              <w:rPr>
                <w:sz w:val="20"/>
                <w:szCs w:val="20"/>
                <w:color w:val="auto"/>
              </w:rPr>
            </w:pPr>
            <w:r>
              <w:rPr>
                <w:rFonts w:ascii="Arial" w:cs="Arial" w:eastAsia="Arial" w:hAnsi="Arial"/>
                <w:sz w:val="18"/>
                <w:szCs w:val="18"/>
                <w:color w:val="auto"/>
                <w:w w:val="87"/>
              </w:rPr>
              <w:t>September 18, 2013</w:t>
            </w:r>
          </w:p>
        </w:tc>
      </w:tr>
      <w:tr>
        <w:trPr>
          <w:trHeight w:val="130"/>
        </w:trPr>
        <w:tc>
          <w:tcPr>
            <w:tcW w:w="460" w:type="dxa"/>
            <w:vAlign w:val="bottom"/>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040" w:type="dxa"/>
            <w:vAlign w:val="bottom"/>
            <w:tcBorders>
              <w:top w:val="single" w:sz="8" w:color="auto"/>
            </w:tcBorders>
            <w:gridSpan w:val="3"/>
          </w:tcPr>
          <w:p>
            <w:pPr>
              <w:jc w:val="center"/>
              <w:ind w:right="1420"/>
              <w:spacing w:after="0" w:line="131" w:lineRule="exact"/>
              <w:rPr>
                <w:sz w:val="20"/>
                <w:szCs w:val="20"/>
                <w:color w:val="auto"/>
              </w:rPr>
            </w:pPr>
            <w:r>
              <w:rPr>
                <w:rFonts w:ascii="Arial" w:cs="Arial" w:eastAsia="Arial" w:hAnsi="Arial"/>
                <w:sz w:val="14"/>
                <w:szCs w:val="14"/>
                <w:b w:val="1"/>
                <w:bCs w:val="1"/>
                <w:color w:val="auto"/>
                <w:w w:val="91"/>
              </w:rPr>
              <w:t>Arthur R. Block</w:t>
            </w:r>
          </w:p>
        </w:tc>
        <w:tc>
          <w:tcPr>
            <w:tcW w:w="1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74"/>
        </w:trPr>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20" w:type="dxa"/>
            <w:vAlign w:val="bottom"/>
            <w:gridSpan w:val="4"/>
          </w:tcPr>
          <w:p>
            <w:pPr>
              <w:jc w:val="center"/>
              <w:ind w:right="1580"/>
              <w:spacing w:after="0"/>
              <w:rPr>
                <w:sz w:val="20"/>
                <w:szCs w:val="20"/>
                <w:color w:val="auto"/>
              </w:rPr>
            </w:pPr>
            <w:r>
              <w:rPr>
                <w:rFonts w:ascii="Arial" w:cs="Arial" w:eastAsia="Arial" w:hAnsi="Arial"/>
                <w:sz w:val="14"/>
                <w:szCs w:val="14"/>
                <w:b w:val="1"/>
                <w:bCs w:val="1"/>
                <w:color w:val="auto"/>
                <w:w w:val="86"/>
              </w:rPr>
              <w:t>Senior Vice President</w:t>
            </w:r>
          </w:p>
        </w:tc>
        <w:tc>
          <w:tcPr>
            <w:tcW w:w="1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363"/>
        </w:trPr>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60" w:type="dxa"/>
            <w:vAlign w:val="bottom"/>
            <w:gridSpan w:val="3"/>
          </w:tcPr>
          <w:p>
            <w:pPr>
              <w:ind w:left="460"/>
              <w:spacing w:after="0"/>
              <w:rPr>
                <w:sz w:val="20"/>
                <w:szCs w:val="20"/>
                <w:color w:val="auto"/>
              </w:rPr>
            </w:pPr>
            <w:r>
              <w:rPr>
                <w:rFonts w:ascii="Arial" w:cs="Arial" w:eastAsia="Arial" w:hAnsi="Arial"/>
                <w:sz w:val="18"/>
                <w:szCs w:val="18"/>
                <w:color w:val="auto"/>
              </w:rPr>
              <w:t>II-12</w:t>
            </w: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CABLE HOLDINGS, LLC</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Comcast Cable Holdings, LLC certifies that it has reasonable grounds to believe that it meets all of the requirements for filing on Form S-3 and has duly caused this Registration Statement to be signed on its behalf by the undersigned, thereunto duly authorized, in the City of Philadelphia, State of Pennsylvania, on September 18, 2013.</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CABLE HOLDINGS,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R. B</w:t>
            </w:r>
            <w:r>
              <w:rPr>
                <w:rFonts w:ascii="Arial" w:cs="Arial" w:eastAsia="Arial" w:hAnsi="Arial"/>
                <w:sz w:val="14"/>
                <w:szCs w:val="14"/>
                <w:color w:val="auto"/>
              </w:rPr>
              <w:t>LOCK</w:t>
            </w:r>
          </w:p>
        </w:tc>
      </w:tr>
      <w:tr>
        <w:trPr>
          <w:trHeight w:val="190"/>
        </w:trPr>
        <w:tc>
          <w:tcPr>
            <w:tcW w:w="540" w:type="dxa"/>
            <w:vAlign w:val="bottom"/>
          </w:tcPr>
          <w:p>
            <w:pPr>
              <w:spacing w:after="0" w:line="190" w:lineRule="exact"/>
              <w:rPr>
                <w:sz w:val="20"/>
                <w:szCs w:val="20"/>
                <w:color w:val="auto"/>
              </w:rPr>
            </w:pPr>
            <w:r>
              <w:rPr>
                <w:rFonts w:ascii="Arial" w:cs="Arial" w:eastAsia="Arial" w:hAnsi="Arial"/>
                <w:sz w:val="18"/>
                <w:szCs w:val="18"/>
                <w:color w:val="auto"/>
                <w:w w:val="98"/>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91"/>
              </w:rPr>
              <w:t>Arthur R. Block</w:t>
            </w: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6"/>
              </w:rPr>
              <w:t>Senior Vice President</w:t>
            </w:r>
          </w:p>
        </w:tc>
      </w:tr>
    </w:tbl>
    <w:p>
      <w:pPr>
        <w:spacing w:after="0" w:line="14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hereby constitutes and appoints Brian L. Roberts, Michael J. Angelakis, David L. Cohen, Lawrence J. Salva and Arthur R. Block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40" w:type="dxa"/>
            <w:vAlign w:val="bottom"/>
            <w:gridSpan w:val="2"/>
          </w:tcPr>
          <w:p>
            <w:pPr>
              <w:spacing w:after="0"/>
              <w:rPr>
                <w:sz w:val="14"/>
                <w:szCs w:val="14"/>
                <w:color w:val="auto"/>
              </w:rPr>
            </w:pPr>
          </w:p>
        </w:tc>
        <w:tc>
          <w:tcPr>
            <w:tcW w:w="3860" w:type="dxa"/>
            <w:vAlign w:val="bottom"/>
            <w:gridSpan w:val="3"/>
          </w:tcPr>
          <w:p>
            <w:pPr>
              <w:jc w:val="center"/>
              <w:ind w:left="194"/>
              <w:spacing w:after="0"/>
              <w:rPr>
                <w:sz w:val="20"/>
                <w:szCs w:val="20"/>
                <w:color w:val="auto"/>
              </w:rPr>
            </w:pPr>
            <w:r>
              <w:rPr>
                <w:rFonts w:ascii="Arial" w:cs="Arial" w:eastAsia="Arial" w:hAnsi="Arial"/>
                <w:sz w:val="14"/>
                <w:szCs w:val="14"/>
                <w:b w:val="1"/>
                <w:bCs w:val="1"/>
                <w:color w:val="auto"/>
                <w:w w:val="90"/>
              </w:rPr>
              <w:t>Title</w:t>
            </w:r>
          </w:p>
        </w:tc>
        <w:tc>
          <w:tcPr>
            <w:tcW w:w="1300" w:type="dxa"/>
            <w:vAlign w:val="bottom"/>
          </w:tcPr>
          <w:p>
            <w:pPr>
              <w:spacing w:after="0"/>
              <w:rPr>
                <w:sz w:val="14"/>
                <w:szCs w:val="14"/>
                <w:color w:val="auto"/>
              </w:rPr>
            </w:pPr>
          </w:p>
        </w:tc>
        <w:tc>
          <w:tcPr>
            <w:tcW w:w="8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4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24"/>
        </w:trPr>
        <w:tc>
          <w:tcPr>
            <w:tcW w:w="4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ind w:left="108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4"/>
          </w:tcPr>
          <w:p>
            <w:pPr>
              <w:jc w:val="center"/>
              <w:ind w:right="1800"/>
              <w:spacing w:after="0"/>
              <w:rPr>
                <w:sz w:val="20"/>
                <w:szCs w:val="20"/>
                <w:color w:val="auto"/>
              </w:rPr>
            </w:pPr>
            <w:r>
              <w:rPr>
                <w:rFonts w:ascii="Arial" w:cs="Arial" w:eastAsia="Arial" w:hAnsi="Arial"/>
                <w:sz w:val="18"/>
                <w:szCs w:val="18"/>
                <w:color w:val="auto"/>
                <w:w w:val="97"/>
              </w:rPr>
              <w:t>B</w:t>
            </w:r>
            <w:r>
              <w:rPr>
                <w:rFonts w:ascii="Arial" w:cs="Arial" w:eastAsia="Arial" w:hAnsi="Arial"/>
                <w:sz w:val="14"/>
                <w:szCs w:val="14"/>
                <w:color w:val="auto"/>
                <w:w w:val="97"/>
              </w:rPr>
              <w:t>RIAN</w:t>
            </w:r>
            <w:r>
              <w:rPr>
                <w:rFonts w:ascii="Arial" w:cs="Arial" w:eastAsia="Arial" w:hAnsi="Arial"/>
                <w:sz w:val="18"/>
                <w:szCs w:val="18"/>
                <w:color w:val="auto"/>
                <w:w w:val="97"/>
              </w:rPr>
              <w:t xml:space="preserve"> L. R</w:t>
            </w:r>
            <w:r>
              <w:rPr>
                <w:rFonts w:ascii="Arial" w:cs="Arial" w:eastAsia="Arial" w:hAnsi="Arial"/>
                <w:sz w:val="14"/>
                <w:szCs w:val="14"/>
                <w:color w:val="auto"/>
                <w:w w:val="97"/>
              </w:rPr>
              <w:t>OBERTS</w:t>
            </w:r>
          </w:p>
        </w:tc>
        <w:tc>
          <w:tcPr>
            <w:tcW w:w="3860" w:type="dxa"/>
            <w:vAlign w:val="bottom"/>
            <w:gridSpan w:val="3"/>
          </w:tcPr>
          <w:p>
            <w:pPr>
              <w:jc w:val="center"/>
              <w:ind w:left="194"/>
              <w:spacing w:after="0"/>
              <w:rPr>
                <w:sz w:val="20"/>
                <w:szCs w:val="20"/>
                <w:color w:val="auto"/>
              </w:rPr>
            </w:pPr>
            <w:r>
              <w:rPr>
                <w:rFonts w:ascii="Arial" w:cs="Arial" w:eastAsia="Arial" w:hAnsi="Arial"/>
                <w:sz w:val="18"/>
                <w:szCs w:val="18"/>
                <w:color w:val="auto"/>
                <w:w w:val="89"/>
              </w:rPr>
              <w:t>Chairman</w:t>
            </w:r>
          </w:p>
        </w:tc>
        <w:tc>
          <w:tcPr>
            <w:tcW w:w="216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September 18, 2013</w:t>
            </w:r>
          </w:p>
        </w:tc>
      </w:tr>
      <w:tr>
        <w:trPr>
          <w:trHeight w:val="202"/>
        </w:trPr>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20" w:type="dxa"/>
            <w:vAlign w:val="bottom"/>
            <w:gridSpan w:val="4"/>
          </w:tcPr>
          <w:p>
            <w:pPr>
              <w:jc w:val="center"/>
              <w:ind w:right="1860"/>
              <w:spacing w:after="0"/>
              <w:rPr>
                <w:sz w:val="20"/>
                <w:szCs w:val="20"/>
                <w:color w:val="auto"/>
              </w:rPr>
            </w:pPr>
            <w:r>
              <w:rPr>
                <w:rFonts w:ascii="Arial" w:cs="Arial" w:eastAsia="Arial" w:hAnsi="Arial"/>
                <w:sz w:val="14"/>
                <w:szCs w:val="14"/>
                <w:b w:val="1"/>
                <w:bCs w:val="1"/>
                <w:color w:val="auto"/>
                <w:w w:val="88"/>
              </w:rPr>
              <w:t>Brian L. Roberts</w:t>
            </w:r>
          </w:p>
        </w:tc>
        <w:tc>
          <w:tcPr>
            <w:tcW w:w="3860" w:type="dxa"/>
            <w:vAlign w:val="bottom"/>
            <w:gridSpan w:val="3"/>
          </w:tcPr>
          <w:p>
            <w:pPr>
              <w:jc w:val="center"/>
              <w:ind w:left="174"/>
              <w:spacing w:after="0" w:line="202" w:lineRule="exact"/>
              <w:rPr>
                <w:sz w:val="20"/>
                <w:szCs w:val="20"/>
                <w:color w:val="auto"/>
              </w:rPr>
            </w:pPr>
            <w:r>
              <w:rPr>
                <w:rFonts w:ascii="Arial" w:cs="Arial" w:eastAsia="Arial" w:hAnsi="Arial"/>
                <w:sz w:val="18"/>
                <w:szCs w:val="18"/>
                <w:color w:val="auto"/>
                <w:w w:val="91"/>
              </w:rPr>
              <w:t>(Principal Executive Officer)</w:t>
            </w: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39"/>
        </w:trPr>
        <w:tc>
          <w:tcPr>
            <w:tcW w:w="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/s/</w:t>
            </w:r>
          </w:p>
        </w:tc>
        <w:tc>
          <w:tcPr>
            <w:tcW w:w="3420" w:type="dxa"/>
            <w:vAlign w:val="bottom"/>
            <w:tcBorders>
              <w:bottom w:val="single" w:sz="8" w:color="auto"/>
            </w:tcBorders>
            <w:gridSpan w:val="5"/>
          </w:tcPr>
          <w:p>
            <w:pPr>
              <w:jc w:val="center"/>
              <w:ind w:right="160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ICHAEL</w:t>
            </w:r>
            <w:r>
              <w:rPr>
                <w:rFonts w:ascii="Arial" w:cs="Arial" w:eastAsia="Arial" w:hAnsi="Arial"/>
                <w:sz w:val="18"/>
                <w:szCs w:val="18"/>
                <w:color w:val="auto"/>
              </w:rPr>
              <w:t xml:space="preserve"> J. A</w:t>
            </w:r>
            <w:r>
              <w:rPr>
                <w:rFonts w:ascii="Arial" w:cs="Arial" w:eastAsia="Arial" w:hAnsi="Arial"/>
                <w:sz w:val="14"/>
                <w:szCs w:val="14"/>
                <w:color w:val="auto"/>
              </w:rPr>
              <w:t>NGELAKIS</w:t>
            </w:r>
          </w:p>
        </w:tc>
        <w:tc>
          <w:tcPr>
            <w:tcW w:w="3860" w:type="dxa"/>
            <w:vAlign w:val="bottom"/>
            <w:gridSpan w:val="3"/>
          </w:tcPr>
          <w:p>
            <w:pPr>
              <w:jc w:val="center"/>
              <w:ind w:left="174"/>
              <w:spacing w:after="0"/>
              <w:rPr>
                <w:sz w:val="20"/>
                <w:szCs w:val="20"/>
                <w:color w:val="auto"/>
              </w:rPr>
            </w:pPr>
            <w:r>
              <w:rPr>
                <w:rFonts w:ascii="Arial" w:cs="Arial" w:eastAsia="Arial" w:hAnsi="Arial"/>
                <w:sz w:val="18"/>
                <w:szCs w:val="18"/>
                <w:color w:val="auto"/>
                <w:w w:val="88"/>
              </w:rPr>
              <w:t>Executive Vice President</w:t>
            </w:r>
          </w:p>
        </w:tc>
        <w:tc>
          <w:tcPr>
            <w:tcW w:w="216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September 18, 2013</w:t>
            </w:r>
          </w:p>
        </w:tc>
      </w:tr>
      <w:tr>
        <w:trPr>
          <w:trHeight w:val="202"/>
        </w:trPr>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20" w:type="dxa"/>
            <w:vAlign w:val="bottom"/>
            <w:gridSpan w:val="4"/>
          </w:tcPr>
          <w:p>
            <w:pPr>
              <w:jc w:val="center"/>
              <w:ind w:right="1860"/>
              <w:spacing w:after="0"/>
              <w:rPr>
                <w:sz w:val="20"/>
                <w:szCs w:val="20"/>
                <w:color w:val="auto"/>
              </w:rPr>
            </w:pPr>
            <w:r>
              <w:rPr>
                <w:rFonts w:ascii="Arial" w:cs="Arial" w:eastAsia="Arial" w:hAnsi="Arial"/>
                <w:sz w:val="14"/>
                <w:szCs w:val="14"/>
                <w:b w:val="1"/>
                <w:bCs w:val="1"/>
                <w:color w:val="auto"/>
                <w:w w:val="87"/>
              </w:rPr>
              <w:t>Michael J. Angelakis</w:t>
            </w:r>
          </w:p>
        </w:tc>
        <w:tc>
          <w:tcPr>
            <w:tcW w:w="3860" w:type="dxa"/>
            <w:vAlign w:val="bottom"/>
            <w:gridSpan w:val="3"/>
          </w:tcPr>
          <w:p>
            <w:pPr>
              <w:jc w:val="center"/>
              <w:ind w:left="174"/>
              <w:spacing w:after="0" w:line="202" w:lineRule="exact"/>
              <w:rPr>
                <w:sz w:val="20"/>
                <w:szCs w:val="20"/>
                <w:color w:val="auto"/>
              </w:rPr>
            </w:pPr>
            <w:r>
              <w:rPr>
                <w:rFonts w:ascii="Arial" w:cs="Arial" w:eastAsia="Arial" w:hAnsi="Arial"/>
                <w:sz w:val="18"/>
                <w:szCs w:val="18"/>
                <w:color w:val="auto"/>
                <w:w w:val="92"/>
              </w:rPr>
              <w:t>(Principal Financial Officer)</w:t>
            </w: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39"/>
        </w:trPr>
        <w:tc>
          <w:tcPr>
            <w:tcW w:w="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w w:val="83"/>
              </w:rPr>
              <w:t>/s/</w:t>
            </w:r>
          </w:p>
        </w:tc>
        <w:tc>
          <w:tcPr>
            <w:tcW w:w="3420" w:type="dxa"/>
            <w:vAlign w:val="bottom"/>
            <w:tcBorders>
              <w:bottom w:val="single" w:sz="8" w:color="auto"/>
            </w:tcBorders>
            <w:gridSpan w:val="5"/>
          </w:tcPr>
          <w:p>
            <w:pPr>
              <w:jc w:val="center"/>
              <w:ind w:right="1600"/>
              <w:spacing w:after="0"/>
              <w:rPr>
                <w:sz w:val="20"/>
                <w:szCs w:val="20"/>
                <w:color w:val="auto"/>
              </w:rPr>
            </w:pPr>
            <w:r>
              <w:rPr>
                <w:rFonts w:ascii="Arial" w:cs="Arial" w:eastAsia="Arial" w:hAnsi="Arial"/>
                <w:sz w:val="18"/>
                <w:szCs w:val="18"/>
                <w:color w:val="auto"/>
                <w:w w:val="97"/>
              </w:rPr>
              <w:t>L</w:t>
            </w:r>
            <w:r>
              <w:rPr>
                <w:rFonts w:ascii="Arial" w:cs="Arial" w:eastAsia="Arial" w:hAnsi="Arial"/>
                <w:sz w:val="14"/>
                <w:szCs w:val="14"/>
                <w:color w:val="auto"/>
                <w:w w:val="97"/>
              </w:rPr>
              <w:t>AWRENCE</w:t>
            </w:r>
            <w:r>
              <w:rPr>
                <w:rFonts w:ascii="Arial" w:cs="Arial" w:eastAsia="Arial" w:hAnsi="Arial"/>
                <w:sz w:val="18"/>
                <w:szCs w:val="18"/>
                <w:color w:val="auto"/>
                <w:w w:val="97"/>
              </w:rPr>
              <w:t xml:space="preserve"> J. S</w:t>
            </w:r>
            <w:r>
              <w:rPr>
                <w:rFonts w:ascii="Arial" w:cs="Arial" w:eastAsia="Arial" w:hAnsi="Arial"/>
                <w:sz w:val="14"/>
                <w:szCs w:val="14"/>
                <w:color w:val="auto"/>
                <w:w w:val="97"/>
              </w:rPr>
              <w:t>ALVA</w:t>
            </w:r>
          </w:p>
        </w:tc>
        <w:tc>
          <w:tcPr>
            <w:tcW w:w="3860" w:type="dxa"/>
            <w:vAlign w:val="bottom"/>
            <w:gridSpan w:val="3"/>
          </w:tcPr>
          <w:p>
            <w:pPr>
              <w:jc w:val="center"/>
              <w:ind w:left="174"/>
              <w:spacing w:after="0"/>
              <w:rPr>
                <w:sz w:val="20"/>
                <w:szCs w:val="20"/>
                <w:color w:val="auto"/>
              </w:rPr>
            </w:pPr>
            <w:r>
              <w:rPr>
                <w:rFonts w:ascii="Arial" w:cs="Arial" w:eastAsia="Arial" w:hAnsi="Arial"/>
                <w:sz w:val="18"/>
                <w:szCs w:val="18"/>
                <w:color w:val="auto"/>
                <w:w w:val="87"/>
              </w:rPr>
              <w:t>Senior Vice President</w:t>
            </w:r>
          </w:p>
        </w:tc>
        <w:tc>
          <w:tcPr>
            <w:tcW w:w="216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September 18, 2013</w:t>
            </w:r>
          </w:p>
        </w:tc>
      </w:tr>
      <w:tr>
        <w:trPr>
          <w:trHeight w:val="202"/>
        </w:trPr>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20" w:type="dxa"/>
            <w:vAlign w:val="bottom"/>
            <w:gridSpan w:val="4"/>
          </w:tcPr>
          <w:p>
            <w:pPr>
              <w:jc w:val="center"/>
              <w:ind w:right="1860"/>
              <w:spacing w:after="0"/>
              <w:rPr>
                <w:sz w:val="20"/>
                <w:szCs w:val="20"/>
                <w:color w:val="auto"/>
              </w:rPr>
            </w:pPr>
            <w:r>
              <w:rPr>
                <w:rFonts w:ascii="Arial" w:cs="Arial" w:eastAsia="Arial" w:hAnsi="Arial"/>
                <w:sz w:val="14"/>
                <w:szCs w:val="14"/>
                <w:b w:val="1"/>
                <w:bCs w:val="1"/>
                <w:color w:val="auto"/>
                <w:w w:val="86"/>
              </w:rPr>
              <w:t>Lawrence J. Salva</w:t>
            </w:r>
          </w:p>
        </w:tc>
        <w:tc>
          <w:tcPr>
            <w:tcW w:w="3860" w:type="dxa"/>
            <w:vAlign w:val="bottom"/>
            <w:gridSpan w:val="3"/>
          </w:tcPr>
          <w:p>
            <w:pPr>
              <w:jc w:val="center"/>
              <w:ind w:left="174"/>
              <w:spacing w:after="0" w:line="202" w:lineRule="exact"/>
              <w:rPr>
                <w:sz w:val="20"/>
                <w:szCs w:val="20"/>
                <w:color w:val="auto"/>
              </w:rPr>
            </w:pPr>
            <w:r>
              <w:rPr>
                <w:rFonts w:ascii="Arial" w:cs="Arial" w:eastAsia="Arial" w:hAnsi="Arial"/>
                <w:sz w:val="18"/>
                <w:szCs w:val="18"/>
                <w:color w:val="auto"/>
                <w:w w:val="92"/>
              </w:rPr>
              <w:t>(Principal Accounting Officer)</w:t>
            </w: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12"/>
        </w:trPr>
        <w:tc>
          <w:tcPr>
            <w:tcW w:w="5080" w:type="dxa"/>
            <w:vAlign w:val="bottom"/>
            <w:gridSpan w:val="7"/>
          </w:tcPr>
          <w:p>
            <w:pPr>
              <w:spacing w:after="0"/>
              <w:rPr>
                <w:sz w:val="20"/>
                <w:szCs w:val="20"/>
                <w:color w:val="auto"/>
              </w:rPr>
            </w:pPr>
            <w:r>
              <w:rPr>
                <w:rFonts w:ascii="Arial" w:cs="Arial" w:eastAsia="Arial" w:hAnsi="Arial"/>
                <w:sz w:val="18"/>
                <w:szCs w:val="18"/>
                <w:color w:val="auto"/>
              </w:rPr>
              <w:t>COMCAST CABLE COMMUNICATIONS, LLC</w:t>
            </w:r>
          </w:p>
        </w:tc>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33"/>
        </w:trPr>
        <w:tc>
          <w:tcPr>
            <w:tcW w:w="1660" w:type="dxa"/>
            <w:vAlign w:val="bottom"/>
            <w:gridSpan w:val="2"/>
          </w:tcPr>
          <w:p>
            <w:pPr>
              <w:spacing w:after="0"/>
              <w:rPr>
                <w:sz w:val="20"/>
                <w:szCs w:val="20"/>
                <w:color w:val="auto"/>
              </w:rPr>
            </w:pPr>
            <w:r>
              <w:rPr>
                <w:rFonts w:ascii="Arial" w:cs="Arial" w:eastAsia="Arial" w:hAnsi="Arial"/>
                <w:sz w:val="18"/>
                <w:szCs w:val="18"/>
                <w:color w:val="auto"/>
              </w:rPr>
              <w:t>By:</w:t>
            </w:r>
          </w:p>
        </w:tc>
        <w:tc>
          <w:tcPr>
            <w:tcW w:w="200" w:type="dxa"/>
            <w:vAlign w:val="bottom"/>
          </w:tcPr>
          <w:p>
            <w:pPr>
              <w:ind w:left="20"/>
              <w:spacing w:after="0"/>
              <w:rPr>
                <w:sz w:val="20"/>
                <w:szCs w:val="20"/>
                <w:color w:val="auto"/>
              </w:rPr>
            </w:pPr>
            <w:r>
              <w:rPr>
                <w:rFonts w:ascii="Arial" w:cs="Arial" w:eastAsia="Arial" w:hAnsi="Arial"/>
                <w:sz w:val="18"/>
                <w:szCs w:val="18"/>
                <w:color w:val="auto"/>
                <w:w w:val="83"/>
              </w:rPr>
              <w:t>/s/</w:t>
            </w:r>
          </w:p>
        </w:tc>
        <w:tc>
          <w:tcPr>
            <w:tcW w:w="3220" w:type="dxa"/>
            <w:vAlign w:val="bottom"/>
            <w:gridSpan w:val="4"/>
          </w:tcPr>
          <w:p>
            <w:pPr>
              <w:jc w:val="center"/>
              <w:ind w:right="1560"/>
              <w:spacing w:after="0"/>
              <w:rPr>
                <w:sz w:val="20"/>
                <w:szCs w:val="20"/>
                <w:color w:val="auto"/>
              </w:rPr>
            </w:pPr>
            <w:r>
              <w:rPr>
                <w:rFonts w:ascii="Arial" w:cs="Arial" w:eastAsia="Arial" w:hAnsi="Arial"/>
                <w:sz w:val="18"/>
                <w:szCs w:val="18"/>
                <w:color w:val="auto"/>
                <w:w w:val="99"/>
              </w:rPr>
              <w:t>A</w:t>
            </w:r>
            <w:r>
              <w:rPr>
                <w:rFonts w:ascii="Arial" w:cs="Arial" w:eastAsia="Arial" w:hAnsi="Arial"/>
                <w:sz w:val="14"/>
                <w:szCs w:val="14"/>
                <w:color w:val="auto"/>
                <w:w w:val="99"/>
              </w:rPr>
              <w:t>RTHUR</w:t>
            </w:r>
            <w:r>
              <w:rPr>
                <w:rFonts w:ascii="Arial" w:cs="Arial" w:eastAsia="Arial" w:hAnsi="Arial"/>
                <w:sz w:val="18"/>
                <w:szCs w:val="18"/>
                <w:color w:val="auto"/>
                <w:w w:val="99"/>
              </w:rPr>
              <w:t xml:space="preserve"> R. B</w:t>
            </w:r>
            <w:r>
              <w:rPr>
                <w:rFonts w:ascii="Arial" w:cs="Arial" w:eastAsia="Arial" w:hAnsi="Arial"/>
                <w:sz w:val="14"/>
                <w:szCs w:val="14"/>
                <w:color w:val="auto"/>
                <w:w w:val="99"/>
              </w:rPr>
              <w:t>LOCK</w:t>
            </w:r>
          </w:p>
        </w:tc>
        <w:tc>
          <w:tcPr>
            <w:tcW w:w="3860" w:type="dxa"/>
            <w:vAlign w:val="bottom"/>
            <w:gridSpan w:val="3"/>
          </w:tcPr>
          <w:p>
            <w:pPr>
              <w:jc w:val="center"/>
              <w:ind w:left="194"/>
              <w:spacing w:after="0"/>
              <w:rPr>
                <w:sz w:val="20"/>
                <w:szCs w:val="20"/>
                <w:color w:val="auto"/>
              </w:rPr>
            </w:pPr>
            <w:r>
              <w:rPr>
                <w:rFonts w:ascii="Arial" w:cs="Arial" w:eastAsia="Arial" w:hAnsi="Arial"/>
                <w:sz w:val="18"/>
                <w:szCs w:val="18"/>
                <w:color w:val="auto"/>
                <w:w w:val="87"/>
              </w:rPr>
              <w:t>Sole Member</w:t>
            </w:r>
          </w:p>
        </w:tc>
        <w:tc>
          <w:tcPr>
            <w:tcW w:w="2160" w:type="dxa"/>
            <w:vAlign w:val="bottom"/>
            <w:gridSpan w:val="3"/>
          </w:tcPr>
          <w:p>
            <w:pPr>
              <w:jc w:val="center"/>
              <w:ind w:left="652"/>
              <w:spacing w:after="0"/>
              <w:rPr>
                <w:sz w:val="20"/>
                <w:szCs w:val="20"/>
                <w:color w:val="auto"/>
              </w:rPr>
            </w:pPr>
            <w:r>
              <w:rPr>
                <w:rFonts w:ascii="Arial" w:cs="Arial" w:eastAsia="Arial" w:hAnsi="Arial"/>
                <w:sz w:val="18"/>
                <w:szCs w:val="18"/>
                <w:color w:val="auto"/>
                <w:w w:val="87"/>
              </w:rPr>
              <w:t>September 18, 2013</w:t>
            </w:r>
          </w:p>
        </w:tc>
      </w:tr>
      <w:tr>
        <w:trPr>
          <w:trHeight w:val="130"/>
        </w:trPr>
        <w:tc>
          <w:tcPr>
            <w:tcW w:w="460" w:type="dxa"/>
            <w:vAlign w:val="bottom"/>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040" w:type="dxa"/>
            <w:vAlign w:val="bottom"/>
            <w:tcBorders>
              <w:top w:val="single" w:sz="8" w:color="auto"/>
            </w:tcBorders>
            <w:gridSpan w:val="3"/>
          </w:tcPr>
          <w:p>
            <w:pPr>
              <w:jc w:val="center"/>
              <w:ind w:right="1420"/>
              <w:spacing w:after="0" w:line="131" w:lineRule="exact"/>
              <w:rPr>
                <w:sz w:val="20"/>
                <w:szCs w:val="20"/>
                <w:color w:val="auto"/>
              </w:rPr>
            </w:pPr>
            <w:r>
              <w:rPr>
                <w:rFonts w:ascii="Arial" w:cs="Arial" w:eastAsia="Arial" w:hAnsi="Arial"/>
                <w:sz w:val="14"/>
                <w:szCs w:val="14"/>
                <w:b w:val="1"/>
                <w:bCs w:val="1"/>
                <w:color w:val="auto"/>
                <w:w w:val="91"/>
              </w:rPr>
              <w:t>Arthur R. Block</w:t>
            </w:r>
          </w:p>
        </w:tc>
        <w:tc>
          <w:tcPr>
            <w:tcW w:w="1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74"/>
        </w:trPr>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20" w:type="dxa"/>
            <w:vAlign w:val="bottom"/>
            <w:gridSpan w:val="4"/>
          </w:tcPr>
          <w:p>
            <w:pPr>
              <w:jc w:val="center"/>
              <w:ind w:right="1580"/>
              <w:spacing w:after="0"/>
              <w:rPr>
                <w:sz w:val="20"/>
                <w:szCs w:val="20"/>
                <w:color w:val="auto"/>
              </w:rPr>
            </w:pPr>
            <w:r>
              <w:rPr>
                <w:rFonts w:ascii="Arial" w:cs="Arial" w:eastAsia="Arial" w:hAnsi="Arial"/>
                <w:sz w:val="14"/>
                <w:szCs w:val="14"/>
                <w:b w:val="1"/>
                <w:bCs w:val="1"/>
                <w:color w:val="auto"/>
                <w:w w:val="86"/>
              </w:rPr>
              <w:t>Senior Vice President</w:t>
            </w:r>
          </w:p>
        </w:tc>
        <w:tc>
          <w:tcPr>
            <w:tcW w:w="1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363"/>
        </w:trPr>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60" w:type="dxa"/>
            <w:vAlign w:val="bottom"/>
            <w:gridSpan w:val="3"/>
          </w:tcPr>
          <w:p>
            <w:pPr>
              <w:ind w:left="460"/>
              <w:spacing w:after="0"/>
              <w:rPr>
                <w:sz w:val="20"/>
                <w:szCs w:val="20"/>
                <w:color w:val="auto"/>
              </w:rPr>
            </w:pPr>
            <w:r>
              <w:rPr>
                <w:rFonts w:ascii="Arial" w:cs="Arial" w:eastAsia="Arial" w:hAnsi="Arial"/>
                <w:sz w:val="18"/>
                <w:szCs w:val="18"/>
                <w:color w:val="auto"/>
              </w:rPr>
              <w:t>II-13</w:t>
            </w: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 FOR COMCAST MO GROUP, INC.</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Comcast MO Group, Inc. certifies that it has reasonable grounds to believe that it meets all of the requirements for filing on Form S-3 and has duly caused this Registration Statement to be signed on its behalf by the undersigned, thereunto duly authorized, in the City of Philadelphia, State of Pennsylvania, on September 18, 2013.</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MO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R. B</w:t>
            </w:r>
            <w:r>
              <w:rPr>
                <w:rFonts w:ascii="Arial" w:cs="Arial" w:eastAsia="Arial" w:hAnsi="Arial"/>
                <w:sz w:val="14"/>
                <w:szCs w:val="14"/>
                <w:color w:val="auto"/>
              </w:rPr>
              <w:t>LOCK</w:t>
            </w:r>
          </w:p>
        </w:tc>
      </w:tr>
      <w:tr>
        <w:trPr>
          <w:trHeight w:val="190"/>
        </w:trPr>
        <w:tc>
          <w:tcPr>
            <w:tcW w:w="540" w:type="dxa"/>
            <w:vAlign w:val="bottom"/>
          </w:tcPr>
          <w:p>
            <w:pPr>
              <w:spacing w:after="0" w:line="190" w:lineRule="exact"/>
              <w:rPr>
                <w:sz w:val="20"/>
                <w:szCs w:val="20"/>
                <w:color w:val="auto"/>
              </w:rPr>
            </w:pPr>
            <w:r>
              <w:rPr>
                <w:rFonts w:ascii="Arial" w:cs="Arial" w:eastAsia="Arial" w:hAnsi="Arial"/>
                <w:sz w:val="18"/>
                <w:szCs w:val="18"/>
                <w:color w:val="auto"/>
                <w:w w:val="98"/>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91"/>
              </w:rPr>
              <w:t>Arthur R. Block</w:t>
            </w: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6"/>
              </w:rPr>
              <w:t>Senior Vice President</w:t>
            </w:r>
          </w:p>
        </w:tc>
      </w:tr>
    </w:tbl>
    <w:p>
      <w:pPr>
        <w:spacing w:after="0" w:line="14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hereby constitutes and appoints Brian L. Roberts, Michael J. Angelakis, David L. Cohen, Lawrence J. Salva and Arthur R. Block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40" w:type="dxa"/>
            <w:vAlign w:val="bottom"/>
          </w:tcPr>
          <w:p>
            <w:pPr>
              <w:spacing w:after="0"/>
              <w:rPr>
                <w:sz w:val="14"/>
                <w:szCs w:val="14"/>
                <w:color w:val="auto"/>
              </w:rPr>
            </w:pPr>
          </w:p>
        </w:tc>
        <w:tc>
          <w:tcPr>
            <w:tcW w:w="3940" w:type="dxa"/>
            <w:vAlign w:val="bottom"/>
            <w:gridSpan w:val="3"/>
          </w:tcPr>
          <w:p>
            <w:pPr>
              <w:jc w:val="center"/>
              <w:ind w:left="114"/>
              <w:spacing w:after="0"/>
              <w:rPr>
                <w:sz w:val="20"/>
                <w:szCs w:val="20"/>
                <w:color w:val="auto"/>
              </w:rPr>
            </w:pPr>
            <w:r>
              <w:rPr>
                <w:rFonts w:ascii="Arial" w:cs="Arial" w:eastAsia="Arial" w:hAnsi="Arial"/>
                <w:sz w:val="14"/>
                <w:szCs w:val="14"/>
                <w:b w:val="1"/>
                <w:bCs w:val="1"/>
                <w:color w:val="auto"/>
                <w:w w:val="90"/>
              </w:rPr>
              <w:t>Title</w:t>
            </w:r>
          </w:p>
        </w:tc>
        <w:tc>
          <w:tcPr>
            <w:tcW w:w="1220" w:type="dxa"/>
            <w:vAlign w:val="bottom"/>
          </w:tcPr>
          <w:p>
            <w:pPr>
              <w:spacing w:after="0"/>
              <w:rPr>
                <w:sz w:val="14"/>
                <w:szCs w:val="14"/>
                <w:color w:val="auto"/>
              </w:rPr>
            </w:pPr>
          </w:p>
        </w:tc>
        <w:tc>
          <w:tcPr>
            <w:tcW w:w="8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4"/>
        </w:trPr>
        <w:tc>
          <w:tcPr>
            <w:tcW w:w="180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rPr>
              <w:t>/s/</w:t>
            </w:r>
          </w:p>
        </w:tc>
        <w:tc>
          <w:tcPr>
            <w:tcW w:w="3280" w:type="dxa"/>
            <w:vAlign w:val="bottom"/>
            <w:tcBorders>
              <w:bottom w:val="single" w:sz="8" w:color="auto"/>
            </w:tcBorders>
            <w:gridSpan w:val="3"/>
          </w:tcPr>
          <w:p>
            <w:pPr>
              <w:jc w:val="center"/>
              <w:ind w:right="1740"/>
              <w:spacing w:after="0"/>
              <w:rPr>
                <w:sz w:val="20"/>
                <w:szCs w:val="20"/>
                <w:color w:val="auto"/>
              </w:rPr>
            </w:pPr>
            <w:r>
              <w:rPr>
                <w:rFonts w:ascii="Arial" w:cs="Arial" w:eastAsia="Arial" w:hAnsi="Arial"/>
                <w:sz w:val="18"/>
                <w:szCs w:val="18"/>
                <w:color w:val="auto"/>
                <w:w w:val="97"/>
              </w:rPr>
              <w:t>B</w:t>
            </w:r>
            <w:r>
              <w:rPr>
                <w:rFonts w:ascii="Arial" w:cs="Arial" w:eastAsia="Arial" w:hAnsi="Arial"/>
                <w:sz w:val="14"/>
                <w:szCs w:val="14"/>
                <w:color w:val="auto"/>
                <w:w w:val="97"/>
              </w:rPr>
              <w:t>RIAN</w:t>
            </w:r>
            <w:r>
              <w:rPr>
                <w:rFonts w:ascii="Arial" w:cs="Arial" w:eastAsia="Arial" w:hAnsi="Arial"/>
                <w:sz w:val="18"/>
                <w:szCs w:val="18"/>
                <w:color w:val="auto"/>
                <w:w w:val="97"/>
              </w:rPr>
              <w:t xml:space="preserve"> L. R</w:t>
            </w:r>
            <w:r>
              <w:rPr>
                <w:rFonts w:ascii="Arial" w:cs="Arial" w:eastAsia="Arial" w:hAnsi="Arial"/>
                <w:sz w:val="14"/>
                <w:szCs w:val="14"/>
                <w:color w:val="auto"/>
                <w:w w:val="97"/>
              </w:rPr>
              <w:t>OBERTS</w:t>
            </w:r>
          </w:p>
        </w:tc>
        <w:tc>
          <w:tcPr>
            <w:tcW w:w="3940" w:type="dxa"/>
            <w:vAlign w:val="bottom"/>
            <w:gridSpan w:val="3"/>
          </w:tcPr>
          <w:p>
            <w:pPr>
              <w:jc w:val="center"/>
              <w:ind w:left="114"/>
              <w:spacing w:after="0"/>
              <w:rPr>
                <w:sz w:val="20"/>
                <w:szCs w:val="20"/>
                <w:color w:val="auto"/>
              </w:rPr>
            </w:pPr>
            <w:r>
              <w:rPr>
                <w:rFonts w:ascii="Arial" w:cs="Arial" w:eastAsia="Arial" w:hAnsi="Arial"/>
                <w:sz w:val="18"/>
                <w:szCs w:val="18"/>
                <w:color w:val="auto"/>
                <w:w w:val="89"/>
              </w:rPr>
              <w:t>Chairman</w:t>
            </w:r>
          </w:p>
        </w:tc>
        <w:tc>
          <w:tcPr>
            <w:tcW w:w="2060" w:type="dxa"/>
            <w:vAlign w:val="bottom"/>
            <w:gridSpan w:val="3"/>
          </w:tcPr>
          <w:p>
            <w:pPr>
              <w:jc w:val="center"/>
              <w:ind w:left="552"/>
              <w:spacing w:after="0"/>
              <w:rPr>
                <w:sz w:val="20"/>
                <w:szCs w:val="20"/>
                <w:color w:val="auto"/>
              </w:rPr>
            </w:pPr>
            <w:r>
              <w:rPr>
                <w:rFonts w:ascii="Arial" w:cs="Arial" w:eastAsia="Arial" w:hAnsi="Arial"/>
                <w:sz w:val="18"/>
                <w:szCs w:val="18"/>
                <w:color w:val="auto"/>
                <w:w w:val="87"/>
              </w:rPr>
              <w:t>September 18, 2013</w:t>
            </w:r>
          </w:p>
        </w:tc>
      </w:tr>
      <w:tr>
        <w:trPr>
          <w:trHeight w:val="202"/>
        </w:trPr>
        <w:tc>
          <w:tcPr>
            <w:tcW w:w="1800" w:type="dxa"/>
            <w:vAlign w:val="bottom"/>
          </w:tcPr>
          <w:p>
            <w:pPr>
              <w:spacing w:after="0"/>
              <w:rPr>
                <w:sz w:val="17"/>
                <w:szCs w:val="17"/>
                <w:color w:val="auto"/>
              </w:rPr>
            </w:pPr>
          </w:p>
        </w:tc>
        <w:tc>
          <w:tcPr>
            <w:tcW w:w="328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88"/>
              </w:rPr>
              <w:t>Brian L. Roberts</w:t>
            </w:r>
          </w:p>
        </w:tc>
        <w:tc>
          <w:tcPr>
            <w:tcW w:w="3940" w:type="dxa"/>
            <w:vAlign w:val="bottom"/>
            <w:gridSpan w:val="3"/>
          </w:tcPr>
          <w:p>
            <w:pPr>
              <w:jc w:val="center"/>
              <w:ind w:left="94"/>
              <w:spacing w:after="0" w:line="202" w:lineRule="exact"/>
              <w:rPr>
                <w:sz w:val="20"/>
                <w:szCs w:val="20"/>
                <w:color w:val="auto"/>
              </w:rPr>
            </w:pPr>
            <w:r>
              <w:rPr>
                <w:rFonts w:ascii="Arial" w:cs="Arial" w:eastAsia="Arial" w:hAnsi="Arial"/>
                <w:sz w:val="18"/>
                <w:szCs w:val="18"/>
                <w:color w:val="auto"/>
                <w:w w:val="91"/>
              </w:rPr>
              <w:t>(Principal Executive Officer)</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439"/>
        </w:trPr>
        <w:tc>
          <w:tcPr>
            <w:tcW w:w="5080" w:type="dxa"/>
            <w:vAlign w:val="bottom"/>
            <w:tcBorders>
              <w:bottom w:val="single" w:sz="8" w:color="auto"/>
            </w:tcBorders>
            <w:gridSpan w:val="4"/>
          </w:tcPr>
          <w:p>
            <w:pPr>
              <w:ind w:left="136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ICHAEL</w:t>
            </w:r>
            <w:r>
              <w:rPr>
                <w:rFonts w:ascii="Arial" w:cs="Arial" w:eastAsia="Arial" w:hAnsi="Arial"/>
                <w:sz w:val="18"/>
                <w:szCs w:val="18"/>
                <w:color w:val="auto"/>
              </w:rPr>
              <w:t xml:space="preserve"> J. A</w:t>
            </w:r>
            <w:r>
              <w:rPr>
                <w:rFonts w:ascii="Arial" w:cs="Arial" w:eastAsia="Arial" w:hAnsi="Arial"/>
                <w:sz w:val="14"/>
                <w:szCs w:val="14"/>
                <w:color w:val="auto"/>
              </w:rPr>
              <w:t>NGELAKIS</w:t>
            </w:r>
          </w:p>
        </w:tc>
        <w:tc>
          <w:tcPr>
            <w:tcW w:w="3940" w:type="dxa"/>
            <w:vAlign w:val="bottom"/>
            <w:gridSpan w:val="3"/>
          </w:tcPr>
          <w:p>
            <w:pPr>
              <w:jc w:val="center"/>
              <w:ind w:left="94"/>
              <w:spacing w:after="0"/>
              <w:rPr>
                <w:sz w:val="20"/>
                <w:szCs w:val="20"/>
                <w:color w:val="auto"/>
              </w:rPr>
            </w:pPr>
            <w:r>
              <w:rPr>
                <w:rFonts w:ascii="Arial" w:cs="Arial" w:eastAsia="Arial" w:hAnsi="Arial"/>
                <w:sz w:val="18"/>
                <w:szCs w:val="18"/>
                <w:color w:val="auto"/>
                <w:w w:val="89"/>
              </w:rPr>
              <w:t>Executive Vice President; Director</w:t>
            </w:r>
          </w:p>
        </w:tc>
        <w:tc>
          <w:tcPr>
            <w:tcW w:w="2060" w:type="dxa"/>
            <w:vAlign w:val="bottom"/>
            <w:gridSpan w:val="3"/>
          </w:tcPr>
          <w:p>
            <w:pPr>
              <w:jc w:val="center"/>
              <w:ind w:left="552"/>
              <w:spacing w:after="0"/>
              <w:rPr>
                <w:sz w:val="20"/>
                <w:szCs w:val="20"/>
                <w:color w:val="auto"/>
              </w:rPr>
            </w:pPr>
            <w:r>
              <w:rPr>
                <w:rFonts w:ascii="Arial" w:cs="Arial" w:eastAsia="Arial" w:hAnsi="Arial"/>
                <w:sz w:val="18"/>
                <w:szCs w:val="18"/>
                <w:color w:val="auto"/>
                <w:w w:val="87"/>
              </w:rPr>
              <w:t>September 18, 2013</w:t>
            </w:r>
          </w:p>
        </w:tc>
      </w:tr>
      <w:tr>
        <w:trPr>
          <w:trHeight w:val="202"/>
        </w:trPr>
        <w:tc>
          <w:tcPr>
            <w:tcW w:w="1800" w:type="dxa"/>
            <w:vAlign w:val="bottom"/>
          </w:tcPr>
          <w:p>
            <w:pPr>
              <w:spacing w:after="0"/>
              <w:rPr>
                <w:sz w:val="17"/>
                <w:szCs w:val="17"/>
                <w:color w:val="auto"/>
              </w:rPr>
            </w:pPr>
          </w:p>
        </w:tc>
        <w:tc>
          <w:tcPr>
            <w:tcW w:w="328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87"/>
              </w:rPr>
              <w:t>Michael J. Angelakis</w:t>
            </w:r>
          </w:p>
        </w:tc>
        <w:tc>
          <w:tcPr>
            <w:tcW w:w="3940" w:type="dxa"/>
            <w:vAlign w:val="bottom"/>
            <w:gridSpan w:val="3"/>
          </w:tcPr>
          <w:p>
            <w:pPr>
              <w:jc w:val="center"/>
              <w:ind w:left="94"/>
              <w:spacing w:after="0" w:line="202" w:lineRule="exact"/>
              <w:rPr>
                <w:sz w:val="20"/>
                <w:szCs w:val="20"/>
                <w:color w:val="auto"/>
              </w:rPr>
            </w:pPr>
            <w:r>
              <w:rPr>
                <w:rFonts w:ascii="Arial" w:cs="Arial" w:eastAsia="Arial" w:hAnsi="Arial"/>
                <w:sz w:val="18"/>
                <w:szCs w:val="18"/>
                <w:color w:val="auto"/>
                <w:w w:val="92"/>
              </w:rPr>
              <w:t>(Principal Financial Officer)</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440"/>
        </w:trPr>
        <w:tc>
          <w:tcPr>
            <w:tcW w:w="1800" w:type="dxa"/>
            <w:vAlign w:val="bottom"/>
            <w:tcBorders>
              <w:bottom w:val="single" w:sz="8" w:color="auto"/>
            </w:tcBorders>
          </w:tcPr>
          <w:p>
            <w:pPr>
              <w:ind w:left="1600"/>
              <w:spacing w:after="0"/>
              <w:rPr>
                <w:sz w:val="20"/>
                <w:szCs w:val="20"/>
                <w:color w:val="auto"/>
              </w:rPr>
            </w:pPr>
            <w:r>
              <w:rPr>
                <w:rFonts w:ascii="Arial" w:cs="Arial" w:eastAsia="Arial" w:hAnsi="Arial"/>
                <w:sz w:val="18"/>
                <w:szCs w:val="18"/>
                <w:color w:val="auto"/>
                <w:w w:val="94"/>
              </w:rPr>
              <w:t>/s/</w:t>
            </w:r>
          </w:p>
        </w:tc>
        <w:tc>
          <w:tcPr>
            <w:tcW w:w="328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AVID</w:t>
            </w:r>
            <w:r>
              <w:rPr>
                <w:rFonts w:ascii="Arial" w:cs="Arial" w:eastAsia="Arial" w:hAnsi="Arial"/>
                <w:sz w:val="18"/>
                <w:szCs w:val="18"/>
                <w:color w:val="auto"/>
                <w:w w:val="99"/>
              </w:rPr>
              <w:t xml:space="preserve"> L. C</w:t>
            </w:r>
            <w:r>
              <w:rPr>
                <w:rFonts w:ascii="Arial" w:cs="Arial" w:eastAsia="Arial" w:hAnsi="Arial"/>
                <w:sz w:val="14"/>
                <w:szCs w:val="14"/>
                <w:color w:val="auto"/>
                <w:w w:val="99"/>
              </w:rPr>
              <w:t>OHEN</w:t>
            </w:r>
          </w:p>
        </w:tc>
        <w:tc>
          <w:tcPr>
            <w:tcW w:w="3940" w:type="dxa"/>
            <w:vAlign w:val="bottom"/>
            <w:gridSpan w:val="3"/>
          </w:tcPr>
          <w:p>
            <w:pPr>
              <w:jc w:val="center"/>
              <w:ind w:left="94"/>
              <w:spacing w:after="0"/>
              <w:rPr>
                <w:sz w:val="20"/>
                <w:szCs w:val="20"/>
                <w:color w:val="auto"/>
              </w:rPr>
            </w:pPr>
            <w:r>
              <w:rPr>
                <w:rFonts w:ascii="Arial" w:cs="Arial" w:eastAsia="Arial" w:hAnsi="Arial"/>
                <w:sz w:val="18"/>
                <w:szCs w:val="18"/>
                <w:color w:val="auto"/>
                <w:w w:val="89"/>
              </w:rPr>
              <w:t>Executive Vice President; Director</w:t>
            </w:r>
          </w:p>
        </w:tc>
        <w:tc>
          <w:tcPr>
            <w:tcW w:w="2060" w:type="dxa"/>
            <w:vAlign w:val="bottom"/>
            <w:gridSpan w:val="3"/>
          </w:tcPr>
          <w:p>
            <w:pPr>
              <w:jc w:val="center"/>
              <w:ind w:left="552"/>
              <w:spacing w:after="0"/>
              <w:rPr>
                <w:sz w:val="20"/>
                <w:szCs w:val="20"/>
                <w:color w:val="auto"/>
              </w:rPr>
            </w:pPr>
            <w:r>
              <w:rPr>
                <w:rFonts w:ascii="Arial" w:cs="Arial" w:eastAsia="Arial" w:hAnsi="Arial"/>
                <w:sz w:val="18"/>
                <w:szCs w:val="18"/>
                <w:color w:val="auto"/>
                <w:w w:val="87"/>
              </w:rPr>
              <w:t>September 18, 2013</w:t>
            </w:r>
          </w:p>
        </w:tc>
      </w:tr>
      <w:tr>
        <w:trPr>
          <w:trHeight w:val="169"/>
        </w:trPr>
        <w:tc>
          <w:tcPr>
            <w:tcW w:w="1800" w:type="dxa"/>
            <w:vAlign w:val="bottom"/>
          </w:tcPr>
          <w:p>
            <w:pPr>
              <w:spacing w:after="0"/>
              <w:rPr>
                <w:sz w:val="14"/>
                <w:szCs w:val="14"/>
                <w:color w:val="auto"/>
              </w:rPr>
            </w:pPr>
          </w:p>
        </w:tc>
        <w:tc>
          <w:tcPr>
            <w:tcW w:w="328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90"/>
              </w:rPr>
              <w:t>David L. Cohen</w:t>
            </w: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419"/>
        </w:trPr>
        <w:tc>
          <w:tcPr>
            <w:tcW w:w="180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rPr>
              <w:t>/s/</w:t>
            </w:r>
          </w:p>
        </w:tc>
        <w:tc>
          <w:tcPr>
            <w:tcW w:w="328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w w:val="97"/>
              </w:rPr>
              <w:t>A</w:t>
            </w:r>
            <w:r>
              <w:rPr>
                <w:rFonts w:ascii="Arial" w:cs="Arial" w:eastAsia="Arial" w:hAnsi="Arial"/>
                <w:sz w:val="14"/>
                <w:szCs w:val="14"/>
                <w:color w:val="auto"/>
                <w:w w:val="97"/>
              </w:rPr>
              <w:t>RTHUR</w:t>
            </w:r>
            <w:r>
              <w:rPr>
                <w:rFonts w:ascii="Arial" w:cs="Arial" w:eastAsia="Arial" w:hAnsi="Arial"/>
                <w:sz w:val="18"/>
                <w:szCs w:val="18"/>
                <w:color w:val="auto"/>
                <w:w w:val="97"/>
              </w:rPr>
              <w:t xml:space="preserve"> R. B</w:t>
            </w:r>
            <w:r>
              <w:rPr>
                <w:rFonts w:ascii="Arial" w:cs="Arial" w:eastAsia="Arial" w:hAnsi="Arial"/>
                <w:sz w:val="14"/>
                <w:szCs w:val="14"/>
                <w:color w:val="auto"/>
                <w:w w:val="97"/>
              </w:rPr>
              <w:t>LOCK</w:t>
            </w:r>
          </w:p>
        </w:tc>
        <w:tc>
          <w:tcPr>
            <w:tcW w:w="3940" w:type="dxa"/>
            <w:vAlign w:val="bottom"/>
            <w:gridSpan w:val="3"/>
          </w:tcPr>
          <w:p>
            <w:pPr>
              <w:jc w:val="center"/>
              <w:ind w:left="94"/>
              <w:spacing w:after="0"/>
              <w:rPr>
                <w:sz w:val="20"/>
                <w:szCs w:val="20"/>
                <w:color w:val="auto"/>
              </w:rPr>
            </w:pPr>
            <w:r>
              <w:rPr>
                <w:rFonts w:ascii="Arial" w:cs="Arial" w:eastAsia="Arial" w:hAnsi="Arial"/>
                <w:sz w:val="18"/>
                <w:szCs w:val="18"/>
                <w:color w:val="auto"/>
                <w:w w:val="89"/>
              </w:rPr>
              <w:t>Senior Vice President; Director</w:t>
            </w:r>
          </w:p>
        </w:tc>
        <w:tc>
          <w:tcPr>
            <w:tcW w:w="2060" w:type="dxa"/>
            <w:vAlign w:val="bottom"/>
            <w:gridSpan w:val="3"/>
          </w:tcPr>
          <w:p>
            <w:pPr>
              <w:jc w:val="center"/>
              <w:ind w:left="552"/>
              <w:spacing w:after="0"/>
              <w:rPr>
                <w:sz w:val="20"/>
                <w:szCs w:val="20"/>
                <w:color w:val="auto"/>
              </w:rPr>
            </w:pPr>
            <w:r>
              <w:rPr>
                <w:rFonts w:ascii="Arial" w:cs="Arial" w:eastAsia="Arial" w:hAnsi="Arial"/>
                <w:sz w:val="18"/>
                <w:szCs w:val="18"/>
                <w:color w:val="auto"/>
                <w:w w:val="87"/>
              </w:rPr>
              <w:t>September 18, 2013</w:t>
            </w:r>
          </w:p>
        </w:tc>
      </w:tr>
      <w:tr>
        <w:trPr>
          <w:trHeight w:val="169"/>
        </w:trPr>
        <w:tc>
          <w:tcPr>
            <w:tcW w:w="1800" w:type="dxa"/>
            <w:vAlign w:val="bottom"/>
          </w:tcPr>
          <w:p>
            <w:pPr>
              <w:spacing w:after="0"/>
              <w:rPr>
                <w:sz w:val="14"/>
                <w:szCs w:val="14"/>
                <w:color w:val="auto"/>
              </w:rPr>
            </w:pPr>
          </w:p>
        </w:tc>
        <w:tc>
          <w:tcPr>
            <w:tcW w:w="328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93"/>
              </w:rPr>
              <w:t>Arthur R. Block</w:t>
            </w: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418"/>
        </w:trPr>
        <w:tc>
          <w:tcPr>
            <w:tcW w:w="180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/s/</w:t>
            </w:r>
          </w:p>
        </w:tc>
        <w:tc>
          <w:tcPr>
            <w:tcW w:w="3280" w:type="dxa"/>
            <w:vAlign w:val="bottom"/>
            <w:tcBorders>
              <w:bottom w:val="single" w:sz="8" w:color="auto"/>
            </w:tcBorders>
            <w:gridSpan w:val="3"/>
          </w:tcPr>
          <w:p>
            <w:pPr>
              <w:jc w:val="center"/>
              <w:ind w:right="1740"/>
              <w:spacing w:after="0"/>
              <w:rPr>
                <w:sz w:val="20"/>
                <w:szCs w:val="20"/>
                <w:color w:val="auto"/>
              </w:rPr>
            </w:pPr>
            <w:r>
              <w:rPr>
                <w:rFonts w:ascii="Arial" w:cs="Arial" w:eastAsia="Arial" w:hAnsi="Arial"/>
                <w:sz w:val="18"/>
                <w:szCs w:val="18"/>
                <w:color w:val="auto"/>
                <w:w w:val="97"/>
              </w:rPr>
              <w:t>L</w:t>
            </w:r>
            <w:r>
              <w:rPr>
                <w:rFonts w:ascii="Arial" w:cs="Arial" w:eastAsia="Arial" w:hAnsi="Arial"/>
                <w:sz w:val="14"/>
                <w:szCs w:val="14"/>
                <w:color w:val="auto"/>
                <w:w w:val="97"/>
              </w:rPr>
              <w:t>AWRENCE</w:t>
            </w:r>
            <w:r>
              <w:rPr>
                <w:rFonts w:ascii="Arial" w:cs="Arial" w:eastAsia="Arial" w:hAnsi="Arial"/>
                <w:sz w:val="18"/>
                <w:szCs w:val="18"/>
                <w:color w:val="auto"/>
                <w:w w:val="97"/>
              </w:rPr>
              <w:t xml:space="preserve"> J. S</w:t>
            </w:r>
            <w:r>
              <w:rPr>
                <w:rFonts w:ascii="Arial" w:cs="Arial" w:eastAsia="Arial" w:hAnsi="Arial"/>
                <w:sz w:val="14"/>
                <w:szCs w:val="14"/>
                <w:color w:val="auto"/>
                <w:w w:val="97"/>
              </w:rPr>
              <w:t>ALVA</w:t>
            </w:r>
          </w:p>
        </w:tc>
        <w:tc>
          <w:tcPr>
            <w:tcW w:w="3940" w:type="dxa"/>
            <w:vAlign w:val="bottom"/>
            <w:gridSpan w:val="3"/>
          </w:tcPr>
          <w:p>
            <w:pPr>
              <w:jc w:val="center"/>
              <w:ind w:left="94"/>
              <w:spacing w:after="0"/>
              <w:rPr>
                <w:sz w:val="20"/>
                <w:szCs w:val="20"/>
                <w:color w:val="auto"/>
              </w:rPr>
            </w:pPr>
            <w:r>
              <w:rPr>
                <w:rFonts w:ascii="Arial" w:cs="Arial" w:eastAsia="Arial" w:hAnsi="Arial"/>
                <w:sz w:val="18"/>
                <w:szCs w:val="18"/>
                <w:color w:val="auto"/>
                <w:w w:val="87"/>
              </w:rPr>
              <w:t>Senior Vice President</w:t>
            </w:r>
          </w:p>
        </w:tc>
        <w:tc>
          <w:tcPr>
            <w:tcW w:w="2060" w:type="dxa"/>
            <w:vAlign w:val="bottom"/>
            <w:gridSpan w:val="3"/>
          </w:tcPr>
          <w:p>
            <w:pPr>
              <w:jc w:val="center"/>
              <w:ind w:left="552"/>
              <w:spacing w:after="0"/>
              <w:rPr>
                <w:sz w:val="20"/>
                <w:szCs w:val="20"/>
                <w:color w:val="auto"/>
              </w:rPr>
            </w:pPr>
            <w:r>
              <w:rPr>
                <w:rFonts w:ascii="Arial" w:cs="Arial" w:eastAsia="Arial" w:hAnsi="Arial"/>
                <w:sz w:val="18"/>
                <w:szCs w:val="18"/>
                <w:color w:val="auto"/>
                <w:w w:val="87"/>
              </w:rPr>
              <w:t>September 18, 2013</w:t>
            </w:r>
          </w:p>
        </w:tc>
      </w:tr>
      <w:tr>
        <w:trPr>
          <w:trHeight w:val="202"/>
        </w:trPr>
        <w:tc>
          <w:tcPr>
            <w:tcW w:w="1800" w:type="dxa"/>
            <w:vAlign w:val="bottom"/>
          </w:tcPr>
          <w:p>
            <w:pPr>
              <w:spacing w:after="0"/>
              <w:rPr>
                <w:sz w:val="17"/>
                <w:szCs w:val="17"/>
                <w:color w:val="auto"/>
              </w:rPr>
            </w:pPr>
          </w:p>
        </w:tc>
        <w:tc>
          <w:tcPr>
            <w:tcW w:w="328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86"/>
              </w:rPr>
              <w:t>Lawrence J. Salva</w:t>
            </w:r>
          </w:p>
        </w:tc>
        <w:tc>
          <w:tcPr>
            <w:tcW w:w="3940" w:type="dxa"/>
            <w:vAlign w:val="bottom"/>
            <w:gridSpan w:val="3"/>
          </w:tcPr>
          <w:p>
            <w:pPr>
              <w:jc w:val="center"/>
              <w:ind w:left="94"/>
              <w:spacing w:after="0" w:line="202" w:lineRule="exact"/>
              <w:rPr>
                <w:sz w:val="20"/>
                <w:szCs w:val="20"/>
                <w:color w:val="auto"/>
              </w:rPr>
            </w:pPr>
            <w:r>
              <w:rPr>
                <w:rFonts w:ascii="Arial" w:cs="Arial" w:eastAsia="Arial" w:hAnsi="Arial"/>
                <w:sz w:val="18"/>
                <w:szCs w:val="18"/>
                <w:color w:val="auto"/>
                <w:w w:val="92"/>
              </w:rPr>
              <w:t>(Principal Accounting Officer)</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372"/>
        </w:trPr>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940" w:type="dxa"/>
            <w:vAlign w:val="bottom"/>
            <w:gridSpan w:val="3"/>
          </w:tcPr>
          <w:p>
            <w:pPr>
              <w:ind w:left="460"/>
              <w:spacing w:after="0"/>
              <w:rPr>
                <w:sz w:val="20"/>
                <w:szCs w:val="20"/>
                <w:color w:val="auto"/>
              </w:rPr>
            </w:pPr>
            <w:r>
              <w:rPr>
                <w:rFonts w:ascii="Arial" w:cs="Arial" w:eastAsia="Arial" w:hAnsi="Arial"/>
                <w:sz w:val="18"/>
                <w:szCs w:val="18"/>
                <w:color w:val="auto"/>
              </w:rPr>
              <w:t>II-14</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MO OF DELAWARE, LLC</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Comcast MO of Delaware, LLC certifies that it has reasonable grounds to believe that it meets all of the requirements for filing on Form S-3 and has duly caused this Registration Statement to be signed on its behalf by the undersigned, thereunto duly authorized, in the City of Philadelphia, State of Pennsylvania, on September 18, 2013.</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MO OF DELAWARE,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R. B</w:t>
            </w:r>
            <w:r>
              <w:rPr>
                <w:rFonts w:ascii="Arial" w:cs="Arial" w:eastAsia="Arial" w:hAnsi="Arial"/>
                <w:sz w:val="14"/>
                <w:szCs w:val="14"/>
                <w:color w:val="auto"/>
              </w:rPr>
              <w:t>LOCK</w:t>
            </w:r>
          </w:p>
        </w:tc>
      </w:tr>
      <w:tr>
        <w:trPr>
          <w:trHeight w:val="190"/>
        </w:trPr>
        <w:tc>
          <w:tcPr>
            <w:tcW w:w="540" w:type="dxa"/>
            <w:vAlign w:val="bottom"/>
          </w:tcPr>
          <w:p>
            <w:pPr>
              <w:spacing w:after="0" w:line="190" w:lineRule="exact"/>
              <w:rPr>
                <w:sz w:val="20"/>
                <w:szCs w:val="20"/>
                <w:color w:val="auto"/>
              </w:rPr>
            </w:pPr>
            <w:r>
              <w:rPr>
                <w:rFonts w:ascii="Arial" w:cs="Arial" w:eastAsia="Arial" w:hAnsi="Arial"/>
                <w:sz w:val="18"/>
                <w:szCs w:val="18"/>
                <w:color w:val="auto"/>
                <w:w w:val="98"/>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91"/>
              </w:rPr>
              <w:t>Arthur R. Block</w:t>
            </w: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6"/>
              </w:rPr>
              <w:t>Senior Vice President</w:t>
            </w:r>
          </w:p>
        </w:tc>
      </w:tr>
    </w:tbl>
    <w:p>
      <w:pPr>
        <w:spacing w:after="0" w:line="14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hereby constitutes and appoints Brian L. Roberts, Michael J. Angelakis, David L. Cohen, Lawrence J. Salva and Arthur R. Block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40" w:type="dxa"/>
            <w:vAlign w:val="bottom"/>
            <w:gridSpan w:val="2"/>
          </w:tcPr>
          <w:p>
            <w:pPr>
              <w:spacing w:after="0"/>
              <w:rPr>
                <w:sz w:val="14"/>
                <w:szCs w:val="14"/>
                <w:color w:val="auto"/>
              </w:rPr>
            </w:pPr>
          </w:p>
        </w:tc>
        <w:tc>
          <w:tcPr>
            <w:tcW w:w="3860" w:type="dxa"/>
            <w:vAlign w:val="bottom"/>
            <w:gridSpan w:val="3"/>
          </w:tcPr>
          <w:p>
            <w:pPr>
              <w:jc w:val="center"/>
              <w:ind w:left="194"/>
              <w:spacing w:after="0"/>
              <w:rPr>
                <w:sz w:val="20"/>
                <w:szCs w:val="20"/>
                <w:color w:val="auto"/>
              </w:rPr>
            </w:pPr>
            <w:r>
              <w:rPr>
                <w:rFonts w:ascii="Arial" w:cs="Arial" w:eastAsia="Arial" w:hAnsi="Arial"/>
                <w:sz w:val="14"/>
                <w:szCs w:val="14"/>
                <w:b w:val="1"/>
                <w:bCs w:val="1"/>
                <w:color w:val="auto"/>
                <w:w w:val="90"/>
              </w:rPr>
              <w:t>Title</w:t>
            </w:r>
          </w:p>
        </w:tc>
        <w:tc>
          <w:tcPr>
            <w:tcW w:w="1300" w:type="dxa"/>
            <w:vAlign w:val="bottom"/>
          </w:tcPr>
          <w:p>
            <w:pPr>
              <w:spacing w:after="0"/>
              <w:rPr>
                <w:sz w:val="14"/>
                <w:szCs w:val="14"/>
                <w:color w:val="auto"/>
              </w:rPr>
            </w:pPr>
          </w:p>
        </w:tc>
        <w:tc>
          <w:tcPr>
            <w:tcW w:w="8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4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24"/>
        </w:trPr>
        <w:tc>
          <w:tcPr>
            <w:tcW w:w="4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ind w:left="108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4"/>
          </w:tcPr>
          <w:p>
            <w:pPr>
              <w:jc w:val="center"/>
              <w:ind w:right="1800"/>
              <w:spacing w:after="0"/>
              <w:rPr>
                <w:sz w:val="20"/>
                <w:szCs w:val="20"/>
                <w:color w:val="auto"/>
              </w:rPr>
            </w:pPr>
            <w:r>
              <w:rPr>
                <w:rFonts w:ascii="Arial" w:cs="Arial" w:eastAsia="Arial" w:hAnsi="Arial"/>
                <w:sz w:val="18"/>
                <w:szCs w:val="18"/>
                <w:color w:val="auto"/>
                <w:w w:val="97"/>
              </w:rPr>
              <w:t>B</w:t>
            </w:r>
            <w:r>
              <w:rPr>
                <w:rFonts w:ascii="Arial" w:cs="Arial" w:eastAsia="Arial" w:hAnsi="Arial"/>
                <w:sz w:val="14"/>
                <w:szCs w:val="14"/>
                <w:color w:val="auto"/>
                <w:w w:val="97"/>
              </w:rPr>
              <w:t>RIAN</w:t>
            </w:r>
            <w:r>
              <w:rPr>
                <w:rFonts w:ascii="Arial" w:cs="Arial" w:eastAsia="Arial" w:hAnsi="Arial"/>
                <w:sz w:val="18"/>
                <w:szCs w:val="18"/>
                <w:color w:val="auto"/>
                <w:w w:val="97"/>
              </w:rPr>
              <w:t xml:space="preserve"> L. R</w:t>
            </w:r>
            <w:r>
              <w:rPr>
                <w:rFonts w:ascii="Arial" w:cs="Arial" w:eastAsia="Arial" w:hAnsi="Arial"/>
                <w:sz w:val="14"/>
                <w:szCs w:val="14"/>
                <w:color w:val="auto"/>
                <w:w w:val="97"/>
              </w:rPr>
              <w:t>OBERTS</w:t>
            </w:r>
          </w:p>
        </w:tc>
        <w:tc>
          <w:tcPr>
            <w:tcW w:w="3860" w:type="dxa"/>
            <w:vAlign w:val="bottom"/>
            <w:gridSpan w:val="3"/>
          </w:tcPr>
          <w:p>
            <w:pPr>
              <w:jc w:val="center"/>
              <w:ind w:left="194"/>
              <w:spacing w:after="0"/>
              <w:rPr>
                <w:sz w:val="20"/>
                <w:szCs w:val="20"/>
                <w:color w:val="auto"/>
              </w:rPr>
            </w:pPr>
            <w:r>
              <w:rPr>
                <w:rFonts w:ascii="Arial" w:cs="Arial" w:eastAsia="Arial" w:hAnsi="Arial"/>
                <w:sz w:val="18"/>
                <w:szCs w:val="18"/>
                <w:color w:val="auto"/>
                <w:w w:val="89"/>
              </w:rPr>
              <w:t>Chairman</w:t>
            </w:r>
          </w:p>
        </w:tc>
        <w:tc>
          <w:tcPr>
            <w:tcW w:w="216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September 18, 2013</w:t>
            </w:r>
          </w:p>
        </w:tc>
      </w:tr>
      <w:tr>
        <w:trPr>
          <w:trHeight w:val="202"/>
        </w:trPr>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20" w:type="dxa"/>
            <w:vAlign w:val="bottom"/>
            <w:gridSpan w:val="4"/>
          </w:tcPr>
          <w:p>
            <w:pPr>
              <w:jc w:val="center"/>
              <w:ind w:right="1860"/>
              <w:spacing w:after="0"/>
              <w:rPr>
                <w:sz w:val="20"/>
                <w:szCs w:val="20"/>
                <w:color w:val="auto"/>
              </w:rPr>
            </w:pPr>
            <w:r>
              <w:rPr>
                <w:rFonts w:ascii="Arial" w:cs="Arial" w:eastAsia="Arial" w:hAnsi="Arial"/>
                <w:sz w:val="14"/>
                <w:szCs w:val="14"/>
                <w:b w:val="1"/>
                <w:bCs w:val="1"/>
                <w:color w:val="auto"/>
                <w:w w:val="88"/>
              </w:rPr>
              <w:t>Brian L. Roberts</w:t>
            </w:r>
          </w:p>
        </w:tc>
        <w:tc>
          <w:tcPr>
            <w:tcW w:w="3860" w:type="dxa"/>
            <w:vAlign w:val="bottom"/>
            <w:gridSpan w:val="3"/>
          </w:tcPr>
          <w:p>
            <w:pPr>
              <w:jc w:val="center"/>
              <w:ind w:left="174"/>
              <w:spacing w:after="0" w:line="202" w:lineRule="exact"/>
              <w:rPr>
                <w:sz w:val="20"/>
                <w:szCs w:val="20"/>
                <w:color w:val="auto"/>
              </w:rPr>
            </w:pPr>
            <w:r>
              <w:rPr>
                <w:rFonts w:ascii="Arial" w:cs="Arial" w:eastAsia="Arial" w:hAnsi="Arial"/>
                <w:sz w:val="18"/>
                <w:szCs w:val="18"/>
                <w:color w:val="auto"/>
                <w:w w:val="91"/>
              </w:rPr>
              <w:t>(Principal Executive Officer)</w:t>
            </w: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39"/>
        </w:trPr>
        <w:tc>
          <w:tcPr>
            <w:tcW w:w="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/s/</w:t>
            </w:r>
          </w:p>
        </w:tc>
        <w:tc>
          <w:tcPr>
            <w:tcW w:w="3420" w:type="dxa"/>
            <w:vAlign w:val="bottom"/>
            <w:tcBorders>
              <w:bottom w:val="single" w:sz="8" w:color="auto"/>
            </w:tcBorders>
            <w:gridSpan w:val="5"/>
          </w:tcPr>
          <w:p>
            <w:pPr>
              <w:jc w:val="center"/>
              <w:ind w:right="160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ICHAEL</w:t>
            </w:r>
            <w:r>
              <w:rPr>
                <w:rFonts w:ascii="Arial" w:cs="Arial" w:eastAsia="Arial" w:hAnsi="Arial"/>
                <w:sz w:val="18"/>
                <w:szCs w:val="18"/>
                <w:color w:val="auto"/>
              </w:rPr>
              <w:t xml:space="preserve"> J. A</w:t>
            </w:r>
            <w:r>
              <w:rPr>
                <w:rFonts w:ascii="Arial" w:cs="Arial" w:eastAsia="Arial" w:hAnsi="Arial"/>
                <w:sz w:val="14"/>
                <w:szCs w:val="14"/>
                <w:color w:val="auto"/>
              </w:rPr>
              <w:t>NGELAKIS</w:t>
            </w:r>
          </w:p>
        </w:tc>
        <w:tc>
          <w:tcPr>
            <w:tcW w:w="3860" w:type="dxa"/>
            <w:vAlign w:val="bottom"/>
            <w:gridSpan w:val="3"/>
          </w:tcPr>
          <w:p>
            <w:pPr>
              <w:jc w:val="center"/>
              <w:ind w:left="174"/>
              <w:spacing w:after="0"/>
              <w:rPr>
                <w:sz w:val="20"/>
                <w:szCs w:val="20"/>
                <w:color w:val="auto"/>
              </w:rPr>
            </w:pPr>
            <w:r>
              <w:rPr>
                <w:rFonts w:ascii="Arial" w:cs="Arial" w:eastAsia="Arial" w:hAnsi="Arial"/>
                <w:sz w:val="18"/>
                <w:szCs w:val="18"/>
                <w:color w:val="auto"/>
                <w:w w:val="88"/>
              </w:rPr>
              <w:t>Executive Vice President</w:t>
            </w:r>
          </w:p>
        </w:tc>
        <w:tc>
          <w:tcPr>
            <w:tcW w:w="216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September 18, 2013</w:t>
            </w:r>
          </w:p>
        </w:tc>
      </w:tr>
      <w:tr>
        <w:trPr>
          <w:trHeight w:val="202"/>
        </w:trPr>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20" w:type="dxa"/>
            <w:vAlign w:val="bottom"/>
            <w:gridSpan w:val="4"/>
          </w:tcPr>
          <w:p>
            <w:pPr>
              <w:jc w:val="center"/>
              <w:ind w:right="1860"/>
              <w:spacing w:after="0"/>
              <w:rPr>
                <w:sz w:val="20"/>
                <w:szCs w:val="20"/>
                <w:color w:val="auto"/>
              </w:rPr>
            </w:pPr>
            <w:r>
              <w:rPr>
                <w:rFonts w:ascii="Arial" w:cs="Arial" w:eastAsia="Arial" w:hAnsi="Arial"/>
                <w:sz w:val="14"/>
                <w:szCs w:val="14"/>
                <w:b w:val="1"/>
                <w:bCs w:val="1"/>
                <w:color w:val="auto"/>
                <w:w w:val="87"/>
              </w:rPr>
              <w:t>Michael J. Angelakis</w:t>
            </w:r>
          </w:p>
        </w:tc>
        <w:tc>
          <w:tcPr>
            <w:tcW w:w="3860" w:type="dxa"/>
            <w:vAlign w:val="bottom"/>
            <w:gridSpan w:val="3"/>
          </w:tcPr>
          <w:p>
            <w:pPr>
              <w:jc w:val="center"/>
              <w:ind w:left="174"/>
              <w:spacing w:after="0" w:line="202" w:lineRule="exact"/>
              <w:rPr>
                <w:sz w:val="20"/>
                <w:szCs w:val="20"/>
                <w:color w:val="auto"/>
              </w:rPr>
            </w:pPr>
            <w:r>
              <w:rPr>
                <w:rFonts w:ascii="Arial" w:cs="Arial" w:eastAsia="Arial" w:hAnsi="Arial"/>
                <w:sz w:val="18"/>
                <w:szCs w:val="18"/>
                <w:color w:val="auto"/>
                <w:w w:val="92"/>
              </w:rPr>
              <w:t>(Principal Financial Officer)</w:t>
            </w: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39"/>
        </w:trPr>
        <w:tc>
          <w:tcPr>
            <w:tcW w:w="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w w:val="83"/>
              </w:rPr>
              <w:t>/s/</w:t>
            </w:r>
          </w:p>
        </w:tc>
        <w:tc>
          <w:tcPr>
            <w:tcW w:w="3420" w:type="dxa"/>
            <w:vAlign w:val="bottom"/>
            <w:tcBorders>
              <w:bottom w:val="single" w:sz="8" w:color="auto"/>
            </w:tcBorders>
            <w:gridSpan w:val="5"/>
          </w:tcPr>
          <w:p>
            <w:pPr>
              <w:jc w:val="center"/>
              <w:ind w:right="1600"/>
              <w:spacing w:after="0"/>
              <w:rPr>
                <w:sz w:val="20"/>
                <w:szCs w:val="20"/>
                <w:color w:val="auto"/>
              </w:rPr>
            </w:pPr>
            <w:r>
              <w:rPr>
                <w:rFonts w:ascii="Arial" w:cs="Arial" w:eastAsia="Arial" w:hAnsi="Arial"/>
                <w:sz w:val="18"/>
                <w:szCs w:val="18"/>
                <w:color w:val="auto"/>
                <w:w w:val="97"/>
              </w:rPr>
              <w:t>L</w:t>
            </w:r>
            <w:r>
              <w:rPr>
                <w:rFonts w:ascii="Arial" w:cs="Arial" w:eastAsia="Arial" w:hAnsi="Arial"/>
                <w:sz w:val="14"/>
                <w:szCs w:val="14"/>
                <w:color w:val="auto"/>
                <w:w w:val="97"/>
              </w:rPr>
              <w:t>AWRENCE</w:t>
            </w:r>
            <w:r>
              <w:rPr>
                <w:rFonts w:ascii="Arial" w:cs="Arial" w:eastAsia="Arial" w:hAnsi="Arial"/>
                <w:sz w:val="18"/>
                <w:szCs w:val="18"/>
                <w:color w:val="auto"/>
                <w:w w:val="97"/>
              </w:rPr>
              <w:t xml:space="preserve"> J. S</w:t>
            </w:r>
            <w:r>
              <w:rPr>
                <w:rFonts w:ascii="Arial" w:cs="Arial" w:eastAsia="Arial" w:hAnsi="Arial"/>
                <w:sz w:val="14"/>
                <w:szCs w:val="14"/>
                <w:color w:val="auto"/>
                <w:w w:val="97"/>
              </w:rPr>
              <w:t>ALVA</w:t>
            </w:r>
          </w:p>
        </w:tc>
        <w:tc>
          <w:tcPr>
            <w:tcW w:w="3860" w:type="dxa"/>
            <w:vAlign w:val="bottom"/>
            <w:gridSpan w:val="3"/>
          </w:tcPr>
          <w:p>
            <w:pPr>
              <w:jc w:val="center"/>
              <w:ind w:left="174"/>
              <w:spacing w:after="0"/>
              <w:rPr>
                <w:sz w:val="20"/>
                <w:szCs w:val="20"/>
                <w:color w:val="auto"/>
              </w:rPr>
            </w:pPr>
            <w:r>
              <w:rPr>
                <w:rFonts w:ascii="Arial" w:cs="Arial" w:eastAsia="Arial" w:hAnsi="Arial"/>
                <w:sz w:val="18"/>
                <w:szCs w:val="18"/>
                <w:color w:val="auto"/>
                <w:w w:val="87"/>
              </w:rPr>
              <w:t>Senior Vice President</w:t>
            </w:r>
          </w:p>
        </w:tc>
        <w:tc>
          <w:tcPr>
            <w:tcW w:w="216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September 18, 2013</w:t>
            </w:r>
          </w:p>
        </w:tc>
      </w:tr>
      <w:tr>
        <w:trPr>
          <w:trHeight w:val="202"/>
        </w:trPr>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20" w:type="dxa"/>
            <w:vAlign w:val="bottom"/>
            <w:gridSpan w:val="4"/>
          </w:tcPr>
          <w:p>
            <w:pPr>
              <w:jc w:val="center"/>
              <w:ind w:right="1860"/>
              <w:spacing w:after="0"/>
              <w:rPr>
                <w:sz w:val="20"/>
                <w:szCs w:val="20"/>
                <w:color w:val="auto"/>
              </w:rPr>
            </w:pPr>
            <w:r>
              <w:rPr>
                <w:rFonts w:ascii="Arial" w:cs="Arial" w:eastAsia="Arial" w:hAnsi="Arial"/>
                <w:sz w:val="14"/>
                <w:szCs w:val="14"/>
                <w:b w:val="1"/>
                <w:bCs w:val="1"/>
                <w:color w:val="auto"/>
                <w:w w:val="86"/>
              </w:rPr>
              <w:t>Lawrence J. Salva</w:t>
            </w:r>
          </w:p>
        </w:tc>
        <w:tc>
          <w:tcPr>
            <w:tcW w:w="3860" w:type="dxa"/>
            <w:vAlign w:val="bottom"/>
            <w:gridSpan w:val="3"/>
          </w:tcPr>
          <w:p>
            <w:pPr>
              <w:jc w:val="center"/>
              <w:ind w:left="174"/>
              <w:spacing w:after="0" w:line="202" w:lineRule="exact"/>
              <w:rPr>
                <w:sz w:val="20"/>
                <w:szCs w:val="20"/>
                <w:color w:val="auto"/>
              </w:rPr>
            </w:pPr>
            <w:r>
              <w:rPr>
                <w:rFonts w:ascii="Arial" w:cs="Arial" w:eastAsia="Arial" w:hAnsi="Arial"/>
                <w:sz w:val="18"/>
                <w:szCs w:val="18"/>
                <w:color w:val="auto"/>
                <w:w w:val="92"/>
              </w:rPr>
              <w:t>(Principal Accounting Officer)</w:t>
            </w: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12"/>
        </w:trPr>
        <w:tc>
          <w:tcPr>
            <w:tcW w:w="5080" w:type="dxa"/>
            <w:vAlign w:val="bottom"/>
            <w:gridSpan w:val="7"/>
          </w:tcPr>
          <w:p>
            <w:pPr>
              <w:spacing w:after="0"/>
              <w:rPr>
                <w:sz w:val="20"/>
                <w:szCs w:val="20"/>
                <w:color w:val="auto"/>
              </w:rPr>
            </w:pPr>
            <w:r>
              <w:rPr>
                <w:rFonts w:ascii="Arial" w:cs="Arial" w:eastAsia="Arial" w:hAnsi="Arial"/>
                <w:sz w:val="18"/>
                <w:szCs w:val="18"/>
                <w:color w:val="auto"/>
              </w:rPr>
              <w:t>COMCAST OF GEORGIA/VIRGINIA, INC.</w:t>
            </w:r>
          </w:p>
        </w:tc>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33"/>
        </w:trPr>
        <w:tc>
          <w:tcPr>
            <w:tcW w:w="1660" w:type="dxa"/>
            <w:vAlign w:val="bottom"/>
            <w:gridSpan w:val="2"/>
          </w:tcPr>
          <w:p>
            <w:pPr>
              <w:spacing w:after="0"/>
              <w:rPr>
                <w:sz w:val="20"/>
                <w:szCs w:val="20"/>
                <w:color w:val="auto"/>
              </w:rPr>
            </w:pPr>
            <w:r>
              <w:rPr>
                <w:rFonts w:ascii="Arial" w:cs="Arial" w:eastAsia="Arial" w:hAnsi="Arial"/>
                <w:sz w:val="18"/>
                <w:szCs w:val="18"/>
                <w:color w:val="auto"/>
              </w:rPr>
              <w:t>By:</w:t>
            </w:r>
          </w:p>
        </w:tc>
        <w:tc>
          <w:tcPr>
            <w:tcW w:w="200" w:type="dxa"/>
            <w:vAlign w:val="bottom"/>
          </w:tcPr>
          <w:p>
            <w:pPr>
              <w:ind w:left="20"/>
              <w:spacing w:after="0"/>
              <w:rPr>
                <w:sz w:val="20"/>
                <w:szCs w:val="20"/>
                <w:color w:val="auto"/>
              </w:rPr>
            </w:pPr>
            <w:r>
              <w:rPr>
                <w:rFonts w:ascii="Arial" w:cs="Arial" w:eastAsia="Arial" w:hAnsi="Arial"/>
                <w:sz w:val="18"/>
                <w:szCs w:val="18"/>
                <w:color w:val="auto"/>
                <w:w w:val="83"/>
              </w:rPr>
              <w:t>/s/</w:t>
            </w:r>
          </w:p>
        </w:tc>
        <w:tc>
          <w:tcPr>
            <w:tcW w:w="3220" w:type="dxa"/>
            <w:vAlign w:val="bottom"/>
            <w:gridSpan w:val="4"/>
          </w:tcPr>
          <w:p>
            <w:pPr>
              <w:jc w:val="center"/>
              <w:ind w:right="1560"/>
              <w:spacing w:after="0"/>
              <w:rPr>
                <w:sz w:val="20"/>
                <w:szCs w:val="20"/>
                <w:color w:val="auto"/>
              </w:rPr>
            </w:pPr>
            <w:r>
              <w:rPr>
                <w:rFonts w:ascii="Arial" w:cs="Arial" w:eastAsia="Arial" w:hAnsi="Arial"/>
                <w:sz w:val="18"/>
                <w:szCs w:val="18"/>
                <w:color w:val="auto"/>
                <w:w w:val="99"/>
              </w:rPr>
              <w:t>A</w:t>
            </w:r>
            <w:r>
              <w:rPr>
                <w:rFonts w:ascii="Arial" w:cs="Arial" w:eastAsia="Arial" w:hAnsi="Arial"/>
                <w:sz w:val="14"/>
                <w:szCs w:val="14"/>
                <w:color w:val="auto"/>
                <w:w w:val="99"/>
              </w:rPr>
              <w:t>RTHUR</w:t>
            </w:r>
            <w:r>
              <w:rPr>
                <w:rFonts w:ascii="Arial" w:cs="Arial" w:eastAsia="Arial" w:hAnsi="Arial"/>
                <w:sz w:val="18"/>
                <w:szCs w:val="18"/>
                <w:color w:val="auto"/>
                <w:w w:val="99"/>
              </w:rPr>
              <w:t xml:space="preserve"> R. B</w:t>
            </w:r>
            <w:r>
              <w:rPr>
                <w:rFonts w:ascii="Arial" w:cs="Arial" w:eastAsia="Arial" w:hAnsi="Arial"/>
                <w:sz w:val="14"/>
                <w:szCs w:val="14"/>
                <w:color w:val="auto"/>
                <w:w w:val="99"/>
              </w:rPr>
              <w:t>LOCK</w:t>
            </w:r>
          </w:p>
        </w:tc>
        <w:tc>
          <w:tcPr>
            <w:tcW w:w="3860" w:type="dxa"/>
            <w:vAlign w:val="bottom"/>
            <w:gridSpan w:val="3"/>
          </w:tcPr>
          <w:p>
            <w:pPr>
              <w:jc w:val="center"/>
              <w:ind w:left="194"/>
              <w:spacing w:after="0"/>
              <w:rPr>
                <w:sz w:val="20"/>
                <w:szCs w:val="20"/>
                <w:color w:val="auto"/>
              </w:rPr>
            </w:pPr>
            <w:r>
              <w:rPr>
                <w:rFonts w:ascii="Arial" w:cs="Arial" w:eastAsia="Arial" w:hAnsi="Arial"/>
                <w:sz w:val="18"/>
                <w:szCs w:val="18"/>
                <w:color w:val="auto"/>
                <w:w w:val="87"/>
              </w:rPr>
              <w:t>Sole Member</w:t>
            </w:r>
          </w:p>
        </w:tc>
        <w:tc>
          <w:tcPr>
            <w:tcW w:w="2160" w:type="dxa"/>
            <w:vAlign w:val="bottom"/>
            <w:gridSpan w:val="3"/>
          </w:tcPr>
          <w:p>
            <w:pPr>
              <w:jc w:val="center"/>
              <w:ind w:left="652"/>
              <w:spacing w:after="0"/>
              <w:rPr>
                <w:sz w:val="20"/>
                <w:szCs w:val="20"/>
                <w:color w:val="auto"/>
              </w:rPr>
            </w:pPr>
            <w:r>
              <w:rPr>
                <w:rFonts w:ascii="Arial" w:cs="Arial" w:eastAsia="Arial" w:hAnsi="Arial"/>
                <w:sz w:val="18"/>
                <w:szCs w:val="18"/>
                <w:color w:val="auto"/>
                <w:w w:val="87"/>
              </w:rPr>
              <w:t>September 18, 2013</w:t>
            </w:r>
          </w:p>
        </w:tc>
      </w:tr>
      <w:tr>
        <w:trPr>
          <w:trHeight w:val="130"/>
        </w:trPr>
        <w:tc>
          <w:tcPr>
            <w:tcW w:w="460" w:type="dxa"/>
            <w:vAlign w:val="bottom"/>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040" w:type="dxa"/>
            <w:vAlign w:val="bottom"/>
            <w:tcBorders>
              <w:top w:val="single" w:sz="8" w:color="auto"/>
            </w:tcBorders>
            <w:gridSpan w:val="3"/>
          </w:tcPr>
          <w:p>
            <w:pPr>
              <w:jc w:val="center"/>
              <w:ind w:right="1420"/>
              <w:spacing w:after="0" w:line="131" w:lineRule="exact"/>
              <w:rPr>
                <w:sz w:val="20"/>
                <w:szCs w:val="20"/>
                <w:color w:val="auto"/>
              </w:rPr>
            </w:pPr>
            <w:r>
              <w:rPr>
                <w:rFonts w:ascii="Arial" w:cs="Arial" w:eastAsia="Arial" w:hAnsi="Arial"/>
                <w:sz w:val="14"/>
                <w:szCs w:val="14"/>
                <w:b w:val="1"/>
                <w:bCs w:val="1"/>
                <w:color w:val="auto"/>
                <w:w w:val="91"/>
              </w:rPr>
              <w:t>Arthur R. Block</w:t>
            </w:r>
          </w:p>
        </w:tc>
        <w:tc>
          <w:tcPr>
            <w:tcW w:w="1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74"/>
        </w:trPr>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20" w:type="dxa"/>
            <w:vAlign w:val="bottom"/>
            <w:gridSpan w:val="4"/>
          </w:tcPr>
          <w:p>
            <w:pPr>
              <w:jc w:val="center"/>
              <w:ind w:right="1580"/>
              <w:spacing w:after="0"/>
              <w:rPr>
                <w:sz w:val="20"/>
                <w:szCs w:val="20"/>
                <w:color w:val="auto"/>
              </w:rPr>
            </w:pPr>
            <w:r>
              <w:rPr>
                <w:rFonts w:ascii="Arial" w:cs="Arial" w:eastAsia="Arial" w:hAnsi="Arial"/>
                <w:sz w:val="14"/>
                <w:szCs w:val="14"/>
                <w:b w:val="1"/>
                <w:bCs w:val="1"/>
                <w:color w:val="auto"/>
                <w:w w:val="86"/>
              </w:rPr>
              <w:t>Senior Vice President</w:t>
            </w:r>
          </w:p>
        </w:tc>
        <w:tc>
          <w:tcPr>
            <w:tcW w:w="1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363"/>
        </w:trPr>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60" w:type="dxa"/>
            <w:vAlign w:val="bottom"/>
            <w:gridSpan w:val="3"/>
          </w:tcPr>
          <w:p>
            <w:pPr>
              <w:ind w:left="460"/>
              <w:spacing w:after="0"/>
              <w:rPr>
                <w:sz w:val="20"/>
                <w:szCs w:val="20"/>
                <w:color w:val="auto"/>
              </w:rPr>
            </w:pPr>
            <w:r>
              <w:rPr>
                <w:rFonts w:ascii="Arial" w:cs="Arial" w:eastAsia="Arial" w:hAnsi="Arial"/>
                <w:sz w:val="18"/>
                <w:szCs w:val="18"/>
                <w:color w:val="auto"/>
              </w:rPr>
              <w:t>II-15</w:t>
            </w: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10620" w:type="dxa"/>
            <w:vAlign w:val="bottom"/>
            <w:gridSpan w:val="3"/>
          </w:tcPr>
          <w:p>
            <w:pPr>
              <w:ind w:left="432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Exhibit No.</w:t>
            </w:r>
          </w:p>
        </w:tc>
        <w:tc>
          <w:tcPr>
            <w:tcW w:w="5480" w:type="dxa"/>
            <w:vAlign w:val="bottom"/>
          </w:tcPr>
          <w:p>
            <w:pPr>
              <w:spacing w:after="0"/>
              <w:rPr>
                <w:sz w:val="24"/>
                <w:szCs w:val="2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Document</w:t>
            </w:r>
          </w:p>
        </w:tc>
        <w:tc>
          <w:tcPr>
            <w:tcW w:w="4520" w:type="dxa"/>
            <w:vAlign w:val="bottom"/>
          </w:tcPr>
          <w:p>
            <w:pPr>
              <w:spacing w:after="0"/>
              <w:rPr>
                <w:sz w:val="24"/>
                <w:szCs w:val="24"/>
                <w:color w:val="auto"/>
              </w:rPr>
            </w:pPr>
          </w:p>
        </w:tc>
      </w:tr>
      <w:tr>
        <w:trPr>
          <w:trHeight w:val="316"/>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1.1</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Underwriting Agreement (Debt Securities)*</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1.2</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Underwriting Agreement Standard Provisions (Debt Securities)*</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1.3</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93"/>
              </w:rPr>
              <w:t>Form of Underwriting Agreement (Preferred Stock, Depositary Shares, Common Stock, Warrants, Purchase Contracts and Units)**</w:t>
            </w:r>
          </w:p>
        </w:tc>
      </w:tr>
      <w:tr>
        <w:trPr>
          <w:trHeight w:val="318"/>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4.1</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90"/>
              </w:rPr>
              <w:t>Specimen Class A Common Stock Certificate (incorporated by reference to Comcast’s Annual Report on Form 10-K for the year ended</w:t>
            </w:r>
          </w:p>
        </w:tc>
      </w:tr>
      <w:tr>
        <w:trPr>
          <w:trHeight w:val="222"/>
        </w:trPr>
        <w:tc>
          <w:tcPr>
            <w:tcW w:w="72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December 31, 2002, filed on March 20, 2003)</w:t>
            </w:r>
          </w:p>
        </w:tc>
      </w:tr>
      <w:tr>
        <w:trPr>
          <w:trHeight w:val="318"/>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4.2</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90"/>
              </w:rPr>
              <w:t>Specimen Class A Special Common Stock Certificate (incorporated by reference to Comcast’s Annual Report on Form 10-K for the year</w:t>
            </w:r>
          </w:p>
        </w:tc>
      </w:tr>
      <w:tr>
        <w:trPr>
          <w:trHeight w:val="222"/>
        </w:trPr>
        <w:tc>
          <w:tcPr>
            <w:tcW w:w="72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ended December 31, 2002, filed on March 20, 2003)</w:t>
            </w:r>
          </w:p>
        </w:tc>
      </w:tr>
      <w:tr>
        <w:trPr>
          <w:trHeight w:val="318"/>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4.3</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91"/>
              </w:rPr>
              <w:t>Senior Indenture dated September 18, 2013 among the Company, the guarantors party thereto and The Bank of New York Mellon, as</w:t>
            </w:r>
          </w:p>
        </w:tc>
      </w:tr>
      <w:tr>
        <w:trPr>
          <w:trHeight w:val="222"/>
        </w:trPr>
        <w:tc>
          <w:tcPr>
            <w:tcW w:w="72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Trustee*</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4.4</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Senior Debt Security*</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4.5</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Purchase Contract Agreement relating to Purchase Contracts**</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4.6</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Unit Agreement**</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4.7</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Warrant Agreement for Warrants sold separately**</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4.8</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Warrant for Warrants sold separately**</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4.9</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Warrant Agreement for Warrants sold attached to other Securities**</w:t>
            </w:r>
          </w:p>
        </w:tc>
      </w:tr>
      <w:tr>
        <w:trPr>
          <w:trHeight w:val="324"/>
        </w:trPr>
        <w:tc>
          <w:tcPr>
            <w:tcW w:w="720" w:type="dxa"/>
            <w:vAlign w:val="bottom"/>
          </w:tcPr>
          <w:p>
            <w:pPr>
              <w:jc w:val="right"/>
              <w:ind w:right="233"/>
              <w:spacing w:after="0"/>
              <w:rPr>
                <w:sz w:val="20"/>
                <w:szCs w:val="20"/>
                <w:color w:val="auto"/>
              </w:rPr>
            </w:pPr>
            <w:r>
              <w:rPr>
                <w:rFonts w:ascii="Arial" w:cs="Arial" w:eastAsia="Arial" w:hAnsi="Arial"/>
                <w:sz w:val="18"/>
                <w:szCs w:val="18"/>
                <w:color w:val="auto"/>
              </w:rPr>
              <w:t>4.10</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Warrant for Warrants sold attached to other Securities**</w:t>
            </w:r>
          </w:p>
        </w:tc>
      </w:tr>
      <w:tr>
        <w:trPr>
          <w:trHeight w:val="324"/>
        </w:trPr>
        <w:tc>
          <w:tcPr>
            <w:tcW w:w="720" w:type="dxa"/>
            <w:vAlign w:val="bottom"/>
          </w:tcPr>
          <w:p>
            <w:pPr>
              <w:jc w:val="right"/>
              <w:ind w:right="233"/>
              <w:spacing w:after="0"/>
              <w:rPr>
                <w:sz w:val="20"/>
                <w:szCs w:val="20"/>
                <w:color w:val="auto"/>
              </w:rPr>
            </w:pPr>
            <w:r>
              <w:rPr>
                <w:rFonts w:ascii="Arial" w:cs="Arial" w:eastAsia="Arial" w:hAnsi="Arial"/>
                <w:sz w:val="18"/>
                <w:szCs w:val="18"/>
                <w:color w:val="auto"/>
              </w:rPr>
              <w:t>4.11</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Pledge Agreement**</w:t>
            </w:r>
          </w:p>
        </w:tc>
      </w:tr>
      <w:tr>
        <w:trPr>
          <w:trHeight w:val="324"/>
        </w:trPr>
        <w:tc>
          <w:tcPr>
            <w:tcW w:w="720" w:type="dxa"/>
            <w:vAlign w:val="bottom"/>
          </w:tcPr>
          <w:p>
            <w:pPr>
              <w:jc w:val="right"/>
              <w:ind w:right="233"/>
              <w:spacing w:after="0"/>
              <w:rPr>
                <w:sz w:val="20"/>
                <w:szCs w:val="20"/>
                <w:color w:val="auto"/>
              </w:rPr>
            </w:pPr>
            <w:r>
              <w:rPr>
                <w:rFonts w:ascii="Arial" w:cs="Arial" w:eastAsia="Arial" w:hAnsi="Arial"/>
                <w:sz w:val="18"/>
                <w:szCs w:val="18"/>
                <w:color w:val="auto"/>
              </w:rPr>
              <w:t>4.12</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Deposit Agreement**</w:t>
            </w:r>
          </w:p>
        </w:tc>
      </w:tr>
      <w:tr>
        <w:trPr>
          <w:trHeight w:val="324"/>
        </w:trPr>
        <w:tc>
          <w:tcPr>
            <w:tcW w:w="720" w:type="dxa"/>
            <w:vAlign w:val="bottom"/>
          </w:tcPr>
          <w:p>
            <w:pPr>
              <w:jc w:val="right"/>
              <w:ind w:right="233"/>
              <w:spacing w:after="0"/>
              <w:rPr>
                <w:sz w:val="20"/>
                <w:szCs w:val="20"/>
                <w:color w:val="auto"/>
              </w:rPr>
            </w:pPr>
            <w:r>
              <w:rPr>
                <w:rFonts w:ascii="Arial" w:cs="Arial" w:eastAsia="Arial" w:hAnsi="Arial"/>
                <w:sz w:val="18"/>
                <w:szCs w:val="18"/>
                <w:color w:val="auto"/>
              </w:rPr>
              <w:t>4.13</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Depositary Share**</w:t>
            </w:r>
          </w:p>
        </w:tc>
      </w:tr>
      <w:tr>
        <w:trPr>
          <w:trHeight w:val="324"/>
        </w:trPr>
        <w:tc>
          <w:tcPr>
            <w:tcW w:w="720" w:type="dxa"/>
            <w:vAlign w:val="bottom"/>
          </w:tcPr>
          <w:p>
            <w:pPr>
              <w:jc w:val="right"/>
              <w:ind w:right="233"/>
              <w:spacing w:after="0"/>
              <w:rPr>
                <w:sz w:val="20"/>
                <w:szCs w:val="20"/>
                <w:color w:val="auto"/>
              </w:rPr>
            </w:pPr>
            <w:r>
              <w:rPr>
                <w:rFonts w:ascii="Arial" w:cs="Arial" w:eastAsia="Arial" w:hAnsi="Arial"/>
                <w:sz w:val="18"/>
                <w:szCs w:val="18"/>
                <w:color w:val="auto"/>
              </w:rPr>
              <w:t>4.14</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Guarantee (Warrants, Purchase Contracts and Units)**</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5.1</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Opinion of Arthur R. Block, Esquire*</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5.2</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Opinion of Davis Polk &amp; Wardwell LLP*</w:t>
            </w:r>
          </w:p>
        </w:tc>
      </w:tr>
      <w:tr>
        <w:trPr>
          <w:trHeight w:val="318"/>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12.1</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88"/>
              </w:rPr>
              <w:t>Statement Regarding Computation of Ratio of Earnings to Fixed Charges and Ratio of Earnings to Combined Fixed Charges and Preferred</w:t>
            </w:r>
          </w:p>
        </w:tc>
      </w:tr>
      <w:tr>
        <w:trPr>
          <w:trHeight w:val="216"/>
        </w:trPr>
        <w:tc>
          <w:tcPr>
            <w:tcW w:w="720" w:type="dxa"/>
            <w:vAlign w:val="bottom"/>
          </w:tcPr>
          <w:p>
            <w:pPr>
              <w:spacing w:after="0"/>
              <w:rPr>
                <w:sz w:val="18"/>
                <w:szCs w:val="18"/>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88"/>
              </w:rPr>
              <w:t>Dividends of Comcast Corporation (incorporated by reference to our Annual Report on Form 10-K for the year ended December 31, 2012,</w:t>
            </w:r>
          </w:p>
        </w:tc>
      </w:tr>
      <w:tr>
        <w:trPr>
          <w:trHeight w:val="222"/>
        </w:trPr>
        <w:tc>
          <w:tcPr>
            <w:tcW w:w="72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filed on February 21, 2013)</w:t>
            </w:r>
          </w:p>
        </w:tc>
      </w:tr>
      <w:tr>
        <w:trPr>
          <w:trHeight w:val="318"/>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12.2</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88"/>
              </w:rPr>
              <w:t>Statement Regarding Computation of Ratio of Earnings to Fixed Charges and Ratio of Earnings to Combined Fixed Charges and Preferred</w:t>
            </w:r>
          </w:p>
        </w:tc>
      </w:tr>
      <w:tr>
        <w:trPr>
          <w:trHeight w:val="222"/>
        </w:trPr>
        <w:tc>
          <w:tcPr>
            <w:tcW w:w="72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Dividends of Comcast Corporation for the six months ended June 30, 2013*</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23.1</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Consent of Deloitte &amp; Touche LLP (Comcast Corporation)*</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23.2</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Consent of Deloitte &amp; Touche LLP (NBCUniversal Media, LLC)*</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23.3</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Consent of KPMG LLP (NBCUniversal Media, LLC)*</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23.4</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Consent of Arthur R. Block, Esquire (included in Exhibit 5.1)</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23.5</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Consent of Davis Polk &amp; Wardwell LLP (included in Exhibit 5.2)</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24.1</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Powers of Attorney (included on the signature pages hereof)</w:t>
            </w:r>
          </w:p>
        </w:tc>
      </w:tr>
      <w:tr>
        <w:trPr>
          <w:trHeight w:val="318"/>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25.1</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89"/>
              </w:rPr>
              <w:t>Statement of Eligibility under the Trust Indenture Act of 1939, as amended, of The Bank of New York Mellon, as Trustee under the Senior</w:t>
            </w:r>
          </w:p>
        </w:tc>
      </w:tr>
      <w:tr>
        <w:trPr>
          <w:trHeight w:val="222"/>
        </w:trPr>
        <w:tc>
          <w:tcPr>
            <w:tcW w:w="72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Indenture*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be filed by Current Report on Form 8-K.</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II-16</w:t>
      </w:r>
    </w:p>
    <w:p>
      <w:pPr>
        <w:sectPr>
          <w:pgSz w:w="11900" w:h="16838" w:orient="portrait"/>
          <w:cols w:equalWidth="0" w:num="1">
            <w:col w:w="11340"/>
          </w:cols>
          <w:pgMar w:left="240" w:top="459" w:right="31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ind w:left="10400"/>
        <w:spacing w:after="0"/>
        <w:tabs>
          <w:tab w:leader="none" w:pos="11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We (the “Managers”) are acting on behalf of the underwriter or underwriters (including ourselves) named below (such underwriter or underwriters being herein called the “Underwriters”), and we understand that Comcast Corporation, a Pennsylvania corporation (the “Company”), proposes to issue and</w:t>
      </w:r>
    </w:p>
    <w:p>
      <w:pPr>
        <w:ind w:right="120"/>
        <w:spacing w:after="0" w:line="250" w:lineRule="auto"/>
        <w:rPr>
          <w:sz w:val="20"/>
          <w:szCs w:val="20"/>
          <w:color w:val="auto"/>
        </w:rPr>
      </w:pPr>
      <w:r>
        <w:rPr>
          <w:rFonts w:ascii="Arial" w:cs="Arial" w:eastAsia="Arial" w:hAnsi="Arial"/>
          <w:sz w:val="18"/>
          <w:szCs w:val="18"/>
          <w:color w:val="auto"/>
        </w:rPr>
        <w:t>sell $[ ] aggregate principal amount of [ ]% Notes Due [ ] (the “Offered Securities”). The Offered Securities are to be issued pursuant to the provisions of the Indenture, dated as of [ ] by and among the Company, the Guarantors and [ ], as trustee (the “Trustee”), as guaranteed on</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an unsecured and unsubordinated basis by NBCUniversal Media, LLC, Comcast Cable Communications, LLC, Comcast Cable Holdings, LLC, Comcast MO Group, Inc. and Comcast MO of Delaware, LLC (the “Guarantors”).</w:t>
      </w:r>
    </w:p>
    <w:p>
      <w:pPr>
        <w:spacing w:after="0" w:line="18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Subject to the terms and conditions set forth or incorporated by reference herein, the Company hereby agrees to sell and the Underwriters agree to purchase, severally and not jointly, the aggregate principal amount of the Offered Securities set forth below opposite their names at a purchase price of [ ]%</w:t>
      </w:r>
    </w:p>
    <w:tbl>
      <w:tblPr>
        <w:tblLayout w:type="fixed"/>
        <w:tblInd w:w="0" w:type="dxa"/>
        <w:tblCellMar>
          <w:top w:w="0" w:type="dxa"/>
          <w:left w:w="0" w:type="dxa"/>
          <w:bottom w:w="0" w:type="dxa"/>
          <w:right w:w="0" w:type="dxa"/>
        </w:tblCellMar>
      </w:tblPr>
      <w:tr>
        <w:trPr>
          <w:trHeight w:val="230"/>
        </w:trPr>
        <w:tc>
          <w:tcPr>
            <w:tcW w:w="2980" w:type="dxa"/>
            <w:vAlign w:val="bottom"/>
            <w:gridSpan w:val="4"/>
          </w:tcPr>
          <w:p>
            <w:pPr>
              <w:jc w:val="right"/>
              <w:ind w:right="370"/>
              <w:spacing w:after="0"/>
              <w:rPr>
                <w:sz w:val="20"/>
                <w:szCs w:val="20"/>
                <w:color w:val="auto"/>
              </w:rPr>
            </w:pPr>
            <w:r>
              <w:rPr>
                <w:rFonts w:ascii="Arial" w:cs="Arial" w:eastAsia="Arial" w:hAnsi="Arial"/>
                <w:sz w:val="18"/>
                <w:szCs w:val="18"/>
                <w:color w:val="auto"/>
                <w:w w:val="90"/>
              </w:rPr>
              <w:t>plus accrued interest, if any, from [</w:t>
            </w:r>
          </w:p>
        </w:tc>
        <w:tc>
          <w:tcPr>
            <w:tcW w:w="7880" w:type="dxa"/>
            <w:vAlign w:val="bottom"/>
            <w:gridSpan w:val="2"/>
          </w:tcPr>
          <w:p>
            <w:pPr>
              <w:ind w:left="440"/>
              <w:spacing w:after="0"/>
              <w:rPr>
                <w:sz w:val="20"/>
                <w:szCs w:val="20"/>
                <w:color w:val="auto"/>
              </w:rPr>
            </w:pPr>
            <w:r>
              <w:rPr>
                <w:rFonts w:ascii="Arial" w:cs="Arial" w:eastAsia="Arial" w:hAnsi="Arial"/>
                <w:sz w:val="18"/>
                <w:szCs w:val="18"/>
                <w:color w:val="auto"/>
              </w:rPr>
              <w:t>] to the date of payment and delivery (the “Purchase 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Amount of Offered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34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Underwriter</w:t>
            </w:r>
          </w:p>
        </w:tc>
        <w:tc>
          <w:tcPr>
            <w:tcW w:w="164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 To Be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340" w:type="dxa"/>
            <w:vAlign w:val="bottom"/>
            <w:gridSpan w:val="3"/>
            <w:vMerge w:val="continue"/>
          </w:tcPr>
          <w:p>
            <w:pPr>
              <w:spacing w:after="0"/>
              <w:rPr>
                <w:sz w:val="15"/>
                <w:szCs w:val="15"/>
                <w:color w:val="auto"/>
              </w:rPr>
            </w:pPr>
          </w:p>
        </w:tc>
        <w:tc>
          <w:tcPr>
            <w:tcW w:w="164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11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Purchased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7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CCEEFF"/>
            </w:tcBorders>
            <w:shd w:val="clear" w:color="auto" w:fill="CCEEFF"/>
          </w:tcPr>
          <w:p>
            <w:pPr>
              <w:jc w:val="right"/>
              <w:ind w:right="1410"/>
              <w:spacing w:after="0" w:line="203" w:lineRule="exact"/>
              <w:rPr>
                <w:sz w:val="20"/>
                <w:szCs w:val="20"/>
                <w:color w:val="auto"/>
              </w:rPr>
            </w:pPr>
            <w:r>
              <w:rPr>
                <w:rFonts w:ascii="Arial" w:cs="Arial" w:eastAsia="Arial" w:hAnsi="Arial"/>
                <w:sz w:val="18"/>
                <w:szCs w:val="18"/>
                <w:color w:val="auto"/>
              </w:rPr>
              <w:t>]</w:t>
            </w:r>
          </w:p>
        </w:tc>
        <w:tc>
          <w:tcPr>
            <w:tcW w:w="67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40" w:type="dxa"/>
            <w:vAlign w:val="bottom"/>
          </w:tcPr>
          <w:p>
            <w:pPr>
              <w:jc w:val="right"/>
              <w:ind w:right="1410"/>
              <w:spacing w:after="0"/>
              <w:rPr>
                <w:sz w:val="20"/>
                <w:szCs w:val="20"/>
                <w:color w:val="auto"/>
              </w:rPr>
            </w:pPr>
            <w:r>
              <w:rPr>
                <w:rFonts w:ascii="Arial" w:cs="Arial" w:eastAsia="Arial" w:hAnsi="Arial"/>
                <w:sz w:val="18"/>
                <w:szCs w:val="18"/>
                <w:color w:val="auto"/>
              </w:rPr>
              <w:t>]</w:t>
            </w:r>
          </w:p>
        </w:tc>
        <w:tc>
          <w:tcPr>
            <w:tcW w:w="7880" w:type="dxa"/>
            <w:vAlign w:val="bottom"/>
            <w:gridSpan w:val="2"/>
          </w:tcPr>
          <w:p>
            <w:pPr>
              <w:jc w:val="center"/>
              <w:ind w:left="665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410"/>
              <w:spacing w:after="0"/>
              <w:rPr>
                <w:sz w:val="20"/>
                <w:szCs w:val="20"/>
                <w:color w:val="auto"/>
              </w:rPr>
            </w:pPr>
            <w:r>
              <w:rPr>
                <w:rFonts w:ascii="Arial" w:cs="Arial" w:eastAsia="Arial" w:hAnsi="Arial"/>
                <w:sz w:val="18"/>
                <w:szCs w:val="18"/>
                <w:color w:val="auto"/>
              </w:rPr>
              <w:t>]</w:t>
            </w:r>
          </w:p>
        </w:tc>
        <w:tc>
          <w:tcPr>
            <w:tcW w:w="7880" w:type="dxa"/>
            <w:vAlign w:val="bottom"/>
            <w:gridSpan w:val="2"/>
            <w:shd w:val="clear" w:color="auto" w:fill="CCEEFF"/>
          </w:tcPr>
          <w:p>
            <w:pPr>
              <w:jc w:val="center"/>
              <w:ind w:left="66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Underwriters will pay for the Offered Securities upon delivery thereof with the closing to be held at the offices of Davis Polk &amp; Wardwell LLP,</w:t>
      </w:r>
    </w:p>
    <w:p>
      <w:pPr>
        <w:spacing w:after="0" w:line="35"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1600 El Camino Real, Menlo Park, California at 10:00 a.m. (New York time) on [ ], or at such other time, not later than 5:00 p.m. (New York time) on [ ] as shall be designated in writing by the Underwriters and the Company. The time and date of such payment and delivery are hereinafter referred to as the “Closing Date.”</w:t>
      </w:r>
    </w:p>
    <w:p>
      <w:pPr>
        <w:sectPr>
          <w:pgSz w:w="11900" w:h="16838" w:orient="portrait"/>
          <w:cols w:equalWidth="0" w:num="1">
            <w:col w:w="11420"/>
          </w:cols>
          <w:pgMar w:left="240" w:top="121" w:right="239" w:bottom="1440" w:gutter="0" w:footer="0" w:header="0"/>
        </w:sectPr>
      </w:pPr>
    </w:p>
    <w:p>
      <w:pPr>
        <w:spacing w:after="0" w:line="1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Offered Securities shall have the terms set forth in the Prospectus dated [</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 (the “Prospectus”) and the Prospectus Supplement dated</w:t>
      </w:r>
    </w:p>
    <w:p>
      <w:pPr>
        <w:spacing w:after="0" w:line="46" w:lineRule="exact"/>
        <w:rPr>
          <w:sz w:val="20"/>
          <w:szCs w:val="20"/>
          <w:color w:val="auto"/>
        </w:rPr>
      </w:pPr>
    </w:p>
    <w:p>
      <w:pPr>
        <w:sectPr>
          <w:pgSz w:w="11900" w:h="16838" w:orient="portrait"/>
          <w:cols w:equalWidth="0" w:num="2">
            <w:col w:w="6220" w:space="720"/>
            <w:col w:w="4480"/>
          </w:cols>
          <w:pgMar w:left="240" w:top="121" w:right="239" w:bottom="1440" w:gutter="0" w:footer="0" w:header="0"/>
          <w:type w:val="continuous"/>
        </w:sectPr>
      </w:pPr>
    </w:p>
    <w:p>
      <w:pPr>
        <w:ind w:left="460" w:right="6180" w:hanging="452"/>
        <w:spacing w:after="0" w:line="367" w:lineRule="auto"/>
        <w:tabs>
          <w:tab w:leader="none" w:pos="964" w:val="left"/>
        </w:tabs>
        <w:numPr>
          <w:ilvl w:val="0"/>
          <w:numId w:val="41"/>
        </w:numPr>
        <w:rPr>
          <w:rFonts w:ascii="Arial" w:cs="Arial" w:eastAsia="Arial" w:hAnsi="Arial"/>
          <w:sz w:val="18"/>
          <w:szCs w:val="18"/>
          <w:color w:val="auto"/>
        </w:rPr>
      </w:pPr>
      <w:r>
        <w:rPr>
          <w:rFonts w:ascii="Arial" w:cs="Arial" w:eastAsia="Arial" w:hAnsi="Arial"/>
          <w:sz w:val="18"/>
          <w:szCs w:val="18"/>
          <w:color w:val="auto"/>
        </w:rPr>
        <w:t>] (the “</w:t>
      </w:r>
      <w:r>
        <w:rPr>
          <w:rFonts w:ascii="Arial" w:cs="Arial" w:eastAsia="Arial" w:hAnsi="Arial"/>
          <w:sz w:val="18"/>
          <w:szCs w:val="18"/>
          <w:b w:val="1"/>
          <w:bCs w:val="1"/>
          <w:color w:val="auto"/>
        </w:rPr>
        <w:t>Prospectus Supplement</w:t>
      </w:r>
      <w:r>
        <w:rPr>
          <w:rFonts w:ascii="Arial" w:cs="Arial" w:eastAsia="Arial" w:hAnsi="Arial"/>
          <w:sz w:val="18"/>
          <w:szCs w:val="18"/>
          <w:color w:val="auto"/>
        </w:rPr>
        <w:t>”), including the following: Terms of Offered Securities:</w:t>
      </w:r>
    </w:p>
    <w:p>
      <w:pPr>
        <w:sectPr>
          <w:pgSz w:w="11900" w:h="16838" w:orient="portrait"/>
          <w:cols w:equalWidth="0" w:num="1">
            <w:col w:w="11420"/>
          </w:cols>
          <w:pgMar w:left="240" w:top="121" w:right="239" w:bottom="1440" w:gutter="0" w:footer="0" w:header="0"/>
          <w:type w:val="continuous"/>
        </w:sectPr>
      </w:pPr>
    </w:p>
    <w:p>
      <w:pPr>
        <w:spacing w:after="0" w:line="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Maturity Date: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1820" w:space="720"/>
            <w:col w:w="8880"/>
          </w:cols>
          <w:pgMar w:left="240" w:top="121"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Interest Rate: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1720" w:space="720"/>
            <w:col w:w="8980"/>
          </w:cols>
          <w:pgMar w:left="240" w:top="121"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Redemption Provisions: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2480" w:space="720"/>
            <w:col w:w="8220"/>
          </w:cols>
          <w:pgMar w:left="240" w:top="121"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Interest Payment Dates: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2460" w:space="720"/>
            <w:col w:w="8240"/>
          </w:cols>
          <w:pgMar w:left="240" w:top="121" w:right="23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commencing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129" w:lineRule="exact"/>
        <w:rPr>
          <w:sz w:val="20"/>
          <w:szCs w:val="20"/>
          <w:color w:val="auto"/>
        </w:rPr>
      </w:pPr>
    </w:p>
    <w:p>
      <w:pPr>
        <w:sectPr>
          <w:pgSz w:w="11900" w:h="16838" w:orient="portrait"/>
          <w:cols w:equalWidth="0" w:num="2">
            <w:col w:w="2360" w:space="720"/>
            <w:col w:w="8340"/>
          </w:cols>
          <w:pgMar w:left="240" w:top="121" w:right="23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(Interest accrues from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3020" w:space="720"/>
            <w:col w:w="7680"/>
          </w:cols>
          <w:pgMar w:left="240" w:top="121"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Form and Denomination: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2560" w:space="720"/>
            <w:col w:w="8140"/>
          </w:cols>
          <w:pgMar w:left="240" w:top="121"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Ranking: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1400" w:space="720"/>
            <w:col w:w="9300"/>
          </w:cols>
          <w:pgMar w:left="240" w:top="121"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Other Terms: As set forth in the Prospectus Supplement.</w:t>
      </w:r>
    </w:p>
    <w:p>
      <w:pPr>
        <w:sectPr>
          <w:pgSz w:w="11900" w:h="16838" w:orient="portrait"/>
          <w:cols w:equalWidth="0" w:num="1">
            <w:col w:w="11420"/>
          </w:cols>
          <w:pgMar w:left="240" w:top="121" w:right="239" w:bottom="1440" w:gutter="0" w:footer="0" w:header="0"/>
          <w:type w:val="continuous"/>
        </w:sectPr>
      </w:pPr>
    </w:p>
    <w:bookmarkStart w:id="47" w:name="page48"/>
    <w:bookmarkEnd w:id="4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Capitalized terms used above and not defined herein shall have the meanings set forth in the Prospectus and Prospectus Supplement referred to above.</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communications hereunder shall be in writing and effective only upon receipt and (a) if to the Underwriters, shall be delivered, mailed or sent via</w:t>
      </w:r>
    </w:p>
    <w:p>
      <w:pPr>
        <w:spacing w:after="0" w:line="46" w:lineRule="exact"/>
        <w:rPr>
          <w:sz w:val="20"/>
          <w:szCs w:val="20"/>
          <w:color w:val="auto"/>
        </w:rPr>
      </w:pPr>
    </w:p>
    <w:p>
      <w:pPr>
        <w:spacing w:after="0"/>
        <w:tabs>
          <w:tab w:leader="none" w:pos="2240" w:val="left"/>
          <w:tab w:leader="none" w:pos="4280" w:val="left"/>
          <w:tab w:leader="none" w:pos="5820" w:val="left"/>
          <w:tab w:leader="none" w:pos="6840" w:val="left"/>
          <w:tab w:leader="none" w:pos="8880" w:val="left"/>
        </w:tabs>
        <w:rPr>
          <w:sz w:val="20"/>
          <w:szCs w:val="20"/>
          <w:color w:val="auto"/>
        </w:rPr>
      </w:pPr>
      <w:r>
        <w:rPr>
          <w:rFonts w:ascii="Arial" w:cs="Arial" w:eastAsia="Arial" w:hAnsi="Arial"/>
          <w:sz w:val="18"/>
          <w:szCs w:val="18"/>
          <w:color w:val="auto"/>
        </w:rPr>
        <w:t>facsimile in care of (i) [</w:t>
      </w:r>
      <w:r>
        <w:rPr>
          <w:sz w:val="20"/>
          <w:szCs w:val="20"/>
          <w:color w:val="auto"/>
        </w:rPr>
        <w:tab/>
      </w:r>
      <w:r>
        <w:rPr>
          <w:rFonts w:ascii="Arial" w:cs="Arial" w:eastAsia="Arial" w:hAnsi="Arial"/>
          <w:sz w:val="18"/>
          <w:szCs w:val="18"/>
          <w:color w:val="auto"/>
        </w:rPr>
        <w:t>]; facsimile number [</w:t>
      </w:r>
      <w:r>
        <w:rPr>
          <w:sz w:val="20"/>
          <w:szCs w:val="20"/>
          <w:color w:val="auto"/>
        </w:rPr>
        <w:tab/>
      </w:r>
      <w:r>
        <w:rPr>
          <w:rFonts w:ascii="Arial" w:cs="Arial" w:eastAsia="Arial" w:hAnsi="Arial"/>
          <w:sz w:val="18"/>
          <w:szCs w:val="18"/>
          <w:color w:val="auto"/>
        </w:rPr>
        <w:t>]; Attention: [</w:t>
      </w:r>
      <w:r>
        <w:rPr>
          <w:sz w:val="20"/>
          <w:szCs w:val="20"/>
          <w:color w:val="auto"/>
        </w:rPr>
        <w:tab/>
      </w:r>
      <w:r>
        <w:rPr>
          <w:rFonts w:ascii="Arial" w:cs="Arial" w:eastAsia="Arial" w:hAnsi="Arial"/>
          <w:sz w:val="18"/>
          <w:szCs w:val="18"/>
          <w:color w:val="auto"/>
        </w:rPr>
        <w:t>], (ii) [</w:t>
      </w:r>
      <w:r>
        <w:rPr>
          <w:sz w:val="20"/>
          <w:szCs w:val="20"/>
          <w:color w:val="auto"/>
        </w:rPr>
        <w:tab/>
      </w:r>
      <w:r>
        <w:rPr>
          <w:rFonts w:ascii="Arial" w:cs="Arial" w:eastAsia="Arial" w:hAnsi="Arial"/>
          <w:sz w:val="18"/>
          <w:szCs w:val="18"/>
          <w:color w:val="auto"/>
        </w:rPr>
        <w:t>]; facsimile number [</w:t>
      </w:r>
      <w:r>
        <w:rPr>
          <w:sz w:val="20"/>
          <w:szCs w:val="20"/>
          <w:color w:val="auto"/>
        </w:rPr>
        <w:tab/>
      </w:r>
      <w:r>
        <w:rPr>
          <w:rFonts w:ascii="Arial" w:cs="Arial" w:eastAsia="Arial" w:hAnsi="Arial"/>
          <w:sz w:val="16"/>
          <w:szCs w:val="16"/>
          <w:color w:val="auto"/>
        </w:rPr>
        <w:t>]; or (b) if to the Company shall be</w:t>
      </w:r>
    </w:p>
    <w:p>
      <w:pPr>
        <w:spacing w:after="0" w:line="9" w:lineRule="exact"/>
        <w:rPr>
          <w:sz w:val="20"/>
          <w:szCs w:val="20"/>
          <w:color w:val="auto"/>
        </w:rPr>
      </w:pPr>
    </w:p>
    <w:p>
      <w:pPr>
        <w:spacing w:after="0"/>
        <w:tabs>
          <w:tab w:leader="none" w:pos="8980" w:val="left"/>
          <w:tab w:leader="none" w:pos="10460" w:val="left"/>
        </w:tabs>
        <w:rPr>
          <w:sz w:val="20"/>
          <w:szCs w:val="20"/>
          <w:color w:val="auto"/>
        </w:rPr>
      </w:pPr>
      <w:r>
        <w:rPr>
          <w:rFonts w:ascii="Arial" w:cs="Arial" w:eastAsia="Arial" w:hAnsi="Arial"/>
          <w:sz w:val="18"/>
          <w:szCs w:val="18"/>
          <w:color w:val="auto"/>
        </w:rPr>
        <w:t>delivered, mailed or sent via facsimile to One Comcast Center, Philadelphia, Pennsylvania 19103, facsimile number [</w:t>
      </w:r>
      <w:r>
        <w:rPr>
          <w:sz w:val="20"/>
          <w:szCs w:val="20"/>
          <w:color w:val="auto"/>
        </w:rPr>
        <w:tab/>
      </w:r>
      <w:r>
        <w:rPr>
          <w:rFonts w:ascii="Arial" w:cs="Arial" w:eastAsia="Arial" w:hAnsi="Arial"/>
          <w:sz w:val="18"/>
          <w:szCs w:val="18"/>
          <w:color w:val="auto"/>
        </w:rPr>
        <w:t>], attention: [</w:t>
      </w:r>
      <w:r>
        <w:rPr>
          <w:sz w:val="20"/>
          <w:szCs w:val="20"/>
          <w:color w:val="auto"/>
        </w:rPr>
        <w:tab/>
      </w:r>
      <w:r>
        <w:rPr>
          <w:rFonts w:ascii="Arial" w:cs="Arial" w:eastAsia="Arial" w:hAnsi="Arial"/>
          <w:sz w:val="17"/>
          <w:szCs w:val="17"/>
          <w:color w:val="auto"/>
        </w:rPr>
        <w:t>].</w:t>
      </w:r>
    </w:p>
    <w:p>
      <w:pPr>
        <w:spacing w:after="0" w:line="21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The Company acknowledges and agrees that each of the Underwriters is acting solely in the capacity of an arm’s length contractual counterparty to the Company with respect to the offering of Offered Securities contemplated hereby (including in connection with determining the terms of the offering) and not as a financial advisor or a fiduciary to, or an agent of, the Company or any other person. Additionally, none of the Underwriters is advising the Company or any other person as to any legal, tax, investment, accounting or regulatory matters in any jurisdiction with respect to the offering of Offered Securities contemplated hereby. The Company shall consult with its own advisors concerning such matters and shall be responsible for making their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set forth below, all provisions contained in the document entitled Comcast Corporation Underwriting Agreement Standard Provisions (Debt</w:t>
      </w:r>
    </w:p>
    <w:p>
      <w:pPr>
        <w:spacing w:after="0" w:line="46"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Securities)) dated [ ], (the “Standard Provisions”), a copy of which is attached hereto, are herein incorporated by reference in their entirety and shall be deemed to be a part of this Agreement to the same extent as if such provisions had been set forth in full herein, except that (i) if any term defined in such document is otherwise defined herein, the definition set forth herein shall control, (ii) all references in such document to a type of security that is not an Offered Security shall not be deemed to be a part of this Agreement and (iii) all references in such document to a type of agreement that has not been entered into in connection with the transactions contemplated hereby shall not be deemed to be a part of this Agreement.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48" w:name="page49"/>
    <w:bookmarkEnd w:id="4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confirm your agreement by having an authorized officer sign a copy of this Agreement in the space set forth below.</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Lead Managers]</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On behalf of themselves and the other Underwriters named</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herein</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Accepted: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NBCUniversal, LLC, its sole member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COMCAST CABLE COMMUNICATIONS,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COMCAST CABLE HOLDINGS,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w:t>
      </w:r>
    </w:p>
    <w:p>
      <w:pPr>
        <w:spacing w:after="0" w:line="15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240" w:top="274" w:right="5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COMCAST MO 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COMCAST MO OF DELAWARE,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w:t>
      </w:r>
    </w:p>
    <w:p>
      <w:pPr>
        <w:spacing w:after="0" w:line="157"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4" w:right="1440"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440" w:type="dxa"/>
            <w:vAlign w:val="bottom"/>
          </w:tcPr>
          <w:p>
            <w:pPr>
              <w:ind w:left="360"/>
              <w:spacing w:after="0"/>
              <w:rPr>
                <w:sz w:val="20"/>
                <w:szCs w:val="20"/>
                <w:color w:val="auto"/>
              </w:rPr>
            </w:pPr>
            <w:r>
              <w:rPr>
                <w:rFonts w:ascii="Arial" w:cs="Arial" w:eastAsia="Arial" w:hAnsi="Arial"/>
                <w:sz w:val="18"/>
                <w:szCs w:val="18"/>
                <w:b w:val="1"/>
                <w:bCs w:val="1"/>
                <w:color w:val="auto"/>
              </w:rPr>
              <w:t>TIME OF SALE PROSPECTUS</w:t>
            </w:r>
          </w:p>
        </w:tc>
        <w:tc>
          <w:tcPr>
            <w:tcW w:w="380" w:type="dxa"/>
            <w:vAlign w:val="bottom"/>
          </w:tcPr>
          <w:p>
            <w:pPr>
              <w:spacing w:after="0"/>
              <w:rPr>
                <w:sz w:val="20"/>
                <w:szCs w:val="20"/>
                <w:color w:val="auto"/>
              </w:rPr>
            </w:pPr>
          </w:p>
        </w:tc>
      </w:tr>
      <w:tr>
        <w:trPr>
          <w:trHeight w:val="432"/>
        </w:trPr>
        <w:tc>
          <w:tcPr>
            <w:tcW w:w="160" w:type="dxa"/>
            <w:vAlign w:val="bottom"/>
          </w:tcPr>
          <w:p>
            <w:pPr>
              <w:jc w:val="right"/>
              <w:spacing w:after="0"/>
              <w:rPr>
                <w:sz w:val="20"/>
                <w:szCs w:val="20"/>
                <w:color w:val="auto"/>
              </w:rPr>
            </w:pPr>
            <w:r>
              <w:rPr>
                <w:rFonts w:ascii="Arial" w:cs="Arial" w:eastAsia="Arial" w:hAnsi="Arial"/>
                <w:sz w:val="18"/>
                <w:szCs w:val="18"/>
                <w:color w:val="auto"/>
                <w:w w:val="79"/>
              </w:rPr>
              <w:t>1.</w:t>
            </w:r>
          </w:p>
        </w:tc>
        <w:tc>
          <w:tcPr>
            <w:tcW w:w="2000" w:type="dxa"/>
            <w:vAlign w:val="bottom"/>
          </w:tcPr>
          <w:p>
            <w:pPr>
              <w:ind w:left="20"/>
              <w:spacing w:after="0"/>
              <w:rPr>
                <w:sz w:val="20"/>
                <w:szCs w:val="20"/>
                <w:color w:val="auto"/>
              </w:rPr>
            </w:pPr>
            <w:r>
              <w:rPr>
                <w:rFonts w:ascii="Arial" w:cs="Arial" w:eastAsia="Arial" w:hAnsi="Arial"/>
                <w:sz w:val="18"/>
                <w:szCs w:val="18"/>
                <w:color w:val="auto"/>
                <w:w w:val="99"/>
              </w:rPr>
              <w:t>Base Prospectus dated [</w:t>
            </w:r>
          </w:p>
        </w:tc>
        <w:tc>
          <w:tcPr>
            <w:tcW w:w="6920" w:type="dxa"/>
            <w:vAlign w:val="bottom"/>
            <w:gridSpan w:val="2"/>
          </w:tcPr>
          <w:p>
            <w:pPr>
              <w:ind w:left="280"/>
              <w:spacing w:after="0"/>
              <w:rPr>
                <w:sz w:val="20"/>
                <w:szCs w:val="20"/>
                <w:color w:val="auto"/>
              </w:rPr>
            </w:pPr>
            <w:r>
              <w:rPr>
                <w:rFonts w:ascii="Arial" w:cs="Arial" w:eastAsia="Arial" w:hAnsi="Arial"/>
                <w:sz w:val="18"/>
                <w:szCs w:val="18"/>
                <w:color w:val="auto"/>
                <w:w w:val="95"/>
              </w:rPr>
              <w:t>] relating to the Offered Securities and included in the Registration Statement (File No. [</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16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3480" w:type="dxa"/>
            <w:vAlign w:val="bottom"/>
            <w:gridSpan w:val="2"/>
          </w:tcPr>
          <w:p>
            <w:pPr>
              <w:ind w:left="20"/>
              <w:spacing w:after="0"/>
              <w:rPr>
                <w:sz w:val="20"/>
                <w:szCs w:val="20"/>
                <w:color w:val="auto"/>
              </w:rPr>
            </w:pPr>
            <w:r>
              <w:rPr>
                <w:rFonts w:ascii="Arial" w:cs="Arial" w:eastAsia="Arial" w:hAnsi="Arial"/>
                <w:sz w:val="18"/>
                <w:szCs w:val="18"/>
                <w:color w:val="auto"/>
                <w:w w:val="99"/>
              </w:rPr>
              <w:t>Preliminary Prospectus Supplement dated [</w:t>
            </w:r>
          </w:p>
        </w:tc>
        <w:tc>
          <w:tcPr>
            <w:tcW w:w="5440" w:type="dxa"/>
            <w:vAlign w:val="bottom"/>
          </w:tcPr>
          <w:p>
            <w:pPr>
              <w:ind w:left="560"/>
              <w:spacing w:after="0"/>
              <w:rPr>
                <w:sz w:val="20"/>
                <w:szCs w:val="20"/>
                <w:color w:val="auto"/>
              </w:rPr>
            </w:pPr>
            <w:r>
              <w:rPr>
                <w:rFonts w:ascii="Arial" w:cs="Arial" w:eastAsia="Arial" w:hAnsi="Arial"/>
                <w:sz w:val="18"/>
                <w:szCs w:val="18"/>
                <w:color w:val="auto"/>
              </w:rPr>
              <w:t>] relating to the Offered Securities</w:t>
            </w:r>
          </w:p>
        </w:tc>
        <w:tc>
          <w:tcPr>
            <w:tcW w:w="380" w:type="dxa"/>
            <w:vAlign w:val="bottom"/>
          </w:tcPr>
          <w:p>
            <w:pPr>
              <w:spacing w:after="0"/>
              <w:rPr>
                <w:sz w:val="24"/>
                <w:szCs w:val="24"/>
                <w:color w:val="auto"/>
              </w:rPr>
            </w:pPr>
          </w:p>
        </w:tc>
      </w:tr>
    </w:tbl>
    <w:p>
      <w:pPr>
        <w:spacing w:after="0" w:line="202" w:lineRule="exact"/>
        <w:rPr>
          <w:sz w:val="20"/>
          <w:szCs w:val="20"/>
          <w:color w:val="auto"/>
        </w:rPr>
      </w:pPr>
    </w:p>
    <w:p>
      <w:pPr>
        <w:jc w:val="center"/>
        <w:ind w:left="5140" w:right="100" w:hanging="5136"/>
        <w:spacing w:after="0" w:line="449" w:lineRule="auto"/>
        <w:tabs>
          <w:tab w:leader="none" w:pos="1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Final term sheet containing the final terms of the Offered Securities as set forth in Schedule II hereto and filed with the Commission under Rule 433 I-1</w:t>
      </w:r>
    </w:p>
    <w:p>
      <w:pPr>
        <w:sectPr>
          <w:pgSz w:w="11900" w:h="16838" w:orient="portrait"/>
          <w:cols w:equalWidth="0" w:num="1">
            <w:col w:w="10960"/>
          </w:cols>
          <w:pgMar w:left="700" w:top="27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FINAL TERM SHEET</w:t>
      </w:r>
    </w:p>
    <w:p>
      <w:pPr>
        <w:spacing w:after="0" w:line="16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0220"/>
          </w:cols>
          <w:pgMar w:left="1440" w:top="27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STANDARD PROVISIONS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(DEBT SECURITIES)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18, 2013</w:t>
      </w:r>
    </w:p>
    <w:p>
      <w:pPr>
        <w:spacing w:after="0" w:line="22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From time to time, Comcast Corporation, a Pennsylvania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may, alone or together with NBCUniversal Media, LLC, Comcast Cable Communications, LLC, Comcast Cable Holdings, LLC, Comcast MO Group, Inc. and Comcast MO of Delaware, LLC (collectively, the </w:t>
      </w:r>
      <w:r>
        <w:rPr>
          <w:rFonts w:ascii="Arial" w:cs="Arial" w:eastAsia="Arial" w:hAnsi="Arial"/>
          <w:sz w:val="18"/>
          <w:szCs w:val="18"/>
          <w:b w:val="1"/>
          <w:bCs w:val="1"/>
          <w:color w:val="auto"/>
        </w:rPr>
        <w:t>“Guarantors”</w:t>
      </w:r>
      <w:r>
        <w:rPr>
          <w:rFonts w:ascii="Arial" w:cs="Arial" w:eastAsia="Arial" w:hAnsi="Arial"/>
          <w:sz w:val="18"/>
          <w:szCs w:val="18"/>
          <w:color w:val="auto"/>
        </w:rPr>
        <w:t>), enter into one or more underwriting agreements that provide for the sale of designated securities to the several underwriters named therein.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standard provisions set forth herein may be incorporated by reference in any such underwriting agreement (an </w:t>
      </w:r>
      <w:r>
        <w:rPr>
          <w:rFonts w:ascii="Arial" w:cs="Arial" w:eastAsia="Arial" w:hAnsi="Arial"/>
          <w:sz w:val="18"/>
          <w:szCs w:val="18"/>
          <w:b w:val="1"/>
          <w:bCs w:val="1"/>
          <w:color w:val="auto"/>
        </w:rPr>
        <w:t>“Underwriting Agreement”</w:t>
      </w:r>
      <w:r>
        <w:rPr>
          <w:rFonts w:ascii="Arial" w:cs="Arial" w:eastAsia="Arial" w:hAnsi="Arial"/>
          <w:sz w:val="18"/>
          <w:szCs w:val="18"/>
          <w:color w:val="auto"/>
        </w:rPr>
        <w:t>). The Underwriting Agreement, including the provisions incorporated therein by reference, is herein referred to as this Agreement. Terms defined in the Underwriting Agreement are used herein as therein defined.</w:t>
      </w:r>
    </w:p>
    <w:p>
      <w:pPr>
        <w:spacing w:after="0" w:line="188" w:lineRule="exact"/>
        <w:rPr>
          <w:sz w:val="20"/>
          <w:szCs w:val="20"/>
          <w:color w:val="auto"/>
        </w:rPr>
      </w:pPr>
    </w:p>
    <w:p>
      <w:pPr>
        <w:jc w:val="both"/>
        <w:ind w:right="220" w:firstLine="456"/>
        <w:spacing w:after="0" w:line="266" w:lineRule="auto"/>
        <w:rPr>
          <w:sz w:val="20"/>
          <w:szCs w:val="20"/>
          <w:color w:val="auto"/>
        </w:rPr>
      </w:pPr>
      <w:r>
        <w:rPr>
          <w:rFonts w:ascii="Arial" w:cs="Arial" w:eastAsia="Arial" w:hAnsi="Arial"/>
          <w:sz w:val="18"/>
          <w:szCs w:val="18"/>
          <w:color w:val="auto"/>
        </w:rPr>
        <w:t>The Company proposes to issue from time to time its senior debt securities (the “</w:t>
      </w:r>
      <w:r>
        <w:rPr>
          <w:rFonts w:ascii="Arial" w:cs="Arial" w:eastAsia="Arial" w:hAnsi="Arial"/>
          <w:sz w:val="18"/>
          <w:szCs w:val="18"/>
          <w:b w:val="1"/>
          <w:bCs w:val="1"/>
          <w:color w:val="auto"/>
        </w:rPr>
        <w:t>Debt Securities</w:t>
      </w:r>
      <w:r>
        <w:rPr>
          <w:rFonts w:ascii="Arial" w:cs="Arial" w:eastAsia="Arial" w:hAnsi="Arial"/>
          <w:sz w:val="18"/>
          <w:szCs w:val="18"/>
          <w:color w:val="auto"/>
        </w:rPr>
        <w:t>”), which Debt Securities may, if so designated, be convertible into the Company’s Class A Common Stock, par value $0.01 per share, or Class A Special Common Stock, par value $0.01 per share. The Debt Securities may be guaranteed (the “</w:t>
      </w:r>
      <w:r>
        <w:rPr>
          <w:rFonts w:ascii="Arial" w:cs="Arial" w:eastAsia="Arial" w:hAnsi="Arial"/>
          <w:sz w:val="18"/>
          <w:szCs w:val="18"/>
          <w:b w:val="1"/>
          <w:bCs w:val="1"/>
          <w:color w:val="auto"/>
        </w:rPr>
        <w:t>Guarantees</w:t>
      </w:r>
      <w:r>
        <w:rPr>
          <w:rFonts w:ascii="Arial" w:cs="Arial" w:eastAsia="Arial" w:hAnsi="Arial"/>
          <w:sz w:val="18"/>
          <w:szCs w:val="18"/>
          <w:color w:val="auto"/>
        </w:rPr>
        <w:t>”) on an unsecured basis by the Guarantors.</w:t>
      </w:r>
    </w:p>
    <w:p>
      <w:pPr>
        <w:spacing w:after="0" w:line="176"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The Company and the Guarantors have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registration statement including a prospectus relating to the Debt Securities and the Guarantees and have filed with, or transmitted for filing to, or shall promptly after the date of this Agreement file with or transmit for filing to, the Commission a prospectus supplement (the “</w:t>
      </w:r>
      <w:r>
        <w:rPr>
          <w:rFonts w:ascii="Arial" w:cs="Arial" w:eastAsia="Arial" w:hAnsi="Arial"/>
          <w:sz w:val="17"/>
          <w:szCs w:val="17"/>
          <w:b w:val="1"/>
          <w:bCs w:val="1"/>
          <w:color w:val="auto"/>
        </w:rPr>
        <w:t>Prospectus Supplement</w:t>
      </w:r>
      <w:r>
        <w:rPr>
          <w:rFonts w:ascii="Arial" w:cs="Arial" w:eastAsia="Arial" w:hAnsi="Arial"/>
          <w:sz w:val="17"/>
          <w:szCs w:val="17"/>
          <w:color w:val="auto"/>
        </w:rPr>
        <w:t>”) pursuant to Rule 424 under the Securities Act of 1933, as amended (the “</w:t>
      </w:r>
      <w:r>
        <w:rPr>
          <w:rFonts w:ascii="Arial" w:cs="Arial" w:eastAsia="Arial" w:hAnsi="Arial"/>
          <w:sz w:val="17"/>
          <w:szCs w:val="17"/>
          <w:b w:val="1"/>
          <w:bCs w:val="1"/>
          <w:color w:val="auto"/>
        </w:rPr>
        <w:t>Securities Ac</w:t>
      </w:r>
      <w:r>
        <w:rPr>
          <w:rFonts w:ascii="Arial" w:cs="Arial" w:eastAsia="Arial" w:hAnsi="Arial"/>
          <w:sz w:val="17"/>
          <w:szCs w:val="17"/>
          <w:color w:val="auto"/>
        </w:rPr>
        <w:t>t”), specifically relating to the Debt Securities and the Guarantees, if applicable, offered pursuant to this Agreement (the “</w:t>
      </w:r>
      <w:r>
        <w:rPr>
          <w:rFonts w:ascii="Arial" w:cs="Arial" w:eastAsia="Arial" w:hAnsi="Arial"/>
          <w:sz w:val="17"/>
          <w:szCs w:val="17"/>
          <w:b w:val="1"/>
          <w:bCs w:val="1"/>
          <w:color w:val="auto"/>
        </w:rPr>
        <w:t>Offered Securities</w:t>
      </w:r>
      <w:r>
        <w:rPr>
          <w:rFonts w:ascii="Arial" w:cs="Arial" w:eastAsia="Arial" w:hAnsi="Arial"/>
          <w:sz w:val="17"/>
          <w:szCs w:val="17"/>
          <w:color w:val="auto"/>
        </w:rPr>
        <w:t>”). The term “</w:t>
      </w:r>
      <w:r>
        <w:rPr>
          <w:rFonts w:ascii="Arial" w:cs="Arial" w:eastAsia="Arial" w:hAnsi="Arial"/>
          <w:sz w:val="17"/>
          <w:szCs w:val="17"/>
          <w:b w:val="1"/>
          <w:bCs w:val="1"/>
          <w:color w:val="auto"/>
        </w:rPr>
        <w:t>Registration Statement</w:t>
      </w:r>
      <w:r>
        <w:rPr>
          <w:rFonts w:ascii="Arial" w:cs="Arial" w:eastAsia="Arial" w:hAnsi="Arial"/>
          <w:sz w:val="17"/>
          <w:szCs w:val="17"/>
          <w:color w:val="auto"/>
        </w:rPr>
        <w:t>” means the registration statement as amended to the date of this Agreement including any additional registration statement filed by the Company pursuant to Rule 462(b). The term “</w:t>
      </w:r>
      <w:r>
        <w:rPr>
          <w:rFonts w:ascii="Arial" w:cs="Arial" w:eastAsia="Arial" w:hAnsi="Arial"/>
          <w:sz w:val="17"/>
          <w:szCs w:val="17"/>
          <w:b w:val="1"/>
          <w:bCs w:val="1"/>
          <w:color w:val="auto"/>
        </w:rPr>
        <w:t>Base Prospectus</w:t>
      </w:r>
      <w:r>
        <w:rPr>
          <w:rFonts w:ascii="Arial" w:cs="Arial" w:eastAsia="Arial" w:hAnsi="Arial"/>
          <w:sz w:val="17"/>
          <w:szCs w:val="17"/>
          <w:color w:val="auto"/>
        </w:rPr>
        <w:t>” means the prospectus included in the Registration Statement. The term “</w:t>
      </w:r>
      <w:r>
        <w:rPr>
          <w:rFonts w:ascii="Arial" w:cs="Arial" w:eastAsia="Arial" w:hAnsi="Arial"/>
          <w:sz w:val="17"/>
          <w:szCs w:val="17"/>
          <w:b w:val="1"/>
          <w:bCs w:val="1"/>
          <w:color w:val="auto"/>
        </w:rPr>
        <w:t>Prospectus</w:t>
      </w:r>
      <w:r>
        <w:rPr>
          <w:rFonts w:ascii="Arial" w:cs="Arial" w:eastAsia="Arial" w:hAnsi="Arial"/>
          <w:sz w:val="17"/>
          <w:szCs w:val="17"/>
          <w:color w:val="auto"/>
        </w:rPr>
        <w:t>” means the Base Prospectus together with the Prospectus Supplement. The term “</w:t>
      </w:r>
      <w:r>
        <w:rPr>
          <w:rFonts w:ascii="Arial" w:cs="Arial" w:eastAsia="Arial" w:hAnsi="Arial"/>
          <w:sz w:val="17"/>
          <w:szCs w:val="17"/>
          <w:b w:val="1"/>
          <w:bCs w:val="1"/>
          <w:color w:val="auto"/>
        </w:rPr>
        <w:t>preliminary</w:t>
      </w:r>
      <w:r>
        <w:rPr>
          <w:rFonts w:ascii="Arial" w:cs="Arial" w:eastAsia="Arial" w:hAnsi="Arial"/>
          <w:sz w:val="17"/>
          <w:szCs w:val="17"/>
          <w:color w:val="auto"/>
        </w:rPr>
        <w:t xml:space="preserve"> </w:t>
      </w:r>
      <w:r>
        <w:rPr>
          <w:rFonts w:ascii="Arial" w:cs="Arial" w:eastAsia="Arial" w:hAnsi="Arial"/>
          <w:sz w:val="17"/>
          <w:szCs w:val="17"/>
          <w:b w:val="1"/>
          <w:bCs w:val="1"/>
          <w:color w:val="auto"/>
        </w:rPr>
        <w:t>prospectus</w:t>
      </w:r>
      <w:r>
        <w:rPr>
          <w:rFonts w:ascii="Arial" w:cs="Arial" w:eastAsia="Arial" w:hAnsi="Arial"/>
          <w:sz w:val="17"/>
          <w:szCs w:val="17"/>
          <w:color w:val="auto"/>
        </w:rPr>
        <w:t>” means a preliminary prospectus supplement specifically relating to the Offered Securities, together with the Base Prospectus. The term “</w:t>
      </w:r>
      <w:r>
        <w:rPr>
          <w:rFonts w:ascii="Arial" w:cs="Arial" w:eastAsia="Arial" w:hAnsi="Arial"/>
          <w:sz w:val="17"/>
          <w:szCs w:val="17"/>
          <w:b w:val="1"/>
          <w:bCs w:val="1"/>
          <w:color w:val="auto"/>
        </w:rPr>
        <w:t>free writing prospectus</w:t>
      </w:r>
      <w:r>
        <w:rPr>
          <w:rFonts w:ascii="Arial" w:cs="Arial" w:eastAsia="Arial" w:hAnsi="Arial"/>
          <w:sz w:val="17"/>
          <w:szCs w:val="17"/>
          <w:color w:val="auto"/>
        </w:rPr>
        <w:t>” has the meaning set forth in Rule 405 under the Securities Act. The term “</w:t>
      </w:r>
      <w:r>
        <w:rPr>
          <w:rFonts w:ascii="Arial" w:cs="Arial" w:eastAsia="Arial" w:hAnsi="Arial"/>
          <w:sz w:val="17"/>
          <w:szCs w:val="17"/>
          <w:b w:val="1"/>
          <w:bCs w:val="1"/>
          <w:color w:val="auto"/>
        </w:rPr>
        <w:t>issuer free writing prospectus</w:t>
      </w:r>
      <w:r>
        <w:rPr>
          <w:rFonts w:ascii="Arial" w:cs="Arial" w:eastAsia="Arial" w:hAnsi="Arial"/>
          <w:sz w:val="17"/>
          <w:szCs w:val="17"/>
          <w:color w:val="auto"/>
        </w:rPr>
        <w:t>” has the meaning set forth in</w:t>
      </w:r>
      <w:r>
        <w:rPr>
          <w:rFonts w:ascii="Arial" w:cs="Arial" w:eastAsia="Arial" w:hAnsi="Arial"/>
          <w:sz w:val="17"/>
          <w:szCs w:val="17"/>
          <w:b w:val="1"/>
          <w:bCs w:val="1"/>
          <w:color w:val="auto"/>
        </w:rPr>
        <w:t xml:space="preserve"> </w:t>
      </w:r>
      <w:r>
        <w:rPr>
          <w:rFonts w:ascii="Arial" w:cs="Arial" w:eastAsia="Arial" w:hAnsi="Arial"/>
          <w:sz w:val="17"/>
          <w:szCs w:val="17"/>
          <w:color w:val="auto"/>
        </w:rPr>
        <w:t>Rule 433 under the Securities Act. The term “</w:t>
      </w:r>
      <w:r>
        <w:rPr>
          <w:rFonts w:ascii="Arial" w:cs="Arial" w:eastAsia="Arial" w:hAnsi="Arial"/>
          <w:sz w:val="17"/>
          <w:szCs w:val="17"/>
          <w:b w:val="1"/>
          <w:bCs w:val="1"/>
          <w:color w:val="auto"/>
        </w:rPr>
        <w:t>Disclosure Package</w:t>
      </w:r>
      <w:r>
        <w:rPr>
          <w:rFonts w:ascii="Arial" w:cs="Arial" w:eastAsia="Arial" w:hAnsi="Arial"/>
          <w:sz w:val="17"/>
          <w:szCs w:val="17"/>
          <w:color w:val="auto"/>
        </w:rPr>
        <w:t>” means the Base Prospectus and preliminary prospectus, if any, together with any additional documents or other information identified in Schedule I to this Agreement. As used herein, the terms “Base Prospectus,” “Prospectus”, “preliminary prospectus” and “Disclosure Package” shall include in each case the</w:t>
      </w:r>
    </w:p>
    <w:p>
      <w:pPr>
        <w:sectPr>
          <w:pgSz w:w="11900" w:h="16838" w:orient="portrait"/>
          <w:cols w:equalWidth="0" w:num="1">
            <w:col w:w="11420"/>
          </w:cols>
          <w:pgMar w:left="240" w:top="121" w:right="239" w:bottom="1440" w:gutter="0" w:footer="0" w:header="0"/>
        </w:sectPr>
      </w:pPr>
    </w:p>
    <w:bookmarkStart w:id="53" w:name="page54"/>
    <w:bookmarkEnd w:id="53"/>
    <w:p>
      <w:pPr>
        <w:ind w:right="80"/>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documents, if any, incorporated by reference therein. As used herein, the term “</w:t>
      </w:r>
      <w:r>
        <w:rPr>
          <w:rFonts w:ascii="Arial" w:cs="Arial" w:eastAsia="Arial" w:hAnsi="Arial"/>
          <w:sz w:val="17"/>
          <w:szCs w:val="17"/>
          <w:b w:val="1"/>
          <w:bCs w:val="1"/>
          <w:color w:val="auto"/>
        </w:rPr>
        <w:t>Applicable Time</w:t>
      </w:r>
      <w:r>
        <w:rPr>
          <w:rFonts w:ascii="Arial" w:cs="Arial" w:eastAsia="Arial" w:hAnsi="Arial"/>
          <w:sz w:val="17"/>
          <w:szCs w:val="17"/>
          <w:color w:val="auto"/>
        </w:rPr>
        <w:t>” means the time and date at which this Agreement is deemed to be executed or such other time as agreed in writing by the Company and the Managers. The terms “supplement,” “amendment” and “amend” as used herein shall include all documents deemed to be incorporated by reference in the Prospectus that are filed subsequent to the date of the Base Prospectus by the Company with the Commission pursuant to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For purposes of this Agreement, “</w:t>
      </w:r>
      <w:r>
        <w:rPr>
          <w:rFonts w:ascii="Arial" w:cs="Arial" w:eastAsia="Arial" w:hAnsi="Arial"/>
          <w:sz w:val="17"/>
          <w:szCs w:val="17"/>
          <w:b w:val="1"/>
          <w:bCs w:val="1"/>
          <w:color w:val="auto"/>
        </w:rPr>
        <w:t>Issuers</w:t>
      </w:r>
      <w:r>
        <w:rPr>
          <w:rFonts w:ascii="Arial" w:cs="Arial" w:eastAsia="Arial" w:hAnsi="Arial"/>
          <w:sz w:val="17"/>
          <w:szCs w:val="17"/>
          <w:color w:val="auto"/>
        </w:rPr>
        <w:t>” means the Company and includes the Guarantors if Guarantees are offered pursuant to this Agreement.</w:t>
      </w:r>
    </w:p>
    <w:p>
      <w:pPr>
        <w:spacing w:after="0" w:line="172" w:lineRule="exact"/>
        <w:rPr>
          <w:sz w:val="20"/>
          <w:szCs w:val="20"/>
          <w:color w:val="auto"/>
        </w:rPr>
      </w:pPr>
    </w:p>
    <w:p>
      <w:pPr>
        <w:ind w:left="640" w:hanging="176"/>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Representations and Warranties. </w:t>
      </w:r>
      <w:r>
        <w:rPr>
          <w:rFonts w:ascii="Arial" w:cs="Arial" w:eastAsia="Arial" w:hAnsi="Arial"/>
          <w:sz w:val="16"/>
          <w:szCs w:val="16"/>
          <w:color w:val="auto"/>
        </w:rPr>
        <w:t>The Issuers, jointly and severally, represent and warrant to each of the Underwriters as of the Applicable Time that:</w:t>
      </w:r>
    </w:p>
    <w:p>
      <w:pPr>
        <w:spacing w:after="0" w:line="140" w:lineRule="exact"/>
        <w:rPr>
          <w:rFonts w:ascii="Arial" w:cs="Arial" w:eastAsia="Arial" w:hAnsi="Arial"/>
          <w:sz w:val="16"/>
          <w:szCs w:val="16"/>
          <w:color w:val="auto"/>
        </w:rPr>
      </w:pPr>
    </w:p>
    <w:p>
      <w:pPr>
        <w:ind w:left="460" w:right="60" w:firstLine="443"/>
        <w:spacing w:after="0" w:line="277" w:lineRule="auto"/>
        <w:tabs>
          <w:tab w:leader="none" w:pos="1143"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Registration Statement has become effective; no stop order suspending the effectiveness of the Registration Statement is in effect, and no proceedings for such purpose are pending before or threatened by the Commission.</w:t>
      </w:r>
    </w:p>
    <w:p>
      <w:pPr>
        <w:spacing w:after="0" w:line="62" w:lineRule="exact"/>
        <w:rPr>
          <w:rFonts w:ascii="Arial" w:cs="Arial" w:eastAsia="Arial" w:hAnsi="Arial"/>
          <w:sz w:val="18"/>
          <w:szCs w:val="18"/>
          <w:color w:val="auto"/>
        </w:rPr>
      </w:pPr>
    </w:p>
    <w:p>
      <w:pPr>
        <w:ind w:left="460" w:right="220" w:firstLine="443"/>
        <w:spacing w:after="0" w:line="342" w:lineRule="auto"/>
        <w:tabs>
          <w:tab w:leader="none" w:pos="1153" w:val="left"/>
        </w:tabs>
        <w:numPr>
          <w:ilvl w:val="1"/>
          <w:numId w:val="43"/>
        </w:numPr>
        <w:rPr>
          <w:rFonts w:ascii="Arial" w:cs="Arial" w:eastAsia="Arial" w:hAnsi="Arial"/>
          <w:sz w:val="16"/>
          <w:szCs w:val="16"/>
          <w:color w:val="auto"/>
        </w:rPr>
      </w:pPr>
      <w:r>
        <w:rPr>
          <w:rFonts w:ascii="Arial" w:cs="Arial" w:eastAsia="Arial" w:hAnsi="Arial"/>
          <w:sz w:val="16"/>
          <w:szCs w:val="16"/>
          <w:color w:val="auto"/>
        </w:rPr>
        <w:t>Each document filed or to be filed pursuant to the Exchange Act and incorporated by reference in the Disclosure Package or the Prospectus complied or will comply when so filed in all material respects with the Exchange Act and the rules and regulations of the Commission thereunder.</w:t>
      </w:r>
    </w:p>
    <w:p>
      <w:pPr>
        <w:spacing w:after="0" w:line="15" w:lineRule="exact"/>
        <w:rPr>
          <w:rFonts w:ascii="Arial" w:cs="Arial" w:eastAsia="Arial" w:hAnsi="Arial"/>
          <w:sz w:val="16"/>
          <w:szCs w:val="16"/>
          <w:color w:val="auto"/>
        </w:rPr>
      </w:pPr>
    </w:p>
    <w:p>
      <w:pPr>
        <w:jc w:val="both"/>
        <w:ind w:left="460" w:firstLine="443"/>
        <w:spacing w:after="0" w:line="293" w:lineRule="auto"/>
        <w:tabs>
          <w:tab w:leader="none" w:pos="1143"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Registration Statement, the Disclosure Package and the Prospectus comply in all material respects with the Securities Act and the rules and regulations of the Commission thereunder and do not contain any untrue statement of a material fact or omit to state any material fact required to be stated therein or necessary to make the statements therein not misleading, except that the foregoing representations and warranties do not apply to (i) that part of the Registration Statement which shall constitute the Statement of Eligibility of the Trustee on Form T-1 (the “</w:t>
      </w:r>
      <w:r>
        <w:rPr>
          <w:rFonts w:ascii="Arial" w:cs="Arial" w:eastAsia="Arial" w:hAnsi="Arial"/>
          <w:sz w:val="16"/>
          <w:szCs w:val="16"/>
          <w:b w:val="1"/>
          <w:bCs w:val="1"/>
          <w:color w:val="auto"/>
        </w:rPr>
        <w:t>Form T-1</w:t>
      </w:r>
      <w:r>
        <w:rPr>
          <w:rFonts w:ascii="Arial" w:cs="Arial" w:eastAsia="Arial" w:hAnsi="Arial"/>
          <w:sz w:val="16"/>
          <w:szCs w:val="16"/>
          <w:color w:val="auto"/>
        </w:rPr>
        <w:t>”) or (ii) statements or omissions in the Registration Statement, the Disclosure Package or the Prospectus or any amendment or supplement thereto based upon information furnished to the Issuers in writing by any Underwriter through the Managers expressly for use therein.</w:t>
      </w:r>
    </w:p>
    <w:p>
      <w:pPr>
        <w:spacing w:after="0" w:line="56" w:lineRule="exact"/>
        <w:rPr>
          <w:rFonts w:ascii="Arial" w:cs="Arial" w:eastAsia="Arial" w:hAnsi="Arial"/>
          <w:sz w:val="16"/>
          <w:szCs w:val="16"/>
          <w:color w:val="auto"/>
        </w:rPr>
      </w:pPr>
    </w:p>
    <w:p>
      <w:pPr>
        <w:ind w:left="460" w:firstLine="443"/>
        <w:spacing w:after="0" w:line="255" w:lineRule="auto"/>
        <w:tabs>
          <w:tab w:leader="none" w:pos="1153"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Company is not an “ineligible issuer” in connection with the offering pursuant to Rules 164, 405 and 433 under the Securities Act. The Company has not made, used, prepared, authorized, approved or referred to any offer relating to the Offered Securities that would constitute a free writing prospectus other than (i) any written communications furnished in advance to the Managers; (ii) an electronic road show, if any, furnished to the Managers before first use; or (iii) free writing prospectuses identified on Schedule I to this Agreement, including the term sheet as set forth in Schedule II to this Agreement. Any such free writing prospectus as of its issue date complied in all material respects with the requirements of the Securities Act and the rules and regulations thereunder and was filed with the Commission in accordance with the Securities Act (to the extent required pursuant to Rule 433(d) thereunder).</w:t>
      </w:r>
    </w:p>
    <w:p>
      <w:pPr>
        <w:spacing w:after="0" w:line="81" w:lineRule="exact"/>
        <w:rPr>
          <w:rFonts w:ascii="Arial" w:cs="Arial" w:eastAsia="Arial" w:hAnsi="Arial"/>
          <w:sz w:val="18"/>
          <w:szCs w:val="18"/>
          <w:color w:val="auto"/>
        </w:rPr>
      </w:pPr>
    </w:p>
    <w:p>
      <w:pPr>
        <w:ind w:left="460" w:right="340" w:firstLine="443"/>
        <w:spacing w:after="0" w:line="277" w:lineRule="auto"/>
        <w:tabs>
          <w:tab w:leader="none" w:pos="1143"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execution and delivery by each Issuer of, and the performance by each Issuer of its obligations under, this Agreement, each indenture under which the Offered Securities are to be issued, and the Offered Securities, will not contravene any provision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54" w:name="page55"/>
    <w:bookmarkEnd w:id="54"/>
    <w:p>
      <w:pPr>
        <w:ind w:left="420"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of applicable law or the articles of incorporation or by-laws of any Issuer or any agreement or other instrument binding upon the Company or any of its subsidiaries that is material to the Company and its consolidated subsidiaries, taken as a whole, or any judgment, order or decree of any governmental body, agency or court having jurisdiction over the Company or any of its consolidated subsidiaries, and no consent, approval, authorization or order of, or qualification with, any governmental body or agency is required for the performance by each Issuer of its obligations under this Agreement, each indenture under which the Offered Securities are to be issued or the Offered Securities, except such as may be required by the securities or blue sky laws of the various states in connection with the offer and sale of the Offered Securities;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representation is made as to whether the purchase of the Offered Securities constitutes a “prohibited transaction” under Section 406 of the Employee Retirement Income Security Act of 1974, as amended, or Section 4975 of the Internal Revenue Code of 1986, as amended.</w:t>
      </w:r>
    </w:p>
    <w:p>
      <w:pPr>
        <w:spacing w:after="0" w:line="71" w:lineRule="exact"/>
        <w:rPr>
          <w:sz w:val="20"/>
          <w:szCs w:val="20"/>
          <w:color w:val="auto"/>
        </w:rPr>
      </w:pPr>
    </w:p>
    <w:p>
      <w:pPr>
        <w:ind w:left="420" w:right="160" w:firstLine="443"/>
        <w:spacing w:after="0" w:line="264" w:lineRule="auto"/>
        <w:tabs>
          <w:tab w:leader="none" w:pos="1083" w:val="left"/>
        </w:tabs>
        <w:numPr>
          <w:ilvl w:val="1"/>
          <w:numId w:val="44"/>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(i) in violation of its articles of incorporation or by-laws (or similar organizational documents) or (ii) in default in the performance or observance of any obligation, covenant or condition contained in any contract, except to the extent such default would not have a material adverse effect.</w:t>
      </w:r>
    </w:p>
    <w:p>
      <w:pPr>
        <w:spacing w:after="0" w:line="73" w:lineRule="exact"/>
        <w:rPr>
          <w:rFonts w:ascii="Arial" w:cs="Arial" w:eastAsia="Arial" w:hAnsi="Arial"/>
          <w:sz w:val="18"/>
          <w:szCs w:val="18"/>
          <w:color w:val="auto"/>
        </w:rPr>
      </w:pPr>
    </w:p>
    <w:p>
      <w:pPr>
        <w:ind w:left="420" w:right="200" w:firstLine="443"/>
        <w:spacing w:after="0" w:line="286" w:lineRule="auto"/>
        <w:tabs>
          <w:tab w:leader="none" w:pos="1113" w:val="left"/>
        </w:tabs>
        <w:numPr>
          <w:ilvl w:val="1"/>
          <w:numId w:val="44"/>
        </w:numPr>
        <w:rPr>
          <w:rFonts w:ascii="Arial" w:cs="Arial" w:eastAsia="Arial" w:hAnsi="Arial"/>
          <w:sz w:val="17"/>
          <w:szCs w:val="17"/>
          <w:color w:val="auto"/>
        </w:rPr>
      </w:pPr>
      <w:r>
        <w:rPr>
          <w:rFonts w:ascii="Arial" w:cs="Arial" w:eastAsia="Arial" w:hAnsi="Arial"/>
          <w:sz w:val="17"/>
          <w:szCs w:val="17"/>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Disclosure Package (exclusive of any amendments or supplements thereto effected subsequent to the date of the Agreement).</w:t>
      </w:r>
    </w:p>
    <w:p>
      <w:pPr>
        <w:spacing w:after="0" w:line="57" w:lineRule="exact"/>
        <w:rPr>
          <w:rFonts w:ascii="Arial" w:cs="Arial" w:eastAsia="Arial" w:hAnsi="Arial"/>
          <w:sz w:val="17"/>
          <w:szCs w:val="17"/>
          <w:color w:val="auto"/>
        </w:rPr>
      </w:pPr>
    </w:p>
    <w:p>
      <w:pPr>
        <w:ind w:left="420" w:firstLine="443"/>
        <w:spacing w:after="0" w:line="257" w:lineRule="auto"/>
        <w:tabs>
          <w:tab w:leader="none" w:pos="1113"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There are no legal or governmental proceedings pending or threatened to which the Company or any of its consolidated subsidiaries is a party or to which any of the properties of the Company or any of its consolidated subsidiaries is subject that are required to be described in the Registration Statement or the Disclosure Package and are not so described or any statutes, regulations, contracts or other documents that are required to be described in the Registration Statement or the Disclosure Package or to be filed or incorporated by reference as exhibits to the Registration Statement that are not described, filed or incorporated as required.</w:t>
      </w:r>
    </w:p>
    <w:p>
      <w:pPr>
        <w:spacing w:after="0" w:line="80" w:lineRule="exact"/>
        <w:rPr>
          <w:rFonts w:ascii="Arial" w:cs="Arial" w:eastAsia="Arial" w:hAnsi="Arial"/>
          <w:sz w:val="18"/>
          <w:szCs w:val="18"/>
          <w:color w:val="auto"/>
        </w:rPr>
      </w:pPr>
    </w:p>
    <w:p>
      <w:pPr>
        <w:ind w:left="420" w:right="20" w:firstLine="443"/>
        <w:spacing w:after="0" w:line="257" w:lineRule="auto"/>
        <w:tabs>
          <w:tab w:leader="none" w:pos="1073" w:val="left"/>
        </w:tabs>
        <w:numPr>
          <w:ilvl w:val="1"/>
          <w:numId w:val="44"/>
        </w:numPr>
        <w:rPr>
          <w:rFonts w:ascii="Arial" w:cs="Arial" w:eastAsia="Arial" w:hAnsi="Arial"/>
          <w:sz w:val="18"/>
          <w:szCs w:val="18"/>
          <w:color w:val="auto"/>
        </w:rPr>
      </w:pPr>
      <w:r>
        <w:rPr>
          <w:rFonts w:ascii="Arial" w:cs="Arial" w:eastAsia="Arial" w:hAnsi="Arial"/>
          <w:sz w:val="18"/>
          <w:szCs w:val="18"/>
          <w:color w:val="auto"/>
        </w:rPr>
        <w:t>Each of the Company and its consolidated subsidiaries has all necessary consents, authorizations, approvals, orders, certificates and permits of and from, and has made all declarations and filings with, all federal, state, local and other governmental authorities, all self-regulatory organizations and all courts and other tribunals, to own, lease, license and use its properties and assets and to conduct its business in the manner described in the Disclosure Package, except to the extent that the failure to obtain or file would not have a material adverse effect on the Company and its consolidated subsidiaries, taken as a whole.</w:t>
      </w:r>
    </w:p>
    <w:p>
      <w:pPr>
        <w:spacing w:after="0" w:line="188" w:lineRule="exact"/>
        <w:rPr>
          <w:rFonts w:ascii="Arial" w:cs="Arial" w:eastAsia="Arial" w:hAnsi="Arial"/>
          <w:sz w:val="18"/>
          <w:szCs w:val="18"/>
          <w:color w:val="auto"/>
        </w:rPr>
      </w:pPr>
    </w:p>
    <w:p>
      <w:pPr>
        <w:ind w:left="-40" w:right="120" w:firstLine="464"/>
        <w:spacing w:after="0" w:line="264" w:lineRule="auto"/>
        <w:tabs>
          <w:tab w:leader="none" w:pos="596"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Public Offering. </w:t>
      </w:r>
      <w:r>
        <w:rPr>
          <w:rFonts w:ascii="Arial" w:cs="Arial" w:eastAsia="Arial" w:hAnsi="Arial"/>
          <w:sz w:val="18"/>
          <w:szCs w:val="18"/>
          <w:color w:val="auto"/>
        </w:rPr>
        <w:t>The Issuers are advised by the Managers that the Underwriters propose to make a public offering of their respective portions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Offered Securities as soon after this Agreement has been entered into as in the Managers’ judgment is advisable. The terms of the public offering of the Offered Securities are set forth in the Disclosure Package and the Prospectus.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80" w:top="274" w:right="259" w:bottom="1440" w:gutter="0" w:footer="0" w:header="0"/>
        </w:sectPr>
      </w:pPr>
    </w:p>
    <w:bookmarkStart w:id="55" w:name="page56"/>
    <w:bookmarkEnd w:id="55"/>
    <w:p>
      <w:pPr>
        <w:ind w:left="-20" w:right="80" w:firstLine="464"/>
        <w:spacing w:after="0" w:line="257" w:lineRule="auto"/>
        <w:tabs>
          <w:tab w:leader="none" w:pos="616"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Purchase and Delivery. </w:t>
      </w:r>
      <w:r>
        <w:rPr>
          <w:rFonts w:ascii="Arial" w:cs="Arial" w:eastAsia="Arial" w:hAnsi="Arial"/>
          <w:sz w:val="18"/>
          <w:szCs w:val="18"/>
          <w:color w:val="auto"/>
        </w:rPr>
        <w:t>Except as otherwise provided in this Section 3, payment for the Offered Securities shall be made to the Company in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 funds immediately available in New York City at the time and place set forth in this Agreement, upon delivery to the Managers for the respective accounts of the several Underwriters of the Offered Securities registered in such names and in such denominations as the Managers shall request in writing not less than one full business day prior to the date of delivery, with any transfer taxes payable in connection with the transfer of the Offered Securities to the Underwriters duly paid.</w:t>
      </w:r>
    </w:p>
    <w:p>
      <w:pPr>
        <w:spacing w:after="0" w:line="188" w:lineRule="exact"/>
        <w:rPr>
          <w:rFonts w:ascii="Arial" w:cs="Arial" w:eastAsia="Arial" w:hAnsi="Arial"/>
          <w:sz w:val="18"/>
          <w:szCs w:val="18"/>
          <w:color w:val="auto"/>
        </w:rPr>
      </w:pPr>
    </w:p>
    <w:p>
      <w:pPr>
        <w:ind w:left="620" w:hanging="176"/>
        <w:spacing w:after="0"/>
        <w:tabs>
          <w:tab w:leader="none" w:pos="62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Conditions to Closing. </w:t>
      </w:r>
      <w:r>
        <w:rPr>
          <w:rFonts w:ascii="Arial" w:cs="Arial" w:eastAsia="Arial" w:hAnsi="Arial"/>
          <w:sz w:val="18"/>
          <w:szCs w:val="18"/>
          <w:color w:val="auto"/>
        </w:rPr>
        <w:t>The several obligations of the Underwriters hereunder are subject to the following conditions:</w:t>
      </w:r>
    </w:p>
    <w:p>
      <w:pPr>
        <w:spacing w:after="0" w:line="117" w:lineRule="exact"/>
        <w:rPr>
          <w:rFonts w:ascii="Arial" w:cs="Arial" w:eastAsia="Arial" w:hAnsi="Arial"/>
          <w:sz w:val="18"/>
          <w:szCs w:val="18"/>
          <w:color w:val="auto"/>
        </w:rPr>
      </w:pPr>
    </w:p>
    <w:p>
      <w:pPr>
        <w:ind w:left="440" w:right="100" w:firstLine="443"/>
        <w:spacing w:after="0" w:line="259" w:lineRule="auto"/>
        <w:tabs>
          <w:tab w:leader="none" w:pos="1123" w:val="left"/>
        </w:tabs>
        <w:numPr>
          <w:ilvl w:val="1"/>
          <w:numId w:val="46"/>
        </w:numPr>
        <w:rPr>
          <w:rFonts w:ascii="Arial" w:cs="Arial" w:eastAsia="Arial" w:hAnsi="Arial"/>
          <w:sz w:val="18"/>
          <w:szCs w:val="18"/>
          <w:color w:val="auto"/>
        </w:rPr>
      </w:pPr>
      <w:r>
        <w:rPr>
          <w:rFonts w:ascii="Arial" w:cs="Arial" w:eastAsia="Arial" w:hAnsi="Arial"/>
          <w:sz w:val="18"/>
          <w:szCs w:val="18"/>
          <w:color w:val="auto"/>
        </w:rPr>
        <w:t>Subsequent to the Applicable Time and prior to the Closing Date, there shall not have occurred any downgrading, nor shall any notice have been given of any intended or potential downgrading or of any review for a possible change that does not indicate the direction of the possible change, in the rating accorded any Issuer or any of the securities of any Issuer by any “nationally recognized statistical rating organization,” as such term is defined for purposes of Section 3(a)(62) of the Exchange Act.</w:t>
      </w:r>
    </w:p>
    <w:p>
      <w:pPr>
        <w:spacing w:after="0" w:line="78" w:lineRule="exact"/>
        <w:rPr>
          <w:rFonts w:ascii="Arial" w:cs="Arial" w:eastAsia="Arial" w:hAnsi="Arial"/>
          <w:sz w:val="18"/>
          <w:szCs w:val="18"/>
          <w:color w:val="auto"/>
        </w:rPr>
      </w:pPr>
    </w:p>
    <w:p>
      <w:pPr>
        <w:ind w:left="440" w:firstLine="443"/>
        <w:spacing w:after="0" w:line="290" w:lineRule="auto"/>
        <w:tabs>
          <w:tab w:leader="none" w:pos="1133" w:val="left"/>
        </w:tabs>
        <w:numPr>
          <w:ilvl w:val="1"/>
          <w:numId w:val="46"/>
        </w:numPr>
        <w:rPr>
          <w:rFonts w:ascii="Arial" w:cs="Arial" w:eastAsia="Arial" w:hAnsi="Arial"/>
          <w:sz w:val="16"/>
          <w:szCs w:val="16"/>
          <w:color w:val="auto"/>
        </w:rPr>
      </w:pPr>
      <w:r>
        <w:rPr>
          <w:rFonts w:ascii="Arial" w:cs="Arial" w:eastAsia="Arial" w:hAnsi="Arial"/>
          <w:sz w:val="16"/>
          <w:szCs w:val="16"/>
          <w:color w:val="auto"/>
        </w:rPr>
        <w:t>No stop order suspending the effectiveness of the Registration Statement shall be in effect, and no proceedings for such purpose shall be pending before or threatened by the Commission, and there shall not have occurred any change, or any development involving a prospective change, in the condition, financial or otherwise, or in the earnings, business or operations of the Company and its consolidated subsidiaries, taken as a whole, from that set forth in the Disclosure Package, that, in the judgment of the Managers, is material and adverse and that makes it, in the judgment of the Managers, impracticable to market the Offered Securities on the terms and in the manner contemplated in the Disclosure Package; and the Managers shall have received, on the Closing Date, a certificate, dated the Closing Date and signed by an executive officer of the Company, to the foregoing effect. Such certificate shall also provide that the representations and warranties of the Company contained herein are true and correct as of the Closing Date. The officer making such certificate may rely upon the best of his knowledge as to proceedings threatened.</w:t>
      </w:r>
    </w:p>
    <w:p>
      <w:pPr>
        <w:spacing w:after="0" w:line="58" w:lineRule="exact"/>
        <w:rPr>
          <w:rFonts w:ascii="Arial" w:cs="Arial" w:eastAsia="Arial" w:hAnsi="Arial"/>
          <w:sz w:val="16"/>
          <w:szCs w:val="16"/>
          <w:color w:val="auto"/>
        </w:rPr>
      </w:pPr>
    </w:p>
    <w:p>
      <w:pPr>
        <w:ind w:left="440" w:right="220" w:firstLine="443"/>
        <w:spacing w:after="0" w:line="264" w:lineRule="auto"/>
        <w:tabs>
          <w:tab w:leader="none" w:pos="1123"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Managers shall have received on the Closing Date an opinion of Arthur R. Block, Esquire, Senior Vice President, General Counsel and Secretary of the Company (or another lawyer of the Company reasonably satisfactory to the Underwriters), dated the Closing Date, to the effect (as applicable) that:</w:t>
      </w:r>
    </w:p>
    <w:p>
      <w:pPr>
        <w:spacing w:after="0" w:line="73" w:lineRule="exact"/>
        <w:rPr>
          <w:rFonts w:ascii="Arial" w:cs="Arial" w:eastAsia="Arial" w:hAnsi="Arial"/>
          <w:sz w:val="18"/>
          <w:szCs w:val="18"/>
          <w:color w:val="auto"/>
        </w:rPr>
      </w:pPr>
    </w:p>
    <w:p>
      <w:pPr>
        <w:ind w:left="900" w:right="120" w:firstLine="421"/>
        <w:spacing w:after="0" w:line="259" w:lineRule="auto"/>
        <w:tabs>
          <w:tab w:leader="none" w:pos="1535" w:val="left"/>
        </w:tabs>
        <w:numPr>
          <w:ilvl w:val="2"/>
          <w:numId w:val="46"/>
        </w:numPr>
        <w:rPr>
          <w:rFonts w:ascii="Arial" w:cs="Arial" w:eastAsia="Arial" w:hAnsi="Arial"/>
          <w:sz w:val="18"/>
          <w:szCs w:val="18"/>
          <w:color w:val="auto"/>
        </w:rPr>
      </w:pPr>
      <w:r>
        <w:rPr>
          <w:rFonts w:ascii="Arial" w:cs="Arial" w:eastAsia="Arial" w:hAnsi="Arial"/>
          <w:sz w:val="18"/>
          <w:szCs w:val="18"/>
          <w:color w:val="auto"/>
        </w:rPr>
        <w:t>the Company is validly existing as a corporation subsisting under the laws of the Commonwealth of Pennsylvania and is duly qualified to transact business and is in good standing in each jurisdiction in which the conduct of its business or its ownership or leasing of property requires such qualification (except where the failure to so qualify would not have a material adverse effect upon the business or financial condition of the Company and its subsidiaries, as a whole);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74" w:right="259" w:bottom="1440" w:gutter="0" w:footer="0" w:header="0"/>
        </w:sectPr>
      </w:pPr>
    </w:p>
    <w:bookmarkStart w:id="56" w:name="page57"/>
    <w:bookmarkEnd w:id="56"/>
    <w:p>
      <w:pPr>
        <w:ind w:left="400" w:hanging="259"/>
        <w:spacing w:after="0"/>
        <w:tabs>
          <w:tab w:leader="none" w:pos="400" w:val="left"/>
        </w:tabs>
        <w:numPr>
          <w:ilvl w:val="0"/>
          <w:numId w:val="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indenture under which the Offered Securities are to be issued, has been duly authorized, executed and delivered by the Company;</w:t>
      </w:r>
    </w:p>
    <w:p>
      <w:pPr>
        <w:spacing w:after="0" w:line="140" w:lineRule="exact"/>
        <w:rPr>
          <w:rFonts w:ascii="Arial" w:cs="Arial" w:eastAsia="Arial" w:hAnsi="Arial"/>
          <w:sz w:val="16"/>
          <w:szCs w:val="16"/>
          <w:color w:val="auto"/>
        </w:rPr>
      </w:pPr>
    </w:p>
    <w:p>
      <w:pPr>
        <w:ind w:left="460" w:hanging="319"/>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jc w:val="both"/>
        <w:ind w:left="-280" w:firstLine="421"/>
        <w:spacing w:after="0" w:line="259" w:lineRule="auto"/>
        <w:tabs>
          <w:tab w:leader="none" w:pos="44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of the issued shares of capital stock or membership interests, as applicable, of each Guarantor have been duly and validly authorized and issued, are fully paid and non-assessable (with respect to such shares of capital stock), and (except for directors’ qualifying shares and except as otherwise set forth in the Disclosure Package) are owned directly or indirectly by the Company, free and clear of all liens, encumbrances, equities or claims;</w:t>
      </w:r>
    </w:p>
    <w:p>
      <w:pPr>
        <w:spacing w:after="0" w:line="78" w:lineRule="exact"/>
        <w:rPr>
          <w:rFonts w:ascii="Arial" w:cs="Arial" w:eastAsia="Arial" w:hAnsi="Arial"/>
          <w:sz w:val="18"/>
          <w:szCs w:val="18"/>
          <w:color w:val="auto"/>
        </w:rPr>
      </w:pPr>
    </w:p>
    <w:p>
      <w:pPr>
        <w:ind w:left="-280" w:right="140" w:firstLine="421"/>
        <w:spacing w:after="0" w:line="277" w:lineRule="auto"/>
        <w:tabs>
          <w:tab w:leader="none" w:pos="3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Disclosure Package, and all of the issued shares of capital stock of the Company have been duly and validly authorized and issued and are fully paid and non-assessable;</w:t>
      </w:r>
    </w:p>
    <w:p>
      <w:pPr>
        <w:spacing w:after="0" w:line="62" w:lineRule="exact"/>
        <w:rPr>
          <w:rFonts w:ascii="Arial" w:cs="Arial" w:eastAsia="Arial" w:hAnsi="Arial"/>
          <w:sz w:val="18"/>
          <w:szCs w:val="18"/>
          <w:color w:val="auto"/>
        </w:rPr>
      </w:pPr>
    </w:p>
    <w:p>
      <w:pPr>
        <w:ind w:left="440" w:hanging="299"/>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Offered Securities to be offered by the Company have been duly authorized by the Company;</w:t>
      </w:r>
    </w:p>
    <w:p>
      <w:pPr>
        <w:spacing w:after="0" w:line="117" w:lineRule="exact"/>
        <w:rPr>
          <w:rFonts w:ascii="Arial" w:cs="Arial" w:eastAsia="Arial" w:hAnsi="Arial"/>
          <w:sz w:val="18"/>
          <w:szCs w:val="18"/>
          <w:color w:val="auto"/>
        </w:rPr>
      </w:pPr>
    </w:p>
    <w:p>
      <w:pPr>
        <w:ind w:left="-280" w:firstLine="421"/>
        <w:spacing w:after="0" w:line="253" w:lineRule="auto"/>
        <w:tabs>
          <w:tab w:leader="none" w:pos="4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except as rights to indemnity and contribution under this Agreement may be limited under applicable law, the execution and delivery by each Issuer of, and the performance by each Issuer of its obligations under, each indenture under which the Offered Securities are to be issued, the Offered Securities and this Agreement will not contravene (A) any provision of the laws of the Commonwealth of Pennsylvania or any federal law of the United States of America that in such counsel’s experience is normally applicable to general business corporations in relation to transactions of the type contemplated by each indenture under which the Offered Securities are to be issued, the Offered Securities and this Agreement (except with respect to federal, state or foreign securities laws or to laws relating specifically to the cable communications industry, as to which such counsel is not called upon to express any opinion), (B) the articles of incorporation or bylaws or equivalent organizational documents of any Issuer, or (C) to the best of such counsel’s knowledge, any material agreement or other material instrument binding upon such Issuer;</w:t>
      </w:r>
    </w:p>
    <w:p>
      <w:pPr>
        <w:spacing w:after="0" w:line="89" w:lineRule="exact"/>
        <w:rPr>
          <w:rFonts w:ascii="Arial" w:cs="Arial" w:eastAsia="Arial" w:hAnsi="Arial"/>
          <w:sz w:val="18"/>
          <w:szCs w:val="18"/>
          <w:color w:val="auto"/>
        </w:rPr>
      </w:pPr>
    </w:p>
    <w:p>
      <w:pPr>
        <w:ind w:left="-280" w:right="120" w:firstLine="421"/>
        <w:spacing w:after="0" w:line="255" w:lineRule="auto"/>
        <w:tabs>
          <w:tab w:leader="none" w:pos="545"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 consent, approval, authorization, or order of, or qualification with any state governmental body or agency under the laws of the Commonwealth of Pennsylvania, any federal law of the United States of America, or to the best of such counsel’s knowledge, any other state or jurisdiction of the United States, that in such counsel’s experience is normally applicable to general business corporations in relation to transactions of the type contemplated by each indenture under which the Offered Securities are to be issued, the Offered Securities and this Agreement is required for the performance by any Issuer of its obligations under each indenture under which the Offered Securities are to be issued, the Offered Securities</w:t>
      </w:r>
    </w:p>
    <w:p>
      <w:pPr>
        <w:spacing w:after="0" w:line="12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00"/>
          </w:cols>
          <w:pgMar w:left="1440" w:top="274" w:right="259" w:bottom="1440" w:gutter="0" w:footer="0" w:header="0"/>
        </w:sectPr>
      </w:pPr>
    </w:p>
    <w:bookmarkStart w:id="57" w:name="page58"/>
    <w:bookmarkEnd w:id="57"/>
    <w:p>
      <w:pPr>
        <w:ind w:left="912" w:right="3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this Agreement (except such as may be required under federal, state or foreign securities or Blue Sky laws and with respect to consents, approvals and authorizations relating specifically to the cable communications industry as to which such counsel is not called upon to express any opinion);</w:t>
      </w:r>
    </w:p>
    <w:p>
      <w:pPr>
        <w:spacing w:after="0" w:line="73" w:lineRule="exact"/>
        <w:rPr>
          <w:sz w:val="20"/>
          <w:szCs w:val="20"/>
          <w:color w:val="auto"/>
        </w:rPr>
      </w:pPr>
    </w:p>
    <w:p>
      <w:pPr>
        <w:ind w:left="912" w:firstLine="421"/>
        <w:spacing w:after="0" w:line="272" w:lineRule="auto"/>
        <w:tabs>
          <w:tab w:leader="none" w:pos="1637" w:val="left"/>
        </w:tabs>
        <w:numPr>
          <w:ilvl w:val="0"/>
          <w:numId w:val="48"/>
        </w:numPr>
        <w:rPr>
          <w:rFonts w:ascii="Arial" w:cs="Arial" w:eastAsia="Arial" w:hAnsi="Arial"/>
          <w:sz w:val="17"/>
          <w:szCs w:val="17"/>
          <w:color w:val="auto"/>
        </w:rPr>
      </w:pPr>
      <w:r>
        <w:rPr>
          <w:rFonts w:ascii="Arial" w:cs="Arial" w:eastAsia="Arial" w:hAnsi="Arial"/>
          <w:sz w:val="17"/>
          <w:szCs w:val="17"/>
          <w:color w:val="auto"/>
        </w:rPr>
        <w:t>subject to such qualification as may be set forth in the Disclosure Package, the Company and its subsidiaries have, and are in material compliance with, such franchises, and to the best knowledge of such counsel after reasonable investigation, such licenses and authorizations, as are necessary to own their properties and to conduct their business in the manner described in the Disclosure Package, except where the failure to have, or comply with, such franchises, licenses and authorizations would not have a material adverse effect on the business or financial condition of the Company and its subsidiaries, as a whole, and such franchises, licenses and authorizations contain no materially burdensome restrictions not adequately described in the Disclosure Package, which restrictions would have a material adverse effect on the business or financial condition of the Company and its subsidiaries, as a whole;</w:t>
      </w:r>
    </w:p>
    <w:p>
      <w:pPr>
        <w:spacing w:after="0" w:line="69" w:lineRule="exact"/>
        <w:rPr>
          <w:rFonts w:ascii="Arial" w:cs="Arial" w:eastAsia="Arial" w:hAnsi="Arial"/>
          <w:sz w:val="17"/>
          <w:szCs w:val="17"/>
          <w:color w:val="auto"/>
        </w:rPr>
      </w:pPr>
    </w:p>
    <w:p>
      <w:pPr>
        <w:ind w:left="912" w:right="160" w:firstLine="421"/>
        <w:spacing w:after="0" w:line="255" w:lineRule="auto"/>
        <w:tabs>
          <w:tab w:leader="none" w:pos="158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statements included in (A) Item 3 of the Company’s and NBCUniversal Media, LLC’s most recent Annual Report on Form 10-K incorporated by reference in the Disclosure Package, (B) Part II, Item 1 under the caption “Legal Proceedings” of the Company’s and NBCUniversal Media, LLC’s most recent Quarterly Report on Form 10-Q, if any, incorporated by reference in the Disclosure Package, (C) the Registration Statement in Item 15 and (D) the Disclosure Package under the caption “Description of Capital Stock,”</w:t>
      </w:r>
      <w:r>
        <w:rPr>
          <w:rFonts w:ascii="Arial" w:cs="Arial" w:eastAsia="Arial" w:hAnsi="Arial"/>
          <w:sz w:val="15"/>
          <w:szCs w:val="15"/>
          <w:color w:val="auto"/>
        </w:rPr>
        <w:t>1</w:t>
      </w:r>
      <w:r>
        <w:rPr>
          <w:rFonts w:ascii="Arial" w:cs="Arial" w:eastAsia="Arial" w:hAnsi="Arial"/>
          <w:sz w:val="18"/>
          <w:szCs w:val="18"/>
          <w:color w:val="auto"/>
        </w:rPr>
        <w:t xml:space="preserve"> insofar as such statements summarize the legal matters, documents or proceedings referred to therein, fairly summarize such legal matters, documents and proceedings in all material respects;</w:t>
      </w:r>
    </w:p>
    <w:p>
      <w:pPr>
        <w:spacing w:after="0" w:line="85" w:lineRule="exact"/>
        <w:rPr>
          <w:rFonts w:ascii="Arial" w:cs="Arial" w:eastAsia="Arial" w:hAnsi="Arial"/>
          <w:sz w:val="18"/>
          <w:szCs w:val="18"/>
          <w:color w:val="auto"/>
        </w:rPr>
      </w:pPr>
    </w:p>
    <w:p>
      <w:pPr>
        <w:ind w:left="912" w:right="20" w:firstLine="421"/>
        <w:spacing w:after="0" w:line="257" w:lineRule="auto"/>
        <w:tabs>
          <w:tab w:leader="none" w:pos="1637"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such counsel does not know of any legal or governmental proceeding pending or threatened to which the Company or any of its subsidiaries is a party or to which any of the properties of the Company or any of its subsidiaries is subject which is required to be described in the Registration Statement or the Disclosure Package and is not so described or of any contract or other document which is required to be described in the Registration Statement or the Disclosure Package or to be filed as an exhibit to the Registration Statement which is not described or filed as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5652" w:right="5040" w:hanging="5652"/>
        <w:spacing w:after="0" w:line="490" w:lineRule="auto"/>
        <w:tabs>
          <w:tab w:leader="none" w:pos="207" w:val="left"/>
        </w:tabs>
        <w:numPr>
          <w:ilvl w:val="0"/>
          <w:numId w:val="49"/>
        </w:numPr>
        <w:rPr>
          <w:rFonts w:ascii="Arial" w:cs="Arial" w:eastAsia="Arial" w:hAnsi="Arial"/>
          <w:sz w:val="14"/>
          <w:szCs w:val="14"/>
          <w:color w:val="auto"/>
        </w:rPr>
      </w:pPr>
      <w:r>
        <w:rPr>
          <w:rFonts w:ascii="Arial" w:cs="Arial" w:eastAsia="Arial" w:hAnsi="Arial"/>
          <w:sz w:val="17"/>
          <w:szCs w:val="17"/>
          <w:color w:val="auto"/>
        </w:rPr>
        <w:t>The inclusion of Section 4(c)(x)(D) is only required for issuances of convertible debt. 6</w:t>
      </w:r>
    </w:p>
    <w:p>
      <w:pPr>
        <w:sectPr>
          <w:pgSz w:w="11900" w:h="16838" w:orient="portrait"/>
          <w:cols w:equalWidth="0" w:num="1">
            <w:col w:w="11412"/>
          </w:cols>
          <w:pgMar w:left="248" w:top="274" w:right="239" w:bottom="1440" w:gutter="0" w:footer="0" w:header="0"/>
        </w:sectPr>
      </w:pPr>
    </w:p>
    <w:bookmarkStart w:id="58" w:name="page59"/>
    <w:bookmarkEnd w:id="58"/>
    <w:p>
      <w:pPr>
        <w:ind w:left="920" w:right="700" w:firstLine="421"/>
        <w:spacing w:after="0" w:line="277" w:lineRule="auto"/>
        <w:tabs>
          <w:tab w:leader="none" w:pos="1695" w:val="left"/>
        </w:tabs>
        <w:numPr>
          <w:ilvl w:val="0"/>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securities into which the Offered Securities are convertible, initially reserved for issuance upon conversion of the Offered Securities (the </w:t>
      </w:r>
      <w:r>
        <w:rPr>
          <w:rFonts w:ascii="Arial" w:cs="Arial" w:eastAsia="Arial" w:hAnsi="Arial"/>
          <w:sz w:val="18"/>
          <w:szCs w:val="18"/>
          <w:b w:val="1"/>
          <w:bCs w:val="1"/>
          <w:color w:val="auto"/>
        </w:rPr>
        <w:t>“Underlying Securities”</w:t>
      </w:r>
      <w:r>
        <w:rPr>
          <w:rFonts w:ascii="Arial" w:cs="Arial" w:eastAsia="Arial" w:hAnsi="Arial"/>
          <w:sz w:val="18"/>
          <w:szCs w:val="18"/>
          <w:color w:val="auto"/>
        </w:rPr>
        <w:t>), have been duly authorized and reserved for issuance; and</w:t>
      </w:r>
    </w:p>
    <w:p>
      <w:pPr>
        <w:spacing w:after="0" w:line="62" w:lineRule="exact"/>
        <w:rPr>
          <w:rFonts w:ascii="Arial" w:cs="Arial" w:eastAsia="Arial" w:hAnsi="Arial"/>
          <w:sz w:val="18"/>
          <w:szCs w:val="18"/>
          <w:color w:val="auto"/>
        </w:rPr>
      </w:pPr>
    </w:p>
    <w:p>
      <w:pPr>
        <w:ind w:left="920" w:right="320" w:firstLine="421"/>
        <w:spacing w:after="0" w:line="264" w:lineRule="auto"/>
        <w:tabs>
          <w:tab w:leader="none" w:pos="1745"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when the Underlying Securities are issued upon conversion of the Offered Securities in accordance with the terms of the Offered Securities, such Underlying Securities will be validly issued, fully paid and non-assessable and will not be subject to any preemptive or other right to subscribe for or purchase such Underlying Securities.</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Such counsel shall also state that nothing has come to his attention that causes him to believe that (1) on the date of this Agreement, the Registration Statement contained any untrue statement of a material fact or omitted to state a material fact required to be stated therein or necessary to make the statements therein not misleading; (2) at the Applicable Time, the Disclosure Package contained any untrue statement of a material fact or omitted to state a material fact necessary in order to make the statements therein, in the light of the circumstances under which they are made, not misleading; or (3) that the Prospectus as of the date of this Agreement or as of the Closing Date contained or contains an untrue statement of a material fact or omitted or omits to state a material fact necessary in order to make statements therein, in the light of the circumstances under which they are made, not misleading.</w:t>
      </w:r>
    </w:p>
    <w:p>
      <w:pPr>
        <w:spacing w:after="0" w:line="16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With respect to the preceding paragraph, such counsel may state that his belief is based upon his participation in the preparation of the Registration Statement, Disclosure Package, Prospectus and the documents incorporated therein by reference and review and discussion of the contents thereof, but is without independent check or verification except as specified. Such counsel need not pass upon or assume responsibility for the accuracy, completeness or fairness of the statements contained in, and need not have checked the accuracy, completeness or fairness of, or otherwise verified, the information furnished in Registration Statement, Disclosure Package, and the Prospectus, except as specified. Such counsel is not called to pass upon, and need express no view regarding, the financial statements or financial schedules or other financial or accounting data included in the Registration Statement, the Disclosure Package, the Prospectus or the Statement of Eligibility of the Trustee on Form T-1. In addition, such counsel need not express a view as to the conveyance of the Disclosure Package or the information contained therein to the purchasers of the Offered Securities.</w:t>
      </w:r>
    </w:p>
    <w:p>
      <w:pPr>
        <w:spacing w:after="0" w:line="166"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In expressing his opinion as to questions of the law of jurisdictions other than the Commonwealth of Pennsylvania and the United States, such counsel may rely to the extent reasonable on such counsel as may be reasonably acceptable to counsel to the Underwriters. In addition, such counsel may reasonably rely as to questions of fact on certificates of responsible officers of the Company.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59" w:name="page60"/>
    <w:bookmarkEnd w:id="59"/>
    <w:p>
      <w:pPr>
        <w:ind w:firstLine="443"/>
        <w:spacing w:after="0" w:line="277" w:lineRule="auto"/>
        <w:tabs>
          <w:tab w:leader="none" w:pos="693"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Managers shall have received on the Closing Date an opinion of Davis Polk &amp; Wardwell LLP, special counsel for the Company, dated the Closing Date, to the effect that:</w:t>
      </w:r>
    </w:p>
    <w:p>
      <w:pPr>
        <w:spacing w:after="0" w:line="62" w:lineRule="exact"/>
        <w:rPr>
          <w:rFonts w:ascii="Arial" w:cs="Arial" w:eastAsia="Arial" w:hAnsi="Arial"/>
          <w:sz w:val="18"/>
          <w:szCs w:val="18"/>
          <w:color w:val="auto"/>
        </w:rPr>
      </w:pPr>
    </w:p>
    <w:p>
      <w:pPr>
        <w:ind w:left="460" w:right="760" w:firstLine="421"/>
        <w:spacing w:after="0" w:line="277" w:lineRule="auto"/>
        <w:tabs>
          <w:tab w:leader="none" w:pos="1095" w:val="left"/>
        </w:tabs>
        <w:numPr>
          <w:ilvl w:val="2"/>
          <w:numId w:val="51"/>
        </w:numPr>
        <w:rPr>
          <w:rFonts w:ascii="Arial" w:cs="Arial" w:eastAsia="Arial" w:hAnsi="Arial"/>
          <w:sz w:val="18"/>
          <w:szCs w:val="18"/>
          <w:color w:val="auto"/>
        </w:rPr>
      </w:pPr>
      <w:r>
        <w:rPr>
          <w:rFonts w:ascii="Arial" w:cs="Arial" w:eastAsia="Arial" w:hAnsi="Arial"/>
          <w:sz w:val="18"/>
          <w:szCs w:val="18"/>
          <w:color w:val="auto"/>
        </w:rPr>
        <w:t>each Guarantor is validly existing as a corporation or limited liability company in good standing under the laws of the State of Delaware;</w:t>
      </w:r>
    </w:p>
    <w:p>
      <w:pPr>
        <w:spacing w:after="0" w:line="62" w:lineRule="exact"/>
        <w:rPr>
          <w:rFonts w:ascii="Arial" w:cs="Arial" w:eastAsia="Arial" w:hAnsi="Arial"/>
          <w:sz w:val="18"/>
          <w:szCs w:val="18"/>
          <w:color w:val="auto"/>
        </w:rPr>
      </w:pPr>
    </w:p>
    <w:p>
      <w:pPr>
        <w:ind w:left="460" w:right="40" w:firstLine="421"/>
        <w:spacing w:after="0" w:line="290" w:lineRule="auto"/>
        <w:tabs>
          <w:tab w:leader="none" w:pos="1145" w:val="left"/>
        </w:tabs>
        <w:numPr>
          <w:ilvl w:val="2"/>
          <w:numId w:val="51"/>
        </w:numPr>
        <w:rPr>
          <w:rFonts w:ascii="Arial" w:cs="Arial" w:eastAsia="Arial" w:hAnsi="Arial"/>
          <w:sz w:val="16"/>
          <w:szCs w:val="16"/>
          <w:color w:val="auto"/>
        </w:rPr>
      </w:pPr>
      <w:r>
        <w:rPr>
          <w:rFonts w:ascii="Arial" w:cs="Arial" w:eastAsia="Arial" w:hAnsi="Arial"/>
          <w:sz w:val="16"/>
          <w:szCs w:val="16"/>
          <w:color w:val="auto"/>
        </w:rPr>
        <w:t>each indenture under which the Offered Securities are to be issued has been duly authorized, executed and delivered by each Guarantor and, assuming each indenture under which the Offered Securities are to be issued has been duly authorized, executed and delivered by the Company and duly executed and delivered by the respective trustee thereto, each indenture under which the Offered Securities are to be issued is a valid and binding agreement of each Issuer, enforceable against each Issuer in accordance with its terms, subject to applicable bankruptcy, insolvency and similar laws affecting creditors’ rights generally, concepts of reasonableness and equitable principles of general applicability (except with respect to the (A) enforceability of any waiver of rights under any usury or stay law, and (B) validity, legally binding effect or enforceability of any provision that permits holders to collect any portion of stated principal amount upon acceleration of the Offered Securities to the extent determined to constitute unearned interest, as to which such counsel is not called upon to express any opinion);</w:t>
      </w:r>
    </w:p>
    <w:p>
      <w:pPr>
        <w:spacing w:after="0" w:line="58" w:lineRule="exact"/>
        <w:rPr>
          <w:rFonts w:ascii="Arial" w:cs="Arial" w:eastAsia="Arial" w:hAnsi="Arial"/>
          <w:sz w:val="16"/>
          <w:szCs w:val="16"/>
          <w:color w:val="auto"/>
        </w:rPr>
      </w:pPr>
    </w:p>
    <w:p>
      <w:pPr>
        <w:ind w:left="460" w:right="60" w:firstLine="421"/>
        <w:spacing w:after="0" w:line="284" w:lineRule="auto"/>
        <w:tabs>
          <w:tab w:leader="none" w:pos="1195" w:val="left"/>
        </w:tabs>
        <w:numPr>
          <w:ilvl w:val="2"/>
          <w:numId w:val="51"/>
        </w:numPr>
        <w:rPr>
          <w:rFonts w:ascii="Arial" w:cs="Arial" w:eastAsia="Arial" w:hAnsi="Arial"/>
          <w:sz w:val="16"/>
          <w:szCs w:val="16"/>
          <w:color w:val="auto"/>
        </w:rPr>
      </w:pPr>
      <w:r>
        <w:rPr>
          <w:rFonts w:ascii="Arial" w:cs="Arial" w:eastAsia="Arial" w:hAnsi="Arial"/>
          <w:sz w:val="16"/>
          <w:szCs w:val="16"/>
          <w:color w:val="auto"/>
        </w:rPr>
        <w:t>the Guarantees have been duly authorized, and, assuming the Offered Securities have been authorized by the Company, when the Offered Securities have been duly executed and authenticated in accordance with the provisions of each relevant indenture under which the Offered Securities are to be issued and delivered to and paid for by the Underwriters pursuant to this Agreement, the Offered Securities will be valid and binding obligations of the Company and the Guarantees will be valid and binding obligations of the Guarantors, enforceable against them in accordance with their terms, subject to applicable bankruptcy, insolvency and similar laws affecting creditors’ rights generally, concepts of reasonableness and equitable principles of general applicability; and will be entitled to the benefits of each relevant indenture under which the Offered Securities are to be issued (except with respect to the (A) enforceability of any waiver of rights under any usury or stay law, and</w:t>
      </w:r>
    </w:p>
    <w:p>
      <w:pPr>
        <w:spacing w:after="0" w:line="2" w:lineRule="exact"/>
        <w:rPr>
          <w:rFonts w:ascii="Arial" w:cs="Arial" w:eastAsia="Arial" w:hAnsi="Arial"/>
          <w:sz w:val="16"/>
          <w:szCs w:val="16"/>
          <w:color w:val="auto"/>
        </w:rPr>
      </w:pPr>
    </w:p>
    <w:p>
      <w:pPr>
        <w:ind w:left="460" w:right="180" w:firstLine="1"/>
        <w:spacing w:after="0" w:line="255" w:lineRule="auto"/>
        <w:tabs>
          <w:tab w:leader="none" w:pos="745" w:val="left"/>
        </w:tabs>
        <w:numPr>
          <w:ilvl w:val="1"/>
          <w:numId w:val="51"/>
        </w:numPr>
        <w:rPr>
          <w:rFonts w:ascii="Arial" w:cs="Arial" w:eastAsia="Arial" w:hAnsi="Arial"/>
          <w:sz w:val="18"/>
          <w:szCs w:val="18"/>
          <w:color w:val="auto"/>
        </w:rPr>
      </w:pPr>
      <w:r>
        <w:rPr>
          <w:rFonts w:ascii="Arial" w:cs="Arial" w:eastAsia="Arial" w:hAnsi="Arial"/>
          <w:sz w:val="18"/>
          <w:szCs w:val="18"/>
          <w:color w:val="auto"/>
        </w:rPr>
        <w:t>validity, legally binding effect or enforceability of any provision that permits holders to collect any portion of stated principal amount upon acceleration of the Offered Securities to the extent determined to constitute unearned interest, as to which such counsel is not called upon to express any opinion);</w:t>
      </w:r>
    </w:p>
    <w:p>
      <w:pPr>
        <w:spacing w:after="0" w:line="82" w:lineRule="exact"/>
        <w:rPr>
          <w:rFonts w:ascii="Arial" w:cs="Arial" w:eastAsia="Arial" w:hAnsi="Arial"/>
          <w:sz w:val="18"/>
          <w:szCs w:val="18"/>
          <w:color w:val="auto"/>
        </w:rPr>
      </w:pPr>
    </w:p>
    <w:p>
      <w:pPr>
        <w:ind w:left="1180" w:hanging="299"/>
        <w:spacing w:after="0"/>
        <w:tabs>
          <w:tab w:leader="none" w:pos="1180" w:val="left"/>
        </w:tabs>
        <w:numPr>
          <w:ilvl w:val="2"/>
          <w:numId w:val="52"/>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each Guarantor party hereto;</w:t>
      </w:r>
    </w:p>
    <w:p>
      <w:pPr>
        <w:spacing w:after="0" w:line="117" w:lineRule="exact"/>
        <w:rPr>
          <w:rFonts w:ascii="Arial" w:cs="Arial" w:eastAsia="Arial" w:hAnsi="Arial"/>
          <w:sz w:val="18"/>
          <w:szCs w:val="18"/>
          <w:color w:val="auto"/>
        </w:rPr>
      </w:pPr>
    </w:p>
    <w:p>
      <w:pPr>
        <w:jc w:val="both"/>
        <w:ind w:left="460" w:firstLine="421"/>
        <w:spacing w:after="0" w:line="259" w:lineRule="auto"/>
        <w:tabs>
          <w:tab w:leader="none" w:pos="1135" w:val="left"/>
        </w:tabs>
        <w:numPr>
          <w:ilvl w:val="2"/>
          <w:numId w:val="52"/>
        </w:numPr>
        <w:rPr>
          <w:rFonts w:ascii="Arial" w:cs="Arial" w:eastAsia="Arial" w:hAnsi="Arial"/>
          <w:sz w:val="18"/>
          <w:szCs w:val="18"/>
          <w:color w:val="auto"/>
        </w:rPr>
      </w:pPr>
      <w:r>
        <w:rPr>
          <w:rFonts w:ascii="Arial" w:cs="Arial" w:eastAsia="Arial" w:hAnsi="Arial"/>
          <w:sz w:val="18"/>
          <w:szCs w:val="18"/>
          <w:color w:val="auto"/>
        </w:rPr>
        <w:t>except as rights to indemnity and contribution under this Agreement may be limited under applicable law, the execution and delivery by each Issuer of, and the performance by each Issuer of its obligations under each indenture under which the Offered Securities are to be issued, the Offered Securities and this Agreement, will not contravene (A) any provision of laws of the State of New York or any federal law of the United States of America that in such counsel’s</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74" w:right="259" w:bottom="1440" w:gutter="0" w:footer="0" w:header="0"/>
        </w:sectPr>
      </w:pPr>
    </w:p>
    <w:bookmarkStart w:id="60" w:name="page61"/>
    <w:bookmarkEnd w:id="60"/>
    <w:p>
      <w:pPr>
        <w:ind w:left="9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experience is normally applicable to general business corporations in relation to transactions of the type contemplated by each indenture under which the Offered Securities are to be issued, the Offered Securities and this Agreement (except with respect to federal, state or foreign securities laws or to laws relating specifically to the cable communications industry, as to which such counsel is not called upon to express any opinion), or</w:t>
      </w:r>
    </w:p>
    <w:p>
      <w:pPr>
        <w:ind w:left="1200" w:hanging="279"/>
        <w:spacing w:after="0"/>
        <w:tabs>
          <w:tab w:leader="none" w:pos="12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certificate of incorporation or bylaws or equivalent organizational documents of any Guarantor; and</w:t>
      </w:r>
    </w:p>
    <w:p>
      <w:pPr>
        <w:spacing w:after="0" w:line="102" w:lineRule="exact"/>
        <w:rPr>
          <w:rFonts w:ascii="Arial" w:cs="Arial" w:eastAsia="Arial" w:hAnsi="Arial"/>
          <w:sz w:val="18"/>
          <w:szCs w:val="18"/>
          <w:color w:val="auto"/>
        </w:rPr>
      </w:pPr>
    </w:p>
    <w:p>
      <w:pPr>
        <w:ind w:left="920" w:right="160" w:firstLine="421"/>
        <w:spacing w:after="0" w:line="255" w:lineRule="auto"/>
        <w:tabs>
          <w:tab w:leader="none" w:pos="1645" w:val="left"/>
        </w:tabs>
        <w:numPr>
          <w:ilvl w:val="1"/>
          <w:numId w:val="53"/>
        </w:numPr>
        <w:rPr>
          <w:rFonts w:ascii="Arial" w:cs="Arial" w:eastAsia="Arial" w:hAnsi="Arial"/>
          <w:sz w:val="18"/>
          <w:szCs w:val="18"/>
          <w:color w:val="auto"/>
        </w:rPr>
      </w:pPr>
      <w:r>
        <w:rPr>
          <w:rFonts w:ascii="Arial" w:cs="Arial" w:eastAsia="Arial" w:hAnsi="Arial"/>
          <w:sz w:val="18"/>
          <w:szCs w:val="18"/>
          <w:color w:val="auto"/>
        </w:rPr>
        <w:t>no consent, approval, authorization or order of, or qualification with, any governmental body or agency under the laws of the State of New York or any federal law of the United States of America that in such counsel’s experience is normally applicable to general business corporations in relation to transactions of the type contemplated by each indenture under which the Offered Securities are to be issued, the Offered Securities and this Agreement (except such as may be required under federal, state or foreign securities or Blue Sky laws and with respect to consents, approvals and authorizations relating specifically to the cable communications industry, as to which such counsel is not called upon to express any opinion).</w:t>
      </w:r>
    </w:p>
    <w:p>
      <w:pPr>
        <w:spacing w:after="0" w:line="193"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Such counsel shall state that they have considered the statements included in the Prospectus Supplement under the caption “Description of the Notes” and in the Base Prospectus under the caption “Description of Debt Securities and Guarantees” insofar as they summarize provisions of each indenture under which the Offered Securities are to be issued and, the Offered Securities and that in their opinion such statements fairly summarize these provisions in all material respects. Such counsel shall also state that the statements included in the Prospectus Supplement under the caption “Material U.S. Federal Income Tax Consequences for Non-U.S. Holders” insofar as they purport to describe provisions of U.S. federal income tax laws or legal conclusions with respect thereto, fairly and accurately summarize the matters referred to therein in all material respects.</w:t>
      </w:r>
    </w:p>
    <w:p>
      <w:pPr>
        <w:spacing w:after="0" w:line="17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Such counsel shall also state that (a) the Registration Statement and the Prospectus appear on their face to be appropriately responsive in all material respects to the requirements of the Securities Act and the applicable rules and regulations of the Commission thereunder, and (b) nothing has come to the attention of such counsel that causes them to believe that, insofar as relevant to the offering of the Offered Securities, (1) on the date of this Agreement, the Registration Statement contained any untrue statement of a material fact or omitted to state a material fact required to be stated therein or necessary to make the statements therein not misleading; (2) at the Applicable Time, the Disclosure Package contained any untrue statement of a material fact or omitted to state a material fact necessary in order to make the statements therein, in the light of the circumstances under which they are made, not misleading; or (3) the Prospectus as of the date of this Agreement or as of the Closing Date contained or contains any untrue statement of a material fact or omitted or omits to state a material fact necessary in order to make statements therein, in the light of the circumstances under which they are made, not misleading.</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61" w:name="page62"/>
    <w:bookmarkEnd w:id="61"/>
    <w:p>
      <w:pPr>
        <w:ind w:right="40" w:firstLine="45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respect to the preceding paragraph, Davis Polk &amp; Wardwell LLP may state that their belief is based upon information gained in the performance of their services, but is without independent check or verification except as specified. Such counsel need not pass upon or assume responsibility for the accuracy, completeness or fairness of statements contained in, and need not have checked the accuracy, completeness or fairness of, or otherwise verified, the information furnished in, the Registration Statement, the Disclosure Package and the Prospectus, except as specified. In addition, such counsel is not called to pass upon, or express any view regarding, the financial statements or financial schedules or other financial or accounting data included in the Registration Statement, the Disclosure Package, the Prospectus or the Form T-1. Such counsel need not express a view as to the conveyance of the Disclosure Package of the information contained therein to investors.</w:t>
      </w:r>
    </w:p>
    <w:p>
      <w:pPr>
        <w:spacing w:after="0" w:line="70" w:lineRule="exact"/>
        <w:rPr>
          <w:sz w:val="20"/>
          <w:szCs w:val="20"/>
          <w:color w:val="auto"/>
        </w:rPr>
      </w:pPr>
    </w:p>
    <w:p>
      <w:pPr>
        <w:ind w:left="460" w:right="300" w:firstLine="443"/>
        <w:spacing w:after="0" w:line="277" w:lineRule="auto"/>
        <w:tabs>
          <w:tab w:leader="none" w:pos="1143"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Managers shall have received on the Closing Date an opinion of internal communications counsel for the Company, dated the Closing Date, to the effect that:</w:t>
      </w:r>
    </w:p>
    <w:p>
      <w:pPr>
        <w:spacing w:after="0" w:line="62" w:lineRule="exact"/>
        <w:rPr>
          <w:rFonts w:ascii="Arial" w:cs="Arial" w:eastAsia="Arial" w:hAnsi="Arial"/>
          <w:sz w:val="18"/>
          <w:szCs w:val="18"/>
          <w:color w:val="auto"/>
        </w:rPr>
      </w:pPr>
    </w:p>
    <w:p>
      <w:pPr>
        <w:ind w:left="920" w:firstLine="421"/>
        <w:spacing w:after="0" w:line="277" w:lineRule="auto"/>
        <w:tabs>
          <w:tab w:leader="none" w:pos="1555" w:val="left"/>
        </w:tabs>
        <w:numPr>
          <w:ilvl w:val="1"/>
          <w:numId w:val="54"/>
        </w:numPr>
        <w:rPr>
          <w:rFonts w:ascii="Arial" w:cs="Arial" w:eastAsia="Arial" w:hAnsi="Arial"/>
          <w:sz w:val="18"/>
          <w:szCs w:val="18"/>
          <w:color w:val="auto"/>
        </w:rPr>
      </w:pPr>
      <w:r>
        <w:rPr>
          <w:rFonts w:ascii="Arial" w:cs="Arial" w:eastAsia="Arial" w:hAnsi="Arial"/>
          <w:sz w:val="18"/>
          <w:szCs w:val="18"/>
          <w:color w:val="auto"/>
        </w:rPr>
        <w:t>no approval of the Federal Communications Commission (the “FCC”) is required in connection with the issuance and sale of the Offered Securities;</w:t>
      </w:r>
    </w:p>
    <w:p>
      <w:pPr>
        <w:spacing w:after="0" w:line="62" w:lineRule="exact"/>
        <w:rPr>
          <w:rFonts w:ascii="Arial" w:cs="Arial" w:eastAsia="Arial" w:hAnsi="Arial"/>
          <w:sz w:val="18"/>
          <w:szCs w:val="18"/>
          <w:color w:val="auto"/>
        </w:rPr>
      </w:pPr>
    </w:p>
    <w:p>
      <w:pPr>
        <w:ind w:left="920" w:firstLine="421"/>
        <w:spacing w:after="0" w:line="255" w:lineRule="auto"/>
        <w:tabs>
          <w:tab w:leader="none" w:pos="1605"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execution and delivery of this Agreement, each indenture under which the Offered Securities are to be issued, by each Issuer, the fulfillment of the terms set forth herein and therein by each Issuer and the consummation of the transactions contemplated hereby and thereby by each Issuer do not violate any statute, regulation or other law of the United States relating specifically to the cable communications industry (except as otherwise explicitly set forth in the Disclosure Package) or, to the knowledge of such counsel, any order, judgment or decree of any court or governmental body of the United States relating specifically to the cable communications industry and applicable to such Issuer or any subsidiary, and which violation would have a material adverse effect on the business or financial condition of such Issuer and its subsidiaries, as a whole;</w:t>
      </w:r>
    </w:p>
    <w:p>
      <w:pPr>
        <w:spacing w:after="0" w:line="81" w:lineRule="exact"/>
        <w:rPr>
          <w:rFonts w:ascii="Arial" w:cs="Arial" w:eastAsia="Arial" w:hAnsi="Arial"/>
          <w:sz w:val="18"/>
          <w:szCs w:val="18"/>
          <w:color w:val="auto"/>
        </w:rPr>
      </w:pPr>
    </w:p>
    <w:p>
      <w:pPr>
        <w:ind w:left="920" w:right="100" w:firstLine="421"/>
        <w:spacing w:after="0" w:line="293" w:lineRule="auto"/>
        <w:tabs>
          <w:tab w:leader="none" w:pos="1655"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the statements in the Company’s and NBCUniversal Media, LLC’s most recent Annual Report on Form 10-K incorporated by reference in the Registration Statement, the Disclosure Package and Prospectus relating specifically to the cable communications industry, as updated by the Company’s and NBCUniversal Media, LLC’s most recent Quarterly Reports on Form 10-Q, if any, and Current Reports on Form 8-K, if any, incorporated in the Registration Statement, the Disclosure Package and the Prospectus and as updated by the Disclosure Package, insofar as they are, or refer to, statements of federal law or legal conclusions, have been reviewed by such counsel and present in all material respects the information called for with respect to such statements of federal law or legal conclusions; and</w:t>
      </w:r>
    </w:p>
    <w:p>
      <w:pPr>
        <w:spacing w:after="0" w:line="56" w:lineRule="exact"/>
        <w:rPr>
          <w:rFonts w:ascii="Arial" w:cs="Arial" w:eastAsia="Arial" w:hAnsi="Arial"/>
          <w:sz w:val="16"/>
          <w:szCs w:val="16"/>
          <w:color w:val="auto"/>
        </w:rPr>
      </w:pPr>
    </w:p>
    <w:p>
      <w:pPr>
        <w:ind w:left="920" w:right="240" w:firstLine="421"/>
        <w:spacing w:after="0" w:line="277" w:lineRule="auto"/>
        <w:tabs>
          <w:tab w:leader="none" w:pos="1645" w:val="left"/>
        </w:tabs>
        <w:numPr>
          <w:ilvl w:val="1"/>
          <w:numId w:val="54"/>
        </w:numPr>
        <w:rPr>
          <w:rFonts w:ascii="Arial" w:cs="Arial" w:eastAsia="Arial" w:hAnsi="Arial"/>
          <w:sz w:val="18"/>
          <w:szCs w:val="18"/>
          <w:color w:val="auto"/>
        </w:rPr>
      </w:pPr>
      <w:r>
        <w:rPr>
          <w:rFonts w:ascii="Arial" w:cs="Arial" w:eastAsia="Arial" w:hAnsi="Arial"/>
          <w:sz w:val="18"/>
          <w:szCs w:val="18"/>
          <w:color w:val="auto"/>
        </w:rPr>
        <w:t>such counsel does not know of any proceeding pending before the FCC to which the Company or any of its subsidiaries is a party or involving the cable communications properties, licenses or authorizations of the Company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62" w:name="page63"/>
    <w:bookmarkEnd w:id="62"/>
    <w:p>
      <w:pPr>
        <w:ind w:left="460" w:right="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its subsidiaries, or of any cable communications law or regulation relevant thereto required to be described in the Registration Statement or the Disclosure Package pursuant to Regulation S-K promulgated under the Securities Act, which is not described as required.</w:t>
      </w:r>
    </w:p>
    <w:p>
      <w:pPr>
        <w:spacing w:after="0" w:line="16" w:lineRule="exact"/>
        <w:rPr>
          <w:sz w:val="20"/>
          <w:szCs w:val="20"/>
          <w:color w:val="auto"/>
        </w:rPr>
      </w:pPr>
    </w:p>
    <w:p>
      <w:pPr>
        <w:ind w:right="160" w:firstLine="443"/>
        <w:spacing w:after="0" w:line="308" w:lineRule="auto"/>
        <w:tabs>
          <w:tab w:leader="none" w:pos="663" w:val="left"/>
        </w:tabs>
        <w:numPr>
          <w:ilvl w:val="1"/>
          <w:numId w:val="55"/>
        </w:numPr>
        <w:rPr>
          <w:rFonts w:ascii="Arial" w:cs="Arial" w:eastAsia="Arial" w:hAnsi="Arial"/>
          <w:sz w:val="17"/>
          <w:szCs w:val="17"/>
          <w:color w:val="auto"/>
        </w:rPr>
      </w:pPr>
      <w:r>
        <w:rPr>
          <w:rFonts w:ascii="Arial" w:cs="Arial" w:eastAsia="Arial" w:hAnsi="Arial"/>
          <w:sz w:val="17"/>
          <w:szCs w:val="17"/>
          <w:color w:val="auto"/>
        </w:rPr>
        <w:t xml:space="preserve">The Managers shall have received on the Closing Date an opinion of Cahill Gordon &amp; Reindel </w:t>
      </w:r>
      <w:r>
        <w:rPr>
          <w:rFonts w:ascii="Arial" w:cs="Arial" w:eastAsia="Arial" w:hAnsi="Arial"/>
          <w:sz w:val="14"/>
          <w:szCs w:val="14"/>
          <w:color w:val="auto"/>
        </w:rPr>
        <w:t>LLP</w:t>
      </w:r>
      <w:r>
        <w:rPr>
          <w:rFonts w:ascii="Arial" w:cs="Arial" w:eastAsia="Arial" w:hAnsi="Arial"/>
          <w:sz w:val="17"/>
          <w:szCs w:val="17"/>
          <w:color w:val="auto"/>
        </w:rPr>
        <w:t>, counsel for the Underwriters, dated the Closing Date, covering the matters requested by and in form and substance reasonably satisfactory to the Managers.</w:t>
      </w:r>
    </w:p>
    <w:p>
      <w:pPr>
        <w:spacing w:after="0" w:line="38" w:lineRule="exact"/>
        <w:rPr>
          <w:rFonts w:ascii="Arial" w:cs="Arial" w:eastAsia="Arial" w:hAnsi="Arial"/>
          <w:sz w:val="17"/>
          <w:szCs w:val="17"/>
          <w:color w:val="auto"/>
        </w:rPr>
      </w:pPr>
    </w:p>
    <w:p>
      <w:pPr>
        <w:ind w:firstLine="443"/>
        <w:spacing w:after="0" w:line="291" w:lineRule="auto"/>
        <w:tabs>
          <w:tab w:leader="none" w:pos="693"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Managers shall have received on the date hereof a letter dated such date and on the Closing Date a letter dated such date, in each case in form and substance satisfactory to the Managers, from Deloitte &amp; Touche LLP, independent public accountants, containing statements and information of the type ordinarily included in accountants’ “comfort letters” to underwriters with respect to the financial statements and certain financial information reviewed by them contained in or incorporated by reference in the Registration Statement, the Disclosure Package and the Prospectus and each other firm of independent accountants, if any, who audited or reviewed financial statements contained in or incorporated by reference in the Registration Statement, the Disclosure Package and the Prospectus, containing statements and information of the type ordinarily included in accountants’ “comfort letters” to underwriters with respect to such financial statements and financial information.</w:t>
      </w:r>
    </w:p>
    <w:p>
      <w:pPr>
        <w:spacing w:after="0" w:line="59" w:lineRule="exact"/>
        <w:rPr>
          <w:rFonts w:ascii="Arial" w:cs="Arial" w:eastAsia="Arial" w:hAnsi="Arial"/>
          <w:sz w:val="16"/>
          <w:szCs w:val="16"/>
          <w:color w:val="auto"/>
        </w:rPr>
      </w:pPr>
    </w:p>
    <w:p>
      <w:pPr>
        <w:ind w:right="60" w:firstLine="443"/>
        <w:spacing w:after="0" w:line="277" w:lineRule="auto"/>
        <w:tabs>
          <w:tab w:leader="none" w:pos="693"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Managers shall have received on the date hereof or on the Closing Date, as applicable, such additional documents as the Managers shall have reasonably requested to confirm compliance with the conditions to Closing listed herein.</w:t>
      </w:r>
    </w:p>
    <w:p>
      <w:pPr>
        <w:spacing w:after="0" w:line="170" w:lineRule="exact"/>
        <w:rPr>
          <w:rFonts w:ascii="Arial" w:cs="Arial" w:eastAsia="Arial" w:hAnsi="Arial"/>
          <w:sz w:val="18"/>
          <w:szCs w:val="18"/>
          <w:color w:val="auto"/>
        </w:rPr>
      </w:pPr>
    </w:p>
    <w:p>
      <w:pPr>
        <w:ind w:left="180" w:hanging="176"/>
        <w:spacing w:after="0"/>
        <w:tabs>
          <w:tab w:leader="none" w:pos="18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 xml:space="preserve">Covenants of the Company. </w:t>
      </w:r>
      <w:r>
        <w:rPr>
          <w:rFonts w:ascii="Arial" w:cs="Arial" w:eastAsia="Arial" w:hAnsi="Arial"/>
          <w:sz w:val="17"/>
          <w:szCs w:val="17"/>
          <w:color w:val="auto"/>
        </w:rPr>
        <w:t>In further consideration of the agreements of the Underwriters herein contained, the Issuers covenant as follows:</w:t>
      </w:r>
    </w:p>
    <w:p>
      <w:pPr>
        <w:spacing w:after="0" w:line="128" w:lineRule="exact"/>
        <w:rPr>
          <w:rFonts w:ascii="Arial" w:cs="Arial" w:eastAsia="Arial" w:hAnsi="Arial"/>
          <w:sz w:val="17"/>
          <w:szCs w:val="17"/>
          <w:color w:val="auto"/>
        </w:rPr>
      </w:pPr>
    </w:p>
    <w:p>
      <w:pPr>
        <w:ind w:right="80" w:firstLine="443"/>
        <w:spacing w:after="0" w:line="279" w:lineRule="auto"/>
        <w:tabs>
          <w:tab w:leader="none" w:pos="683" w:val="left"/>
        </w:tabs>
        <w:numPr>
          <w:ilvl w:val="1"/>
          <w:numId w:val="56"/>
        </w:numPr>
        <w:rPr>
          <w:rFonts w:ascii="Arial" w:cs="Arial" w:eastAsia="Arial" w:hAnsi="Arial"/>
          <w:sz w:val="17"/>
          <w:szCs w:val="17"/>
          <w:color w:val="auto"/>
        </w:rPr>
      </w:pPr>
      <w:r>
        <w:rPr>
          <w:rFonts w:ascii="Arial" w:cs="Arial" w:eastAsia="Arial" w:hAnsi="Arial"/>
          <w:sz w:val="17"/>
          <w:szCs w:val="17"/>
          <w:color w:val="auto"/>
        </w:rPr>
        <w:t>To furnish to the Managers, without charge, a copy of the Registration Statement and two signed copies of any post-effective amendment thereto specifically relating to the Offered Securities (including exhibits thereto and documents incorporated therein by reference) and, during the period mentioned in paragraph (f) below, as many copies of the Disclosure Package, the Prospectus, any documents incorporated therein by reference and any supplements and amendments thereto as the Managers may reasonably request.</w:t>
      </w:r>
    </w:p>
    <w:p>
      <w:pPr>
        <w:spacing w:after="0" w:line="63" w:lineRule="exact"/>
        <w:rPr>
          <w:rFonts w:ascii="Arial" w:cs="Arial" w:eastAsia="Arial" w:hAnsi="Arial"/>
          <w:sz w:val="17"/>
          <w:szCs w:val="17"/>
          <w:color w:val="auto"/>
        </w:rPr>
      </w:pPr>
    </w:p>
    <w:p>
      <w:pPr>
        <w:ind w:right="100" w:firstLine="443"/>
        <w:spacing w:after="0" w:line="277" w:lineRule="auto"/>
        <w:tabs>
          <w:tab w:leader="none" w:pos="693" w:val="left"/>
        </w:tabs>
        <w:numPr>
          <w:ilvl w:val="1"/>
          <w:numId w:val="56"/>
        </w:numPr>
        <w:rPr>
          <w:rFonts w:ascii="Arial" w:cs="Arial" w:eastAsia="Arial" w:hAnsi="Arial"/>
          <w:sz w:val="18"/>
          <w:szCs w:val="18"/>
          <w:color w:val="auto"/>
        </w:rPr>
      </w:pPr>
      <w:r>
        <w:rPr>
          <w:rFonts w:ascii="Arial" w:cs="Arial" w:eastAsia="Arial" w:hAnsi="Arial"/>
          <w:sz w:val="18"/>
          <w:szCs w:val="18"/>
          <w:color w:val="auto"/>
        </w:rPr>
        <w:t>Before amending or supplementing the Registration Statement, the Disclosure Package or the Prospectus, to furnish the Managers a copy of each such proposed amendment or supplement.</w:t>
      </w:r>
    </w:p>
    <w:p>
      <w:pPr>
        <w:spacing w:after="0" w:line="62" w:lineRule="exact"/>
        <w:rPr>
          <w:rFonts w:ascii="Arial" w:cs="Arial" w:eastAsia="Arial" w:hAnsi="Arial"/>
          <w:sz w:val="18"/>
          <w:szCs w:val="18"/>
          <w:color w:val="auto"/>
        </w:rPr>
      </w:pPr>
    </w:p>
    <w:p>
      <w:pPr>
        <w:ind w:right="40" w:firstLine="443"/>
        <w:spacing w:after="0" w:line="277" w:lineRule="auto"/>
        <w:tabs>
          <w:tab w:leader="none" w:pos="683" w:val="left"/>
        </w:tabs>
        <w:numPr>
          <w:ilvl w:val="1"/>
          <w:numId w:val="56"/>
        </w:numPr>
        <w:rPr>
          <w:rFonts w:ascii="Arial" w:cs="Arial" w:eastAsia="Arial" w:hAnsi="Arial"/>
          <w:sz w:val="18"/>
          <w:szCs w:val="18"/>
          <w:color w:val="auto"/>
        </w:rPr>
      </w:pPr>
      <w:r>
        <w:rPr>
          <w:rFonts w:ascii="Arial" w:cs="Arial" w:eastAsia="Arial" w:hAnsi="Arial"/>
          <w:sz w:val="18"/>
          <w:szCs w:val="18"/>
          <w:color w:val="auto"/>
        </w:rPr>
        <w:t>Before filing, using or referring to any free writing prospectus relating to the Offered Securities, to furnish the Managers a copy of each such free writing prospectus.</w:t>
      </w:r>
    </w:p>
    <w:p>
      <w:pPr>
        <w:spacing w:after="0" w:line="10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60"/>
          </w:cols>
          <w:pgMar w:left="700" w:top="274" w:right="339" w:bottom="1440" w:gutter="0" w:footer="0" w:header="0"/>
        </w:sectPr>
      </w:pPr>
    </w:p>
    <w:bookmarkStart w:id="63" w:name="page64"/>
    <w:bookmarkEnd w:id="63"/>
    <w:p>
      <w:pPr>
        <w:ind w:firstLine="443"/>
        <w:spacing w:after="0" w:line="264" w:lineRule="auto"/>
        <w:tabs>
          <w:tab w:leader="none" w:pos="693" w:val="left"/>
        </w:tabs>
        <w:numPr>
          <w:ilvl w:val="0"/>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 to take any action that would result in an Underwriter being required to file with the Commission pursuant to Rule 433(d) under the Securities Act a free writing prospectus prepared by or on behalf of the Underwriter that the Underwriter otherwise would not have been required to file thereunder.</w:t>
      </w:r>
    </w:p>
    <w:p>
      <w:pPr>
        <w:spacing w:after="0" w:line="73" w:lineRule="exact"/>
        <w:rPr>
          <w:rFonts w:ascii="Arial" w:cs="Arial" w:eastAsia="Arial" w:hAnsi="Arial"/>
          <w:sz w:val="18"/>
          <w:szCs w:val="18"/>
          <w:color w:val="auto"/>
        </w:rPr>
      </w:pPr>
    </w:p>
    <w:p>
      <w:pPr>
        <w:ind w:right="20" w:firstLine="443"/>
        <w:spacing w:after="0" w:line="290" w:lineRule="auto"/>
        <w:tabs>
          <w:tab w:leader="none" w:pos="683" w:val="left"/>
        </w:tabs>
        <w:numPr>
          <w:ilvl w:val="0"/>
          <w:numId w:val="57"/>
        </w:numPr>
        <w:rPr>
          <w:rFonts w:ascii="Arial" w:cs="Arial" w:eastAsia="Arial" w:hAnsi="Arial"/>
          <w:sz w:val="16"/>
          <w:szCs w:val="16"/>
          <w:color w:val="auto"/>
        </w:rPr>
      </w:pPr>
      <w:r>
        <w:rPr>
          <w:rFonts w:ascii="Arial" w:cs="Arial" w:eastAsia="Arial" w:hAnsi="Arial"/>
          <w:sz w:val="16"/>
          <w:szCs w:val="16"/>
          <w:color w:val="auto"/>
        </w:rPr>
        <w:t>If the Disclosure Package is being used to solicit offers to buy the Offered Securities at a time when the Prospectus is not yet available to prospective purchasers and any event shall occur as a result of which it is necessary to amend or supplement the Disclosure Package in order to make the statements therein, in the light of the circumstances existing at the time, not misleading, or if any event shall occur as a result of which any free writing prospectus included as part of the Disclosure Package conflicts with the information contained in the Registration Statement then on file, the Company shall forthwith prepare and furnish, at its expense, to the Underwriters and to the dealers (whose names and addresses the Managers will furnish to the Company), either amendments or supplements to the Disclosure Package so that the statements in the Disclosure Package as so amended or supplemented will not, in the light of the circumstances existing at the time, be misleading or so that any free writing prospectus which is included as part of the Disclosure Package, as amended or supplemented, will no longer conflict with the Registration Statement.</w:t>
      </w:r>
    </w:p>
    <w:p>
      <w:pPr>
        <w:spacing w:after="0" w:line="58" w:lineRule="exact"/>
        <w:rPr>
          <w:rFonts w:ascii="Arial" w:cs="Arial" w:eastAsia="Arial" w:hAnsi="Arial"/>
          <w:sz w:val="16"/>
          <w:szCs w:val="16"/>
          <w:color w:val="auto"/>
        </w:rPr>
      </w:pPr>
    </w:p>
    <w:p>
      <w:pPr>
        <w:ind w:right="200" w:firstLine="443"/>
        <w:spacing w:after="0" w:line="254" w:lineRule="auto"/>
        <w:tabs>
          <w:tab w:leader="none" w:pos="663"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during such period after the first date of the public offering of the Offered Securities during which in the opinion of counsel to the Managers the Prospectus (or in lieu thereof the notice referred to in Rule 173(a) under the Securities Act) is required by law to be delivered in connection with sales by an Underwriter or dealer, any event shall occur as a result of which it is necessary to amend or supplement the Prospectus in order to make the statements therein, in the light of the circumstances existing at the time, not misleading, forthwith to prepare and furnish, at its expense, to the Underwriters and to the dealers (whose names and addresses the Managers will furnish to the Company) to which Offered Securities may have been sold by the Managers on behalf of the Underwriters and to any other dealers on request, either amendments or supplements to the Prospectus so that the statements in the Prospectus as so amended or supplemented will not, in the light of the circumstances existing at the time, be misleading.</w:t>
      </w:r>
    </w:p>
    <w:p>
      <w:pPr>
        <w:spacing w:after="0" w:line="84" w:lineRule="exact"/>
        <w:rPr>
          <w:rFonts w:ascii="Arial" w:cs="Arial" w:eastAsia="Arial" w:hAnsi="Arial"/>
          <w:sz w:val="18"/>
          <w:szCs w:val="18"/>
          <w:color w:val="auto"/>
        </w:rPr>
      </w:pPr>
    </w:p>
    <w:p>
      <w:pPr>
        <w:ind w:right="680" w:firstLine="443"/>
        <w:spacing w:after="0" w:line="277" w:lineRule="auto"/>
        <w:tabs>
          <w:tab w:leader="none" w:pos="693"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endeavor to qualify the Offered Securities for offer and sale under the securities or Blue Sky laws of such U.S. jurisdictions as the Managers shall reasonably request.</w:t>
      </w:r>
    </w:p>
    <w:p>
      <w:pPr>
        <w:spacing w:after="0" w:line="62" w:lineRule="exact"/>
        <w:rPr>
          <w:rFonts w:ascii="Arial" w:cs="Arial" w:eastAsia="Arial" w:hAnsi="Arial"/>
          <w:sz w:val="18"/>
          <w:szCs w:val="18"/>
          <w:color w:val="auto"/>
        </w:rPr>
      </w:pPr>
    </w:p>
    <w:p>
      <w:pPr>
        <w:ind w:right="40" w:firstLine="443"/>
        <w:spacing w:after="0" w:line="279" w:lineRule="auto"/>
        <w:tabs>
          <w:tab w:leader="none" w:pos="693" w:val="left"/>
        </w:tabs>
        <w:numPr>
          <w:ilvl w:val="0"/>
          <w:numId w:val="57"/>
        </w:numPr>
        <w:rPr>
          <w:rFonts w:ascii="Arial" w:cs="Arial" w:eastAsia="Arial" w:hAnsi="Arial"/>
          <w:sz w:val="17"/>
          <w:szCs w:val="17"/>
          <w:color w:val="auto"/>
        </w:rPr>
      </w:pPr>
      <w:r>
        <w:rPr>
          <w:rFonts w:ascii="Arial" w:cs="Arial" w:eastAsia="Arial" w:hAnsi="Arial"/>
          <w:sz w:val="17"/>
          <w:szCs w:val="17"/>
          <w:color w:val="auto"/>
        </w:rPr>
        <w:t>To make generally available to the Company’s security holders as soon as practicable an earnings statement covering the twelve month period beginning on the first day of the first fiscal quarter commencing after the date hereof, which shall satisfy the provisions of Section 11(a) of the Securities Act and the rules and regulations of the Commission thereunder (which may be accomplished by making generally available the Company’s financial statements in the manner provided for by Rule 158 of the Securities Act).</w:t>
      </w:r>
    </w:p>
    <w:p>
      <w:pPr>
        <w:spacing w:after="0" w:line="10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700" w:top="274" w:right="239" w:bottom="1440" w:gutter="0" w:footer="0" w:header="0"/>
        </w:sectPr>
      </w:pPr>
    </w:p>
    <w:bookmarkStart w:id="64" w:name="page65"/>
    <w:bookmarkEnd w:id="64"/>
    <w:p>
      <w:pPr>
        <w:ind w:left="640" w:hanging="176"/>
        <w:spacing w:after="0"/>
        <w:tabs>
          <w:tab w:leader="none" w:pos="64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Covenants of the Underwriters. </w:t>
      </w:r>
      <w:r>
        <w:rPr>
          <w:rFonts w:ascii="Arial" w:cs="Arial" w:eastAsia="Arial" w:hAnsi="Arial"/>
          <w:sz w:val="16"/>
          <w:szCs w:val="16"/>
          <w:color w:val="auto"/>
        </w:rPr>
        <w:t>In further consideration of the agreements of the Issuers herein contained, each Underwriter severally covenants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102" w:lineRule="exact"/>
        <w:rPr>
          <w:rFonts w:ascii="Arial" w:cs="Arial" w:eastAsia="Arial" w:hAnsi="Arial"/>
          <w:sz w:val="16"/>
          <w:szCs w:val="16"/>
          <w:color w:val="auto"/>
        </w:rPr>
      </w:pPr>
    </w:p>
    <w:p>
      <w:pPr>
        <w:ind w:left="1140" w:hanging="237"/>
        <w:spacing w:after="0"/>
        <w:tabs>
          <w:tab w:leader="none" w:pos="1140" w:val="left"/>
        </w:tabs>
        <w:numPr>
          <w:ilvl w:val="1"/>
          <w:numId w:val="58"/>
        </w:numPr>
        <w:rPr>
          <w:rFonts w:ascii="Arial" w:cs="Arial" w:eastAsia="Arial" w:hAnsi="Arial"/>
          <w:sz w:val="17"/>
          <w:szCs w:val="17"/>
          <w:color w:val="auto"/>
        </w:rPr>
      </w:pPr>
      <w:r>
        <w:rPr>
          <w:rFonts w:ascii="Arial" w:cs="Arial" w:eastAsia="Arial" w:hAnsi="Arial"/>
          <w:sz w:val="17"/>
          <w:szCs w:val="17"/>
          <w:color w:val="auto"/>
        </w:rPr>
        <w:t>Not to take any action that would result in the Company being required to file with the Commission under Rule 433(d) a free writing</w:t>
      </w:r>
    </w:p>
    <w:p>
      <w:pPr>
        <w:spacing w:after="0" w:line="34" w:lineRule="exact"/>
        <w:rPr>
          <w:rFonts w:ascii="Arial" w:cs="Arial" w:eastAsia="Arial" w:hAnsi="Arial"/>
          <w:sz w:val="17"/>
          <w:szCs w:val="17"/>
          <w:color w:val="auto"/>
        </w:rPr>
      </w:pPr>
    </w:p>
    <w:p>
      <w:pPr>
        <w:ind w:left="460"/>
        <w:spacing w:after="0" w:line="261" w:lineRule="auto"/>
        <w:rPr>
          <w:rFonts w:ascii="Arial" w:cs="Arial" w:eastAsia="Arial" w:hAnsi="Arial"/>
          <w:sz w:val="17"/>
          <w:szCs w:val="17"/>
          <w:color w:val="auto"/>
        </w:rPr>
      </w:pPr>
      <w:r>
        <w:rPr>
          <w:rFonts w:ascii="Arial" w:cs="Arial" w:eastAsia="Arial" w:hAnsi="Arial"/>
          <w:sz w:val="18"/>
          <w:szCs w:val="18"/>
          <w:color w:val="auto"/>
        </w:rPr>
        <w:t>prospectus prepared by or on behalf of such Underwriter that otherwise would not be required to be filed by the Company thereunder, but for the action of the Underwriter.</w:t>
      </w:r>
    </w:p>
    <w:p>
      <w:pPr>
        <w:spacing w:after="0" w:line="75" w:lineRule="exact"/>
        <w:rPr>
          <w:rFonts w:ascii="Arial" w:cs="Arial" w:eastAsia="Arial" w:hAnsi="Arial"/>
          <w:sz w:val="17"/>
          <w:szCs w:val="17"/>
          <w:color w:val="auto"/>
        </w:rPr>
      </w:pPr>
    </w:p>
    <w:p>
      <w:pPr>
        <w:ind w:left="1160" w:hanging="257"/>
        <w:spacing w:after="0"/>
        <w:tabs>
          <w:tab w:leader="none" w:pos="11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Not to use, refer to or distribute any free writing prospectus except:</w:t>
      </w:r>
    </w:p>
    <w:p>
      <w:pPr>
        <w:spacing w:after="0" w:line="117" w:lineRule="exact"/>
        <w:rPr>
          <w:rFonts w:ascii="Arial" w:cs="Arial" w:eastAsia="Arial" w:hAnsi="Arial"/>
          <w:sz w:val="18"/>
          <w:szCs w:val="18"/>
          <w:color w:val="auto"/>
        </w:rPr>
      </w:pPr>
    </w:p>
    <w:p>
      <w:pPr>
        <w:jc w:val="both"/>
        <w:ind w:left="920" w:right="160" w:firstLine="421"/>
        <w:spacing w:after="0" w:line="264" w:lineRule="auto"/>
        <w:tabs>
          <w:tab w:leader="none" w:pos="1555" w:val="left"/>
        </w:tabs>
        <w:numPr>
          <w:ilvl w:val="2"/>
          <w:numId w:val="58"/>
        </w:numPr>
        <w:rPr>
          <w:rFonts w:ascii="Arial" w:cs="Arial" w:eastAsia="Arial" w:hAnsi="Arial"/>
          <w:sz w:val="18"/>
          <w:szCs w:val="18"/>
          <w:color w:val="auto"/>
        </w:rPr>
      </w:pPr>
      <w:r>
        <w:rPr>
          <w:rFonts w:ascii="Arial" w:cs="Arial" w:eastAsia="Arial" w:hAnsi="Arial"/>
          <w:sz w:val="18"/>
          <w:szCs w:val="18"/>
          <w:color w:val="auto"/>
        </w:rPr>
        <w:t>a free writing prospectus that (A) is not an issuer free writing prospectus and (B) contains only information describing the preliminary terms of the Offered Securities or the offering thereof, which information is limited to the categories of terms referenced on Schedule II to this Agreement or otherwise permitted under Rule 134 of the Securities Act;</w:t>
      </w:r>
    </w:p>
    <w:p>
      <w:pPr>
        <w:spacing w:after="0" w:line="73" w:lineRule="exact"/>
        <w:rPr>
          <w:rFonts w:ascii="Arial" w:cs="Arial" w:eastAsia="Arial" w:hAnsi="Arial"/>
          <w:sz w:val="18"/>
          <w:szCs w:val="18"/>
          <w:color w:val="auto"/>
        </w:rPr>
      </w:pPr>
    </w:p>
    <w:p>
      <w:pPr>
        <w:jc w:val="both"/>
        <w:ind w:left="920" w:right="40" w:firstLine="421"/>
        <w:spacing w:after="0" w:line="264" w:lineRule="auto"/>
        <w:tabs>
          <w:tab w:leader="none" w:pos="1605" w:val="left"/>
        </w:tabs>
        <w:numPr>
          <w:ilvl w:val="2"/>
          <w:numId w:val="58"/>
        </w:numPr>
        <w:rPr>
          <w:rFonts w:ascii="Arial" w:cs="Arial" w:eastAsia="Arial" w:hAnsi="Arial"/>
          <w:sz w:val="18"/>
          <w:szCs w:val="18"/>
          <w:color w:val="auto"/>
        </w:rPr>
      </w:pPr>
      <w:r>
        <w:rPr>
          <w:rFonts w:ascii="Arial" w:cs="Arial" w:eastAsia="Arial" w:hAnsi="Arial"/>
          <w:sz w:val="18"/>
          <w:szCs w:val="18"/>
          <w:color w:val="auto"/>
        </w:rPr>
        <w:t>a free writing prospectus as shall be agreed in writing with the Company that is not distributed, used or referred to by such Underwriter in a manner reasonably designed to lead to its broad unrestricted dissemination (unless the Company consents in writing to such dissemination); or</w:t>
      </w:r>
    </w:p>
    <w:p>
      <w:pPr>
        <w:spacing w:after="0" w:line="73" w:lineRule="exact"/>
        <w:rPr>
          <w:rFonts w:ascii="Arial" w:cs="Arial" w:eastAsia="Arial" w:hAnsi="Arial"/>
          <w:sz w:val="18"/>
          <w:szCs w:val="18"/>
          <w:color w:val="auto"/>
        </w:rPr>
      </w:pPr>
    </w:p>
    <w:p>
      <w:pPr>
        <w:ind w:left="1660" w:hanging="319"/>
        <w:spacing w:after="0"/>
        <w:tabs>
          <w:tab w:leader="none" w:pos="1660" w:val="left"/>
        </w:tabs>
        <w:numPr>
          <w:ilvl w:val="2"/>
          <w:numId w:val="58"/>
        </w:numPr>
        <w:rPr>
          <w:rFonts w:ascii="Arial" w:cs="Arial" w:eastAsia="Arial" w:hAnsi="Arial"/>
          <w:sz w:val="18"/>
          <w:szCs w:val="18"/>
          <w:color w:val="auto"/>
        </w:rPr>
      </w:pPr>
      <w:r>
        <w:rPr>
          <w:rFonts w:ascii="Arial" w:cs="Arial" w:eastAsia="Arial" w:hAnsi="Arial"/>
          <w:sz w:val="18"/>
          <w:szCs w:val="18"/>
          <w:color w:val="auto"/>
        </w:rPr>
        <w:t>a free writing prospectus identified in Schedule I to this Agreement as forming part of the Disclosure Package.</w:t>
      </w:r>
    </w:p>
    <w:p>
      <w:pPr>
        <w:spacing w:after="0" w:line="225" w:lineRule="exact"/>
        <w:rPr>
          <w:rFonts w:ascii="Arial" w:cs="Arial" w:eastAsia="Arial" w:hAnsi="Arial"/>
          <w:sz w:val="18"/>
          <w:szCs w:val="18"/>
          <w:color w:val="auto"/>
        </w:rPr>
      </w:pPr>
    </w:p>
    <w:p>
      <w:pPr>
        <w:ind w:firstLine="464"/>
        <w:spacing w:after="0" w:line="285" w:lineRule="auto"/>
        <w:tabs>
          <w:tab w:leader="none" w:pos="636"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Indemnification and Contribution</w:t>
      </w:r>
      <w:r>
        <w:rPr>
          <w:rFonts w:ascii="Arial" w:cs="Arial" w:eastAsia="Arial" w:hAnsi="Arial"/>
          <w:sz w:val="16"/>
          <w:szCs w:val="16"/>
          <w:color w:val="auto"/>
        </w:rPr>
        <w:t>. The Issuers, jointly and severally, agree to indemnify and hold harmless each Underwriter and each person, if any,</w:t>
      </w:r>
      <w:r>
        <w:rPr>
          <w:rFonts w:ascii="Arial" w:cs="Arial" w:eastAsia="Arial" w:hAnsi="Arial"/>
          <w:sz w:val="16"/>
          <w:szCs w:val="16"/>
          <w:i w:val="1"/>
          <w:iCs w:val="1"/>
          <w:color w:val="auto"/>
        </w:rPr>
        <w:t xml:space="preserve"> </w:t>
      </w:r>
      <w:r>
        <w:rPr>
          <w:rFonts w:ascii="Arial" w:cs="Arial" w:eastAsia="Arial" w:hAnsi="Arial"/>
          <w:sz w:val="16"/>
          <w:szCs w:val="16"/>
          <w:color w:val="auto"/>
        </w:rPr>
        <w:t>who controls each Underwriter within the meaning of either Section 15 of the Securities Act or Section 20 of the Exchange Act from and against any and all losses, claims, damages and liabilities caused by any untrue statement or alleged untrue statement of a material fact contained in the Registration Statement, any preliminary prospectus, the Disclosure Package (as amended or supplemented), any issuer free writing prospectus as defined under Rule 433(d) under the Securities Act or the Prospectus (as amended or supplemented), or caused by any omission or alleged omission to state therein a material fact necessary to make the statements therein not misleading, except insofar as such losses, claims, damages or liabilities are caused by any such untrue statement or omission or alleged untrue statement or omission based upon information furnished to any Issuer in writing by such Underwriter through the Managers expressly for use therein; provided, however, that the foregoing indemnity with respect to any preliminary prospectus, any issuer free writing prospectus or the Disclosure Package shall not inure to the benefit of any Underwriter from whom the person asserting any such losses, claims, damages or liabilities purchased Offered Securities, or any person controlling any such Underwriter, if (a) the Issuers have notified such Underwriter that any preliminary prospectus, any issuer free writing prospectus or the Disclosure Package contains an untrue statement of a material fact or an omission to state a material fact necessary to make the statements therein not misleading, (b) the Issuers provided a copy of any such preliminary prospectus, issuer free writing prospectus or Disclosure Package (as then amended or supplemented if the Company shall have furnished any amendments or supplements thereto) or a separate free writing prospectus correcting such material misstatement or omission to the contact of the Managers indicated in the notice provision contained in this Agreement sufficiently in advance of first entering into a contract of sale of Offered Securities with such person (the “</w:t>
      </w:r>
      <w:r>
        <w:rPr>
          <w:rFonts w:ascii="Arial" w:cs="Arial" w:eastAsia="Arial" w:hAnsi="Arial"/>
          <w:sz w:val="16"/>
          <w:szCs w:val="16"/>
          <w:b w:val="1"/>
          <w:bCs w:val="1"/>
          <w:color w:val="auto"/>
        </w:rPr>
        <w:t>Time of Sale</w:t>
      </w:r>
      <w:r>
        <w:rPr>
          <w:rFonts w:ascii="Arial" w:cs="Arial" w:eastAsia="Arial" w:hAnsi="Arial"/>
          <w:sz w:val="16"/>
          <w:szCs w:val="16"/>
          <w:color w:val="auto"/>
        </w:rPr>
        <w:t>”) so that such preliminary prospectus, issuer free writing prospectus or Disclosure Package (as so amended or supplemented but without reference to documents incorporated</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65" w:name="page66"/>
    <w:bookmarkEnd w:id="65"/>
    <w:p>
      <w:pPr>
        <w:ind w:right="1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reference therein) or separate free writing prospectus could have been conveyed to such person prior to the Applicable Time, and (c) the information contained in any such corrected preliminary prospectus, issuer free writing prospectus, Disclosure Package or separate free writing prospectus was not conveyed by or on behalf of such Underwriter to such person, if required by law so to have been conveyed, at or prior to the Time of Sale, and if such corrected preliminary prospectus, issuer free writing prospectus, or Disclosure Package (as so amended or supplemented but without reference to documents incorporated by reference therein) or separate free writing prospectus would have cured the defect giving rise to such loss, claim, damage or liability.</w:t>
      </w:r>
    </w:p>
    <w:p>
      <w:pPr>
        <w:spacing w:after="0" w:line="158" w:lineRule="exact"/>
        <w:rPr>
          <w:sz w:val="20"/>
          <w:szCs w:val="20"/>
          <w:color w:val="auto"/>
        </w:rPr>
      </w:pPr>
    </w:p>
    <w:p>
      <w:pPr>
        <w:jc w:val="both"/>
        <w:ind w:right="300" w:firstLine="456"/>
        <w:spacing w:after="0" w:line="297" w:lineRule="auto"/>
        <w:rPr>
          <w:sz w:val="20"/>
          <w:szCs w:val="20"/>
          <w:color w:val="auto"/>
        </w:rPr>
      </w:pPr>
      <w:r>
        <w:rPr>
          <w:rFonts w:ascii="Arial" w:cs="Arial" w:eastAsia="Arial" w:hAnsi="Arial"/>
          <w:sz w:val="16"/>
          <w:szCs w:val="16"/>
          <w:color w:val="auto"/>
        </w:rPr>
        <w:t>Each Underwriter severally and not jointly agrees to indemnify and hold harmless each Issuer, their respective directors and officers who sign the Registration Statement and each person, if any, who controls an Issuer within the meaning of either Section 15 of the Securities Act or Section 20 of the Exchange Act to the same extent as the foregoing indemnity from the Issuers to such Underwriter, but only with reference to information relating to such Underwriter furnished to any Issuer in writing by such Underwriter through the Managers expressly for use in the Registration Statement, any preliminary prospectus, the Disclosure Package, any issuer free writing prospectus, the Prospectus or any amendment or supplement thereto.</w:t>
      </w:r>
    </w:p>
    <w:p>
      <w:pPr>
        <w:spacing w:after="0" w:line="158"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In case any proceeding (including any governmental investigation) shall be instituted involving any person in respect of which indemnity may be sought pursuant to either of the two preceding paragraphs, such person (hereinafter called the “indemnified party”) shall promptly notify the person against whom such indemnity may be sought (hereinafter called the “indemnifying party”)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reasonable fees and expenses of more than one separate firm (in addition to any local counsel) for all such indemnified parties and that all such fees and expenses shall be reimbursed as they are incurred. In the case of any such separate firm for the Underwriters and such control persons of the Underwriters, such firm shall be designated in writing by the Managers. In the case of any such separate firm for the Issuers and such directors, officers and controlling persons of the Issuers, such firm shall be designated in writing by the Issuers. The indemnifying party shall not be liable for any settlement of any proceeding effected without its written consent, but if settled with such consent or if there be a final judgment for the plaintiff, the indemnifying party agrees to indemnify, to the extent provided in the two immediately preceding paragraphs, the indemnified party from and against any loss or liability by reason of such settlement or judgment. No indemnifying party shall, without the prior written consent of the indemnified party, effect any settlement of any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66" w:name="page67"/>
    <w:bookmarkEnd w:id="66"/>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8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If the indemnification provided for in the first or second paragraph of this Section 7 is unavailable to an indemnified party in respect of any losses, claims, damages or liabilities for which indemnification is provided herein, then the indemnifying party, in lieu of indemnifying such indemnified party, shall contribute to the amount paid or payable by such indemnified party as a result of such losses, claims, damages or liabilities (i) in such proportion as is appropriate to reflect the relative benefits received by the Issuers on the one hand and the Underwriters on the other from the offering of the Offered Securities or (ii) if the allocation provided by clause (i) above is not permitted by applicable law, in such proportion as is appropriate to reflect not only the relative benefits referred to in clause (i) above but also the relative fault of the Issuers on the one hand and of the Underwriters on the other in connection with the statements or omissions which resulted in such losses, claims, damages or liabilities, as well as any other relevant equitable considerations. The relative benefits received by the Issuers and the Underwriters shall be deemed to be in the same respective proportions as the net proceeds from the offering (before deducting expenses) received by the Issuers bear to the total underwriting discounts and commissions received by the Underwriters in respect thereof. The relative fault of the Issuers and the Underwriters shall be determined by reference to, among other things, whether the untrue or alleged untrue statement of a material fact or the omission or alleged omission to state a material fact relates to information supplied by the Issuers or by the Underwriters and the parties’ relative intent, knowledge, access to information and opportunity to correct or prevent such statement or omission.</w:t>
      </w:r>
    </w:p>
    <w:p>
      <w:pPr>
        <w:spacing w:after="0" w:line="169"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The Issuers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7, the Underwriters shall not be required to contribute any amount in excess of the amount by which the total price at which the Offered Securities underwritten by them and distributed to the public were offered to the public exceeds the amount of any damages which the Underwriters have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78" w:lineRule="exact"/>
        <w:rPr>
          <w:sz w:val="20"/>
          <w:szCs w:val="20"/>
          <w:color w:val="auto"/>
        </w:rPr>
      </w:pPr>
    </w:p>
    <w:p>
      <w:pPr>
        <w:ind w:right="660" w:firstLine="456"/>
        <w:spacing w:after="0" w:line="308" w:lineRule="auto"/>
        <w:rPr>
          <w:sz w:val="20"/>
          <w:szCs w:val="20"/>
          <w:color w:val="auto"/>
        </w:rPr>
      </w:pPr>
      <w:r>
        <w:rPr>
          <w:rFonts w:ascii="Arial" w:cs="Arial" w:eastAsia="Arial" w:hAnsi="Arial"/>
          <w:sz w:val="17"/>
          <w:szCs w:val="17"/>
          <w:color w:val="auto"/>
        </w:rPr>
        <w:t>The indemnity and contribution agreement contained in this Section 7 and the representations and warranties of the Company contained in this Agreement shall remain operative and in full force and effect regardless of (i) any termination of this Agreement, (ii) any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67" w:name="page68"/>
    <w:bookmarkEnd w:id="67"/>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investigation made by or on behalf of the Underwriters or any person controlling the Underwriters or by or on behalf of the Issuers, their respective officers or directors or any other person controlling an Issuer and (iii) acceptance of and payment for any of the Offered Securities.</w:t>
      </w:r>
    </w:p>
    <w:p>
      <w:pPr>
        <w:spacing w:after="0" w:line="170" w:lineRule="exact"/>
        <w:rPr>
          <w:sz w:val="20"/>
          <w:szCs w:val="20"/>
          <w:color w:val="auto"/>
        </w:rPr>
      </w:pPr>
    </w:p>
    <w:p>
      <w:pPr>
        <w:ind w:right="60" w:firstLine="464"/>
        <w:spacing w:after="0" w:line="271" w:lineRule="auto"/>
        <w:tabs>
          <w:tab w:leader="none" w:pos="636"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 xml:space="preserve">Termination. </w:t>
      </w:r>
      <w:r>
        <w:rPr>
          <w:rFonts w:ascii="Arial" w:cs="Arial" w:eastAsia="Arial" w:hAnsi="Arial"/>
          <w:sz w:val="17"/>
          <w:szCs w:val="17"/>
          <w:color w:val="auto"/>
        </w:rPr>
        <w:t>This Agreement shall be subject to termination in the absolute discretion of the Managers by notice given by the Managers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Issuers, if (a) after the Applicable Time and prior to the Closing Date (i) trading generally shall have been suspended or materially limited on or by, as the case may be, the New York Stock Exchange, the American Stock Exchange, or the Financial Industry Regulatory Authority, (ii) trading of any securities of the Company shall have been suspended on the Nasdaq Global Select Market, (iii) a general moratorium on commercial banking activities in New York shall have been declared by either Federal or New York State authorities, or (iv) there shall have occurred any outbreak or escalation of hostilities or any change in financial markets or any calamity or crisis that, in the judgment of the Managers, is material and adverse and (b) in the case of any of the events specified in clauses (a)(i) through (iv), such event, singly or together with any other such event, makes it, in the judgment of the Managers, impracticable to market the Offered Securities on the terms and in the manner contemplated in the Disclosure Package.</w:t>
      </w:r>
    </w:p>
    <w:p>
      <w:pPr>
        <w:spacing w:after="0" w:line="179"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The Issuers will pay and bear all costs and expenses incident to the performance of their obligations under this Agreement, including (a) the preparation, printing and filing of the Registration Statement (including financial statements and exhibits), as originally filed and as amended, the preliminary prospectuses, the Disclosure Package, any free writing prospectus and the Prospectus and any amendments or supplements thereto, and the cost of furnishing copies thereto to the Underwriters, (b) the preparation, printing and distribution of this Agreement, each indenture under which the Offered Securities are to be issued and Blue Sky Memorandum, (c) the delivery of the Offered Securities to the Underwriters, (d) the fees and disbursements of the Issuers’ counsel and accountants, (e) the qualification of the Offered Securities under the applicable state securities or Blue Sky laws in accordance with Section 5, including filing fees and reasonable fees and disbursements of counsel for the Underwriters in connection therewith and in connection with any Blue Sky survey and any legal investment survey, (f) all fees payable to the Financial Industry Regulatory Authority in connection with the review, if any, of the offering of the Securities, (g) any fees charged by rating agencies for rating the Offered Securities and (h) the fees and expenses of the Trustee, including the fees and disbursements of counsel for the Trustee, in connection with each indenture under which the Offered Securities are to be issued and the Offered Securities. Except as specifically provided elsewhere herein, the Underwriters will pay all of their own costs and expenses, including without limitation the fees and expenses of their counsel and the expenses of selling presentations.</w:t>
      </w:r>
    </w:p>
    <w:p>
      <w:pPr>
        <w:spacing w:after="0" w:line="18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this Agreement shall be terminated by the Underwriters because of any failure or refusal on the part of the Issuers to comply with the terms or to fulfill any of the conditions of this Agreement, or if for any reason the Issuers shall be unable to perform their obligations under this Agreement, the Company will reimburse the Underwriters for all out-of-pocket expenses (including the fees and disbursements of their counsel) reasonably incurred by the Underwriters in connection with this Agreement or the offering contemplated hereunder. This provision shall survive the termination or cancellation of this Agreement.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68" w:name="page69"/>
    <w:bookmarkEnd w:id="68"/>
    <w:p>
      <w:pPr>
        <w:ind w:left="-20" w:firstLine="464"/>
        <w:spacing w:after="0" w:line="286" w:lineRule="auto"/>
        <w:tabs>
          <w:tab w:leader="none" w:pos="616"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Defaulting Underwriters. </w:t>
      </w:r>
      <w:r>
        <w:rPr>
          <w:rFonts w:ascii="Arial" w:cs="Arial" w:eastAsia="Arial" w:hAnsi="Arial"/>
          <w:sz w:val="16"/>
          <w:szCs w:val="16"/>
          <w:color w:val="auto"/>
        </w:rPr>
        <w:t>If on the Closing Date any one or more of the Underwriters shall fail or refuse to purchase Offered Securities that it has or</w:t>
      </w:r>
      <w:r>
        <w:rPr>
          <w:rFonts w:ascii="Arial" w:cs="Arial" w:eastAsia="Arial" w:hAnsi="Arial"/>
          <w:sz w:val="16"/>
          <w:szCs w:val="16"/>
          <w:i w:val="1"/>
          <w:iCs w:val="1"/>
          <w:color w:val="auto"/>
        </w:rPr>
        <w:t xml:space="preserve"> </w:t>
      </w:r>
      <w:r>
        <w:rPr>
          <w:rFonts w:ascii="Arial" w:cs="Arial" w:eastAsia="Arial" w:hAnsi="Arial"/>
          <w:sz w:val="16"/>
          <w:szCs w:val="16"/>
          <w:color w:val="auto"/>
        </w:rPr>
        <w:t>they have agreed to purchase on such date, and the aggregate amount of Offered Securities which such defaulting Underwriter or Underwriters agreed but failed or refused to purchase is not more than one-tenth of the aggregate amount of the Offered Securities to be purchased on such date, the other Underwriters shall be obligated severally and not jointly in the proportions that the amount of Offered Securities set forth opposite their respective names bears to the aggregate amount of Offered Securities set forth opposite the names of all such non-defaulting Underwriters, or in such other proportions as the Managers may specify, to purchase the Offered Securities which such defaulting Underwriter or Underwriters agreed but failed or refused to purchase on such date; provided that in no event shall the amount of Offered Securities that any Underwriter has agreed to purchase pursuant to this Agreement be increased pursuant to this Section 9 by an amount in excess of one-ninth of such amount of Offered Securities without the written consent of such Underwriter. If on the Closing Date any Underwriter or Underwriters shall fail or refuse to purchase Offered Securities and the aggregate amount of Offered Securities with respect to which such default occurs is more than one-tenth of the aggregate amount of Offered Securities to be purchased on such date, and arrangements satisfactory to the Managers and the Issuers for the purchase of such Offered Securities are not made within 36 hours after such default, this Agreement shall terminate without liability on the part of any non-defaulting Underwriter or the Issuers. In any such case either the Managers or the Issuers shall have the right to postpone the Closing Date but in no event for longer than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168" w:lineRule="exact"/>
        <w:rPr>
          <w:rFonts w:ascii="Arial" w:cs="Arial" w:eastAsia="Arial" w:hAnsi="Arial"/>
          <w:sz w:val="16"/>
          <w:szCs w:val="16"/>
          <w:color w:val="auto"/>
        </w:rPr>
      </w:pPr>
    </w:p>
    <w:p>
      <w:pPr>
        <w:ind w:left="-20" w:right="480" w:firstLine="464"/>
        <w:spacing w:after="0" w:line="277" w:lineRule="auto"/>
        <w:tabs>
          <w:tab w:leader="none" w:pos="706"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Counterparts. </w:t>
      </w:r>
      <w:r>
        <w:rPr>
          <w:rFonts w:ascii="Arial" w:cs="Arial" w:eastAsia="Arial" w:hAnsi="Arial"/>
          <w:sz w:val="18"/>
          <w:szCs w:val="18"/>
          <w:color w:val="auto"/>
        </w:rPr>
        <w:t>This Agreement may be signed in any number of counterparts, each of which shall be an original, with the same effect as if the</w:t>
      </w:r>
      <w:r>
        <w:rPr>
          <w:rFonts w:ascii="Arial" w:cs="Arial" w:eastAsia="Arial" w:hAnsi="Arial"/>
          <w:sz w:val="18"/>
          <w:szCs w:val="18"/>
          <w:i w:val="1"/>
          <w:iCs w:val="1"/>
          <w:color w:val="auto"/>
        </w:rPr>
        <w:t xml:space="preserve"> </w:t>
      </w:r>
      <w:r>
        <w:rPr>
          <w:rFonts w:ascii="Arial" w:cs="Arial" w:eastAsia="Arial" w:hAnsi="Arial"/>
          <w:sz w:val="18"/>
          <w:szCs w:val="18"/>
          <w:color w:val="auto"/>
        </w:rPr>
        <w:t>signatures thereto and hereto were upon the same instrument.</w:t>
      </w:r>
    </w:p>
    <w:p>
      <w:pPr>
        <w:spacing w:after="0" w:line="170" w:lineRule="exact"/>
        <w:rPr>
          <w:rFonts w:ascii="Arial" w:cs="Arial" w:eastAsia="Arial" w:hAnsi="Arial"/>
          <w:sz w:val="18"/>
          <w:szCs w:val="18"/>
          <w:color w:val="auto"/>
        </w:rPr>
      </w:pPr>
    </w:p>
    <w:p>
      <w:pPr>
        <w:ind w:left="700" w:hanging="256"/>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Applicable Law. </w:t>
      </w:r>
      <w:r>
        <w:rPr>
          <w:rFonts w:ascii="Arial" w:cs="Arial" w:eastAsia="Arial" w:hAnsi="Arial"/>
          <w:sz w:val="18"/>
          <w:szCs w:val="18"/>
          <w:color w:val="auto"/>
        </w:rPr>
        <w:t>This Agreement shall be governed by and construed in accordance with the internal laws of the State of New York.</w:t>
      </w:r>
    </w:p>
    <w:p>
      <w:pPr>
        <w:spacing w:after="0" w:line="225" w:lineRule="exact"/>
        <w:rPr>
          <w:rFonts w:ascii="Arial" w:cs="Arial" w:eastAsia="Arial" w:hAnsi="Arial"/>
          <w:sz w:val="18"/>
          <w:szCs w:val="18"/>
          <w:color w:val="auto"/>
        </w:rPr>
      </w:pPr>
    </w:p>
    <w:p>
      <w:pPr>
        <w:ind w:left="-20" w:right="220" w:firstLine="464"/>
        <w:spacing w:after="0" w:line="277" w:lineRule="auto"/>
        <w:tabs>
          <w:tab w:leader="none" w:pos="706"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of the sections of this Agreement have been inserted for convenience of reference only and shall not be deemed a part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60" w:top="274" w:right="25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223520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 xml:space="preserve">COMCAST CORPORATION, </w:t>
      </w:r>
      <w:r>
        <w:rPr>
          <w:rFonts w:ascii="Arial" w:cs="Arial" w:eastAsia="Arial" w:hAnsi="Arial"/>
          <w:sz w:val="18"/>
          <w:szCs w:val="18"/>
          <w:color w:val="auto"/>
        </w:rPr>
        <w:t>Issuer</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GUARANTORS PARTY HERETO</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 xml:space="preserve">THE BANK OF NEW YORK MELLON, </w:t>
      </w:r>
      <w:r>
        <w:rPr>
          <w:rFonts w:ascii="Arial" w:cs="Arial" w:eastAsia="Arial" w:hAnsi="Arial"/>
          <w:sz w:val="17"/>
          <w:szCs w:val="17"/>
          <w:color w:val="auto"/>
        </w:rPr>
        <w:t>Trustee</w:t>
      </w: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INDENTURE</w:t>
      </w:r>
    </w:p>
    <w:p>
      <w:pPr>
        <w:spacing w:after="0" w:line="229"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Dated as of September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495300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537845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70" w:name="page71"/>
    <w:bookmarkEnd w:id="7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200" w:type="dxa"/>
            <w:vAlign w:val="bottom"/>
          </w:tcPr>
          <w:p>
            <w:pPr>
              <w:spacing w:after="0"/>
              <w:rPr>
                <w:sz w:val="14"/>
                <w:szCs w:val="14"/>
                <w:color w:val="auto"/>
              </w:rPr>
            </w:pPr>
          </w:p>
        </w:tc>
        <w:tc>
          <w:tcPr>
            <w:tcW w:w="9780" w:type="dxa"/>
            <w:vAlign w:val="bottom"/>
            <w:vMerge w:val="restart"/>
          </w:tcPr>
          <w:p>
            <w:pPr>
              <w:jc w:val="center"/>
              <w:ind w:right="770"/>
              <w:spacing w:after="0"/>
              <w:rPr>
                <w:sz w:val="20"/>
                <w:szCs w:val="20"/>
                <w:color w:val="auto"/>
              </w:rPr>
            </w:pPr>
            <w:r>
              <w:rPr>
                <w:rFonts w:ascii="Arial" w:cs="Arial" w:eastAsia="Arial" w:hAnsi="Arial"/>
                <w:sz w:val="18"/>
                <w:szCs w:val="18"/>
                <w:color w:val="auto"/>
                <w:w w:val="96"/>
              </w:rPr>
              <w:t>ARTICLE 1</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P</w:t>
            </w:r>
            <w:r>
              <w:rPr>
                <w:rFonts w:ascii="Arial" w:cs="Arial" w:eastAsia="Arial" w:hAnsi="Arial"/>
                <w:sz w:val="11"/>
                <w:szCs w:val="11"/>
                <w:color w:val="auto"/>
                <w:w w:val="98"/>
              </w:rPr>
              <w:t>AGE</w:t>
            </w:r>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97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9780" w:type="dxa"/>
            <w:vAlign w:val="bottom"/>
          </w:tcPr>
          <w:p>
            <w:pPr>
              <w:jc w:val="center"/>
              <w:ind w:right="750"/>
              <w:spacing w:after="0"/>
              <w:rPr>
                <w:sz w:val="20"/>
                <w:szCs w:val="20"/>
                <w:color w:val="auto"/>
              </w:rPr>
            </w:pPr>
            <w:r>
              <w:rPr>
                <w:rFonts w:ascii="Arial" w:cs="Arial" w:eastAsia="Arial" w:hAnsi="Arial"/>
                <w:sz w:val="18"/>
                <w:szCs w:val="18"/>
                <w:color w:val="auto"/>
                <w:w w:val="97"/>
              </w:rPr>
              <w:t>Definitions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200" w:type="dxa"/>
            <w:vAlign w:val="bottom"/>
          </w:tcPr>
          <w:p>
            <w:pPr>
              <w:spacing w:after="0"/>
              <w:rPr>
                <w:sz w:val="20"/>
                <w:szCs w:val="20"/>
                <w:color w:val="auto"/>
              </w:rPr>
            </w:pPr>
            <w:r>
              <w:rPr>
                <w:rFonts w:ascii="Arial" w:cs="Arial" w:eastAsia="Arial" w:hAnsi="Arial"/>
                <w:sz w:val="18"/>
                <w:szCs w:val="18"/>
                <w:color w:val="auto"/>
              </w:rPr>
              <w:t>Section 1.01.</w:t>
            </w:r>
          </w:p>
        </w:tc>
        <w:tc>
          <w:tcPr>
            <w:tcW w:w="9780" w:type="dxa"/>
            <w:vAlign w:val="bottom"/>
          </w:tcPr>
          <w:p>
            <w:pPr>
              <w:ind w:left="260"/>
              <w:spacing w:after="0"/>
              <w:rPr>
                <w:sz w:val="20"/>
                <w:szCs w:val="20"/>
                <w:color w:val="auto"/>
              </w:rPr>
            </w:pPr>
            <w:r>
              <w:rPr>
                <w:rFonts w:ascii="Arial" w:cs="Arial" w:eastAsia="Arial" w:hAnsi="Arial"/>
                <w:sz w:val="18"/>
                <w:szCs w:val="18"/>
                <w:i w:val="1"/>
                <w:iCs w:val="1"/>
                <w:color w:val="auto"/>
              </w:rPr>
              <w:t>Certain Terms Defined; Rules of Construction</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18"/>
        </w:trPr>
        <w:tc>
          <w:tcPr>
            <w:tcW w:w="1200" w:type="dxa"/>
            <w:vAlign w:val="bottom"/>
          </w:tcPr>
          <w:p>
            <w:pPr>
              <w:spacing w:after="0"/>
              <w:rPr>
                <w:sz w:val="24"/>
                <w:szCs w:val="24"/>
                <w:color w:val="auto"/>
              </w:rPr>
            </w:pPr>
          </w:p>
        </w:tc>
        <w:tc>
          <w:tcPr>
            <w:tcW w:w="9780" w:type="dxa"/>
            <w:vAlign w:val="bottom"/>
          </w:tcPr>
          <w:p>
            <w:pPr>
              <w:jc w:val="center"/>
              <w:ind w:right="770"/>
              <w:spacing w:after="0"/>
              <w:rPr>
                <w:sz w:val="20"/>
                <w:szCs w:val="20"/>
                <w:color w:val="auto"/>
              </w:rPr>
            </w:pPr>
            <w:r>
              <w:rPr>
                <w:rFonts w:ascii="Arial" w:cs="Arial" w:eastAsia="Arial" w:hAnsi="Arial"/>
                <w:sz w:val="18"/>
                <w:szCs w:val="18"/>
                <w:color w:val="auto"/>
                <w:w w:val="96"/>
              </w:rPr>
              <w:t>ARTICLE 2</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9780" w:type="dxa"/>
            <w:vAlign w:val="bottom"/>
          </w:tcPr>
          <w:p>
            <w:pPr>
              <w:jc w:val="center"/>
              <w:ind w:right="750"/>
              <w:spacing w:after="0"/>
              <w:rPr>
                <w:sz w:val="20"/>
                <w:szCs w:val="20"/>
                <w:color w:val="auto"/>
              </w:rPr>
            </w:pPr>
            <w:r>
              <w:rPr>
                <w:rFonts w:ascii="Arial" w:cs="Arial" w:eastAsia="Arial" w:hAnsi="Arial"/>
                <w:sz w:val="18"/>
                <w:szCs w:val="18"/>
                <w:color w:val="auto"/>
                <w:w w:val="88"/>
              </w:rPr>
              <w:t>Securities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1200" w:type="dxa"/>
            <w:vAlign w:val="bottom"/>
          </w:tcPr>
          <w:p>
            <w:pPr>
              <w:spacing w:after="0"/>
              <w:rPr>
                <w:sz w:val="20"/>
                <w:szCs w:val="20"/>
                <w:color w:val="auto"/>
              </w:rPr>
            </w:pPr>
            <w:r>
              <w:rPr>
                <w:rFonts w:ascii="Arial" w:cs="Arial" w:eastAsia="Arial" w:hAnsi="Arial"/>
                <w:sz w:val="18"/>
                <w:szCs w:val="18"/>
                <w:color w:val="auto"/>
              </w:rPr>
              <w:t>Section 2.01.</w:t>
            </w:r>
          </w:p>
        </w:tc>
        <w:tc>
          <w:tcPr>
            <w:tcW w:w="9780" w:type="dxa"/>
            <w:vAlign w:val="bottom"/>
          </w:tcPr>
          <w:p>
            <w:pPr>
              <w:ind w:left="260"/>
              <w:spacing w:after="0"/>
              <w:rPr>
                <w:sz w:val="20"/>
                <w:szCs w:val="20"/>
                <w:color w:val="auto"/>
              </w:rPr>
            </w:pPr>
            <w:r>
              <w:rPr>
                <w:rFonts w:ascii="Arial" w:cs="Arial" w:eastAsia="Arial" w:hAnsi="Arial"/>
                <w:sz w:val="18"/>
                <w:szCs w:val="18"/>
                <w:i w:val="1"/>
                <w:iCs w:val="1"/>
                <w:color w:val="auto"/>
              </w:rPr>
              <w:t>Forms Generally</w:t>
            </w: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2.02.</w:t>
            </w:r>
          </w:p>
        </w:tc>
        <w:tc>
          <w:tcPr>
            <w:tcW w:w="9780" w:type="dxa"/>
            <w:vAlign w:val="bottom"/>
          </w:tcPr>
          <w:p>
            <w:pPr>
              <w:ind w:left="260"/>
              <w:spacing w:after="0"/>
              <w:rPr>
                <w:sz w:val="20"/>
                <w:szCs w:val="20"/>
                <w:color w:val="auto"/>
              </w:rPr>
            </w:pPr>
            <w:r>
              <w:rPr>
                <w:rFonts w:ascii="Arial" w:cs="Arial" w:eastAsia="Arial" w:hAnsi="Arial"/>
                <w:sz w:val="18"/>
                <w:szCs w:val="18"/>
                <w:i w:val="1"/>
                <w:iCs w:val="1"/>
                <w:color w:val="auto"/>
              </w:rPr>
              <w:t>Form of Trustee’s Certification of Authentication</w:t>
            </w: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2.03.</w:t>
            </w:r>
          </w:p>
        </w:tc>
        <w:tc>
          <w:tcPr>
            <w:tcW w:w="9780" w:type="dxa"/>
            <w:vAlign w:val="bottom"/>
          </w:tcPr>
          <w:p>
            <w:pPr>
              <w:ind w:left="260"/>
              <w:spacing w:after="0"/>
              <w:rPr>
                <w:sz w:val="20"/>
                <w:szCs w:val="20"/>
                <w:color w:val="auto"/>
              </w:rPr>
            </w:pPr>
            <w:r>
              <w:rPr>
                <w:rFonts w:ascii="Arial" w:cs="Arial" w:eastAsia="Arial" w:hAnsi="Arial"/>
                <w:sz w:val="18"/>
                <w:szCs w:val="18"/>
                <w:i w:val="1"/>
                <w:iCs w:val="1"/>
                <w:color w:val="auto"/>
              </w:rPr>
              <w:t>Amount Unlimited; Issuable in Series</w:t>
            </w: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2.04.</w:t>
            </w:r>
          </w:p>
        </w:tc>
        <w:tc>
          <w:tcPr>
            <w:tcW w:w="9780" w:type="dxa"/>
            <w:vAlign w:val="bottom"/>
          </w:tcPr>
          <w:p>
            <w:pPr>
              <w:ind w:left="260"/>
              <w:spacing w:after="0"/>
              <w:rPr>
                <w:sz w:val="20"/>
                <w:szCs w:val="20"/>
                <w:color w:val="auto"/>
              </w:rPr>
            </w:pPr>
            <w:r>
              <w:rPr>
                <w:rFonts w:ascii="Arial" w:cs="Arial" w:eastAsia="Arial" w:hAnsi="Arial"/>
                <w:sz w:val="18"/>
                <w:szCs w:val="18"/>
                <w:i w:val="1"/>
                <w:iCs w:val="1"/>
                <w:color w:val="auto"/>
              </w:rPr>
              <w:t>Authentication and Delivery of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2.05.</w:t>
            </w:r>
          </w:p>
        </w:tc>
        <w:tc>
          <w:tcPr>
            <w:tcW w:w="9780" w:type="dxa"/>
            <w:vAlign w:val="bottom"/>
          </w:tcPr>
          <w:p>
            <w:pPr>
              <w:ind w:left="260"/>
              <w:spacing w:after="0"/>
              <w:rPr>
                <w:sz w:val="20"/>
                <w:szCs w:val="20"/>
                <w:color w:val="auto"/>
              </w:rPr>
            </w:pPr>
            <w:r>
              <w:rPr>
                <w:rFonts w:ascii="Arial" w:cs="Arial" w:eastAsia="Arial" w:hAnsi="Arial"/>
                <w:sz w:val="18"/>
                <w:szCs w:val="18"/>
                <w:i w:val="1"/>
                <w:iCs w:val="1"/>
                <w:color w:val="auto"/>
              </w:rPr>
              <w:t>Execution of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2.06.</w:t>
            </w:r>
          </w:p>
        </w:tc>
        <w:tc>
          <w:tcPr>
            <w:tcW w:w="9780" w:type="dxa"/>
            <w:vAlign w:val="bottom"/>
          </w:tcPr>
          <w:p>
            <w:pPr>
              <w:ind w:left="260"/>
              <w:spacing w:after="0"/>
              <w:rPr>
                <w:sz w:val="20"/>
                <w:szCs w:val="20"/>
                <w:color w:val="auto"/>
              </w:rPr>
            </w:pPr>
            <w:r>
              <w:rPr>
                <w:rFonts w:ascii="Arial" w:cs="Arial" w:eastAsia="Arial" w:hAnsi="Arial"/>
                <w:sz w:val="18"/>
                <w:szCs w:val="18"/>
                <w:i w:val="1"/>
                <w:iCs w:val="1"/>
                <w:color w:val="auto"/>
              </w:rPr>
              <w:t>Certificate of Authentication</w:t>
            </w: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2.07.</w:t>
            </w:r>
          </w:p>
        </w:tc>
        <w:tc>
          <w:tcPr>
            <w:tcW w:w="9780" w:type="dxa"/>
            <w:vAlign w:val="bottom"/>
          </w:tcPr>
          <w:p>
            <w:pPr>
              <w:ind w:left="260"/>
              <w:spacing w:after="0"/>
              <w:rPr>
                <w:sz w:val="20"/>
                <w:szCs w:val="20"/>
                <w:color w:val="auto"/>
              </w:rPr>
            </w:pPr>
            <w:r>
              <w:rPr>
                <w:rFonts w:ascii="Arial" w:cs="Arial" w:eastAsia="Arial" w:hAnsi="Arial"/>
                <w:sz w:val="18"/>
                <w:szCs w:val="18"/>
                <w:i w:val="1"/>
                <w:iCs w:val="1"/>
                <w:color w:val="auto"/>
              </w:rPr>
              <w:t>Denomination and Date of Securities; Payments of Interest</w:t>
            </w: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2.08.</w:t>
            </w:r>
          </w:p>
        </w:tc>
        <w:tc>
          <w:tcPr>
            <w:tcW w:w="9780" w:type="dxa"/>
            <w:vAlign w:val="bottom"/>
          </w:tcPr>
          <w:p>
            <w:pPr>
              <w:ind w:left="260"/>
              <w:spacing w:after="0"/>
              <w:rPr>
                <w:sz w:val="20"/>
                <w:szCs w:val="20"/>
                <w:color w:val="auto"/>
              </w:rPr>
            </w:pPr>
            <w:r>
              <w:rPr>
                <w:rFonts w:ascii="Arial" w:cs="Arial" w:eastAsia="Arial" w:hAnsi="Arial"/>
                <w:sz w:val="18"/>
                <w:szCs w:val="18"/>
                <w:i w:val="1"/>
                <w:iCs w:val="1"/>
                <w:color w:val="auto"/>
              </w:rPr>
              <w:t>Registration, Transfer and Exchange</w:t>
            </w: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2.09.</w:t>
            </w:r>
          </w:p>
        </w:tc>
        <w:tc>
          <w:tcPr>
            <w:tcW w:w="9780" w:type="dxa"/>
            <w:vAlign w:val="bottom"/>
          </w:tcPr>
          <w:p>
            <w:pPr>
              <w:ind w:left="260"/>
              <w:spacing w:after="0"/>
              <w:rPr>
                <w:sz w:val="20"/>
                <w:szCs w:val="20"/>
                <w:color w:val="auto"/>
              </w:rPr>
            </w:pPr>
            <w:r>
              <w:rPr>
                <w:rFonts w:ascii="Arial" w:cs="Arial" w:eastAsia="Arial" w:hAnsi="Arial"/>
                <w:sz w:val="18"/>
                <w:szCs w:val="18"/>
                <w:i w:val="1"/>
                <w:iCs w:val="1"/>
                <w:color w:val="auto"/>
              </w:rPr>
              <w:t>Mutilated, Defaced, Destroyed, Lost and Stolen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2.10.</w:t>
            </w:r>
          </w:p>
        </w:tc>
        <w:tc>
          <w:tcPr>
            <w:tcW w:w="9780" w:type="dxa"/>
            <w:vAlign w:val="bottom"/>
          </w:tcPr>
          <w:p>
            <w:pPr>
              <w:ind w:left="260"/>
              <w:spacing w:after="0"/>
              <w:rPr>
                <w:sz w:val="20"/>
                <w:szCs w:val="20"/>
                <w:color w:val="auto"/>
              </w:rPr>
            </w:pPr>
            <w:r>
              <w:rPr>
                <w:rFonts w:ascii="Arial" w:cs="Arial" w:eastAsia="Arial" w:hAnsi="Arial"/>
                <w:sz w:val="18"/>
                <w:szCs w:val="18"/>
                <w:i w:val="1"/>
                <w:iCs w:val="1"/>
                <w:color w:val="auto"/>
              </w:rPr>
              <w:t>Cancellation of Securities; Destruction Thereof</w:t>
            </w: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2.11.</w:t>
            </w:r>
          </w:p>
        </w:tc>
        <w:tc>
          <w:tcPr>
            <w:tcW w:w="9780" w:type="dxa"/>
            <w:vAlign w:val="bottom"/>
          </w:tcPr>
          <w:p>
            <w:pPr>
              <w:ind w:left="260"/>
              <w:spacing w:after="0"/>
              <w:rPr>
                <w:sz w:val="20"/>
                <w:szCs w:val="20"/>
                <w:color w:val="auto"/>
              </w:rPr>
            </w:pPr>
            <w:r>
              <w:rPr>
                <w:rFonts w:ascii="Arial" w:cs="Arial" w:eastAsia="Arial" w:hAnsi="Arial"/>
                <w:sz w:val="18"/>
                <w:szCs w:val="18"/>
                <w:i w:val="1"/>
                <w:iCs w:val="1"/>
                <w:color w:val="auto"/>
              </w:rPr>
              <w:t>Temporary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2.12.</w:t>
            </w:r>
          </w:p>
        </w:tc>
        <w:tc>
          <w:tcPr>
            <w:tcW w:w="9780" w:type="dxa"/>
            <w:vAlign w:val="bottom"/>
          </w:tcPr>
          <w:p>
            <w:pPr>
              <w:ind w:left="260"/>
              <w:spacing w:after="0"/>
              <w:rPr>
                <w:sz w:val="20"/>
                <w:szCs w:val="20"/>
                <w:color w:val="auto"/>
              </w:rPr>
            </w:pPr>
            <w:r>
              <w:rPr>
                <w:rFonts w:ascii="Arial" w:cs="Arial" w:eastAsia="Arial" w:hAnsi="Arial"/>
                <w:sz w:val="18"/>
                <w:szCs w:val="18"/>
                <w:i w:val="1"/>
                <w:iCs w:val="1"/>
                <w:color w:val="auto"/>
              </w:rPr>
              <w:t>Authenticating Agent</w:t>
            </w: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2.13.</w:t>
            </w:r>
          </w:p>
        </w:tc>
        <w:tc>
          <w:tcPr>
            <w:tcW w:w="9780" w:type="dxa"/>
            <w:vAlign w:val="bottom"/>
          </w:tcPr>
          <w:p>
            <w:pPr>
              <w:ind w:left="260"/>
              <w:spacing w:after="0"/>
              <w:rPr>
                <w:sz w:val="20"/>
                <w:szCs w:val="20"/>
                <w:color w:val="auto"/>
              </w:rPr>
            </w:pPr>
            <w:r>
              <w:rPr>
                <w:rFonts w:ascii="Arial" w:cs="Arial" w:eastAsia="Arial" w:hAnsi="Arial"/>
                <w:sz w:val="18"/>
                <w:szCs w:val="18"/>
                <w:i w:val="1"/>
                <w:iCs w:val="1"/>
                <w:color w:val="auto"/>
              </w:rPr>
              <w:t>Global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2.14.</w:t>
            </w:r>
          </w:p>
        </w:tc>
        <w:tc>
          <w:tcPr>
            <w:tcW w:w="9780" w:type="dxa"/>
            <w:vAlign w:val="bottom"/>
          </w:tcPr>
          <w:p>
            <w:pPr>
              <w:ind w:left="260"/>
              <w:spacing w:after="0"/>
              <w:rPr>
                <w:sz w:val="20"/>
                <w:szCs w:val="20"/>
                <w:color w:val="auto"/>
              </w:rPr>
            </w:pPr>
            <w:r>
              <w:rPr>
                <w:rFonts w:ascii="Arial" w:cs="Arial" w:eastAsia="Arial" w:hAnsi="Arial"/>
                <w:sz w:val="18"/>
                <w:szCs w:val="18"/>
                <w:i w:val="1"/>
                <w:iCs w:val="1"/>
                <w:color w:val="auto"/>
              </w:rPr>
              <w:t>CUSIP Numbers</w:t>
            </w:r>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8"/>
        </w:trPr>
        <w:tc>
          <w:tcPr>
            <w:tcW w:w="1200" w:type="dxa"/>
            <w:vAlign w:val="bottom"/>
          </w:tcPr>
          <w:p>
            <w:pPr>
              <w:spacing w:after="0"/>
              <w:rPr>
                <w:sz w:val="24"/>
                <w:szCs w:val="24"/>
                <w:color w:val="auto"/>
              </w:rPr>
            </w:pPr>
          </w:p>
        </w:tc>
        <w:tc>
          <w:tcPr>
            <w:tcW w:w="9780" w:type="dxa"/>
            <w:vAlign w:val="bottom"/>
          </w:tcPr>
          <w:p>
            <w:pPr>
              <w:jc w:val="center"/>
              <w:ind w:right="770"/>
              <w:spacing w:after="0"/>
              <w:rPr>
                <w:sz w:val="20"/>
                <w:szCs w:val="20"/>
                <w:color w:val="auto"/>
              </w:rPr>
            </w:pPr>
            <w:r>
              <w:rPr>
                <w:rFonts w:ascii="Arial" w:cs="Arial" w:eastAsia="Arial" w:hAnsi="Arial"/>
                <w:sz w:val="18"/>
                <w:szCs w:val="18"/>
                <w:color w:val="auto"/>
                <w:w w:val="96"/>
              </w:rPr>
              <w:t>ARTICLE 3</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9780" w:type="dxa"/>
            <w:vAlign w:val="bottom"/>
          </w:tcPr>
          <w:p>
            <w:pPr>
              <w:jc w:val="center"/>
              <w:ind w:right="750"/>
              <w:spacing w:after="0"/>
              <w:rPr>
                <w:sz w:val="20"/>
                <w:szCs w:val="20"/>
                <w:color w:val="auto"/>
              </w:rPr>
            </w:pPr>
            <w:r>
              <w:rPr>
                <w:rFonts w:ascii="Arial" w:cs="Arial" w:eastAsia="Arial" w:hAnsi="Arial"/>
                <w:sz w:val="18"/>
                <w:szCs w:val="18"/>
                <w:color w:val="auto"/>
                <w:w w:val="88"/>
              </w:rPr>
              <w:t>Covenants of the Issuer and the Guarantors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1200" w:type="dxa"/>
            <w:vAlign w:val="bottom"/>
          </w:tcPr>
          <w:p>
            <w:pPr>
              <w:spacing w:after="0"/>
              <w:rPr>
                <w:sz w:val="20"/>
                <w:szCs w:val="20"/>
                <w:color w:val="auto"/>
              </w:rPr>
            </w:pPr>
            <w:r>
              <w:rPr>
                <w:rFonts w:ascii="Arial" w:cs="Arial" w:eastAsia="Arial" w:hAnsi="Arial"/>
                <w:sz w:val="18"/>
                <w:szCs w:val="18"/>
                <w:color w:val="auto"/>
              </w:rPr>
              <w:t>Section 3.01.</w:t>
            </w:r>
          </w:p>
        </w:tc>
        <w:tc>
          <w:tcPr>
            <w:tcW w:w="9780" w:type="dxa"/>
            <w:vAlign w:val="bottom"/>
          </w:tcPr>
          <w:p>
            <w:pPr>
              <w:ind w:left="260"/>
              <w:spacing w:after="0"/>
              <w:rPr>
                <w:sz w:val="20"/>
                <w:szCs w:val="20"/>
                <w:color w:val="auto"/>
              </w:rPr>
            </w:pPr>
            <w:r>
              <w:rPr>
                <w:rFonts w:ascii="Arial" w:cs="Arial" w:eastAsia="Arial" w:hAnsi="Arial"/>
                <w:sz w:val="18"/>
                <w:szCs w:val="18"/>
                <w:i w:val="1"/>
                <w:iCs w:val="1"/>
                <w:color w:val="auto"/>
              </w:rPr>
              <w:t>Payment of Principal and Interest</w:t>
            </w: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3.02.</w:t>
            </w:r>
          </w:p>
        </w:tc>
        <w:tc>
          <w:tcPr>
            <w:tcW w:w="9780" w:type="dxa"/>
            <w:vAlign w:val="bottom"/>
          </w:tcPr>
          <w:p>
            <w:pPr>
              <w:ind w:left="260"/>
              <w:spacing w:after="0"/>
              <w:rPr>
                <w:sz w:val="20"/>
                <w:szCs w:val="20"/>
                <w:color w:val="auto"/>
              </w:rPr>
            </w:pPr>
            <w:r>
              <w:rPr>
                <w:rFonts w:ascii="Arial" w:cs="Arial" w:eastAsia="Arial" w:hAnsi="Arial"/>
                <w:sz w:val="18"/>
                <w:szCs w:val="18"/>
                <w:i w:val="1"/>
                <w:iCs w:val="1"/>
                <w:color w:val="auto"/>
              </w:rPr>
              <w:t>Offices for Payments, etc</w:t>
            </w: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3.03.</w:t>
            </w:r>
          </w:p>
        </w:tc>
        <w:tc>
          <w:tcPr>
            <w:tcW w:w="9780" w:type="dxa"/>
            <w:vAlign w:val="bottom"/>
          </w:tcPr>
          <w:p>
            <w:pPr>
              <w:ind w:left="260"/>
              <w:spacing w:after="0"/>
              <w:rPr>
                <w:sz w:val="20"/>
                <w:szCs w:val="20"/>
                <w:color w:val="auto"/>
              </w:rPr>
            </w:pPr>
            <w:r>
              <w:rPr>
                <w:rFonts w:ascii="Arial" w:cs="Arial" w:eastAsia="Arial" w:hAnsi="Arial"/>
                <w:sz w:val="18"/>
                <w:szCs w:val="18"/>
                <w:i w:val="1"/>
                <w:iCs w:val="1"/>
                <w:color w:val="auto"/>
              </w:rPr>
              <w:t>Paying Agents</w:t>
            </w: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3.04.</w:t>
            </w:r>
          </w:p>
        </w:tc>
        <w:tc>
          <w:tcPr>
            <w:tcW w:w="9780" w:type="dxa"/>
            <w:vAlign w:val="bottom"/>
          </w:tcPr>
          <w:p>
            <w:pPr>
              <w:ind w:left="260"/>
              <w:spacing w:after="0"/>
              <w:rPr>
                <w:sz w:val="20"/>
                <w:szCs w:val="20"/>
                <w:color w:val="auto"/>
              </w:rPr>
            </w:pPr>
            <w:r>
              <w:rPr>
                <w:rFonts w:ascii="Arial" w:cs="Arial" w:eastAsia="Arial" w:hAnsi="Arial"/>
                <w:sz w:val="18"/>
                <w:szCs w:val="18"/>
                <w:i w:val="1"/>
                <w:iCs w:val="1"/>
                <w:color w:val="auto"/>
              </w:rPr>
              <w:t>Certificate of the Issuer</w:t>
            </w: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3.05.</w:t>
            </w:r>
          </w:p>
        </w:tc>
        <w:tc>
          <w:tcPr>
            <w:tcW w:w="9780" w:type="dxa"/>
            <w:vAlign w:val="bottom"/>
          </w:tcPr>
          <w:p>
            <w:pPr>
              <w:ind w:left="260"/>
              <w:spacing w:after="0"/>
              <w:rPr>
                <w:sz w:val="20"/>
                <w:szCs w:val="20"/>
                <w:color w:val="auto"/>
              </w:rPr>
            </w:pPr>
            <w:r>
              <w:rPr>
                <w:rFonts w:ascii="Arial" w:cs="Arial" w:eastAsia="Arial" w:hAnsi="Arial"/>
                <w:sz w:val="18"/>
                <w:szCs w:val="18"/>
                <w:i w:val="1"/>
                <w:iCs w:val="1"/>
                <w:color w:val="auto"/>
              </w:rPr>
              <w:t>Reports by the Issuer</w:t>
            </w: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3.06.</w:t>
            </w:r>
          </w:p>
        </w:tc>
        <w:tc>
          <w:tcPr>
            <w:tcW w:w="9780" w:type="dxa"/>
            <w:vAlign w:val="bottom"/>
          </w:tcPr>
          <w:p>
            <w:pPr>
              <w:ind w:left="260"/>
              <w:spacing w:after="0"/>
              <w:rPr>
                <w:sz w:val="20"/>
                <w:szCs w:val="20"/>
                <w:color w:val="auto"/>
              </w:rPr>
            </w:pPr>
            <w:r>
              <w:rPr>
                <w:rFonts w:ascii="Arial" w:cs="Arial" w:eastAsia="Arial" w:hAnsi="Arial"/>
                <w:sz w:val="18"/>
                <w:szCs w:val="18"/>
                <w:i w:val="1"/>
                <w:iCs w:val="1"/>
                <w:color w:val="auto"/>
              </w:rPr>
              <w:t>Limitation on Liens</w:t>
            </w: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3.07.</w:t>
            </w:r>
          </w:p>
        </w:tc>
        <w:tc>
          <w:tcPr>
            <w:tcW w:w="9780" w:type="dxa"/>
            <w:vAlign w:val="bottom"/>
          </w:tcPr>
          <w:p>
            <w:pPr>
              <w:ind w:left="260"/>
              <w:spacing w:after="0"/>
              <w:rPr>
                <w:sz w:val="20"/>
                <w:szCs w:val="20"/>
                <w:color w:val="auto"/>
              </w:rPr>
            </w:pPr>
            <w:r>
              <w:rPr>
                <w:rFonts w:ascii="Arial" w:cs="Arial" w:eastAsia="Arial" w:hAnsi="Arial"/>
                <w:sz w:val="18"/>
                <w:szCs w:val="18"/>
                <w:i w:val="1"/>
                <w:iCs w:val="1"/>
                <w:color w:val="auto"/>
              </w:rPr>
              <w:t>Limitation on Sale and Lease-Back Transactions</w:t>
            </w:r>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3.08.</w:t>
            </w:r>
          </w:p>
        </w:tc>
        <w:tc>
          <w:tcPr>
            <w:tcW w:w="9780" w:type="dxa"/>
            <w:vAlign w:val="bottom"/>
          </w:tcPr>
          <w:p>
            <w:pPr>
              <w:ind w:left="260"/>
              <w:spacing w:after="0"/>
              <w:rPr>
                <w:sz w:val="20"/>
                <w:szCs w:val="20"/>
                <w:color w:val="auto"/>
              </w:rPr>
            </w:pPr>
            <w:r>
              <w:rPr>
                <w:rFonts w:ascii="Arial" w:cs="Arial" w:eastAsia="Arial" w:hAnsi="Arial"/>
                <w:sz w:val="18"/>
                <w:szCs w:val="18"/>
                <w:i w:val="1"/>
                <w:iCs w:val="1"/>
                <w:color w:val="auto"/>
              </w:rPr>
              <w:t>Existence</w:t>
            </w:r>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3.09.</w:t>
            </w:r>
          </w:p>
        </w:tc>
        <w:tc>
          <w:tcPr>
            <w:tcW w:w="9780" w:type="dxa"/>
            <w:vAlign w:val="bottom"/>
          </w:tcPr>
          <w:p>
            <w:pPr>
              <w:ind w:left="260"/>
              <w:spacing w:after="0"/>
              <w:rPr>
                <w:sz w:val="20"/>
                <w:szCs w:val="20"/>
                <w:color w:val="auto"/>
              </w:rPr>
            </w:pPr>
            <w:r>
              <w:rPr>
                <w:rFonts w:ascii="Arial" w:cs="Arial" w:eastAsia="Arial" w:hAnsi="Arial"/>
                <w:sz w:val="18"/>
                <w:szCs w:val="18"/>
                <w:i w:val="1"/>
                <w:iCs w:val="1"/>
                <w:color w:val="auto"/>
              </w:rPr>
              <w:t>Certain Definitions</w:t>
            </w:r>
          </w:p>
        </w:tc>
        <w:tc>
          <w:tcPr>
            <w:tcW w:w="3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8"/>
        </w:trPr>
        <w:tc>
          <w:tcPr>
            <w:tcW w:w="1200" w:type="dxa"/>
            <w:vAlign w:val="bottom"/>
          </w:tcPr>
          <w:p>
            <w:pPr>
              <w:spacing w:after="0"/>
              <w:rPr>
                <w:sz w:val="24"/>
                <w:szCs w:val="24"/>
                <w:color w:val="auto"/>
              </w:rPr>
            </w:pPr>
          </w:p>
        </w:tc>
        <w:tc>
          <w:tcPr>
            <w:tcW w:w="9780" w:type="dxa"/>
            <w:vAlign w:val="bottom"/>
          </w:tcPr>
          <w:p>
            <w:pPr>
              <w:jc w:val="center"/>
              <w:ind w:right="770"/>
              <w:spacing w:after="0"/>
              <w:rPr>
                <w:sz w:val="20"/>
                <w:szCs w:val="20"/>
                <w:color w:val="auto"/>
              </w:rPr>
            </w:pPr>
            <w:r>
              <w:rPr>
                <w:rFonts w:ascii="Arial" w:cs="Arial" w:eastAsia="Arial" w:hAnsi="Arial"/>
                <w:sz w:val="18"/>
                <w:szCs w:val="18"/>
                <w:color w:val="auto"/>
                <w:w w:val="96"/>
              </w:rPr>
              <w:t>ARTICLE 4</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9780" w:type="dxa"/>
            <w:vAlign w:val="bottom"/>
          </w:tcPr>
          <w:p>
            <w:pPr>
              <w:jc w:val="center"/>
              <w:ind w:right="750"/>
              <w:spacing w:after="0"/>
              <w:rPr>
                <w:sz w:val="20"/>
                <w:szCs w:val="20"/>
                <w:color w:val="auto"/>
              </w:rPr>
            </w:pPr>
            <w:r>
              <w:rPr>
                <w:rFonts w:ascii="Arial" w:cs="Arial" w:eastAsia="Arial" w:hAnsi="Arial"/>
                <w:sz w:val="18"/>
                <w:szCs w:val="18"/>
                <w:color w:val="auto"/>
                <w:w w:val="90"/>
              </w:rPr>
              <w:t>Remedies of the Trustee and Holders on Event of Default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1200" w:type="dxa"/>
            <w:vAlign w:val="bottom"/>
          </w:tcPr>
          <w:p>
            <w:pPr>
              <w:spacing w:after="0"/>
              <w:rPr>
                <w:sz w:val="20"/>
                <w:szCs w:val="20"/>
                <w:color w:val="auto"/>
              </w:rPr>
            </w:pPr>
            <w:r>
              <w:rPr>
                <w:rFonts w:ascii="Arial" w:cs="Arial" w:eastAsia="Arial" w:hAnsi="Arial"/>
                <w:sz w:val="18"/>
                <w:szCs w:val="18"/>
                <w:color w:val="auto"/>
              </w:rPr>
              <w:t>Section 4.01.</w:t>
            </w:r>
          </w:p>
        </w:tc>
        <w:tc>
          <w:tcPr>
            <w:tcW w:w="9780" w:type="dxa"/>
            <w:vAlign w:val="bottom"/>
          </w:tcPr>
          <w:p>
            <w:pPr>
              <w:ind w:left="260"/>
              <w:spacing w:after="0"/>
              <w:rPr>
                <w:sz w:val="20"/>
                <w:szCs w:val="20"/>
                <w:color w:val="auto"/>
              </w:rPr>
            </w:pPr>
            <w:r>
              <w:rPr>
                <w:rFonts w:ascii="Arial" w:cs="Arial" w:eastAsia="Arial" w:hAnsi="Arial"/>
                <w:sz w:val="18"/>
                <w:szCs w:val="18"/>
                <w:i w:val="1"/>
                <w:iCs w:val="1"/>
                <w:color w:val="auto"/>
              </w:rPr>
              <w:t>Event of Default; Acceleration of Maturity; Waiver of Default</w:t>
            </w:r>
          </w:p>
        </w:tc>
        <w:tc>
          <w:tcPr>
            <w:tcW w:w="3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4.02.</w:t>
            </w:r>
          </w:p>
        </w:tc>
        <w:tc>
          <w:tcPr>
            <w:tcW w:w="9780" w:type="dxa"/>
            <w:vAlign w:val="bottom"/>
          </w:tcPr>
          <w:p>
            <w:pPr>
              <w:ind w:left="260"/>
              <w:spacing w:after="0"/>
              <w:rPr>
                <w:sz w:val="20"/>
                <w:szCs w:val="20"/>
                <w:color w:val="auto"/>
              </w:rPr>
            </w:pPr>
            <w:r>
              <w:rPr>
                <w:rFonts w:ascii="Arial" w:cs="Arial" w:eastAsia="Arial" w:hAnsi="Arial"/>
                <w:sz w:val="18"/>
                <w:szCs w:val="18"/>
                <w:i w:val="1"/>
                <w:iCs w:val="1"/>
                <w:color w:val="auto"/>
              </w:rPr>
              <w:t>Collection of Indebtedness by Trustee; Trustee May Prove Debt</w:t>
            </w:r>
          </w:p>
        </w:tc>
        <w:tc>
          <w:tcPr>
            <w:tcW w:w="3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4.03.</w:t>
            </w:r>
          </w:p>
        </w:tc>
        <w:tc>
          <w:tcPr>
            <w:tcW w:w="9780" w:type="dxa"/>
            <w:vAlign w:val="bottom"/>
          </w:tcPr>
          <w:p>
            <w:pPr>
              <w:ind w:left="260"/>
              <w:spacing w:after="0"/>
              <w:rPr>
                <w:sz w:val="20"/>
                <w:szCs w:val="20"/>
                <w:color w:val="auto"/>
              </w:rPr>
            </w:pPr>
            <w:r>
              <w:rPr>
                <w:rFonts w:ascii="Arial" w:cs="Arial" w:eastAsia="Arial" w:hAnsi="Arial"/>
                <w:sz w:val="18"/>
                <w:szCs w:val="18"/>
                <w:i w:val="1"/>
                <w:iCs w:val="1"/>
                <w:color w:val="auto"/>
              </w:rPr>
              <w:t>Application of Proceeds</w:t>
            </w:r>
          </w:p>
        </w:tc>
        <w:tc>
          <w:tcPr>
            <w:tcW w:w="3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0"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4.04.</w:t>
            </w:r>
          </w:p>
        </w:tc>
        <w:tc>
          <w:tcPr>
            <w:tcW w:w="7940" w:type="dxa"/>
            <w:vAlign w:val="bottom"/>
          </w:tcPr>
          <w:p>
            <w:pPr>
              <w:ind w:left="200"/>
              <w:spacing w:after="0"/>
              <w:rPr>
                <w:sz w:val="20"/>
                <w:szCs w:val="20"/>
                <w:color w:val="auto"/>
              </w:rPr>
            </w:pPr>
            <w:r>
              <w:rPr>
                <w:rFonts w:ascii="Arial" w:cs="Arial" w:eastAsia="Arial" w:hAnsi="Arial"/>
                <w:sz w:val="18"/>
                <w:szCs w:val="18"/>
                <w:i w:val="1"/>
                <w:iCs w:val="1"/>
                <w:color w:val="auto"/>
              </w:rPr>
              <w:t>Suits for Enforcement</w:t>
            </w:r>
          </w:p>
        </w:tc>
        <w:tc>
          <w:tcPr>
            <w:tcW w:w="22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4.05.</w:t>
            </w:r>
          </w:p>
        </w:tc>
        <w:tc>
          <w:tcPr>
            <w:tcW w:w="7940" w:type="dxa"/>
            <w:vAlign w:val="bottom"/>
          </w:tcPr>
          <w:p>
            <w:pPr>
              <w:ind w:left="200"/>
              <w:spacing w:after="0"/>
              <w:rPr>
                <w:sz w:val="20"/>
                <w:szCs w:val="20"/>
                <w:color w:val="auto"/>
              </w:rPr>
            </w:pPr>
            <w:r>
              <w:rPr>
                <w:rFonts w:ascii="Arial" w:cs="Arial" w:eastAsia="Arial" w:hAnsi="Arial"/>
                <w:sz w:val="18"/>
                <w:szCs w:val="18"/>
                <w:i w:val="1"/>
                <w:iCs w:val="1"/>
                <w:color w:val="auto"/>
              </w:rPr>
              <w:t>Restoration of Rights on Abandonment of Proceedings</w:t>
            </w:r>
          </w:p>
        </w:tc>
        <w:tc>
          <w:tcPr>
            <w:tcW w:w="22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4.06.</w:t>
            </w:r>
          </w:p>
        </w:tc>
        <w:tc>
          <w:tcPr>
            <w:tcW w:w="7940" w:type="dxa"/>
            <w:vAlign w:val="bottom"/>
          </w:tcPr>
          <w:p>
            <w:pPr>
              <w:ind w:left="200"/>
              <w:spacing w:after="0"/>
              <w:rPr>
                <w:sz w:val="20"/>
                <w:szCs w:val="20"/>
                <w:color w:val="auto"/>
              </w:rPr>
            </w:pPr>
            <w:r>
              <w:rPr>
                <w:rFonts w:ascii="Arial" w:cs="Arial" w:eastAsia="Arial" w:hAnsi="Arial"/>
                <w:sz w:val="18"/>
                <w:szCs w:val="18"/>
                <w:i w:val="1"/>
                <w:iCs w:val="1"/>
                <w:color w:val="auto"/>
              </w:rPr>
              <w:t>Limitations on Suits by Holder</w:t>
            </w:r>
          </w:p>
        </w:tc>
        <w:tc>
          <w:tcPr>
            <w:tcW w:w="22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4.07.</w:t>
            </w:r>
          </w:p>
        </w:tc>
        <w:tc>
          <w:tcPr>
            <w:tcW w:w="7940" w:type="dxa"/>
            <w:vAlign w:val="bottom"/>
          </w:tcPr>
          <w:p>
            <w:pPr>
              <w:ind w:left="200"/>
              <w:spacing w:after="0"/>
              <w:rPr>
                <w:sz w:val="20"/>
                <w:szCs w:val="20"/>
                <w:color w:val="auto"/>
              </w:rPr>
            </w:pPr>
            <w:r>
              <w:rPr>
                <w:rFonts w:ascii="Arial" w:cs="Arial" w:eastAsia="Arial" w:hAnsi="Arial"/>
                <w:sz w:val="18"/>
                <w:szCs w:val="18"/>
                <w:i w:val="1"/>
                <w:iCs w:val="1"/>
                <w:color w:val="auto"/>
              </w:rPr>
              <w:t>Unconditional Right of Holders to Institute Certain Suits</w:t>
            </w:r>
          </w:p>
        </w:tc>
        <w:tc>
          <w:tcPr>
            <w:tcW w:w="22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4.08.</w:t>
            </w:r>
          </w:p>
        </w:tc>
        <w:tc>
          <w:tcPr>
            <w:tcW w:w="7940" w:type="dxa"/>
            <w:vAlign w:val="bottom"/>
          </w:tcPr>
          <w:p>
            <w:pPr>
              <w:ind w:left="200"/>
              <w:spacing w:after="0"/>
              <w:rPr>
                <w:sz w:val="20"/>
                <w:szCs w:val="20"/>
                <w:color w:val="auto"/>
              </w:rPr>
            </w:pPr>
            <w:r>
              <w:rPr>
                <w:rFonts w:ascii="Arial" w:cs="Arial" w:eastAsia="Arial" w:hAnsi="Arial"/>
                <w:sz w:val="18"/>
                <w:szCs w:val="18"/>
                <w:i w:val="1"/>
                <w:iCs w:val="1"/>
                <w:color w:val="auto"/>
              </w:rPr>
              <w:t>Powers and Remedies Cumulative; Delay or Omission Not Waiver of Default</w:t>
            </w:r>
          </w:p>
        </w:tc>
        <w:tc>
          <w:tcPr>
            <w:tcW w:w="22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4.09.</w:t>
            </w:r>
          </w:p>
        </w:tc>
        <w:tc>
          <w:tcPr>
            <w:tcW w:w="7940" w:type="dxa"/>
            <w:vAlign w:val="bottom"/>
          </w:tcPr>
          <w:p>
            <w:pPr>
              <w:ind w:left="200"/>
              <w:spacing w:after="0"/>
              <w:rPr>
                <w:sz w:val="20"/>
                <w:szCs w:val="20"/>
                <w:color w:val="auto"/>
              </w:rPr>
            </w:pPr>
            <w:r>
              <w:rPr>
                <w:rFonts w:ascii="Arial" w:cs="Arial" w:eastAsia="Arial" w:hAnsi="Arial"/>
                <w:sz w:val="18"/>
                <w:szCs w:val="18"/>
                <w:i w:val="1"/>
                <w:iCs w:val="1"/>
                <w:color w:val="auto"/>
              </w:rPr>
              <w:t>Control by Holders</w:t>
            </w:r>
          </w:p>
        </w:tc>
        <w:tc>
          <w:tcPr>
            <w:tcW w:w="22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4.10.</w:t>
            </w:r>
          </w:p>
        </w:tc>
        <w:tc>
          <w:tcPr>
            <w:tcW w:w="7940" w:type="dxa"/>
            <w:vAlign w:val="bottom"/>
          </w:tcPr>
          <w:p>
            <w:pPr>
              <w:ind w:left="200"/>
              <w:spacing w:after="0"/>
              <w:rPr>
                <w:sz w:val="20"/>
                <w:szCs w:val="20"/>
                <w:color w:val="auto"/>
              </w:rPr>
            </w:pPr>
            <w:r>
              <w:rPr>
                <w:rFonts w:ascii="Arial" w:cs="Arial" w:eastAsia="Arial" w:hAnsi="Arial"/>
                <w:sz w:val="18"/>
                <w:szCs w:val="18"/>
                <w:i w:val="1"/>
                <w:iCs w:val="1"/>
                <w:color w:val="auto"/>
              </w:rPr>
              <w:t>Waiver of Past Defaults</w:t>
            </w:r>
          </w:p>
        </w:tc>
        <w:tc>
          <w:tcPr>
            <w:tcW w:w="22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4.11.</w:t>
            </w:r>
          </w:p>
        </w:tc>
        <w:tc>
          <w:tcPr>
            <w:tcW w:w="7940" w:type="dxa"/>
            <w:vAlign w:val="bottom"/>
          </w:tcPr>
          <w:p>
            <w:pPr>
              <w:ind w:left="200"/>
              <w:spacing w:after="0"/>
              <w:rPr>
                <w:sz w:val="20"/>
                <w:szCs w:val="20"/>
                <w:color w:val="auto"/>
              </w:rPr>
            </w:pPr>
            <w:r>
              <w:rPr>
                <w:rFonts w:ascii="Arial" w:cs="Arial" w:eastAsia="Arial" w:hAnsi="Arial"/>
                <w:sz w:val="18"/>
                <w:szCs w:val="18"/>
                <w:i w:val="1"/>
                <w:iCs w:val="1"/>
                <w:color w:val="auto"/>
              </w:rPr>
              <w:t>Trustee to Give Notice of Default, But May Withhold in Certain Circumstances</w:t>
            </w:r>
          </w:p>
        </w:tc>
        <w:tc>
          <w:tcPr>
            <w:tcW w:w="22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4.12.</w:t>
            </w:r>
          </w:p>
        </w:tc>
        <w:tc>
          <w:tcPr>
            <w:tcW w:w="7940" w:type="dxa"/>
            <w:vAlign w:val="bottom"/>
          </w:tcPr>
          <w:p>
            <w:pPr>
              <w:ind w:left="200"/>
              <w:spacing w:after="0"/>
              <w:rPr>
                <w:sz w:val="20"/>
                <w:szCs w:val="20"/>
                <w:color w:val="auto"/>
              </w:rPr>
            </w:pPr>
            <w:r>
              <w:rPr>
                <w:rFonts w:ascii="Arial" w:cs="Arial" w:eastAsia="Arial" w:hAnsi="Arial"/>
                <w:sz w:val="18"/>
                <w:szCs w:val="18"/>
                <w:i w:val="1"/>
                <w:iCs w:val="1"/>
                <w:color w:val="auto"/>
              </w:rPr>
              <w:t>Right of Court to Require Filing of Undertaking to Pay Costs</w:t>
            </w:r>
          </w:p>
        </w:tc>
        <w:tc>
          <w:tcPr>
            <w:tcW w:w="22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8"/>
        </w:trPr>
        <w:tc>
          <w:tcPr>
            <w:tcW w:w="1140" w:type="dxa"/>
            <w:vAlign w:val="bottom"/>
          </w:tcPr>
          <w:p>
            <w:pPr>
              <w:spacing w:after="0"/>
              <w:rPr>
                <w:sz w:val="24"/>
                <w:szCs w:val="24"/>
                <w:color w:val="auto"/>
              </w:rPr>
            </w:pPr>
          </w:p>
        </w:tc>
        <w:tc>
          <w:tcPr>
            <w:tcW w:w="7940" w:type="dxa"/>
            <w:vAlign w:val="bottom"/>
          </w:tcPr>
          <w:p>
            <w:pPr>
              <w:jc w:val="center"/>
              <w:ind w:left="1010"/>
              <w:spacing w:after="0"/>
              <w:rPr>
                <w:sz w:val="20"/>
                <w:szCs w:val="20"/>
                <w:color w:val="auto"/>
              </w:rPr>
            </w:pPr>
            <w:r>
              <w:rPr>
                <w:rFonts w:ascii="Arial" w:cs="Arial" w:eastAsia="Arial" w:hAnsi="Arial"/>
                <w:sz w:val="18"/>
                <w:szCs w:val="18"/>
                <w:color w:val="auto"/>
                <w:w w:val="96"/>
              </w:rPr>
              <w:t>ARTICLE 5</w:t>
            </w:r>
          </w:p>
        </w:tc>
        <w:tc>
          <w:tcPr>
            <w:tcW w:w="224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7940" w:type="dxa"/>
            <w:vAlign w:val="bottom"/>
          </w:tcPr>
          <w:p>
            <w:pPr>
              <w:jc w:val="center"/>
              <w:ind w:left="1010"/>
              <w:spacing w:after="0"/>
              <w:rPr>
                <w:sz w:val="20"/>
                <w:szCs w:val="20"/>
                <w:color w:val="auto"/>
              </w:rPr>
            </w:pPr>
            <w:r>
              <w:rPr>
                <w:rFonts w:ascii="Arial" w:cs="Arial" w:eastAsia="Arial" w:hAnsi="Arial"/>
                <w:sz w:val="18"/>
                <w:szCs w:val="18"/>
                <w:color w:val="auto"/>
                <w:w w:val="89"/>
              </w:rPr>
              <w:t>Concerning the Trustee</w:t>
            </w:r>
          </w:p>
        </w:tc>
        <w:tc>
          <w:tcPr>
            <w:tcW w:w="2240" w:type="dxa"/>
            <w:vAlign w:val="bottom"/>
          </w:tcPr>
          <w:p>
            <w:pPr>
              <w:spacing w:after="0"/>
              <w:rPr>
                <w:sz w:val="20"/>
                <w:szCs w:val="20"/>
                <w:color w:val="auto"/>
              </w:rPr>
            </w:pPr>
          </w:p>
        </w:tc>
      </w:tr>
      <w:tr>
        <w:trPr>
          <w:trHeight w:val="431"/>
        </w:trPr>
        <w:tc>
          <w:tcPr>
            <w:tcW w:w="1140" w:type="dxa"/>
            <w:vAlign w:val="bottom"/>
          </w:tcPr>
          <w:p>
            <w:pPr>
              <w:spacing w:after="0"/>
              <w:rPr>
                <w:sz w:val="20"/>
                <w:szCs w:val="20"/>
                <w:color w:val="auto"/>
              </w:rPr>
            </w:pPr>
            <w:r>
              <w:rPr>
                <w:rFonts w:ascii="Arial" w:cs="Arial" w:eastAsia="Arial" w:hAnsi="Arial"/>
                <w:sz w:val="18"/>
                <w:szCs w:val="18"/>
                <w:color w:val="auto"/>
              </w:rPr>
              <w:t>Section 5.01.</w:t>
            </w:r>
          </w:p>
        </w:tc>
        <w:tc>
          <w:tcPr>
            <w:tcW w:w="7940" w:type="dxa"/>
            <w:vAlign w:val="bottom"/>
          </w:tcPr>
          <w:p>
            <w:pPr>
              <w:ind w:left="200"/>
              <w:spacing w:after="0"/>
              <w:rPr>
                <w:sz w:val="20"/>
                <w:szCs w:val="20"/>
                <w:color w:val="auto"/>
              </w:rPr>
            </w:pPr>
            <w:r>
              <w:rPr>
                <w:rFonts w:ascii="Arial" w:cs="Arial" w:eastAsia="Arial" w:hAnsi="Arial"/>
                <w:sz w:val="18"/>
                <w:szCs w:val="18"/>
                <w:i w:val="1"/>
                <w:iCs w:val="1"/>
                <w:color w:val="auto"/>
              </w:rPr>
              <w:t>Duties and Responsibilities of the Trustee; During Default; Prior to Default</w:t>
            </w:r>
          </w:p>
        </w:tc>
        <w:tc>
          <w:tcPr>
            <w:tcW w:w="22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5.02.</w:t>
            </w:r>
          </w:p>
        </w:tc>
        <w:tc>
          <w:tcPr>
            <w:tcW w:w="7940" w:type="dxa"/>
            <w:vAlign w:val="bottom"/>
          </w:tcPr>
          <w:p>
            <w:pPr>
              <w:ind w:left="200"/>
              <w:spacing w:after="0"/>
              <w:rPr>
                <w:sz w:val="20"/>
                <w:szCs w:val="20"/>
                <w:color w:val="auto"/>
              </w:rPr>
            </w:pPr>
            <w:r>
              <w:rPr>
                <w:rFonts w:ascii="Arial" w:cs="Arial" w:eastAsia="Arial" w:hAnsi="Arial"/>
                <w:sz w:val="18"/>
                <w:szCs w:val="18"/>
                <w:i w:val="1"/>
                <w:iCs w:val="1"/>
                <w:color w:val="auto"/>
              </w:rPr>
              <w:t>Trustee’s Obligations with Respect to the Covenants</w:t>
            </w:r>
          </w:p>
        </w:tc>
        <w:tc>
          <w:tcPr>
            <w:tcW w:w="22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5.03.</w:t>
            </w:r>
          </w:p>
        </w:tc>
        <w:tc>
          <w:tcPr>
            <w:tcW w:w="7940" w:type="dxa"/>
            <w:vAlign w:val="bottom"/>
          </w:tcPr>
          <w:p>
            <w:pPr>
              <w:ind w:left="200"/>
              <w:spacing w:after="0"/>
              <w:rPr>
                <w:sz w:val="20"/>
                <w:szCs w:val="20"/>
                <w:color w:val="auto"/>
              </w:rPr>
            </w:pPr>
            <w:r>
              <w:rPr>
                <w:rFonts w:ascii="Arial" w:cs="Arial" w:eastAsia="Arial" w:hAnsi="Arial"/>
                <w:sz w:val="18"/>
                <w:szCs w:val="18"/>
                <w:i w:val="1"/>
                <w:iCs w:val="1"/>
                <w:color w:val="auto"/>
              </w:rPr>
              <w:t>Moneys Held by Trustee</w:t>
            </w:r>
          </w:p>
        </w:tc>
        <w:tc>
          <w:tcPr>
            <w:tcW w:w="2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5.04.</w:t>
            </w:r>
          </w:p>
        </w:tc>
        <w:tc>
          <w:tcPr>
            <w:tcW w:w="7940" w:type="dxa"/>
            <w:vAlign w:val="bottom"/>
          </w:tcPr>
          <w:p>
            <w:pPr>
              <w:ind w:left="200"/>
              <w:spacing w:after="0"/>
              <w:rPr>
                <w:sz w:val="20"/>
                <w:szCs w:val="20"/>
                <w:color w:val="auto"/>
              </w:rPr>
            </w:pPr>
            <w:r>
              <w:rPr>
                <w:rFonts w:ascii="Arial" w:cs="Arial" w:eastAsia="Arial" w:hAnsi="Arial"/>
                <w:sz w:val="18"/>
                <w:szCs w:val="18"/>
                <w:i w:val="1"/>
                <w:iCs w:val="1"/>
                <w:color w:val="auto"/>
              </w:rPr>
              <w:t>Reports by the Trustee to Holders</w:t>
            </w:r>
          </w:p>
        </w:tc>
        <w:tc>
          <w:tcPr>
            <w:tcW w:w="2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5.05.</w:t>
            </w:r>
          </w:p>
        </w:tc>
        <w:tc>
          <w:tcPr>
            <w:tcW w:w="7940" w:type="dxa"/>
            <w:vAlign w:val="bottom"/>
          </w:tcPr>
          <w:p>
            <w:pPr>
              <w:ind w:left="200"/>
              <w:spacing w:after="0"/>
              <w:rPr>
                <w:sz w:val="20"/>
                <w:szCs w:val="20"/>
                <w:color w:val="auto"/>
              </w:rPr>
            </w:pPr>
            <w:r>
              <w:rPr>
                <w:rFonts w:ascii="Arial" w:cs="Arial" w:eastAsia="Arial" w:hAnsi="Arial"/>
                <w:sz w:val="18"/>
                <w:szCs w:val="18"/>
                <w:i w:val="1"/>
                <w:iCs w:val="1"/>
                <w:color w:val="auto"/>
              </w:rPr>
              <w:t>Certain Rights of the Trustee</w:t>
            </w:r>
          </w:p>
        </w:tc>
        <w:tc>
          <w:tcPr>
            <w:tcW w:w="2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5.06.</w:t>
            </w:r>
          </w:p>
        </w:tc>
        <w:tc>
          <w:tcPr>
            <w:tcW w:w="7940" w:type="dxa"/>
            <w:vAlign w:val="bottom"/>
          </w:tcPr>
          <w:p>
            <w:pPr>
              <w:ind w:left="200"/>
              <w:spacing w:after="0"/>
              <w:rPr>
                <w:sz w:val="20"/>
                <w:szCs w:val="20"/>
                <w:color w:val="auto"/>
              </w:rPr>
            </w:pPr>
            <w:r>
              <w:rPr>
                <w:rFonts w:ascii="Arial" w:cs="Arial" w:eastAsia="Arial" w:hAnsi="Arial"/>
                <w:sz w:val="18"/>
                <w:szCs w:val="18"/>
                <w:i w:val="1"/>
                <w:iCs w:val="1"/>
                <w:color w:val="auto"/>
              </w:rPr>
              <w:t>Trustee and Agents May Hold Securities; Collections, etc</w:t>
            </w:r>
          </w:p>
        </w:tc>
        <w:tc>
          <w:tcPr>
            <w:tcW w:w="22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5.07.</w:t>
            </w:r>
          </w:p>
        </w:tc>
        <w:tc>
          <w:tcPr>
            <w:tcW w:w="7940" w:type="dxa"/>
            <w:vAlign w:val="bottom"/>
          </w:tcPr>
          <w:p>
            <w:pPr>
              <w:ind w:left="200"/>
              <w:spacing w:after="0"/>
              <w:rPr>
                <w:sz w:val="20"/>
                <w:szCs w:val="20"/>
                <w:color w:val="auto"/>
              </w:rPr>
            </w:pPr>
            <w:r>
              <w:rPr>
                <w:rFonts w:ascii="Arial" w:cs="Arial" w:eastAsia="Arial" w:hAnsi="Arial"/>
                <w:sz w:val="18"/>
                <w:szCs w:val="18"/>
                <w:i w:val="1"/>
                <w:iCs w:val="1"/>
                <w:color w:val="auto"/>
              </w:rPr>
              <w:t>Compensation and Indemnification of Trustee and Its Prior Claim</w:t>
            </w:r>
          </w:p>
        </w:tc>
        <w:tc>
          <w:tcPr>
            <w:tcW w:w="22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5.08.</w:t>
            </w:r>
          </w:p>
        </w:tc>
        <w:tc>
          <w:tcPr>
            <w:tcW w:w="7940" w:type="dxa"/>
            <w:vAlign w:val="bottom"/>
          </w:tcPr>
          <w:p>
            <w:pPr>
              <w:ind w:left="200"/>
              <w:spacing w:after="0"/>
              <w:rPr>
                <w:sz w:val="20"/>
                <w:szCs w:val="20"/>
                <w:color w:val="auto"/>
              </w:rPr>
            </w:pPr>
            <w:r>
              <w:rPr>
                <w:rFonts w:ascii="Arial" w:cs="Arial" w:eastAsia="Arial" w:hAnsi="Arial"/>
                <w:sz w:val="18"/>
                <w:szCs w:val="18"/>
                <w:i w:val="1"/>
                <w:iCs w:val="1"/>
                <w:color w:val="auto"/>
              </w:rPr>
              <w:t>Right of Trustee to Rely on Officer’s Certificate, etc</w:t>
            </w:r>
          </w:p>
        </w:tc>
        <w:tc>
          <w:tcPr>
            <w:tcW w:w="22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5.09.</w:t>
            </w:r>
          </w:p>
        </w:tc>
        <w:tc>
          <w:tcPr>
            <w:tcW w:w="7940" w:type="dxa"/>
            <w:vAlign w:val="bottom"/>
          </w:tcPr>
          <w:p>
            <w:pPr>
              <w:ind w:left="200"/>
              <w:spacing w:after="0"/>
              <w:rPr>
                <w:sz w:val="20"/>
                <w:szCs w:val="20"/>
                <w:color w:val="auto"/>
              </w:rPr>
            </w:pPr>
            <w:r>
              <w:rPr>
                <w:rFonts w:ascii="Arial" w:cs="Arial" w:eastAsia="Arial" w:hAnsi="Arial"/>
                <w:sz w:val="18"/>
                <w:szCs w:val="18"/>
                <w:i w:val="1"/>
                <w:iCs w:val="1"/>
                <w:color w:val="auto"/>
              </w:rPr>
              <w:t>Disqualification; Conflicting Interests</w:t>
            </w:r>
          </w:p>
        </w:tc>
        <w:tc>
          <w:tcPr>
            <w:tcW w:w="22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5.10.</w:t>
            </w:r>
          </w:p>
        </w:tc>
        <w:tc>
          <w:tcPr>
            <w:tcW w:w="7940" w:type="dxa"/>
            <w:vAlign w:val="bottom"/>
          </w:tcPr>
          <w:p>
            <w:pPr>
              <w:ind w:left="200"/>
              <w:spacing w:after="0"/>
              <w:rPr>
                <w:sz w:val="20"/>
                <w:szCs w:val="20"/>
                <w:color w:val="auto"/>
              </w:rPr>
            </w:pPr>
            <w:r>
              <w:rPr>
                <w:rFonts w:ascii="Arial" w:cs="Arial" w:eastAsia="Arial" w:hAnsi="Arial"/>
                <w:sz w:val="18"/>
                <w:szCs w:val="18"/>
                <w:i w:val="1"/>
                <w:iCs w:val="1"/>
                <w:color w:val="auto"/>
              </w:rPr>
              <w:t>Persons Eligible for Appointment as Trustee</w:t>
            </w:r>
          </w:p>
        </w:tc>
        <w:tc>
          <w:tcPr>
            <w:tcW w:w="22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5.11.</w:t>
            </w:r>
          </w:p>
        </w:tc>
        <w:tc>
          <w:tcPr>
            <w:tcW w:w="7940" w:type="dxa"/>
            <w:vAlign w:val="bottom"/>
          </w:tcPr>
          <w:p>
            <w:pPr>
              <w:ind w:left="200"/>
              <w:spacing w:after="0"/>
              <w:rPr>
                <w:sz w:val="20"/>
                <w:szCs w:val="20"/>
                <w:color w:val="auto"/>
              </w:rPr>
            </w:pPr>
            <w:r>
              <w:rPr>
                <w:rFonts w:ascii="Arial" w:cs="Arial" w:eastAsia="Arial" w:hAnsi="Arial"/>
                <w:sz w:val="18"/>
                <w:szCs w:val="18"/>
                <w:i w:val="1"/>
                <w:iCs w:val="1"/>
                <w:color w:val="auto"/>
              </w:rPr>
              <w:t>Resignation and Removal; Appointment of Successor Trustee</w:t>
            </w:r>
          </w:p>
        </w:tc>
        <w:tc>
          <w:tcPr>
            <w:tcW w:w="22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5.12.</w:t>
            </w:r>
          </w:p>
        </w:tc>
        <w:tc>
          <w:tcPr>
            <w:tcW w:w="7940" w:type="dxa"/>
            <w:vAlign w:val="bottom"/>
          </w:tcPr>
          <w:p>
            <w:pPr>
              <w:ind w:left="200"/>
              <w:spacing w:after="0"/>
              <w:rPr>
                <w:sz w:val="20"/>
                <w:szCs w:val="20"/>
                <w:color w:val="auto"/>
              </w:rPr>
            </w:pPr>
            <w:r>
              <w:rPr>
                <w:rFonts w:ascii="Arial" w:cs="Arial" w:eastAsia="Arial" w:hAnsi="Arial"/>
                <w:sz w:val="18"/>
                <w:szCs w:val="18"/>
                <w:i w:val="1"/>
                <w:iCs w:val="1"/>
                <w:color w:val="auto"/>
              </w:rPr>
              <w:t>Acceptance of Appointment by Successor</w:t>
            </w:r>
          </w:p>
        </w:tc>
        <w:tc>
          <w:tcPr>
            <w:tcW w:w="22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5.13.</w:t>
            </w:r>
          </w:p>
        </w:tc>
        <w:tc>
          <w:tcPr>
            <w:tcW w:w="7940" w:type="dxa"/>
            <w:vAlign w:val="bottom"/>
          </w:tcPr>
          <w:p>
            <w:pPr>
              <w:ind w:left="200"/>
              <w:spacing w:after="0"/>
              <w:rPr>
                <w:sz w:val="20"/>
                <w:szCs w:val="20"/>
                <w:color w:val="auto"/>
              </w:rPr>
            </w:pPr>
            <w:r>
              <w:rPr>
                <w:rFonts w:ascii="Arial" w:cs="Arial" w:eastAsia="Arial" w:hAnsi="Arial"/>
                <w:sz w:val="18"/>
                <w:szCs w:val="18"/>
                <w:i w:val="1"/>
                <w:iCs w:val="1"/>
                <w:color w:val="auto"/>
              </w:rPr>
              <w:t>Merger, Conversion, Consolidation or Succession to Business of Trustee</w:t>
            </w:r>
          </w:p>
        </w:tc>
        <w:tc>
          <w:tcPr>
            <w:tcW w:w="22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5.14.</w:t>
            </w:r>
          </w:p>
        </w:tc>
        <w:tc>
          <w:tcPr>
            <w:tcW w:w="7940" w:type="dxa"/>
            <w:vAlign w:val="bottom"/>
          </w:tcPr>
          <w:p>
            <w:pPr>
              <w:ind w:left="200"/>
              <w:spacing w:after="0"/>
              <w:rPr>
                <w:sz w:val="20"/>
                <w:szCs w:val="20"/>
                <w:color w:val="auto"/>
              </w:rPr>
            </w:pPr>
            <w:r>
              <w:rPr>
                <w:rFonts w:ascii="Arial" w:cs="Arial" w:eastAsia="Arial" w:hAnsi="Arial"/>
                <w:sz w:val="18"/>
                <w:szCs w:val="18"/>
                <w:i w:val="1"/>
                <w:iCs w:val="1"/>
                <w:color w:val="auto"/>
              </w:rPr>
              <w:t>Preferential Collection of Claims Against the Issuer</w:t>
            </w:r>
          </w:p>
        </w:tc>
        <w:tc>
          <w:tcPr>
            <w:tcW w:w="22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5.15.</w:t>
            </w:r>
          </w:p>
        </w:tc>
        <w:tc>
          <w:tcPr>
            <w:tcW w:w="7940" w:type="dxa"/>
            <w:vAlign w:val="bottom"/>
          </w:tcPr>
          <w:p>
            <w:pPr>
              <w:ind w:left="200"/>
              <w:spacing w:after="0"/>
              <w:rPr>
                <w:sz w:val="20"/>
                <w:szCs w:val="20"/>
                <w:color w:val="auto"/>
              </w:rPr>
            </w:pPr>
            <w:r>
              <w:rPr>
                <w:rFonts w:ascii="Arial" w:cs="Arial" w:eastAsia="Arial" w:hAnsi="Arial"/>
                <w:sz w:val="18"/>
                <w:szCs w:val="18"/>
                <w:i w:val="1"/>
                <w:iCs w:val="1"/>
                <w:color w:val="auto"/>
              </w:rPr>
              <w:t>Trustee’s Disclaimer</w:t>
            </w:r>
          </w:p>
        </w:tc>
        <w:tc>
          <w:tcPr>
            <w:tcW w:w="22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18"/>
        </w:trPr>
        <w:tc>
          <w:tcPr>
            <w:tcW w:w="1140" w:type="dxa"/>
            <w:vAlign w:val="bottom"/>
          </w:tcPr>
          <w:p>
            <w:pPr>
              <w:spacing w:after="0"/>
              <w:rPr>
                <w:sz w:val="24"/>
                <w:szCs w:val="24"/>
                <w:color w:val="auto"/>
              </w:rPr>
            </w:pPr>
          </w:p>
        </w:tc>
        <w:tc>
          <w:tcPr>
            <w:tcW w:w="7940" w:type="dxa"/>
            <w:vAlign w:val="bottom"/>
          </w:tcPr>
          <w:p>
            <w:pPr>
              <w:jc w:val="center"/>
              <w:ind w:left="1010"/>
              <w:spacing w:after="0"/>
              <w:rPr>
                <w:sz w:val="20"/>
                <w:szCs w:val="20"/>
                <w:color w:val="auto"/>
              </w:rPr>
            </w:pPr>
            <w:r>
              <w:rPr>
                <w:rFonts w:ascii="Arial" w:cs="Arial" w:eastAsia="Arial" w:hAnsi="Arial"/>
                <w:sz w:val="18"/>
                <w:szCs w:val="18"/>
                <w:color w:val="auto"/>
                <w:w w:val="96"/>
              </w:rPr>
              <w:t>ARTICLE 6</w:t>
            </w:r>
          </w:p>
        </w:tc>
        <w:tc>
          <w:tcPr>
            <w:tcW w:w="224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p>
        </w:tc>
        <w:tc>
          <w:tcPr>
            <w:tcW w:w="7940" w:type="dxa"/>
            <w:vAlign w:val="bottom"/>
          </w:tcPr>
          <w:p>
            <w:pPr>
              <w:jc w:val="center"/>
              <w:ind w:left="1010"/>
              <w:spacing w:after="0"/>
              <w:rPr>
                <w:sz w:val="20"/>
                <w:szCs w:val="20"/>
                <w:color w:val="auto"/>
              </w:rPr>
            </w:pPr>
            <w:r>
              <w:rPr>
                <w:rFonts w:ascii="Arial" w:cs="Arial" w:eastAsia="Arial" w:hAnsi="Arial"/>
                <w:sz w:val="18"/>
                <w:szCs w:val="18"/>
                <w:color w:val="auto"/>
                <w:w w:val="90"/>
              </w:rPr>
              <w:t>Concerning the Holders</w:t>
            </w:r>
          </w:p>
        </w:tc>
        <w:tc>
          <w:tcPr>
            <w:tcW w:w="2240" w:type="dxa"/>
            <w:vAlign w:val="bottom"/>
          </w:tcPr>
          <w:p>
            <w:pPr>
              <w:spacing w:after="0"/>
              <w:rPr>
                <w:sz w:val="20"/>
                <w:szCs w:val="20"/>
                <w:color w:val="auto"/>
              </w:rPr>
            </w:pPr>
          </w:p>
        </w:tc>
      </w:tr>
      <w:tr>
        <w:trPr>
          <w:trHeight w:val="431"/>
        </w:trPr>
        <w:tc>
          <w:tcPr>
            <w:tcW w:w="1140" w:type="dxa"/>
            <w:vAlign w:val="bottom"/>
          </w:tcPr>
          <w:p>
            <w:pPr>
              <w:spacing w:after="0"/>
              <w:rPr>
                <w:sz w:val="20"/>
                <w:szCs w:val="20"/>
                <w:color w:val="auto"/>
              </w:rPr>
            </w:pPr>
            <w:r>
              <w:rPr>
                <w:rFonts w:ascii="Arial" w:cs="Arial" w:eastAsia="Arial" w:hAnsi="Arial"/>
                <w:sz w:val="18"/>
                <w:szCs w:val="18"/>
                <w:color w:val="auto"/>
              </w:rPr>
              <w:t>Section 6.01.</w:t>
            </w:r>
          </w:p>
        </w:tc>
        <w:tc>
          <w:tcPr>
            <w:tcW w:w="7940" w:type="dxa"/>
            <w:vAlign w:val="bottom"/>
          </w:tcPr>
          <w:p>
            <w:pPr>
              <w:ind w:left="200"/>
              <w:spacing w:after="0"/>
              <w:rPr>
                <w:sz w:val="20"/>
                <w:szCs w:val="20"/>
                <w:color w:val="auto"/>
              </w:rPr>
            </w:pPr>
            <w:r>
              <w:rPr>
                <w:rFonts w:ascii="Arial" w:cs="Arial" w:eastAsia="Arial" w:hAnsi="Arial"/>
                <w:sz w:val="18"/>
                <w:szCs w:val="18"/>
                <w:i w:val="1"/>
                <w:iCs w:val="1"/>
                <w:color w:val="auto"/>
              </w:rPr>
              <w:t>Evidence of Action Taken by Holders</w:t>
            </w:r>
          </w:p>
        </w:tc>
        <w:tc>
          <w:tcPr>
            <w:tcW w:w="22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6.02.</w:t>
            </w:r>
          </w:p>
        </w:tc>
        <w:tc>
          <w:tcPr>
            <w:tcW w:w="7940" w:type="dxa"/>
            <w:vAlign w:val="bottom"/>
          </w:tcPr>
          <w:p>
            <w:pPr>
              <w:ind w:left="200"/>
              <w:spacing w:after="0"/>
              <w:rPr>
                <w:sz w:val="20"/>
                <w:szCs w:val="20"/>
                <w:color w:val="auto"/>
              </w:rPr>
            </w:pPr>
            <w:r>
              <w:rPr>
                <w:rFonts w:ascii="Arial" w:cs="Arial" w:eastAsia="Arial" w:hAnsi="Arial"/>
                <w:sz w:val="18"/>
                <w:szCs w:val="18"/>
                <w:i w:val="1"/>
                <w:iCs w:val="1"/>
                <w:color w:val="auto"/>
              </w:rPr>
              <w:t>Proof of Execution of Instruments and of Holding of Securities; Record Date</w:t>
            </w:r>
          </w:p>
        </w:tc>
        <w:tc>
          <w:tcPr>
            <w:tcW w:w="22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6.03.</w:t>
            </w:r>
          </w:p>
        </w:tc>
        <w:tc>
          <w:tcPr>
            <w:tcW w:w="7940" w:type="dxa"/>
            <w:vAlign w:val="bottom"/>
          </w:tcPr>
          <w:p>
            <w:pPr>
              <w:ind w:left="200"/>
              <w:spacing w:after="0"/>
              <w:rPr>
                <w:sz w:val="20"/>
                <w:szCs w:val="20"/>
                <w:color w:val="auto"/>
              </w:rPr>
            </w:pPr>
            <w:r>
              <w:rPr>
                <w:rFonts w:ascii="Arial" w:cs="Arial" w:eastAsia="Arial" w:hAnsi="Arial"/>
                <w:sz w:val="18"/>
                <w:szCs w:val="18"/>
                <w:i w:val="1"/>
                <w:iCs w:val="1"/>
                <w:color w:val="auto"/>
              </w:rPr>
              <w:t>Holders to Be Treated as Owners</w:t>
            </w:r>
          </w:p>
        </w:tc>
        <w:tc>
          <w:tcPr>
            <w:tcW w:w="22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Section 6.04.</w:t>
            </w:r>
          </w:p>
        </w:tc>
        <w:tc>
          <w:tcPr>
            <w:tcW w:w="7940" w:type="dxa"/>
            <w:vAlign w:val="bottom"/>
          </w:tcPr>
          <w:p>
            <w:pPr>
              <w:ind w:left="200"/>
              <w:spacing w:after="0"/>
              <w:rPr>
                <w:sz w:val="20"/>
                <w:szCs w:val="20"/>
                <w:color w:val="auto"/>
              </w:rPr>
            </w:pPr>
            <w:r>
              <w:rPr>
                <w:rFonts w:ascii="Arial" w:cs="Arial" w:eastAsia="Arial" w:hAnsi="Arial"/>
                <w:sz w:val="18"/>
                <w:szCs w:val="18"/>
                <w:i w:val="1"/>
                <w:iCs w:val="1"/>
                <w:color w:val="auto"/>
              </w:rPr>
              <w:t>Securities Owned by Issuer Deemed Not Outstanding</w:t>
            </w:r>
          </w:p>
        </w:tc>
        <w:tc>
          <w:tcPr>
            <w:tcW w:w="22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Section 6.05.</w:t>
            </w:r>
          </w:p>
        </w:tc>
        <w:tc>
          <w:tcPr>
            <w:tcW w:w="7940" w:type="dxa"/>
            <w:vAlign w:val="bottom"/>
          </w:tcPr>
          <w:p>
            <w:pPr>
              <w:ind w:left="200"/>
              <w:spacing w:after="0"/>
              <w:rPr>
                <w:sz w:val="20"/>
                <w:szCs w:val="20"/>
                <w:color w:val="auto"/>
              </w:rPr>
            </w:pPr>
            <w:r>
              <w:rPr>
                <w:rFonts w:ascii="Arial" w:cs="Arial" w:eastAsia="Arial" w:hAnsi="Arial"/>
                <w:sz w:val="18"/>
                <w:szCs w:val="18"/>
                <w:i w:val="1"/>
                <w:iCs w:val="1"/>
                <w:color w:val="auto"/>
              </w:rPr>
              <w:t>Right of Revocation of Action Taken</w:t>
            </w:r>
          </w:p>
        </w:tc>
        <w:tc>
          <w:tcPr>
            <w:tcW w:w="224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4" w:right="33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7</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Amendments, Supplements and Waivers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7.01.</w:t>
            </w:r>
          </w:p>
        </w:tc>
        <w:tc>
          <w:tcPr>
            <w:tcW w:w="9640" w:type="dxa"/>
            <w:vAlign w:val="bottom"/>
          </w:tcPr>
          <w:p>
            <w:pPr>
              <w:ind w:left="200"/>
              <w:spacing w:after="0"/>
              <w:rPr>
                <w:sz w:val="20"/>
                <w:szCs w:val="20"/>
                <w:color w:val="auto"/>
              </w:rPr>
            </w:pPr>
            <w:r>
              <w:rPr>
                <w:rFonts w:ascii="Arial" w:cs="Arial" w:eastAsia="Arial" w:hAnsi="Arial"/>
                <w:sz w:val="18"/>
                <w:szCs w:val="18"/>
                <w:i w:val="1"/>
                <w:iCs w:val="1"/>
                <w:color w:val="auto"/>
              </w:rPr>
              <w:t>Supplemental Indentures without Consent of Holders</w:t>
            </w:r>
          </w:p>
        </w:tc>
        <w:tc>
          <w:tcPr>
            <w:tcW w:w="4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7.02.</w:t>
            </w:r>
          </w:p>
        </w:tc>
        <w:tc>
          <w:tcPr>
            <w:tcW w:w="9640" w:type="dxa"/>
            <w:vAlign w:val="bottom"/>
          </w:tcPr>
          <w:p>
            <w:pPr>
              <w:ind w:left="200"/>
              <w:spacing w:after="0"/>
              <w:rPr>
                <w:sz w:val="20"/>
                <w:szCs w:val="20"/>
                <w:color w:val="auto"/>
              </w:rPr>
            </w:pPr>
            <w:r>
              <w:rPr>
                <w:rFonts w:ascii="Arial" w:cs="Arial" w:eastAsia="Arial" w:hAnsi="Arial"/>
                <w:sz w:val="18"/>
                <w:szCs w:val="18"/>
                <w:i w:val="1"/>
                <w:iCs w:val="1"/>
                <w:color w:val="auto"/>
              </w:rPr>
              <w:t>Supplemental Indentures with Consent of Holders</w:t>
            </w: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7.03.</w:t>
            </w:r>
          </w:p>
        </w:tc>
        <w:tc>
          <w:tcPr>
            <w:tcW w:w="9640" w:type="dxa"/>
            <w:vAlign w:val="bottom"/>
          </w:tcPr>
          <w:p>
            <w:pPr>
              <w:ind w:left="200"/>
              <w:spacing w:after="0"/>
              <w:rPr>
                <w:sz w:val="20"/>
                <w:szCs w:val="20"/>
                <w:color w:val="auto"/>
              </w:rPr>
            </w:pPr>
            <w:r>
              <w:rPr>
                <w:rFonts w:ascii="Arial" w:cs="Arial" w:eastAsia="Arial" w:hAnsi="Arial"/>
                <w:sz w:val="18"/>
                <w:szCs w:val="18"/>
                <w:i w:val="1"/>
                <w:iCs w:val="1"/>
                <w:color w:val="auto"/>
              </w:rPr>
              <w:t>Execution of Amendments or Supplemental Indentures or Waivers</w:t>
            </w: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7.04.</w:t>
            </w:r>
          </w:p>
        </w:tc>
        <w:tc>
          <w:tcPr>
            <w:tcW w:w="9640" w:type="dxa"/>
            <w:vAlign w:val="bottom"/>
          </w:tcPr>
          <w:p>
            <w:pPr>
              <w:ind w:left="200"/>
              <w:spacing w:after="0"/>
              <w:rPr>
                <w:sz w:val="20"/>
                <w:szCs w:val="20"/>
                <w:color w:val="auto"/>
              </w:rPr>
            </w:pPr>
            <w:r>
              <w:rPr>
                <w:rFonts w:ascii="Arial" w:cs="Arial" w:eastAsia="Arial" w:hAnsi="Arial"/>
                <w:sz w:val="18"/>
                <w:szCs w:val="18"/>
                <w:i w:val="1"/>
                <w:iCs w:val="1"/>
                <w:color w:val="auto"/>
              </w:rPr>
              <w:t>Effect of Amendment, Supplemental Indenture or Waiver</w:t>
            </w: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7.05.</w:t>
            </w:r>
          </w:p>
        </w:tc>
        <w:tc>
          <w:tcPr>
            <w:tcW w:w="9640" w:type="dxa"/>
            <w:vAlign w:val="bottom"/>
          </w:tcPr>
          <w:p>
            <w:pPr>
              <w:ind w:left="200"/>
              <w:spacing w:after="0"/>
              <w:rPr>
                <w:sz w:val="20"/>
                <w:szCs w:val="20"/>
                <w:color w:val="auto"/>
              </w:rPr>
            </w:pPr>
            <w:r>
              <w:rPr>
                <w:rFonts w:ascii="Arial" w:cs="Arial" w:eastAsia="Arial" w:hAnsi="Arial"/>
                <w:sz w:val="18"/>
                <w:szCs w:val="18"/>
                <w:i w:val="1"/>
                <w:iCs w:val="1"/>
                <w:color w:val="auto"/>
              </w:rPr>
              <w:t>Effect of Consent</w:t>
            </w:r>
          </w:p>
        </w:tc>
        <w:tc>
          <w:tcPr>
            <w:tcW w:w="4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7.06.</w:t>
            </w:r>
          </w:p>
        </w:tc>
        <w:tc>
          <w:tcPr>
            <w:tcW w:w="9640" w:type="dxa"/>
            <w:vAlign w:val="bottom"/>
          </w:tcPr>
          <w:p>
            <w:pPr>
              <w:ind w:left="200"/>
              <w:spacing w:after="0"/>
              <w:rPr>
                <w:sz w:val="20"/>
                <w:szCs w:val="20"/>
                <w:color w:val="auto"/>
              </w:rPr>
            </w:pPr>
            <w:r>
              <w:rPr>
                <w:rFonts w:ascii="Arial" w:cs="Arial" w:eastAsia="Arial" w:hAnsi="Arial"/>
                <w:sz w:val="18"/>
                <w:szCs w:val="18"/>
                <w:i w:val="1"/>
                <w:iCs w:val="1"/>
                <w:color w:val="auto"/>
              </w:rPr>
              <w:t>Notation on Securities in Respect of Amendments, Supplemental Indentures or Waivers</w:t>
            </w:r>
          </w:p>
        </w:tc>
        <w:tc>
          <w:tcPr>
            <w:tcW w:w="4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7.07.</w:t>
            </w:r>
          </w:p>
        </w:tc>
        <w:tc>
          <w:tcPr>
            <w:tcW w:w="9640" w:type="dxa"/>
            <w:vAlign w:val="bottom"/>
          </w:tcPr>
          <w:p>
            <w:pPr>
              <w:ind w:left="200"/>
              <w:spacing w:after="0"/>
              <w:rPr>
                <w:sz w:val="20"/>
                <w:szCs w:val="20"/>
                <w:color w:val="auto"/>
              </w:rPr>
            </w:pPr>
            <w:r>
              <w:rPr>
                <w:rFonts w:ascii="Arial" w:cs="Arial" w:eastAsia="Arial" w:hAnsi="Arial"/>
                <w:sz w:val="18"/>
                <w:szCs w:val="18"/>
                <w:i w:val="1"/>
                <w:iCs w:val="1"/>
                <w:color w:val="auto"/>
                <w:w w:val="93"/>
              </w:rPr>
              <w:t xml:space="preserve">Conformity with the Trust Indenture Act. </w:t>
            </w:r>
            <w:r>
              <w:rPr>
                <w:rFonts w:ascii="Arial" w:cs="Arial" w:eastAsia="Arial" w:hAnsi="Arial"/>
                <w:sz w:val="18"/>
                <w:szCs w:val="18"/>
                <w:color w:val="auto"/>
                <w:w w:val="93"/>
              </w:rPr>
              <w:t>Every amendment, supplemental indenture or waiver executed pursuant to this Article</w:t>
            </w:r>
          </w:p>
        </w:tc>
        <w:tc>
          <w:tcPr>
            <w:tcW w:w="42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shall conform to the requirements of the Trust Indenture Act as then in effect</w:t>
            </w:r>
          </w:p>
        </w:tc>
        <w:tc>
          <w:tcPr>
            <w:tcW w:w="4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8"/>
        </w:trPr>
        <w:tc>
          <w:tcPr>
            <w:tcW w:w="1260" w:type="dxa"/>
            <w:vAlign w:val="bottom"/>
          </w:tcPr>
          <w:p>
            <w:pPr>
              <w:spacing w:after="0"/>
              <w:rPr>
                <w:sz w:val="24"/>
                <w:szCs w:val="24"/>
                <w:color w:val="auto"/>
              </w:rPr>
            </w:pPr>
          </w:p>
        </w:tc>
        <w:tc>
          <w:tcPr>
            <w:tcW w:w="9640" w:type="dxa"/>
            <w:vAlign w:val="bottom"/>
          </w:tcPr>
          <w:p>
            <w:pPr>
              <w:jc w:val="center"/>
              <w:ind w:right="750"/>
              <w:spacing w:after="0"/>
              <w:rPr>
                <w:sz w:val="20"/>
                <w:szCs w:val="20"/>
                <w:color w:val="auto"/>
              </w:rPr>
            </w:pPr>
            <w:r>
              <w:rPr>
                <w:rFonts w:ascii="Arial" w:cs="Arial" w:eastAsia="Arial" w:hAnsi="Arial"/>
                <w:sz w:val="18"/>
                <w:szCs w:val="18"/>
                <w:color w:val="auto"/>
                <w:w w:val="96"/>
              </w:rPr>
              <w:t>ARTICLE 8</w:t>
            </w:r>
          </w:p>
        </w:tc>
        <w:tc>
          <w:tcPr>
            <w:tcW w:w="420" w:type="dxa"/>
            <w:vAlign w:val="bottom"/>
          </w:tcPr>
          <w:p>
            <w:pPr>
              <w:spacing w:after="0"/>
              <w:rPr>
                <w:sz w:val="24"/>
                <w:szCs w:val="24"/>
                <w:color w:val="auto"/>
              </w:rPr>
            </w:pPr>
          </w:p>
        </w:tc>
      </w:tr>
      <w:tr>
        <w:trPr>
          <w:trHeight w:val="230"/>
        </w:trPr>
        <w:tc>
          <w:tcPr>
            <w:tcW w:w="1260" w:type="dxa"/>
            <w:vAlign w:val="bottom"/>
          </w:tcPr>
          <w:p>
            <w:pPr>
              <w:spacing w:after="0"/>
              <w:rPr>
                <w:sz w:val="20"/>
                <w:szCs w:val="20"/>
                <w:color w:val="auto"/>
              </w:rPr>
            </w:pPr>
          </w:p>
        </w:tc>
        <w:tc>
          <w:tcPr>
            <w:tcW w:w="9640" w:type="dxa"/>
            <w:vAlign w:val="bottom"/>
          </w:tcPr>
          <w:p>
            <w:pPr>
              <w:jc w:val="center"/>
              <w:ind w:right="730"/>
              <w:spacing w:after="0"/>
              <w:rPr>
                <w:sz w:val="20"/>
                <w:szCs w:val="20"/>
                <w:color w:val="auto"/>
              </w:rPr>
            </w:pPr>
            <w:r>
              <w:rPr>
                <w:rFonts w:ascii="Arial" w:cs="Arial" w:eastAsia="Arial" w:hAnsi="Arial"/>
                <w:sz w:val="18"/>
                <w:szCs w:val="18"/>
                <w:color w:val="auto"/>
                <w:w w:val="90"/>
              </w:rPr>
              <w:t>Consolidation, Merger, Sale or Conveyance</w:t>
            </w:r>
          </w:p>
        </w:tc>
        <w:tc>
          <w:tcPr>
            <w:tcW w:w="420" w:type="dxa"/>
            <w:vAlign w:val="bottom"/>
          </w:tcPr>
          <w:p>
            <w:pPr>
              <w:spacing w:after="0"/>
              <w:rPr>
                <w:sz w:val="20"/>
                <w:szCs w:val="20"/>
                <w:color w:val="auto"/>
              </w:rPr>
            </w:pPr>
          </w:p>
        </w:tc>
      </w:tr>
      <w:tr>
        <w:trPr>
          <w:trHeight w:val="431"/>
        </w:trPr>
        <w:tc>
          <w:tcPr>
            <w:tcW w:w="1260" w:type="dxa"/>
            <w:vAlign w:val="bottom"/>
          </w:tcPr>
          <w:p>
            <w:pPr>
              <w:spacing w:after="0"/>
              <w:rPr>
                <w:sz w:val="20"/>
                <w:szCs w:val="20"/>
                <w:color w:val="auto"/>
              </w:rPr>
            </w:pPr>
            <w:r>
              <w:rPr>
                <w:rFonts w:ascii="Arial" w:cs="Arial" w:eastAsia="Arial" w:hAnsi="Arial"/>
                <w:sz w:val="18"/>
                <w:szCs w:val="18"/>
                <w:color w:val="auto"/>
              </w:rPr>
              <w:t>Section 8.01.</w:t>
            </w:r>
          </w:p>
        </w:tc>
        <w:tc>
          <w:tcPr>
            <w:tcW w:w="9640" w:type="dxa"/>
            <w:vAlign w:val="bottom"/>
          </w:tcPr>
          <w:p>
            <w:pPr>
              <w:ind w:left="200"/>
              <w:spacing w:after="0"/>
              <w:rPr>
                <w:sz w:val="20"/>
                <w:szCs w:val="20"/>
                <w:color w:val="auto"/>
              </w:rPr>
            </w:pPr>
            <w:r>
              <w:rPr>
                <w:rFonts w:ascii="Arial" w:cs="Arial" w:eastAsia="Arial" w:hAnsi="Arial"/>
                <w:sz w:val="18"/>
                <w:szCs w:val="18"/>
                <w:i w:val="1"/>
                <w:iCs w:val="1"/>
                <w:color w:val="auto"/>
              </w:rPr>
              <w:t>Consolidation, Merger or Sale of Assets by the Issuer</w:t>
            </w:r>
          </w:p>
        </w:tc>
        <w:tc>
          <w:tcPr>
            <w:tcW w:w="4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8.02.</w:t>
            </w:r>
          </w:p>
        </w:tc>
        <w:tc>
          <w:tcPr>
            <w:tcW w:w="9640" w:type="dxa"/>
            <w:vAlign w:val="bottom"/>
          </w:tcPr>
          <w:p>
            <w:pPr>
              <w:ind w:left="200"/>
              <w:spacing w:after="0"/>
              <w:rPr>
                <w:sz w:val="20"/>
                <w:szCs w:val="20"/>
                <w:color w:val="auto"/>
              </w:rPr>
            </w:pPr>
            <w:r>
              <w:rPr>
                <w:rFonts w:ascii="Arial" w:cs="Arial" w:eastAsia="Arial" w:hAnsi="Arial"/>
                <w:sz w:val="18"/>
                <w:szCs w:val="18"/>
                <w:i w:val="1"/>
                <w:iCs w:val="1"/>
                <w:color w:val="auto"/>
              </w:rPr>
              <w:t>Successor Substituted</w:t>
            </w: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18"/>
        </w:trPr>
        <w:tc>
          <w:tcPr>
            <w:tcW w:w="1260" w:type="dxa"/>
            <w:vAlign w:val="bottom"/>
          </w:tcPr>
          <w:p>
            <w:pPr>
              <w:spacing w:after="0"/>
              <w:rPr>
                <w:sz w:val="24"/>
                <w:szCs w:val="24"/>
                <w:color w:val="auto"/>
              </w:rPr>
            </w:pPr>
          </w:p>
        </w:tc>
        <w:tc>
          <w:tcPr>
            <w:tcW w:w="9640" w:type="dxa"/>
            <w:vAlign w:val="bottom"/>
          </w:tcPr>
          <w:p>
            <w:pPr>
              <w:jc w:val="center"/>
              <w:ind w:right="750"/>
              <w:spacing w:after="0"/>
              <w:rPr>
                <w:sz w:val="20"/>
                <w:szCs w:val="20"/>
                <w:color w:val="auto"/>
              </w:rPr>
            </w:pPr>
            <w:r>
              <w:rPr>
                <w:rFonts w:ascii="Arial" w:cs="Arial" w:eastAsia="Arial" w:hAnsi="Arial"/>
                <w:sz w:val="18"/>
                <w:szCs w:val="18"/>
                <w:color w:val="auto"/>
                <w:w w:val="96"/>
              </w:rPr>
              <w:t>ARTICLE 9</w:t>
            </w:r>
          </w:p>
        </w:tc>
        <w:tc>
          <w:tcPr>
            <w:tcW w:w="420" w:type="dxa"/>
            <w:vAlign w:val="bottom"/>
          </w:tcPr>
          <w:p>
            <w:pPr>
              <w:spacing w:after="0"/>
              <w:rPr>
                <w:sz w:val="24"/>
                <w:szCs w:val="24"/>
                <w:color w:val="auto"/>
              </w:rPr>
            </w:pPr>
          </w:p>
        </w:tc>
      </w:tr>
      <w:tr>
        <w:trPr>
          <w:trHeight w:val="230"/>
        </w:trPr>
        <w:tc>
          <w:tcPr>
            <w:tcW w:w="1260" w:type="dxa"/>
            <w:vAlign w:val="bottom"/>
          </w:tcPr>
          <w:p>
            <w:pPr>
              <w:spacing w:after="0"/>
              <w:rPr>
                <w:sz w:val="20"/>
                <w:szCs w:val="20"/>
                <w:color w:val="auto"/>
              </w:rPr>
            </w:pPr>
          </w:p>
        </w:tc>
        <w:tc>
          <w:tcPr>
            <w:tcW w:w="9640" w:type="dxa"/>
            <w:vAlign w:val="bottom"/>
          </w:tcPr>
          <w:p>
            <w:pPr>
              <w:jc w:val="center"/>
              <w:ind w:right="730"/>
              <w:spacing w:after="0"/>
              <w:rPr>
                <w:sz w:val="20"/>
                <w:szCs w:val="20"/>
                <w:color w:val="auto"/>
              </w:rPr>
            </w:pPr>
            <w:r>
              <w:rPr>
                <w:rFonts w:ascii="Arial" w:cs="Arial" w:eastAsia="Arial" w:hAnsi="Arial"/>
                <w:sz w:val="18"/>
                <w:szCs w:val="18"/>
                <w:color w:val="auto"/>
                <w:w w:val="89"/>
              </w:rPr>
              <w:t>Defeasance and Discharge; Unclaimed Moneys</w:t>
            </w:r>
          </w:p>
        </w:tc>
        <w:tc>
          <w:tcPr>
            <w:tcW w:w="420" w:type="dxa"/>
            <w:vAlign w:val="bottom"/>
          </w:tcPr>
          <w:p>
            <w:pPr>
              <w:spacing w:after="0"/>
              <w:rPr>
                <w:sz w:val="20"/>
                <w:szCs w:val="20"/>
                <w:color w:val="auto"/>
              </w:rPr>
            </w:pPr>
          </w:p>
        </w:tc>
      </w:tr>
      <w:tr>
        <w:trPr>
          <w:trHeight w:val="431"/>
        </w:trPr>
        <w:tc>
          <w:tcPr>
            <w:tcW w:w="1260" w:type="dxa"/>
            <w:vAlign w:val="bottom"/>
          </w:tcPr>
          <w:p>
            <w:pPr>
              <w:spacing w:after="0"/>
              <w:rPr>
                <w:sz w:val="20"/>
                <w:szCs w:val="20"/>
                <w:color w:val="auto"/>
              </w:rPr>
            </w:pPr>
            <w:r>
              <w:rPr>
                <w:rFonts w:ascii="Arial" w:cs="Arial" w:eastAsia="Arial" w:hAnsi="Arial"/>
                <w:sz w:val="18"/>
                <w:szCs w:val="18"/>
                <w:color w:val="auto"/>
              </w:rPr>
              <w:t>Section 9.01.</w:t>
            </w:r>
          </w:p>
        </w:tc>
        <w:tc>
          <w:tcPr>
            <w:tcW w:w="9640" w:type="dxa"/>
            <w:vAlign w:val="bottom"/>
          </w:tcPr>
          <w:p>
            <w:pPr>
              <w:ind w:left="200"/>
              <w:spacing w:after="0"/>
              <w:rPr>
                <w:sz w:val="20"/>
                <w:szCs w:val="20"/>
                <w:color w:val="auto"/>
              </w:rPr>
            </w:pPr>
            <w:r>
              <w:rPr>
                <w:rFonts w:ascii="Arial" w:cs="Arial" w:eastAsia="Arial" w:hAnsi="Arial"/>
                <w:sz w:val="18"/>
                <w:szCs w:val="18"/>
                <w:i w:val="1"/>
                <w:iCs w:val="1"/>
                <w:color w:val="auto"/>
              </w:rPr>
              <w:t>Satisfaction and Discharge of Indenture</w:t>
            </w: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9.02.</w:t>
            </w:r>
          </w:p>
        </w:tc>
        <w:tc>
          <w:tcPr>
            <w:tcW w:w="9640" w:type="dxa"/>
            <w:vAlign w:val="bottom"/>
          </w:tcPr>
          <w:p>
            <w:pPr>
              <w:ind w:left="200"/>
              <w:spacing w:after="0"/>
              <w:rPr>
                <w:sz w:val="20"/>
                <w:szCs w:val="20"/>
                <w:color w:val="auto"/>
              </w:rPr>
            </w:pPr>
            <w:r>
              <w:rPr>
                <w:rFonts w:ascii="Arial" w:cs="Arial" w:eastAsia="Arial" w:hAnsi="Arial"/>
                <w:sz w:val="18"/>
                <w:szCs w:val="18"/>
                <w:i w:val="1"/>
                <w:iCs w:val="1"/>
                <w:color w:val="auto"/>
              </w:rPr>
              <w:t>Legal Defeasance</w:t>
            </w:r>
          </w:p>
        </w:tc>
        <w:tc>
          <w:tcPr>
            <w:tcW w:w="4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9.03.</w:t>
            </w:r>
          </w:p>
        </w:tc>
        <w:tc>
          <w:tcPr>
            <w:tcW w:w="9640" w:type="dxa"/>
            <w:vAlign w:val="bottom"/>
          </w:tcPr>
          <w:p>
            <w:pPr>
              <w:ind w:left="200"/>
              <w:spacing w:after="0"/>
              <w:rPr>
                <w:sz w:val="20"/>
                <w:szCs w:val="20"/>
                <w:color w:val="auto"/>
              </w:rPr>
            </w:pPr>
            <w:r>
              <w:rPr>
                <w:rFonts w:ascii="Arial" w:cs="Arial" w:eastAsia="Arial" w:hAnsi="Arial"/>
                <w:sz w:val="18"/>
                <w:szCs w:val="18"/>
                <w:i w:val="1"/>
                <w:iCs w:val="1"/>
                <w:color w:val="auto"/>
              </w:rPr>
              <w:t>Covenant Defeasance</w:t>
            </w:r>
          </w:p>
        </w:tc>
        <w:tc>
          <w:tcPr>
            <w:tcW w:w="4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9.04.</w:t>
            </w:r>
          </w:p>
        </w:tc>
        <w:tc>
          <w:tcPr>
            <w:tcW w:w="9640" w:type="dxa"/>
            <w:vAlign w:val="bottom"/>
          </w:tcPr>
          <w:p>
            <w:pPr>
              <w:ind w:left="200"/>
              <w:spacing w:after="0"/>
              <w:rPr>
                <w:sz w:val="20"/>
                <w:szCs w:val="20"/>
                <w:color w:val="auto"/>
              </w:rPr>
            </w:pPr>
            <w:r>
              <w:rPr>
                <w:rFonts w:ascii="Arial" w:cs="Arial" w:eastAsia="Arial" w:hAnsi="Arial"/>
                <w:sz w:val="18"/>
                <w:szCs w:val="18"/>
                <w:i w:val="1"/>
                <w:iCs w:val="1"/>
                <w:color w:val="auto"/>
              </w:rPr>
              <w:t>Application by Trustee of Funds Deposited for Payment of Securities</w:t>
            </w:r>
          </w:p>
        </w:tc>
        <w:tc>
          <w:tcPr>
            <w:tcW w:w="4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9.05.</w:t>
            </w:r>
          </w:p>
        </w:tc>
        <w:tc>
          <w:tcPr>
            <w:tcW w:w="9640" w:type="dxa"/>
            <w:vAlign w:val="bottom"/>
          </w:tcPr>
          <w:p>
            <w:pPr>
              <w:ind w:left="200"/>
              <w:spacing w:after="0"/>
              <w:rPr>
                <w:sz w:val="20"/>
                <w:szCs w:val="20"/>
                <w:color w:val="auto"/>
              </w:rPr>
            </w:pPr>
            <w:r>
              <w:rPr>
                <w:rFonts w:ascii="Arial" w:cs="Arial" w:eastAsia="Arial" w:hAnsi="Arial"/>
                <w:sz w:val="18"/>
                <w:szCs w:val="18"/>
                <w:i w:val="1"/>
                <w:iCs w:val="1"/>
                <w:color w:val="auto"/>
              </w:rPr>
              <w:t>Repayment of Moneys Held by Paying Agent</w:t>
            </w:r>
          </w:p>
        </w:tc>
        <w:tc>
          <w:tcPr>
            <w:tcW w:w="4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9.06.</w:t>
            </w:r>
          </w:p>
        </w:tc>
        <w:tc>
          <w:tcPr>
            <w:tcW w:w="9640" w:type="dxa"/>
            <w:vAlign w:val="bottom"/>
          </w:tcPr>
          <w:p>
            <w:pPr>
              <w:ind w:left="200"/>
              <w:spacing w:after="0"/>
              <w:rPr>
                <w:sz w:val="20"/>
                <w:szCs w:val="20"/>
                <w:color w:val="auto"/>
              </w:rPr>
            </w:pPr>
            <w:r>
              <w:rPr>
                <w:rFonts w:ascii="Arial" w:cs="Arial" w:eastAsia="Arial" w:hAnsi="Arial"/>
                <w:sz w:val="18"/>
                <w:szCs w:val="18"/>
                <w:i w:val="1"/>
                <w:iCs w:val="1"/>
                <w:color w:val="auto"/>
              </w:rPr>
              <w:t>Return of Moneys Held by Trustee and Paying Agent Unclaimed for Two Years</w:t>
            </w:r>
          </w:p>
        </w:tc>
        <w:tc>
          <w:tcPr>
            <w:tcW w:w="4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18"/>
        </w:trPr>
        <w:tc>
          <w:tcPr>
            <w:tcW w:w="1260" w:type="dxa"/>
            <w:vAlign w:val="bottom"/>
          </w:tcPr>
          <w:p>
            <w:pPr>
              <w:spacing w:after="0"/>
              <w:rPr>
                <w:sz w:val="24"/>
                <w:szCs w:val="24"/>
                <w:color w:val="auto"/>
              </w:rPr>
            </w:pPr>
          </w:p>
        </w:tc>
        <w:tc>
          <w:tcPr>
            <w:tcW w:w="9640" w:type="dxa"/>
            <w:vAlign w:val="bottom"/>
          </w:tcPr>
          <w:p>
            <w:pPr>
              <w:jc w:val="center"/>
              <w:ind w:right="730"/>
              <w:spacing w:after="0"/>
              <w:rPr>
                <w:sz w:val="20"/>
                <w:szCs w:val="20"/>
                <w:color w:val="auto"/>
              </w:rPr>
            </w:pPr>
            <w:r>
              <w:rPr>
                <w:rFonts w:ascii="Arial" w:cs="Arial" w:eastAsia="Arial" w:hAnsi="Arial"/>
                <w:sz w:val="18"/>
                <w:szCs w:val="18"/>
                <w:color w:val="auto"/>
                <w:w w:val="96"/>
              </w:rPr>
              <w:t>ARTICLE 10</w:t>
            </w:r>
          </w:p>
        </w:tc>
        <w:tc>
          <w:tcPr>
            <w:tcW w:w="420" w:type="dxa"/>
            <w:vAlign w:val="bottom"/>
          </w:tcPr>
          <w:p>
            <w:pPr>
              <w:spacing w:after="0"/>
              <w:rPr>
                <w:sz w:val="24"/>
                <w:szCs w:val="24"/>
                <w:color w:val="auto"/>
              </w:rPr>
            </w:pPr>
          </w:p>
        </w:tc>
      </w:tr>
      <w:tr>
        <w:trPr>
          <w:trHeight w:val="230"/>
        </w:trPr>
        <w:tc>
          <w:tcPr>
            <w:tcW w:w="1260" w:type="dxa"/>
            <w:vAlign w:val="bottom"/>
          </w:tcPr>
          <w:p>
            <w:pPr>
              <w:spacing w:after="0"/>
              <w:rPr>
                <w:sz w:val="20"/>
                <w:szCs w:val="20"/>
                <w:color w:val="auto"/>
              </w:rPr>
            </w:pPr>
          </w:p>
        </w:tc>
        <w:tc>
          <w:tcPr>
            <w:tcW w:w="9640" w:type="dxa"/>
            <w:vAlign w:val="bottom"/>
          </w:tcPr>
          <w:p>
            <w:pPr>
              <w:jc w:val="center"/>
              <w:ind w:right="750"/>
              <w:spacing w:after="0"/>
              <w:rPr>
                <w:sz w:val="20"/>
                <w:szCs w:val="20"/>
                <w:color w:val="auto"/>
              </w:rPr>
            </w:pPr>
            <w:r>
              <w:rPr>
                <w:rFonts w:ascii="Arial" w:cs="Arial" w:eastAsia="Arial" w:hAnsi="Arial"/>
                <w:sz w:val="18"/>
                <w:szCs w:val="18"/>
                <w:color w:val="auto"/>
                <w:w w:val="91"/>
              </w:rPr>
              <w:t>Miscellaneous Provisions</w:t>
            </w:r>
          </w:p>
        </w:tc>
        <w:tc>
          <w:tcPr>
            <w:tcW w:w="420" w:type="dxa"/>
            <w:vAlign w:val="bottom"/>
          </w:tcPr>
          <w:p>
            <w:pPr>
              <w:spacing w:after="0"/>
              <w:rPr>
                <w:sz w:val="20"/>
                <w:szCs w:val="20"/>
                <w:color w:val="auto"/>
              </w:rPr>
            </w:pPr>
          </w:p>
        </w:tc>
      </w:tr>
      <w:tr>
        <w:trPr>
          <w:trHeight w:val="431"/>
        </w:trPr>
        <w:tc>
          <w:tcPr>
            <w:tcW w:w="1260" w:type="dxa"/>
            <w:vAlign w:val="bottom"/>
          </w:tcPr>
          <w:p>
            <w:pPr>
              <w:spacing w:after="0"/>
              <w:rPr>
                <w:sz w:val="20"/>
                <w:szCs w:val="20"/>
                <w:color w:val="auto"/>
              </w:rPr>
            </w:pPr>
            <w:r>
              <w:rPr>
                <w:rFonts w:ascii="Arial" w:cs="Arial" w:eastAsia="Arial" w:hAnsi="Arial"/>
                <w:sz w:val="18"/>
                <w:szCs w:val="18"/>
                <w:color w:val="auto"/>
              </w:rPr>
              <w:t>Section 10.01.</w:t>
            </w:r>
          </w:p>
        </w:tc>
        <w:tc>
          <w:tcPr>
            <w:tcW w:w="9640" w:type="dxa"/>
            <w:vAlign w:val="bottom"/>
          </w:tcPr>
          <w:p>
            <w:pPr>
              <w:ind w:left="200"/>
              <w:spacing w:after="0"/>
              <w:rPr>
                <w:sz w:val="20"/>
                <w:szCs w:val="20"/>
                <w:color w:val="auto"/>
              </w:rPr>
            </w:pPr>
            <w:r>
              <w:rPr>
                <w:rFonts w:ascii="Arial" w:cs="Arial" w:eastAsia="Arial" w:hAnsi="Arial"/>
                <w:sz w:val="18"/>
                <w:szCs w:val="18"/>
                <w:i w:val="1"/>
                <w:iCs w:val="1"/>
                <w:color w:val="auto"/>
              </w:rPr>
              <w:t>Incorporators, Stockholders, Employees, Officers and Directors Exempt from Individual Liability</w:t>
            </w:r>
          </w:p>
        </w:tc>
        <w:tc>
          <w:tcPr>
            <w:tcW w:w="4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10.02.</w:t>
            </w:r>
          </w:p>
        </w:tc>
        <w:tc>
          <w:tcPr>
            <w:tcW w:w="9640" w:type="dxa"/>
            <w:vAlign w:val="bottom"/>
          </w:tcPr>
          <w:p>
            <w:pPr>
              <w:ind w:left="200"/>
              <w:spacing w:after="0"/>
              <w:rPr>
                <w:sz w:val="20"/>
                <w:szCs w:val="20"/>
                <w:color w:val="auto"/>
              </w:rPr>
            </w:pPr>
            <w:r>
              <w:rPr>
                <w:rFonts w:ascii="Arial" w:cs="Arial" w:eastAsia="Arial" w:hAnsi="Arial"/>
                <w:sz w:val="18"/>
                <w:szCs w:val="18"/>
                <w:i w:val="1"/>
                <w:iCs w:val="1"/>
                <w:color w:val="auto"/>
              </w:rPr>
              <w:t>Provisions of Indenture for the Sole Benefit of Parties and Holders</w:t>
            </w: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10.03.</w:t>
            </w:r>
          </w:p>
        </w:tc>
        <w:tc>
          <w:tcPr>
            <w:tcW w:w="9640" w:type="dxa"/>
            <w:vAlign w:val="bottom"/>
          </w:tcPr>
          <w:p>
            <w:pPr>
              <w:ind w:left="200"/>
              <w:spacing w:after="0"/>
              <w:rPr>
                <w:sz w:val="20"/>
                <w:szCs w:val="20"/>
                <w:color w:val="auto"/>
              </w:rPr>
            </w:pPr>
            <w:r>
              <w:rPr>
                <w:rFonts w:ascii="Arial" w:cs="Arial" w:eastAsia="Arial" w:hAnsi="Arial"/>
                <w:sz w:val="18"/>
                <w:szCs w:val="18"/>
                <w:i w:val="1"/>
                <w:iCs w:val="1"/>
                <w:color w:val="auto"/>
              </w:rPr>
              <w:t>Successors and Assigns of Issuer Bound by Indenture</w:t>
            </w: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10.04.</w:t>
            </w:r>
          </w:p>
        </w:tc>
        <w:tc>
          <w:tcPr>
            <w:tcW w:w="9640" w:type="dxa"/>
            <w:vAlign w:val="bottom"/>
          </w:tcPr>
          <w:p>
            <w:pPr>
              <w:ind w:left="200"/>
              <w:spacing w:after="0"/>
              <w:rPr>
                <w:sz w:val="20"/>
                <w:szCs w:val="20"/>
                <w:color w:val="auto"/>
              </w:rPr>
            </w:pPr>
            <w:r>
              <w:rPr>
                <w:rFonts w:ascii="Arial" w:cs="Arial" w:eastAsia="Arial" w:hAnsi="Arial"/>
                <w:sz w:val="18"/>
                <w:szCs w:val="18"/>
                <w:i w:val="1"/>
                <w:iCs w:val="1"/>
                <w:color w:val="auto"/>
              </w:rPr>
              <w:t>Notices and Demands on Issuer, Trustee and Holders</w:t>
            </w: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10.05.</w:t>
            </w:r>
          </w:p>
        </w:tc>
        <w:tc>
          <w:tcPr>
            <w:tcW w:w="9640" w:type="dxa"/>
            <w:vAlign w:val="bottom"/>
          </w:tcPr>
          <w:p>
            <w:pPr>
              <w:ind w:left="200"/>
              <w:spacing w:after="0"/>
              <w:rPr>
                <w:sz w:val="20"/>
                <w:szCs w:val="20"/>
                <w:color w:val="auto"/>
              </w:rPr>
            </w:pPr>
            <w:r>
              <w:rPr>
                <w:rFonts w:ascii="Arial" w:cs="Arial" w:eastAsia="Arial" w:hAnsi="Arial"/>
                <w:sz w:val="18"/>
                <w:szCs w:val="18"/>
                <w:i w:val="1"/>
                <w:iCs w:val="1"/>
                <w:color w:val="auto"/>
              </w:rPr>
              <w:t>Officer’s Certificates and Opinions of Counsel; Statements to Be Contained Therein</w:t>
            </w:r>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10.06.</w:t>
            </w:r>
          </w:p>
        </w:tc>
        <w:tc>
          <w:tcPr>
            <w:tcW w:w="9640" w:type="dxa"/>
            <w:vAlign w:val="bottom"/>
          </w:tcPr>
          <w:p>
            <w:pPr>
              <w:ind w:left="200"/>
              <w:spacing w:after="0"/>
              <w:rPr>
                <w:sz w:val="20"/>
                <w:szCs w:val="20"/>
                <w:color w:val="auto"/>
              </w:rPr>
            </w:pPr>
            <w:r>
              <w:rPr>
                <w:rFonts w:ascii="Arial" w:cs="Arial" w:eastAsia="Arial" w:hAnsi="Arial"/>
                <w:sz w:val="18"/>
                <w:szCs w:val="18"/>
                <w:i w:val="1"/>
                <w:iCs w:val="1"/>
                <w:color w:val="auto"/>
              </w:rPr>
              <w:t>Payments Due on Saturdays, Sundays and Holidays</w:t>
            </w:r>
          </w:p>
        </w:tc>
        <w:tc>
          <w:tcPr>
            <w:tcW w:w="4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10.07.</w:t>
            </w:r>
          </w:p>
        </w:tc>
        <w:tc>
          <w:tcPr>
            <w:tcW w:w="9640" w:type="dxa"/>
            <w:vAlign w:val="bottom"/>
          </w:tcPr>
          <w:p>
            <w:pPr>
              <w:ind w:left="200"/>
              <w:spacing w:after="0"/>
              <w:rPr>
                <w:sz w:val="20"/>
                <w:szCs w:val="20"/>
                <w:color w:val="auto"/>
              </w:rPr>
            </w:pPr>
            <w:r>
              <w:rPr>
                <w:rFonts w:ascii="Arial" w:cs="Arial" w:eastAsia="Arial" w:hAnsi="Arial"/>
                <w:sz w:val="18"/>
                <w:szCs w:val="18"/>
                <w:i w:val="1"/>
                <w:iCs w:val="1"/>
                <w:color w:val="auto"/>
              </w:rPr>
              <w:t>Trust Indenture Act</w:t>
            </w:r>
          </w:p>
        </w:tc>
        <w:tc>
          <w:tcPr>
            <w:tcW w:w="420" w:type="dxa"/>
            <w:vAlign w:val="bottom"/>
          </w:tcPr>
          <w:p>
            <w:pPr>
              <w:jc w:val="right"/>
              <w:spacing w:after="0"/>
              <w:rPr>
                <w:sz w:val="20"/>
                <w:szCs w:val="20"/>
                <w:color w:val="auto"/>
              </w:rPr>
            </w:pPr>
            <w:r>
              <w:rPr>
                <w:rFonts w:ascii="Arial" w:cs="Arial" w:eastAsia="Arial" w:hAnsi="Arial"/>
                <w:sz w:val="18"/>
                <w:szCs w:val="18"/>
                <w:color w:val="auto"/>
              </w:rPr>
              <w:t>54</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74"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10.08.</w:t>
            </w:r>
          </w:p>
        </w:tc>
        <w:tc>
          <w:tcPr>
            <w:tcW w:w="8140" w:type="dxa"/>
            <w:vAlign w:val="bottom"/>
          </w:tcPr>
          <w:p>
            <w:pPr>
              <w:ind w:left="200"/>
              <w:spacing w:after="0"/>
              <w:rPr>
                <w:sz w:val="20"/>
                <w:szCs w:val="20"/>
                <w:color w:val="auto"/>
              </w:rPr>
            </w:pPr>
            <w:r>
              <w:rPr>
                <w:rFonts w:ascii="Arial" w:cs="Arial" w:eastAsia="Arial" w:hAnsi="Arial"/>
                <w:sz w:val="18"/>
                <w:szCs w:val="18"/>
                <w:i w:val="1"/>
                <w:iCs w:val="1"/>
                <w:color w:val="auto"/>
              </w:rPr>
              <w:t>New York Law to Govern; Waiver of Trial by Jury</w:t>
            </w:r>
          </w:p>
        </w:tc>
        <w:tc>
          <w:tcPr>
            <w:tcW w:w="19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10.09.</w:t>
            </w:r>
          </w:p>
        </w:tc>
        <w:tc>
          <w:tcPr>
            <w:tcW w:w="8140" w:type="dxa"/>
            <w:vAlign w:val="bottom"/>
          </w:tcPr>
          <w:p>
            <w:pPr>
              <w:ind w:left="200"/>
              <w:spacing w:after="0"/>
              <w:rPr>
                <w:sz w:val="20"/>
                <w:szCs w:val="20"/>
                <w:color w:val="auto"/>
              </w:rPr>
            </w:pPr>
            <w:r>
              <w:rPr>
                <w:rFonts w:ascii="Arial" w:cs="Arial" w:eastAsia="Arial" w:hAnsi="Arial"/>
                <w:sz w:val="18"/>
                <w:szCs w:val="18"/>
                <w:i w:val="1"/>
                <w:iCs w:val="1"/>
                <w:color w:val="auto"/>
              </w:rPr>
              <w:t>Counterparts</w:t>
            </w:r>
          </w:p>
        </w:tc>
        <w:tc>
          <w:tcPr>
            <w:tcW w:w="19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10.10.</w:t>
            </w:r>
          </w:p>
        </w:tc>
        <w:tc>
          <w:tcPr>
            <w:tcW w:w="8140" w:type="dxa"/>
            <w:vAlign w:val="bottom"/>
          </w:tcPr>
          <w:p>
            <w:pPr>
              <w:ind w:left="200"/>
              <w:spacing w:after="0"/>
              <w:rPr>
                <w:sz w:val="20"/>
                <w:szCs w:val="20"/>
                <w:color w:val="auto"/>
              </w:rPr>
            </w:pPr>
            <w:r>
              <w:rPr>
                <w:rFonts w:ascii="Arial" w:cs="Arial" w:eastAsia="Arial" w:hAnsi="Arial"/>
                <w:sz w:val="18"/>
                <w:szCs w:val="18"/>
                <w:i w:val="1"/>
                <w:iCs w:val="1"/>
                <w:color w:val="auto"/>
              </w:rPr>
              <w:t>Effect of Headings</w:t>
            </w:r>
          </w:p>
        </w:tc>
        <w:tc>
          <w:tcPr>
            <w:tcW w:w="19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10.11.</w:t>
            </w:r>
          </w:p>
        </w:tc>
        <w:tc>
          <w:tcPr>
            <w:tcW w:w="8140" w:type="dxa"/>
            <w:vAlign w:val="bottom"/>
          </w:tcPr>
          <w:p>
            <w:pPr>
              <w:ind w:left="200"/>
              <w:spacing w:after="0"/>
              <w:rPr>
                <w:sz w:val="20"/>
                <w:szCs w:val="20"/>
                <w:color w:val="auto"/>
              </w:rPr>
            </w:pPr>
            <w:r>
              <w:rPr>
                <w:rFonts w:ascii="Arial" w:cs="Arial" w:eastAsia="Arial" w:hAnsi="Arial"/>
                <w:sz w:val="18"/>
                <w:szCs w:val="18"/>
                <w:i w:val="1"/>
                <w:iCs w:val="1"/>
                <w:color w:val="auto"/>
              </w:rPr>
              <w:t>Separability</w:t>
            </w:r>
          </w:p>
        </w:tc>
        <w:tc>
          <w:tcPr>
            <w:tcW w:w="19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10.12.</w:t>
            </w:r>
          </w:p>
        </w:tc>
        <w:tc>
          <w:tcPr>
            <w:tcW w:w="8140" w:type="dxa"/>
            <w:vAlign w:val="bottom"/>
          </w:tcPr>
          <w:p>
            <w:pPr>
              <w:ind w:left="200"/>
              <w:spacing w:after="0"/>
              <w:rPr>
                <w:sz w:val="20"/>
                <w:szCs w:val="20"/>
                <w:color w:val="auto"/>
              </w:rPr>
            </w:pPr>
            <w:r>
              <w:rPr>
                <w:rFonts w:ascii="Arial" w:cs="Arial" w:eastAsia="Arial" w:hAnsi="Arial"/>
                <w:sz w:val="18"/>
                <w:szCs w:val="18"/>
                <w:i w:val="1"/>
                <w:iCs w:val="1"/>
                <w:color w:val="auto"/>
              </w:rPr>
              <w:t>Force Majeure</w:t>
            </w:r>
          </w:p>
        </w:tc>
        <w:tc>
          <w:tcPr>
            <w:tcW w:w="19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10.13.</w:t>
            </w:r>
          </w:p>
        </w:tc>
        <w:tc>
          <w:tcPr>
            <w:tcW w:w="8140" w:type="dxa"/>
            <w:vAlign w:val="bottom"/>
          </w:tcPr>
          <w:p>
            <w:pPr>
              <w:ind w:left="200"/>
              <w:spacing w:after="0"/>
              <w:rPr>
                <w:sz w:val="20"/>
                <w:szCs w:val="20"/>
                <w:color w:val="auto"/>
              </w:rPr>
            </w:pPr>
            <w:r>
              <w:rPr>
                <w:rFonts w:ascii="Arial" w:cs="Arial" w:eastAsia="Arial" w:hAnsi="Arial"/>
                <w:sz w:val="18"/>
                <w:szCs w:val="18"/>
                <w:i w:val="1"/>
                <w:iCs w:val="1"/>
                <w:color w:val="auto"/>
              </w:rPr>
              <w:t>U.S.A. Patriot Act</w:t>
            </w:r>
          </w:p>
        </w:tc>
        <w:tc>
          <w:tcPr>
            <w:tcW w:w="19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18"/>
        </w:trPr>
        <w:tc>
          <w:tcPr>
            <w:tcW w:w="1260" w:type="dxa"/>
            <w:vAlign w:val="bottom"/>
          </w:tcPr>
          <w:p>
            <w:pPr>
              <w:spacing w:after="0"/>
              <w:rPr>
                <w:sz w:val="24"/>
                <w:szCs w:val="24"/>
                <w:color w:val="auto"/>
              </w:rPr>
            </w:pPr>
          </w:p>
        </w:tc>
        <w:tc>
          <w:tcPr>
            <w:tcW w:w="8140" w:type="dxa"/>
            <w:vAlign w:val="bottom"/>
          </w:tcPr>
          <w:p>
            <w:pPr>
              <w:jc w:val="center"/>
              <w:ind w:left="590"/>
              <w:spacing w:after="0"/>
              <w:rPr>
                <w:sz w:val="20"/>
                <w:szCs w:val="20"/>
                <w:color w:val="auto"/>
              </w:rPr>
            </w:pPr>
            <w:r>
              <w:rPr>
                <w:rFonts w:ascii="Arial" w:cs="Arial" w:eastAsia="Arial" w:hAnsi="Arial"/>
                <w:sz w:val="18"/>
                <w:szCs w:val="18"/>
                <w:color w:val="auto"/>
                <w:w w:val="96"/>
              </w:rPr>
              <w:t>ARTICLE 11</w:t>
            </w:r>
          </w:p>
        </w:tc>
        <w:tc>
          <w:tcPr>
            <w:tcW w:w="1920" w:type="dxa"/>
            <w:vAlign w:val="bottom"/>
          </w:tcPr>
          <w:p>
            <w:pPr>
              <w:spacing w:after="0"/>
              <w:rPr>
                <w:sz w:val="24"/>
                <w:szCs w:val="24"/>
                <w:color w:val="auto"/>
              </w:rPr>
            </w:pPr>
          </w:p>
        </w:tc>
      </w:tr>
      <w:tr>
        <w:trPr>
          <w:trHeight w:val="230"/>
        </w:trPr>
        <w:tc>
          <w:tcPr>
            <w:tcW w:w="1260" w:type="dxa"/>
            <w:vAlign w:val="bottom"/>
          </w:tcPr>
          <w:p>
            <w:pPr>
              <w:spacing w:after="0"/>
              <w:rPr>
                <w:sz w:val="20"/>
                <w:szCs w:val="20"/>
                <w:color w:val="auto"/>
              </w:rPr>
            </w:pPr>
          </w:p>
        </w:tc>
        <w:tc>
          <w:tcPr>
            <w:tcW w:w="8140" w:type="dxa"/>
            <w:vAlign w:val="bottom"/>
          </w:tcPr>
          <w:p>
            <w:pPr>
              <w:jc w:val="center"/>
              <w:ind w:left="570"/>
              <w:spacing w:after="0"/>
              <w:rPr>
                <w:sz w:val="20"/>
                <w:szCs w:val="20"/>
                <w:color w:val="auto"/>
              </w:rPr>
            </w:pPr>
            <w:r>
              <w:rPr>
                <w:rFonts w:ascii="Arial" w:cs="Arial" w:eastAsia="Arial" w:hAnsi="Arial"/>
                <w:sz w:val="18"/>
                <w:szCs w:val="18"/>
                <w:color w:val="auto"/>
                <w:w w:val="91"/>
              </w:rPr>
              <w:t>Redemption of Securities and Sinking Fund Provisions</w:t>
            </w:r>
          </w:p>
        </w:tc>
        <w:tc>
          <w:tcPr>
            <w:tcW w:w="1920" w:type="dxa"/>
            <w:vAlign w:val="bottom"/>
          </w:tcPr>
          <w:p>
            <w:pPr>
              <w:spacing w:after="0"/>
              <w:rPr>
                <w:sz w:val="20"/>
                <w:szCs w:val="20"/>
                <w:color w:val="auto"/>
              </w:rPr>
            </w:pPr>
          </w:p>
        </w:tc>
      </w:tr>
      <w:tr>
        <w:trPr>
          <w:trHeight w:val="431"/>
        </w:trPr>
        <w:tc>
          <w:tcPr>
            <w:tcW w:w="1260" w:type="dxa"/>
            <w:vAlign w:val="bottom"/>
          </w:tcPr>
          <w:p>
            <w:pPr>
              <w:spacing w:after="0"/>
              <w:rPr>
                <w:sz w:val="20"/>
                <w:szCs w:val="20"/>
                <w:color w:val="auto"/>
              </w:rPr>
            </w:pPr>
            <w:r>
              <w:rPr>
                <w:rFonts w:ascii="Arial" w:cs="Arial" w:eastAsia="Arial" w:hAnsi="Arial"/>
                <w:sz w:val="18"/>
                <w:szCs w:val="18"/>
                <w:color w:val="auto"/>
              </w:rPr>
              <w:t>Section 11.01.</w:t>
            </w:r>
          </w:p>
        </w:tc>
        <w:tc>
          <w:tcPr>
            <w:tcW w:w="8140" w:type="dxa"/>
            <w:vAlign w:val="bottom"/>
          </w:tcPr>
          <w:p>
            <w:pPr>
              <w:ind w:left="200"/>
              <w:spacing w:after="0"/>
              <w:rPr>
                <w:sz w:val="20"/>
                <w:szCs w:val="20"/>
                <w:color w:val="auto"/>
              </w:rPr>
            </w:pPr>
            <w:r>
              <w:rPr>
                <w:rFonts w:ascii="Arial" w:cs="Arial" w:eastAsia="Arial" w:hAnsi="Arial"/>
                <w:sz w:val="18"/>
                <w:szCs w:val="18"/>
                <w:i w:val="1"/>
                <w:iCs w:val="1"/>
                <w:color w:val="auto"/>
              </w:rPr>
              <w:t>Applicability of Article</w:t>
            </w:r>
          </w:p>
        </w:tc>
        <w:tc>
          <w:tcPr>
            <w:tcW w:w="19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11.02.</w:t>
            </w:r>
          </w:p>
        </w:tc>
        <w:tc>
          <w:tcPr>
            <w:tcW w:w="8140" w:type="dxa"/>
            <w:vAlign w:val="bottom"/>
          </w:tcPr>
          <w:p>
            <w:pPr>
              <w:ind w:left="200"/>
              <w:spacing w:after="0"/>
              <w:rPr>
                <w:sz w:val="20"/>
                <w:szCs w:val="20"/>
                <w:color w:val="auto"/>
              </w:rPr>
            </w:pPr>
            <w:r>
              <w:rPr>
                <w:rFonts w:ascii="Arial" w:cs="Arial" w:eastAsia="Arial" w:hAnsi="Arial"/>
                <w:sz w:val="18"/>
                <w:szCs w:val="18"/>
                <w:i w:val="1"/>
                <w:iCs w:val="1"/>
                <w:color w:val="auto"/>
              </w:rPr>
              <w:t>Notice of Redemption; Partial Redemptions</w:t>
            </w:r>
          </w:p>
        </w:tc>
        <w:tc>
          <w:tcPr>
            <w:tcW w:w="19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11.03.</w:t>
            </w:r>
          </w:p>
        </w:tc>
        <w:tc>
          <w:tcPr>
            <w:tcW w:w="8140" w:type="dxa"/>
            <w:vAlign w:val="bottom"/>
          </w:tcPr>
          <w:p>
            <w:pPr>
              <w:ind w:left="200"/>
              <w:spacing w:after="0"/>
              <w:rPr>
                <w:sz w:val="20"/>
                <w:szCs w:val="20"/>
                <w:color w:val="auto"/>
              </w:rPr>
            </w:pPr>
            <w:r>
              <w:rPr>
                <w:rFonts w:ascii="Arial" w:cs="Arial" w:eastAsia="Arial" w:hAnsi="Arial"/>
                <w:sz w:val="18"/>
                <w:szCs w:val="18"/>
                <w:i w:val="1"/>
                <w:iCs w:val="1"/>
                <w:color w:val="auto"/>
              </w:rPr>
              <w:t>Payment of Securities Called for Redemption</w:t>
            </w:r>
          </w:p>
        </w:tc>
        <w:tc>
          <w:tcPr>
            <w:tcW w:w="19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11.04.</w:t>
            </w:r>
          </w:p>
        </w:tc>
        <w:tc>
          <w:tcPr>
            <w:tcW w:w="8140" w:type="dxa"/>
            <w:vAlign w:val="bottom"/>
          </w:tcPr>
          <w:p>
            <w:pPr>
              <w:ind w:left="200"/>
              <w:spacing w:after="0"/>
              <w:rPr>
                <w:sz w:val="20"/>
                <w:szCs w:val="20"/>
                <w:color w:val="auto"/>
              </w:rPr>
            </w:pPr>
            <w:r>
              <w:rPr>
                <w:rFonts w:ascii="Arial" w:cs="Arial" w:eastAsia="Arial" w:hAnsi="Arial"/>
                <w:sz w:val="18"/>
                <w:szCs w:val="18"/>
                <w:i w:val="1"/>
                <w:iCs w:val="1"/>
                <w:color w:val="auto"/>
              </w:rPr>
              <w:t>Exclusion of Certain Securities from Eligibility for Selection for Redemption</w:t>
            </w:r>
          </w:p>
        </w:tc>
        <w:tc>
          <w:tcPr>
            <w:tcW w:w="19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18"/>
        </w:trPr>
        <w:tc>
          <w:tcPr>
            <w:tcW w:w="1260" w:type="dxa"/>
            <w:vAlign w:val="bottom"/>
          </w:tcPr>
          <w:p>
            <w:pPr>
              <w:spacing w:after="0"/>
              <w:rPr>
                <w:sz w:val="24"/>
                <w:szCs w:val="24"/>
                <w:color w:val="auto"/>
              </w:rPr>
            </w:pPr>
          </w:p>
        </w:tc>
        <w:tc>
          <w:tcPr>
            <w:tcW w:w="8140" w:type="dxa"/>
            <w:vAlign w:val="bottom"/>
          </w:tcPr>
          <w:p>
            <w:pPr>
              <w:jc w:val="center"/>
              <w:ind w:left="590"/>
              <w:spacing w:after="0"/>
              <w:rPr>
                <w:sz w:val="20"/>
                <w:szCs w:val="20"/>
                <w:color w:val="auto"/>
              </w:rPr>
            </w:pPr>
            <w:r>
              <w:rPr>
                <w:rFonts w:ascii="Arial" w:cs="Arial" w:eastAsia="Arial" w:hAnsi="Arial"/>
                <w:sz w:val="18"/>
                <w:szCs w:val="18"/>
                <w:color w:val="auto"/>
                <w:w w:val="96"/>
              </w:rPr>
              <w:t>ARTICLE 12</w:t>
            </w:r>
          </w:p>
        </w:tc>
        <w:tc>
          <w:tcPr>
            <w:tcW w:w="1920" w:type="dxa"/>
            <w:vAlign w:val="bottom"/>
          </w:tcPr>
          <w:p>
            <w:pPr>
              <w:spacing w:after="0"/>
              <w:rPr>
                <w:sz w:val="24"/>
                <w:szCs w:val="24"/>
                <w:color w:val="auto"/>
              </w:rPr>
            </w:pPr>
          </w:p>
        </w:tc>
      </w:tr>
      <w:tr>
        <w:trPr>
          <w:trHeight w:val="230"/>
        </w:trPr>
        <w:tc>
          <w:tcPr>
            <w:tcW w:w="1260" w:type="dxa"/>
            <w:vAlign w:val="bottom"/>
          </w:tcPr>
          <w:p>
            <w:pPr>
              <w:spacing w:after="0"/>
              <w:rPr>
                <w:sz w:val="20"/>
                <w:szCs w:val="20"/>
                <w:color w:val="auto"/>
              </w:rPr>
            </w:pPr>
          </w:p>
        </w:tc>
        <w:tc>
          <w:tcPr>
            <w:tcW w:w="8140" w:type="dxa"/>
            <w:vAlign w:val="bottom"/>
          </w:tcPr>
          <w:p>
            <w:pPr>
              <w:jc w:val="center"/>
              <w:ind w:left="590"/>
              <w:spacing w:after="0"/>
              <w:rPr>
                <w:sz w:val="20"/>
                <w:szCs w:val="20"/>
                <w:color w:val="auto"/>
              </w:rPr>
            </w:pPr>
            <w:r>
              <w:rPr>
                <w:rFonts w:ascii="Arial" w:cs="Arial" w:eastAsia="Arial" w:hAnsi="Arial"/>
                <w:sz w:val="18"/>
                <w:szCs w:val="18"/>
                <w:color w:val="auto"/>
                <w:w w:val="87"/>
              </w:rPr>
              <w:t>Guarantees</w:t>
            </w:r>
          </w:p>
        </w:tc>
        <w:tc>
          <w:tcPr>
            <w:tcW w:w="1920" w:type="dxa"/>
            <w:vAlign w:val="bottom"/>
          </w:tcPr>
          <w:p>
            <w:pPr>
              <w:spacing w:after="0"/>
              <w:rPr>
                <w:sz w:val="20"/>
                <w:szCs w:val="20"/>
                <w:color w:val="auto"/>
              </w:rPr>
            </w:pPr>
          </w:p>
        </w:tc>
      </w:tr>
      <w:tr>
        <w:trPr>
          <w:trHeight w:val="431"/>
        </w:trPr>
        <w:tc>
          <w:tcPr>
            <w:tcW w:w="1260" w:type="dxa"/>
            <w:vAlign w:val="bottom"/>
          </w:tcPr>
          <w:p>
            <w:pPr>
              <w:spacing w:after="0"/>
              <w:rPr>
                <w:sz w:val="20"/>
                <w:szCs w:val="20"/>
                <w:color w:val="auto"/>
              </w:rPr>
            </w:pPr>
            <w:r>
              <w:rPr>
                <w:rFonts w:ascii="Arial" w:cs="Arial" w:eastAsia="Arial" w:hAnsi="Arial"/>
                <w:sz w:val="18"/>
                <w:szCs w:val="18"/>
                <w:color w:val="auto"/>
              </w:rPr>
              <w:t>Section 12.01.</w:t>
            </w:r>
          </w:p>
        </w:tc>
        <w:tc>
          <w:tcPr>
            <w:tcW w:w="8140" w:type="dxa"/>
            <w:vAlign w:val="bottom"/>
          </w:tcPr>
          <w:p>
            <w:pPr>
              <w:ind w:left="200"/>
              <w:spacing w:after="0"/>
              <w:rPr>
                <w:sz w:val="20"/>
                <w:szCs w:val="20"/>
                <w:color w:val="auto"/>
              </w:rPr>
            </w:pPr>
            <w:r>
              <w:rPr>
                <w:rFonts w:ascii="Arial" w:cs="Arial" w:eastAsia="Arial" w:hAnsi="Arial"/>
                <w:sz w:val="18"/>
                <w:szCs w:val="18"/>
                <w:i w:val="1"/>
                <w:iCs w:val="1"/>
                <w:color w:val="auto"/>
              </w:rPr>
              <w:t>The Guarantees</w:t>
            </w:r>
          </w:p>
        </w:tc>
        <w:tc>
          <w:tcPr>
            <w:tcW w:w="19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12.02.</w:t>
            </w:r>
          </w:p>
        </w:tc>
        <w:tc>
          <w:tcPr>
            <w:tcW w:w="8140" w:type="dxa"/>
            <w:vAlign w:val="bottom"/>
          </w:tcPr>
          <w:p>
            <w:pPr>
              <w:ind w:left="200"/>
              <w:spacing w:after="0"/>
              <w:rPr>
                <w:sz w:val="20"/>
                <w:szCs w:val="20"/>
                <w:color w:val="auto"/>
              </w:rPr>
            </w:pPr>
            <w:r>
              <w:rPr>
                <w:rFonts w:ascii="Arial" w:cs="Arial" w:eastAsia="Arial" w:hAnsi="Arial"/>
                <w:sz w:val="18"/>
                <w:szCs w:val="18"/>
                <w:i w:val="1"/>
                <w:iCs w:val="1"/>
                <w:color w:val="auto"/>
              </w:rPr>
              <w:t>Guarantees Unconditional</w:t>
            </w:r>
          </w:p>
        </w:tc>
        <w:tc>
          <w:tcPr>
            <w:tcW w:w="19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12.03.</w:t>
            </w:r>
          </w:p>
        </w:tc>
        <w:tc>
          <w:tcPr>
            <w:tcW w:w="8140" w:type="dxa"/>
            <w:vAlign w:val="bottom"/>
          </w:tcPr>
          <w:p>
            <w:pPr>
              <w:ind w:left="200"/>
              <w:spacing w:after="0"/>
              <w:rPr>
                <w:sz w:val="20"/>
                <w:szCs w:val="20"/>
                <w:color w:val="auto"/>
              </w:rPr>
            </w:pPr>
            <w:r>
              <w:rPr>
                <w:rFonts w:ascii="Arial" w:cs="Arial" w:eastAsia="Arial" w:hAnsi="Arial"/>
                <w:sz w:val="18"/>
                <w:szCs w:val="18"/>
                <w:i w:val="1"/>
                <w:iCs w:val="1"/>
                <w:color w:val="auto"/>
              </w:rPr>
              <w:t>Discharge; Reinstatement</w:t>
            </w:r>
          </w:p>
        </w:tc>
        <w:tc>
          <w:tcPr>
            <w:tcW w:w="19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12.04.</w:t>
            </w:r>
          </w:p>
        </w:tc>
        <w:tc>
          <w:tcPr>
            <w:tcW w:w="8140" w:type="dxa"/>
            <w:vAlign w:val="bottom"/>
          </w:tcPr>
          <w:p>
            <w:pPr>
              <w:ind w:left="200"/>
              <w:spacing w:after="0"/>
              <w:rPr>
                <w:sz w:val="20"/>
                <w:szCs w:val="20"/>
                <w:color w:val="auto"/>
              </w:rPr>
            </w:pPr>
            <w:r>
              <w:rPr>
                <w:rFonts w:ascii="Arial" w:cs="Arial" w:eastAsia="Arial" w:hAnsi="Arial"/>
                <w:sz w:val="18"/>
                <w:szCs w:val="18"/>
                <w:i w:val="1"/>
                <w:iCs w:val="1"/>
                <w:color w:val="auto"/>
              </w:rPr>
              <w:t>Waiver by the Guarantors</w:t>
            </w:r>
          </w:p>
        </w:tc>
        <w:tc>
          <w:tcPr>
            <w:tcW w:w="19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12.05.</w:t>
            </w:r>
          </w:p>
        </w:tc>
        <w:tc>
          <w:tcPr>
            <w:tcW w:w="8140" w:type="dxa"/>
            <w:vAlign w:val="bottom"/>
          </w:tcPr>
          <w:p>
            <w:pPr>
              <w:ind w:left="200"/>
              <w:spacing w:after="0"/>
              <w:rPr>
                <w:sz w:val="20"/>
                <w:szCs w:val="20"/>
                <w:color w:val="auto"/>
              </w:rPr>
            </w:pPr>
            <w:r>
              <w:rPr>
                <w:rFonts w:ascii="Arial" w:cs="Arial" w:eastAsia="Arial" w:hAnsi="Arial"/>
                <w:sz w:val="18"/>
                <w:szCs w:val="18"/>
                <w:i w:val="1"/>
                <w:iCs w:val="1"/>
                <w:color w:val="auto"/>
              </w:rPr>
              <w:t>Subrogation and Contribution</w:t>
            </w:r>
          </w:p>
        </w:tc>
        <w:tc>
          <w:tcPr>
            <w:tcW w:w="19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12.06.</w:t>
            </w:r>
          </w:p>
        </w:tc>
        <w:tc>
          <w:tcPr>
            <w:tcW w:w="8140" w:type="dxa"/>
            <w:vAlign w:val="bottom"/>
          </w:tcPr>
          <w:p>
            <w:pPr>
              <w:ind w:left="200"/>
              <w:spacing w:after="0"/>
              <w:rPr>
                <w:sz w:val="20"/>
                <w:szCs w:val="20"/>
                <w:color w:val="auto"/>
              </w:rPr>
            </w:pPr>
            <w:r>
              <w:rPr>
                <w:rFonts w:ascii="Arial" w:cs="Arial" w:eastAsia="Arial" w:hAnsi="Arial"/>
                <w:sz w:val="18"/>
                <w:szCs w:val="18"/>
                <w:i w:val="1"/>
                <w:iCs w:val="1"/>
                <w:color w:val="auto"/>
              </w:rPr>
              <w:t>Stay of Acceleration</w:t>
            </w:r>
          </w:p>
        </w:tc>
        <w:tc>
          <w:tcPr>
            <w:tcW w:w="19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12.07.</w:t>
            </w:r>
          </w:p>
        </w:tc>
        <w:tc>
          <w:tcPr>
            <w:tcW w:w="8140" w:type="dxa"/>
            <w:vAlign w:val="bottom"/>
          </w:tcPr>
          <w:p>
            <w:pPr>
              <w:ind w:left="200"/>
              <w:spacing w:after="0"/>
              <w:rPr>
                <w:sz w:val="20"/>
                <w:szCs w:val="20"/>
                <w:color w:val="auto"/>
              </w:rPr>
            </w:pPr>
            <w:r>
              <w:rPr>
                <w:rFonts w:ascii="Arial" w:cs="Arial" w:eastAsia="Arial" w:hAnsi="Arial"/>
                <w:sz w:val="18"/>
                <w:szCs w:val="18"/>
                <w:i w:val="1"/>
                <w:iCs w:val="1"/>
                <w:color w:val="auto"/>
              </w:rPr>
              <w:t>Limitation on Amount of Guarantees</w:t>
            </w:r>
          </w:p>
        </w:tc>
        <w:tc>
          <w:tcPr>
            <w:tcW w:w="19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12.08.</w:t>
            </w:r>
          </w:p>
        </w:tc>
        <w:tc>
          <w:tcPr>
            <w:tcW w:w="8140" w:type="dxa"/>
            <w:vAlign w:val="bottom"/>
          </w:tcPr>
          <w:p>
            <w:pPr>
              <w:ind w:left="200"/>
              <w:spacing w:after="0"/>
              <w:rPr>
                <w:sz w:val="20"/>
                <w:szCs w:val="20"/>
                <w:color w:val="auto"/>
              </w:rPr>
            </w:pPr>
            <w:r>
              <w:rPr>
                <w:rFonts w:ascii="Arial" w:cs="Arial" w:eastAsia="Arial" w:hAnsi="Arial"/>
                <w:sz w:val="18"/>
                <w:szCs w:val="18"/>
                <w:i w:val="1"/>
                <w:iCs w:val="1"/>
                <w:color w:val="auto"/>
              </w:rPr>
              <w:t>Execution and Delivery of Guarantees</w:t>
            </w:r>
          </w:p>
        </w:tc>
        <w:tc>
          <w:tcPr>
            <w:tcW w:w="19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12.09.</w:t>
            </w:r>
          </w:p>
        </w:tc>
        <w:tc>
          <w:tcPr>
            <w:tcW w:w="8140" w:type="dxa"/>
            <w:vAlign w:val="bottom"/>
          </w:tcPr>
          <w:p>
            <w:pPr>
              <w:ind w:left="200"/>
              <w:spacing w:after="0"/>
              <w:rPr>
                <w:sz w:val="20"/>
                <w:szCs w:val="20"/>
                <w:color w:val="auto"/>
              </w:rPr>
            </w:pPr>
            <w:r>
              <w:rPr>
                <w:rFonts w:ascii="Arial" w:cs="Arial" w:eastAsia="Arial" w:hAnsi="Arial"/>
                <w:sz w:val="18"/>
                <w:szCs w:val="18"/>
                <w:i w:val="1"/>
                <w:iCs w:val="1"/>
                <w:color w:val="auto"/>
              </w:rPr>
              <w:t>Release of Guarantees</w:t>
            </w:r>
          </w:p>
        </w:tc>
        <w:tc>
          <w:tcPr>
            <w:tcW w:w="1920" w:type="dxa"/>
            <w:vAlign w:val="bottom"/>
          </w:tcPr>
          <w:p>
            <w:pPr>
              <w:jc w:val="right"/>
              <w:spacing w:after="0"/>
              <w:rPr>
                <w:sz w:val="20"/>
                <w:szCs w:val="20"/>
                <w:color w:val="auto"/>
              </w:rPr>
            </w:pPr>
            <w:r>
              <w:rPr>
                <w:rFonts w:ascii="Arial" w:cs="Arial" w:eastAsia="Arial" w:hAnsi="Arial"/>
                <w:sz w:val="18"/>
                <w:szCs w:val="18"/>
                <w:color w:val="auto"/>
              </w:rPr>
              <w:t>60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20"/>
          </w:cols>
          <w:pgMar w:left="240" w:top="274" w:right="339" w:bottom="1440" w:gutter="0" w:footer="0" w:header="0"/>
        </w:sectPr>
      </w:pPr>
    </w:p>
    <w:bookmarkStart w:id="74" w:name="page75"/>
    <w:bookmarkEnd w:id="74"/>
    <w:p>
      <w:pPr>
        <w:ind w:right="5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INDENTURE, dated as of September 18, 2013 among 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as more fully set forth in Section 1.01), the Guarantors party hereto and The Bank of New York Mellon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WITNESSETH:</w:t>
      </w:r>
    </w:p>
    <w:p>
      <w:pPr>
        <w:spacing w:after="0" w:line="229"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WHEREAS, for its lawful corporate purposes, the Issuer has duly authorized the execution and delivery of the Indenture to provide for the issuance of unsecured debt securities in one or more series (the “</w:t>
      </w:r>
      <w:r>
        <w:rPr>
          <w:rFonts w:ascii="Arial" w:cs="Arial" w:eastAsia="Arial" w:hAnsi="Arial"/>
          <w:sz w:val="16"/>
          <w:szCs w:val="16"/>
          <w:b w:val="1"/>
          <w:bCs w:val="1"/>
          <w:color w:val="auto"/>
        </w:rPr>
        <w:t>Securities</w:t>
      </w:r>
      <w:r>
        <w:rPr>
          <w:rFonts w:ascii="Arial" w:cs="Arial" w:eastAsia="Arial" w:hAnsi="Arial"/>
          <w:sz w:val="16"/>
          <w:szCs w:val="16"/>
          <w:color w:val="auto"/>
        </w:rPr>
        <w:t>”) up to such principal amount or amounts as may from time to time be authorized in accordance with the terms of the Indenture and to provide, among other things, for the authentication, delivery and administration thereof;</w:t>
      </w:r>
    </w:p>
    <w:p>
      <w:pPr>
        <w:spacing w:after="0" w:line="14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WHEREAS, for its lawful corporate purposes, the Guarantors party hereto have duly authorized the execution and delivery of the Indenture as guarantors of the Securities, and each Guarantor has done all things necessary to make the Guarantees the valid obligations of such Guarantors as hereinafter provided;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all things necessary to make the Indenture a valid indenture and agreement according to its terms have been done;</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WHEREAS, the Indenture is subject to, and will be governed by, the provisions of the Trust Indenture Act that are required to be a part of and govern indentures qualified under the Trust Indenture Act; and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premises and the purchases of the Securities by the holders thereof, the Issuer, the Guarantors and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Trustee mutually covenant and agree for the equal and proportionate benefit of the respective holders from time to time of the Securities as follows:</w:t>
      </w: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EFINITIONS</w:t>
      </w:r>
    </w:p>
    <w:p>
      <w:pPr>
        <w:spacing w:after="0" w:line="21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i w:val="1"/>
          <w:iCs w:val="1"/>
          <w:color w:val="auto"/>
        </w:rPr>
        <w:t>Certain Terms Defined; Rules of Construction.</w:t>
      </w:r>
      <w:r>
        <w:rPr>
          <w:rFonts w:ascii="Arial" w:cs="Arial" w:eastAsia="Arial" w:hAnsi="Arial"/>
          <w:sz w:val="16"/>
          <w:szCs w:val="16"/>
          <w:color w:val="auto"/>
        </w:rPr>
        <w:t xml:space="preserve"> The following terms (except as otherwise expressly provided or unless the context otherwise clearly requires) for all purposes of the Indenture and of any indenture supplemental hereto shall have the respective meanings specified in this Section. All other terms used in the Indenture that are defined in the Trust Indenture Act, or the definitions of which are referred to in the Trust Indenture Act, including terms defined therein by reference to the Securities Act (except as herein otherwise expressly provided or unless the context otherwise clearly requires), shall have the meanings assigned to such terms in the Trust Indenture Act and in the Securities Act as in force at the date of the Indenture. All accounting terms used herein and not expressly defined shall have the meanings assigned to such terms in accordance with generally accepted accounting principles, and the term “</w:t>
      </w:r>
      <w:r>
        <w:rPr>
          <w:rFonts w:ascii="Arial" w:cs="Arial" w:eastAsia="Arial" w:hAnsi="Arial"/>
          <w:sz w:val="16"/>
          <w:szCs w:val="16"/>
          <w:b w:val="1"/>
          <w:bCs w:val="1"/>
          <w:color w:val="auto"/>
        </w:rPr>
        <w:t>generally accepted accounting principles</w:t>
      </w:r>
      <w:r>
        <w:rPr>
          <w:rFonts w:ascii="Arial" w:cs="Arial" w:eastAsia="Arial" w:hAnsi="Arial"/>
          <w:sz w:val="16"/>
          <w:szCs w:val="16"/>
          <w:color w:val="auto"/>
        </w:rPr>
        <w:t>” means such accounting principles as are generally accepted at the time of any computation. The words “</w:t>
      </w:r>
      <w:r>
        <w:rPr>
          <w:rFonts w:ascii="Arial" w:cs="Arial" w:eastAsia="Arial" w:hAnsi="Arial"/>
          <w:sz w:val="16"/>
          <w:szCs w:val="16"/>
          <w:b w:val="1"/>
          <w:bCs w:val="1"/>
          <w:color w:val="auto"/>
        </w:rPr>
        <w:t>herein</w:t>
      </w:r>
      <w:r>
        <w:rPr>
          <w:rFonts w:ascii="Arial" w:cs="Arial" w:eastAsia="Arial" w:hAnsi="Arial"/>
          <w:sz w:val="16"/>
          <w:szCs w:val="16"/>
          <w:color w:val="auto"/>
        </w:rPr>
        <w:t>”, “</w:t>
      </w:r>
      <w:r>
        <w:rPr>
          <w:rFonts w:ascii="Arial" w:cs="Arial" w:eastAsia="Arial" w:hAnsi="Arial"/>
          <w:sz w:val="16"/>
          <w:szCs w:val="16"/>
          <w:b w:val="1"/>
          <w:bCs w:val="1"/>
          <w:color w:val="auto"/>
        </w:rPr>
        <w:t>hereof</w:t>
      </w:r>
      <w:r>
        <w:rPr>
          <w:rFonts w:ascii="Arial" w:cs="Arial" w:eastAsia="Arial" w:hAnsi="Arial"/>
          <w:sz w:val="16"/>
          <w:szCs w:val="16"/>
          <w:color w:val="auto"/>
        </w:rPr>
        <w:t>” and “</w:t>
      </w:r>
      <w:r>
        <w:rPr>
          <w:rFonts w:ascii="Arial" w:cs="Arial" w:eastAsia="Arial" w:hAnsi="Arial"/>
          <w:sz w:val="16"/>
          <w:szCs w:val="16"/>
          <w:b w:val="1"/>
          <w:bCs w:val="1"/>
          <w:color w:val="auto"/>
        </w:rPr>
        <w:t>hereunder</w:t>
      </w:r>
      <w:r>
        <w:rPr>
          <w:rFonts w:ascii="Arial" w:cs="Arial" w:eastAsia="Arial" w:hAnsi="Arial"/>
          <w:sz w:val="16"/>
          <w:szCs w:val="16"/>
          <w:color w:val="auto"/>
        </w:rPr>
        <w:t>” and other words of similar import refer to the Indenture as a whole and not</w:t>
      </w:r>
    </w:p>
    <w:p>
      <w:pPr>
        <w:sectPr>
          <w:pgSz w:w="11900" w:h="16838" w:orient="portrait"/>
          <w:cols w:equalWidth="0" w:num="1">
            <w:col w:w="11380"/>
          </w:cols>
          <w:pgMar w:left="240" w:top="270" w:right="279" w:bottom="1440" w:gutter="0" w:footer="0" w:header="0"/>
        </w:sectPr>
      </w:pPr>
    </w:p>
    <w:bookmarkStart w:id="75" w:name="page76"/>
    <w:bookmarkEnd w:id="75"/>
    <w:p>
      <w:pPr>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any particular Article, Section or other subdivision. The terms defined in this Article have the meanings assigned to them in this Article and include the plural as well as the singular. Except as otherwise expressly provided or unless the context otherwise clearly requires, references to agreements or instruments, or to statutes or regulations, are to such agreements or instruments, or statutes or regulations, as amended from time to time (or to successor statutes and regulations).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 Member</w:t>
      </w:r>
      <w:r>
        <w:rPr>
          <w:rFonts w:ascii="Arial" w:cs="Arial" w:eastAsia="Arial" w:hAnsi="Arial"/>
          <w:sz w:val="18"/>
          <w:szCs w:val="18"/>
          <w:color w:val="auto"/>
        </w:rPr>
        <w:t>” means a member of, or a participant in, the Depositary.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Debt</w:t>
      </w:r>
      <w:r>
        <w:rPr>
          <w:rFonts w:ascii="Arial" w:cs="Arial" w:eastAsia="Arial" w:hAnsi="Arial"/>
          <w:sz w:val="18"/>
          <w:szCs w:val="18"/>
          <w:color w:val="auto"/>
        </w:rPr>
        <w:t>” has the meaning assigned to such term in Section 3.09.</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Attributable Liens</w:t>
      </w:r>
      <w:r>
        <w:rPr>
          <w:rFonts w:ascii="Arial" w:cs="Arial" w:eastAsia="Arial" w:hAnsi="Arial"/>
          <w:sz w:val="18"/>
          <w:szCs w:val="18"/>
          <w:color w:val="auto"/>
        </w:rPr>
        <w:t>” has the meaning assigned to such term in Section 3.09.</w:t>
      </w:r>
    </w:p>
    <w:p>
      <w:pPr>
        <w:spacing w:after="0" w:line="225"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Authenticating Agent</w:t>
      </w:r>
      <w:r>
        <w:rPr>
          <w:rFonts w:ascii="Arial" w:cs="Arial" w:eastAsia="Arial" w:hAnsi="Arial"/>
          <w:sz w:val="18"/>
          <w:szCs w:val="18"/>
          <w:color w:val="auto"/>
        </w:rPr>
        <w:t>” means an authenticating agent with respect to any of the series of Securities appointed with respect to all or any series of the Securities by the Trustee pursuant to Section 2.12.</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Law</w:t>
      </w:r>
      <w:r>
        <w:rPr>
          <w:rFonts w:ascii="Arial" w:cs="Arial" w:eastAsia="Arial" w:hAnsi="Arial"/>
          <w:sz w:val="18"/>
          <w:szCs w:val="18"/>
          <w:color w:val="auto"/>
        </w:rPr>
        <w:t>” means Title 11 of the United States Code or any similar Federal or State law for the relief of debtors.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either the Board of Directors of the Issuer or any committee of such Board duly authorized to act hereunder.</w:t>
      </w:r>
    </w:p>
    <w:p>
      <w:pPr>
        <w:spacing w:after="0" w:line="225" w:lineRule="exact"/>
        <w:rPr>
          <w:sz w:val="20"/>
          <w:szCs w:val="20"/>
          <w:color w:val="auto"/>
        </w:rPr>
      </w:pPr>
    </w:p>
    <w:p>
      <w:pPr>
        <w:ind w:right="6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with respect to any Security, a day that in the Borough of Manhattan, City of New York is not a day on which banking institutions are authorized by law or regulation to close.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Lease</w:t>
      </w:r>
      <w:r>
        <w:rPr>
          <w:rFonts w:ascii="Arial" w:cs="Arial" w:eastAsia="Arial" w:hAnsi="Arial"/>
          <w:sz w:val="18"/>
          <w:szCs w:val="18"/>
          <w:color w:val="auto"/>
        </w:rPr>
        <w:t>” has the meaning assigned to such term in Section 3.09.</w:t>
      </w:r>
    </w:p>
    <w:p>
      <w:pPr>
        <w:spacing w:after="0" w:line="225"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United States Securities and Exchange Commission, as from time to time constituted, created under the Exchange Act, or if at any time after the execution and delivery of the Indenture such Commission is not existing and performing the duties now assigned to it under the Trust Indenture Act, then the body performing such duties on such date.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a corporation or a limited liability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Worth</w:t>
      </w:r>
      <w:r>
        <w:rPr>
          <w:rFonts w:ascii="Arial" w:cs="Arial" w:eastAsia="Arial" w:hAnsi="Arial"/>
          <w:sz w:val="18"/>
          <w:szCs w:val="18"/>
          <w:color w:val="auto"/>
        </w:rPr>
        <w:t>” has the meaning assigned to such term in Section 3.09.</w:t>
      </w:r>
    </w:p>
    <w:p>
      <w:pPr>
        <w:spacing w:after="0" w:line="225"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Corporate Trust Office</w:t>
      </w:r>
      <w:r>
        <w:rPr>
          <w:rFonts w:ascii="Arial" w:cs="Arial" w:eastAsia="Arial" w:hAnsi="Arial"/>
          <w:sz w:val="17"/>
          <w:szCs w:val="17"/>
          <w:color w:val="auto"/>
        </w:rPr>
        <w:t>” means the principal office of the Trustee at which at any time its corporate trust business shall be administered, which office at the date hereof is located at 101 Barclay Street, Floor 8 West, New York, New York 10286, Attention: Corporate Trust Administration, or such other address as the Trustee may designate from time to time by notice to the Holders and the Issuer, or the principal corporate trust office of any successor Trustee (or such other address as such successor Trustee may designate from time to time by notice to the Holders and the Issuer).</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76" w:name="page77"/>
    <w:bookmarkEnd w:id="76"/>
    <w:p>
      <w:pPr>
        <w:ind w:right="100" w:firstLine="456"/>
        <w:spacing w:after="0" w:line="31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Depositary</w:t>
      </w:r>
      <w:r>
        <w:rPr>
          <w:rFonts w:ascii="Arial" w:cs="Arial" w:eastAsia="Arial" w:hAnsi="Arial"/>
          <w:sz w:val="16"/>
          <w:szCs w:val="16"/>
          <w:color w:val="auto"/>
        </w:rPr>
        <w:t>” means, with respect to Securities of any series, for which the Issuer shall determine that such Securities will be issued as a Global Security, The Depository Trust Company, New York, New York, another clearing agency, or any successor registered as a clearing agency under the Exchange Act, or other applicable statute or regulation, which, in each case, shall be designated by the Issuer pursuant to either Section 2.03 or Section 2.13.</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has the meaning assigned to such term in Section 4.01.</w:t>
      </w:r>
    </w:p>
    <w:p>
      <w:pPr>
        <w:spacing w:after="0" w:line="225" w:lineRule="exact"/>
        <w:rPr>
          <w:sz w:val="20"/>
          <w:szCs w:val="20"/>
          <w:color w:val="auto"/>
        </w:rPr>
      </w:pPr>
    </w:p>
    <w:p>
      <w:pPr>
        <w:ind w:right="3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and any statute successor thereto, in each case as amended from time to time, and the rules and regulations of the Commission promulgated thereunder.</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has the meaning assigned to such term in Section 3.09.</w:t>
      </w:r>
    </w:p>
    <w:p>
      <w:pPr>
        <w:spacing w:after="0" w:line="225"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Security</w:t>
      </w:r>
      <w:r>
        <w:rPr>
          <w:rFonts w:ascii="Arial" w:cs="Arial" w:eastAsia="Arial" w:hAnsi="Arial"/>
          <w:sz w:val="18"/>
          <w:szCs w:val="18"/>
          <w:color w:val="auto"/>
        </w:rPr>
        <w:t>” means, with respect to any series of Securities, a Security executed by the Issuer and delivered by the Trustee to the Depositary or pursuant to a safekeeping agreement with the Depositary, all in accordance with the Indenture, which shall be registered in global form without interest coupons in the name of the Depositary or its nominee.</w:t>
      </w:r>
    </w:p>
    <w:p>
      <w:pPr>
        <w:spacing w:after="0" w:line="17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Obligations</w:t>
      </w:r>
      <w:r>
        <w:rPr>
          <w:rFonts w:ascii="Arial" w:cs="Arial" w:eastAsia="Arial" w:hAnsi="Arial"/>
          <w:sz w:val="16"/>
          <w:szCs w:val="16"/>
          <w:color w:val="auto"/>
        </w:rPr>
        <w:t xml:space="preserve">”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as custodian with respect to any such Governmental Obligation or a specific payment of principal of or interest on any such Governmental Obligation held by such custodian for the account of the holder of such depositary receipt;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w:t>
      </w:r>
      <w:r>
        <w:rPr>
          <w:rFonts w:ascii="Arial" w:cs="Arial" w:eastAsia="Arial" w:hAnsi="Arial"/>
          <w:sz w:val="18"/>
          <w:szCs w:val="18"/>
          <w:color w:val="auto"/>
        </w:rPr>
        <w:t>” means the guarantee of the Securities by a Guarantor pursuant to this Indenture.</w:t>
      </w:r>
    </w:p>
    <w:p>
      <w:pPr>
        <w:spacing w:after="0" w:line="225"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means each of NBCUniversal Media, LLC, Comcast Cable Communications, LLC, Comcast Cable Holdings, LLC, Comcast MO Group, Inc. and Comcast MO of Delaware, LLC, in each case excluding such entities’ Subsidiaries, unless and until such Guarantor is released from its Guarantee pursuant to this Indenture.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Obligations</w:t>
      </w:r>
      <w:r>
        <w:rPr>
          <w:rFonts w:ascii="Arial" w:cs="Arial" w:eastAsia="Arial" w:hAnsi="Arial"/>
          <w:sz w:val="18"/>
          <w:szCs w:val="18"/>
          <w:color w:val="auto"/>
        </w:rPr>
        <w:t>” has the meaning assigned to such term in Section 3.09.</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means the registered holder of any Security.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sectPr>
      </w:pPr>
    </w:p>
    <w:bookmarkStart w:id="77" w:name="page78"/>
    <w:bookmarkEnd w:id="7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Indebtedness</w:t>
      </w:r>
      <w:r>
        <w:rPr>
          <w:rFonts w:ascii="Arial" w:cs="Arial" w:eastAsia="Arial" w:hAnsi="Arial"/>
          <w:sz w:val="18"/>
          <w:szCs w:val="18"/>
          <w:color w:val="auto"/>
        </w:rPr>
        <w:t>” has the meaning assigned to such term in Section 3.09.</w:t>
      </w:r>
    </w:p>
    <w:p>
      <w:pPr>
        <w:spacing w:after="0" w:line="225" w:lineRule="exact"/>
        <w:rPr>
          <w:sz w:val="20"/>
          <w:szCs w:val="20"/>
          <w:color w:val="auto"/>
        </w:rPr>
      </w:pPr>
    </w:p>
    <w:p>
      <w:pPr>
        <w:ind w:right="66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Indenture</w:t>
      </w:r>
      <w:r>
        <w:rPr>
          <w:rFonts w:ascii="Arial" w:cs="Arial" w:eastAsia="Arial" w:hAnsi="Arial"/>
          <w:sz w:val="16"/>
          <w:szCs w:val="16"/>
          <w:color w:val="auto"/>
        </w:rPr>
        <w:t>” means this instrument as originally executed and delivered or, if amended or supplemented as herein provided, as so amended or supplemented or both, and shall include the forms and terms of particular series of Securities established as contemplated hereunder.</w:t>
      </w:r>
    </w:p>
    <w:p>
      <w:pPr>
        <w:spacing w:after="0" w:line="116" w:lineRule="exact"/>
        <w:rPr>
          <w:sz w:val="20"/>
          <w:szCs w:val="20"/>
          <w:color w:val="auto"/>
        </w:rPr>
      </w:pPr>
    </w:p>
    <w:p>
      <w:pPr>
        <w:ind w:right="200" w:firstLine="456"/>
        <w:spacing w:after="0" w:line="266" w:lineRule="auto"/>
        <w:rPr>
          <w:sz w:val="20"/>
          <w:szCs w:val="20"/>
          <w:color w:val="auto"/>
        </w:rPr>
      </w:pPr>
      <w:r>
        <w:rPr>
          <w:rFonts w:ascii="Arial" w:cs="Arial" w:eastAsia="Arial" w:hAnsi="Arial"/>
          <w:sz w:val="18"/>
          <w:szCs w:val="18"/>
          <w:b w:val="1"/>
          <w:bCs w:val="1"/>
          <w:color w:val="auto"/>
        </w:rPr>
        <w:t>“Interest Payment Date”</w:t>
      </w:r>
      <w:r>
        <w:rPr>
          <w:rFonts w:ascii="Arial" w:cs="Arial" w:eastAsia="Arial" w:hAnsi="Arial"/>
          <w:sz w:val="18"/>
          <w:szCs w:val="18"/>
          <w:color w:val="auto"/>
        </w:rPr>
        <w:t>, when used with respect to any installment of interest on a Security of a particular series, means the date specified in such</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or in a Resolution of the Board of Directors or in an indenture supplemental hereto with respect to such series as the fixed date on which an installment of interest with respect to Securities of that series is due and payable.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 Date</w:t>
      </w:r>
      <w:r>
        <w:rPr>
          <w:rFonts w:ascii="Arial" w:cs="Arial" w:eastAsia="Arial" w:hAnsi="Arial"/>
          <w:sz w:val="18"/>
          <w:szCs w:val="18"/>
          <w:color w:val="auto"/>
        </w:rPr>
        <w:t>” means the date on which any series of Securities are originally issued.</w:t>
      </w:r>
    </w:p>
    <w:p>
      <w:pPr>
        <w:spacing w:after="0" w:line="225"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w:t>
      </w:r>
      <w:r>
        <w:rPr>
          <w:rFonts w:ascii="Arial" w:cs="Arial" w:eastAsia="Arial" w:hAnsi="Arial"/>
          <w:sz w:val="18"/>
          <w:szCs w:val="18"/>
          <w:color w:val="auto"/>
        </w:rPr>
        <w:t>” means, unless otherwise explicitly provided herein, the Person named as the “Issuer” in the first paragraph of this instrument until a successor Person shall have become such pursuant to the applicable provisions of this Indenture, and thereafter “</w:t>
      </w:r>
      <w:r>
        <w:rPr>
          <w:rFonts w:ascii="Arial" w:cs="Arial" w:eastAsia="Arial" w:hAnsi="Arial"/>
          <w:sz w:val="18"/>
          <w:szCs w:val="18"/>
          <w:b w:val="1"/>
          <w:bCs w:val="1"/>
          <w:color w:val="auto"/>
        </w:rPr>
        <w:t>Issuer</w:t>
      </w:r>
      <w:r>
        <w:rPr>
          <w:rFonts w:ascii="Arial" w:cs="Arial" w:eastAsia="Arial" w:hAnsi="Arial"/>
          <w:sz w:val="18"/>
          <w:szCs w:val="18"/>
          <w:color w:val="auto"/>
        </w:rPr>
        <w:t>” shall mean such successor Person, in each case excluding the Subsidiaries of any such Person.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Order</w:t>
      </w:r>
      <w:r>
        <w:rPr>
          <w:rFonts w:ascii="Arial" w:cs="Arial" w:eastAsia="Arial" w:hAnsi="Arial"/>
          <w:sz w:val="18"/>
          <w:szCs w:val="18"/>
          <w:color w:val="auto"/>
        </w:rPr>
        <w:t>” has the meaning assigned to such term in Section 2.04.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has the meaning assigned to such term in Section 3.09.</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Default</w:t>
      </w:r>
      <w:r>
        <w:rPr>
          <w:rFonts w:ascii="Arial" w:cs="Arial" w:eastAsia="Arial" w:hAnsi="Arial"/>
          <w:sz w:val="18"/>
          <w:szCs w:val="18"/>
          <w:color w:val="auto"/>
        </w:rPr>
        <w:t>” has the meaning assigned to such term in Section 4.01(c).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w:t>
      </w:r>
      <w:r>
        <w:rPr>
          <w:rFonts w:ascii="Arial" w:cs="Arial" w:eastAsia="Arial" w:hAnsi="Arial"/>
          <w:sz w:val="18"/>
          <w:szCs w:val="18"/>
          <w:color w:val="auto"/>
        </w:rPr>
        <w:t>” means each of the Issuer and each Guarantor.</w:t>
      </w:r>
    </w:p>
    <w:p>
      <w:pPr>
        <w:spacing w:after="0" w:line="225" w:lineRule="exact"/>
        <w:rPr>
          <w:sz w:val="20"/>
          <w:szCs w:val="20"/>
          <w:color w:val="auto"/>
        </w:rPr>
      </w:pPr>
    </w:p>
    <w:p>
      <w:pPr>
        <w:ind w:right="1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means a certificate signed on behalf of the Issuer by its chairman of the Board of Directors, chief executive officer, chief financial officer, principal accounting officer, treasurer or president, or by any vice president, controller, secretary, any assistant secretary or general counsel of the Issuer.</w:t>
      </w:r>
    </w:p>
    <w:p>
      <w:pPr>
        <w:spacing w:after="0" w:line="176"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 of Counsel</w:t>
      </w:r>
      <w:r>
        <w:rPr>
          <w:rFonts w:ascii="Arial" w:cs="Arial" w:eastAsia="Arial" w:hAnsi="Arial"/>
          <w:sz w:val="18"/>
          <w:szCs w:val="18"/>
          <w:color w:val="auto"/>
        </w:rPr>
        <w:t>” means an opinion in writing signed by legal counsel who may be an employee of or counsel to the Issuer and who is reasonably acceptable to the Trustee.</w:t>
      </w:r>
    </w:p>
    <w:p>
      <w:pPr>
        <w:spacing w:after="0" w:line="162"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Issue Discount</w:t>
      </w:r>
      <w:r>
        <w:rPr>
          <w:rFonts w:ascii="Arial" w:cs="Arial" w:eastAsia="Arial" w:hAnsi="Arial"/>
          <w:sz w:val="18"/>
          <w:szCs w:val="18"/>
          <w:color w:val="auto"/>
        </w:rPr>
        <w:t xml:space="preserve"> Security” means any Security that provides for an amount less than the principal amount thereof to be due and payable upon a declaration of acceleration of the maturity thereof pursuant to Section 4.01.</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0" w:right="299" w:bottom="1440" w:gutter="0" w:footer="0" w:header="0"/>
        </w:sectPr>
      </w:pPr>
    </w:p>
    <w:bookmarkStart w:id="78" w:name="page79"/>
    <w:bookmarkEnd w:id="78"/>
    <w:p>
      <w:pPr>
        <w:ind w:right="200"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Outstanding</w:t>
      </w:r>
      <w:r>
        <w:rPr>
          <w:rFonts w:ascii="Arial" w:cs="Arial" w:eastAsia="Arial" w:hAnsi="Arial"/>
          <w:sz w:val="18"/>
          <w:szCs w:val="18"/>
          <w:color w:val="auto"/>
        </w:rPr>
        <w:t>”, when used with reference to Securities, shall, subject to the provisions of Section 6.04, mean, as of any particular time, all Securities authenticated and delivered by the Trustee under the Indenture, except:</w:t>
      </w:r>
    </w:p>
    <w:p>
      <w:pPr>
        <w:spacing w:after="0" w:line="58" w:lineRule="exact"/>
        <w:rPr>
          <w:sz w:val="20"/>
          <w:szCs w:val="20"/>
          <w:color w:val="auto"/>
        </w:rPr>
      </w:pPr>
    </w:p>
    <w:p>
      <w:pPr>
        <w:ind w:left="700" w:hanging="236"/>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Securities cancelled by the Trustee or delivered to the Trustee for cancellation;</w:t>
      </w:r>
    </w:p>
    <w:p>
      <w:pPr>
        <w:spacing w:after="0" w:line="225" w:lineRule="exact"/>
        <w:rPr>
          <w:rFonts w:ascii="Arial" w:cs="Arial" w:eastAsia="Arial" w:hAnsi="Arial"/>
          <w:sz w:val="18"/>
          <w:szCs w:val="18"/>
          <w:color w:val="auto"/>
        </w:rPr>
      </w:pPr>
    </w:p>
    <w:p>
      <w:pPr>
        <w:jc w:val="both"/>
        <w:ind w:right="140" w:firstLine="464"/>
        <w:spacing w:after="0" w:line="276" w:lineRule="auto"/>
        <w:tabs>
          <w:tab w:leader="none" w:pos="711" w:val="left"/>
        </w:tabs>
        <w:numPr>
          <w:ilvl w:val="0"/>
          <w:numId w:val="61"/>
        </w:numPr>
        <w:rPr>
          <w:rFonts w:ascii="Arial" w:cs="Arial" w:eastAsia="Arial" w:hAnsi="Arial"/>
          <w:sz w:val="17"/>
          <w:szCs w:val="17"/>
          <w:color w:val="auto"/>
        </w:rPr>
      </w:pPr>
      <w:r>
        <w:rPr>
          <w:rFonts w:ascii="Arial" w:cs="Arial" w:eastAsia="Arial" w:hAnsi="Arial"/>
          <w:sz w:val="17"/>
          <w:szCs w:val="17"/>
          <w:color w:val="auto"/>
        </w:rPr>
        <w:t>Securities, or portions thereof, for the payment or redemption of which moneys or, if permitted hereby, Governmental Obligations in the necessary amount to pay all amounts then due shall have been deposited in trust with the Trustee or with any paying agent (other than the Issuer) or shall have been set aside, segregated and held in trust by the Issuer for the Holders of such Securities (if the Issuer shall act as its own paying agent), provided that if such Securities, or portions thereof, are to be redeemed prior to the maturity thereof, notice of such redemption shall have been given as herein provided, or provision satisfactory to the Trustee shall have been made for giving such notice; and</w:t>
      </w:r>
    </w:p>
    <w:p>
      <w:pPr>
        <w:spacing w:after="0" w:line="172" w:lineRule="exact"/>
        <w:rPr>
          <w:rFonts w:ascii="Arial" w:cs="Arial" w:eastAsia="Arial" w:hAnsi="Arial"/>
          <w:sz w:val="17"/>
          <w:szCs w:val="17"/>
          <w:color w:val="auto"/>
        </w:rPr>
      </w:pPr>
    </w:p>
    <w:p>
      <w:pPr>
        <w:ind w:firstLine="464"/>
        <w:spacing w:after="0" w:line="342" w:lineRule="auto"/>
        <w:tabs>
          <w:tab w:leader="none" w:pos="701"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Securities in substitution for which other Securities shall have been authenticated and delivered, or which shall have been paid, pursuant to the terms of Section 2.09 unless and until the Trustee and the Issuer receive proof satisfactory to them that the substituted Security is held by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purchaser.</w:t>
      </w:r>
    </w:p>
    <w:p>
      <w:pPr>
        <w:spacing w:after="0" w:line="124"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determining whether the Holders of the requisite principal amount of Outstanding Securities of any or all series have given any request, demand, authorization, direction, notice, consent or waiver hereunder, (i)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4.01 and (ii) the principal amount of a Security denominated in one or more foreign currencies or currency units will be the U.S. dollar equivalent, determined in accordance with the terms of such Security, on the Issue Date of such Security, of the principal amount (or, in the case of an Original Issue Discount Security, the U.S. dollar equivalent of such Security of the amount determined as provided in clause (i) above) of such Security.</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has the meaning assigned to such term in Section 3.09.</w:t>
      </w:r>
    </w:p>
    <w:p>
      <w:pPr>
        <w:spacing w:after="0" w:line="225" w:lineRule="exact"/>
        <w:rPr>
          <w:sz w:val="20"/>
          <w:szCs w:val="20"/>
          <w:color w:val="auto"/>
        </w:rPr>
      </w:pPr>
    </w:p>
    <w:p>
      <w:pPr>
        <w:ind w:right="108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principal</w:t>
      </w:r>
      <w:r>
        <w:rPr>
          <w:rFonts w:ascii="Arial" w:cs="Arial" w:eastAsia="Arial" w:hAnsi="Arial"/>
          <w:sz w:val="16"/>
          <w:szCs w:val="16"/>
          <w:color w:val="auto"/>
        </w:rPr>
        <w:t>” whenever used with reference to the Securities or any Security or any portion thereof, shall be deemed to include “and premium, if any”.</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 has the meaning assigned to such term in Section 3.09.</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record date</w:t>
      </w:r>
      <w:r>
        <w:rPr>
          <w:rFonts w:ascii="Arial" w:cs="Arial" w:eastAsia="Arial" w:hAnsi="Arial"/>
          <w:sz w:val="18"/>
          <w:szCs w:val="18"/>
          <w:color w:val="auto"/>
        </w:rPr>
        <w:t>” has the meaning assigned to such term in Section 2.07.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has the meaning assigned to it in Section 2.08.</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Registrar</w:t>
      </w:r>
      <w:r>
        <w:rPr>
          <w:rFonts w:ascii="Arial" w:cs="Arial" w:eastAsia="Arial" w:hAnsi="Arial"/>
          <w:sz w:val="18"/>
          <w:szCs w:val="18"/>
          <w:color w:val="auto"/>
        </w:rPr>
        <w:t>” means a Person engaged to maintain the Register.</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79" w:name="page80"/>
    <w:bookmarkEnd w:id="79"/>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“Resolution of the Board of Directors” </w:t>
      </w:r>
      <w:r>
        <w:rPr>
          <w:rFonts w:ascii="Arial" w:cs="Arial" w:eastAsia="Arial" w:hAnsi="Arial"/>
          <w:sz w:val="18"/>
          <w:szCs w:val="18"/>
          <w:color w:val="auto"/>
        </w:rPr>
        <w:t>means a copy of a resolution certified by the secretary, an assistant secretary or another officer of the Issuer to</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duly adopted by the Board of Directors and to be in full force and effect on the date of such certification.</w:t>
      </w:r>
    </w:p>
    <w:p>
      <w:pPr>
        <w:spacing w:after="0" w:line="162"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when used with respect to the Trustee means any officer of the Trustee within the Corporate Trust Office of the Trustee with direct responsibility for the administration of the Indenture and also, with respect to a particular matter, any other officer of the Trustee to whom such matter is referred because of such officer’s knowledge and familiarity with the particular subject.</w:t>
      </w:r>
    </w:p>
    <w:p>
      <w:pPr>
        <w:spacing w:after="0" w:line="176" w:lineRule="exact"/>
        <w:rPr>
          <w:sz w:val="20"/>
          <w:szCs w:val="20"/>
          <w:color w:val="auto"/>
        </w:rPr>
      </w:pPr>
    </w:p>
    <w:p>
      <w:pPr>
        <w:ind w:right="380" w:firstLine="456"/>
        <w:spacing w:after="0" w:line="282" w:lineRule="auto"/>
        <w:rPr>
          <w:sz w:val="20"/>
          <w:szCs w:val="20"/>
          <w:color w:val="auto"/>
        </w:rPr>
      </w:pP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and any statute successor thereto, in each case as amended from time to time, and the rules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of the Commission promulgated thereunder.</w:t>
      </w:r>
    </w:p>
    <w:p>
      <w:pPr>
        <w:spacing w:after="0" w:line="162"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 or “</w:t>
      </w:r>
      <w:r>
        <w:rPr>
          <w:rFonts w:ascii="Arial" w:cs="Arial" w:eastAsia="Arial" w:hAnsi="Arial"/>
          <w:sz w:val="18"/>
          <w:szCs w:val="18"/>
          <w:b w:val="1"/>
          <w:bCs w:val="1"/>
          <w:color w:val="auto"/>
        </w:rPr>
        <w:t>Securities</w:t>
      </w:r>
      <w:r>
        <w:rPr>
          <w:rFonts w:ascii="Arial" w:cs="Arial" w:eastAsia="Arial" w:hAnsi="Arial"/>
          <w:sz w:val="18"/>
          <w:szCs w:val="18"/>
          <w:color w:val="auto"/>
        </w:rPr>
        <w:t>” has the meaning assigned to such term in the first recital of the Indenture, or, as the case may be, Securities that have been authenticated and delivered under the Indenture.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Non-Recourse Debt</w:t>
      </w:r>
      <w:r>
        <w:rPr>
          <w:rFonts w:ascii="Arial" w:cs="Arial" w:eastAsia="Arial" w:hAnsi="Arial"/>
          <w:sz w:val="18"/>
          <w:szCs w:val="18"/>
          <w:color w:val="auto"/>
        </w:rPr>
        <w:t>” has the meaning assigned to such term in Section 3.09.</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has the meaning assigned to such term in Section 3.09.</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Surviving Entity</w:t>
      </w:r>
      <w:r>
        <w:rPr>
          <w:rFonts w:ascii="Arial" w:cs="Arial" w:eastAsia="Arial" w:hAnsi="Arial"/>
          <w:sz w:val="18"/>
          <w:szCs w:val="18"/>
          <w:color w:val="auto"/>
        </w:rPr>
        <w:t>” has the meaning assigned to such term in Section 8.01.</w:t>
      </w:r>
    </w:p>
    <w:p>
      <w:pPr>
        <w:spacing w:after="0" w:line="225"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means the Person identified as “Trustee” in the first paragraph hereof and any successor trustee under the Indenture pursuant to Article 5 and thereafter “Trustee” will mean or include each Person who is then a Trustee hereunder, and if at any time there is more than one such Person, “Trustee” as used with respect to the Securities of any series will mean the Trustee with respect to Securities of that series.</w:t>
      </w:r>
    </w:p>
    <w:p>
      <w:pPr>
        <w:spacing w:after="0" w:line="176"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w:t>
      </w:r>
      <w:r>
        <w:rPr>
          <w:rFonts w:ascii="Arial" w:cs="Arial" w:eastAsia="Arial" w:hAnsi="Arial"/>
          <w:sz w:val="18"/>
          <w:szCs w:val="18"/>
          <w:color w:val="auto"/>
        </w:rPr>
        <w:t xml:space="preserve">” means the Trust Indenture Act of 1939 as in force at the date as of which this instrument was executed;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the Trust Indenture Act of 1939 is amended after such date, “Trust Indenture Act” means, to the extent required by any such amendment, the Trust Indenture Act of 1939 as so amended.</w:t>
      </w:r>
    </w:p>
    <w:p>
      <w:pPr>
        <w:spacing w:after="0" w:line="176"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b w:val="1"/>
          <w:bCs w:val="1"/>
          <w:color w:val="auto"/>
        </w:rPr>
        <w:t xml:space="preserve">“U.S.A. Patriot Act” </w:t>
      </w:r>
      <w:r>
        <w:rPr>
          <w:rFonts w:ascii="Arial" w:cs="Arial" w:eastAsia="Arial" w:hAnsi="Arial"/>
          <w:sz w:val="18"/>
          <w:szCs w:val="18"/>
          <w:color w:val="auto"/>
        </w:rPr>
        <w:t>means the Uniting and Strengthening America by Providing Appropriate Tools Required to Intercept and Obstruct Terrorism Act</w:t>
      </w:r>
      <w:r>
        <w:rPr>
          <w:rFonts w:ascii="Arial" w:cs="Arial" w:eastAsia="Arial" w:hAnsi="Arial"/>
          <w:sz w:val="18"/>
          <w:szCs w:val="18"/>
          <w:b w:val="1"/>
          <w:bCs w:val="1"/>
          <w:color w:val="auto"/>
        </w:rPr>
        <w:t xml:space="preserve"> </w:t>
      </w:r>
      <w:r>
        <w:rPr>
          <w:rFonts w:ascii="Arial" w:cs="Arial" w:eastAsia="Arial" w:hAnsi="Arial"/>
          <w:sz w:val="18"/>
          <w:szCs w:val="18"/>
          <w:color w:val="auto"/>
        </w:rPr>
        <w:t>of 2001, Pub. L. 107-56, as amended, and signed into law October 26, 2001.</w:t>
      </w:r>
    </w:p>
    <w:p>
      <w:pPr>
        <w:spacing w:after="0" w:line="162"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vice president</w:t>
      </w:r>
      <w:r>
        <w:rPr>
          <w:rFonts w:ascii="Arial" w:cs="Arial" w:eastAsia="Arial" w:hAnsi="Arial"/>
          <w:sz w:val="18"/>
          <w:szCs w:val="18"/>
          <w:color w:val="auto"/>
        </w:rPr>
        <w:t>” when used with respect to the Issuer, means any vice president, whether or not designated by a number or a word or words added before or after the title of “vice president”.</w:t>
      </w:r>
    </w:p>
    <w:p>
      <w:pPr>
        <w:spacing w:after="0" w:line="162"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Yield to Maturity</w:t>
      </w:r>
      <w:r>
        <w:rPr>
          <w:rFonts w:ascii="Arial" w:cs="Arial" w:eastAsia="Arial" w:hAnsi="Arial"/>
          <w:sz w:val="18"/>
          <w:szCs w:val="18"/>
          <w:color w:val="auto"/>
        </w:rPr>
        <w:t>” means the yield to maturity on a series of securities, calculated at the time of issuance of such series, or, if applicable, at the most recent redetermination of interest on such series, and calculated in accordance with accepted financial practice.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0" w:right="27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ECURITIES</w:t>
      </w:r>
    </w:p>
    <w:p>
      <w:pPr>
        <w:spacing w:after="0" w:line="21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Forms Generally.</w:t>
      </w:r>
      <w:r>
        <w:rPr>
          <w:rFonts w:ascii="Arial" w:cs="Arial" w:eastAsia="Arial" w:hAnsi="Arial"/>
          <w:sz w:val="18"/>
          <w:szCs w:val="18"/>
          <w:color w:val="auto"/>
        </w:rPr>
        <w:t xml:space="preserve"> The Securities of each series shall be substantially in such form (not inconsistent with the Indenture) as shall be established by or pursuant to a Resolution of the Board of Directors and set forth in an Officer’s Certificate, or in one or more indentures supplemental hereto, in each case with such appropriate insertions, omissions, substitutions and other variations as are required or permitted by the Indenture and may have imprinted or otherwise reproduced thereon such legends, notations or endorsements as may be required to comply with any law or with any rules or regulations pursuant thereto, or with any rules of any securities exchange or to conform to general usage, all as may be determined by the officer executing such Securities, as evidenced by such officer’s execution of the Securities.</w:t>
      </w:r>
    </w:p>
    <w:p>
      <w:pPr>
        <w:spacing w:after="0" w:line="193"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The definitive Securities shall be printed, lithographed or engraved on steel engraved borders or may be produced in any other manner, all as determined by the officer executing such Securities, as evidenced by such officer’s execution of such Securities.</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Form of Trustee’s Certification of Authentication.</w:t>
      </w:r>
      <w:r>
        <w:rPr>
          <w:rFonts w:ascii="Arial" w:cs="Arial" w:eastAsia="Arial" w:hAnsi="Arial"/>
          <w:sz w:val="18"/>
          <w:szCs w:val="18"/>
          <w:color w:val="auto"/>
        </w:rPr>
        <w:t xml:space="preserve"> The Trustee’s certificate of authentication on all Securities shall be in substantially the following form:</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herein and referred to in the within-mentioned Indenture.</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BANK OF NEW YORK MELLON,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Amount Unlimited; Issuable in Series.</w:t>
      </w:r>
      <w:r>
        <w:rPr>
          <w:rFonts w:ascii="Arial" w:cs="Arial" w:eastAsia="Arial" w:hAnsi="Arial"/>
          <w:sz w:val="18"/>
          <w:szCs w:val="18"/>
          <w:color w:val="auto"/>
        </w:rPr>
        <w:t xml:space="preserve"> Subject to compliance with this Section 2.03, the aggregate principal amount of Securities which may be authenticated and delivered under the Indenture is unlimited.</w:t>
      </w:r>
    </w:p>
    <w:p>
      <w:pPr>
        <w:spacing w:after="0" w:line="170"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The Securities may be issued in one or more series. There shall be established in or pursuant to a Resolution of the Board of Directors and set forth in an Officer’s Certificate, or established in one or more indentures supplemental hereto, prior to the issuance of Securities of any series:</w:t>
      </w:r>
    </w:p>
    <w:p>
      <w:pPr>
        <w:spacing w:after="0" w:line="38" w:lineRule="exact"/>
        <w:rPr>
          <w:sz w:val="20"/>
          <w:szCs w:val="20"/>
          <w:color w:val="auto"/>
        </w:rPr>
      </w:pPr>
    </w:p>
    <w:p>
      <w:pPr>
        <w:ind w:right="440" w:firstLine="464"/>
        <w:spacing w:after="0" w:line="277" w:lineRule="auto"/>
        <w:tabs>
          <w:tab w:leader="none" w:pos="701"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title of the Securities of the series including CUSIP numbers, if available (which shall distinguish the Securities of the series from all other Securities);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81" w:name="page82"/>
    <w:bookmarkEnd w:id="81"/>
    <w:p>
      <w:pPr>
        <w:jc w:val="both"/>
        <w:ind w:firstLine="464"/>
        <w:spacing w:after="0" w:line="264" w:lineRule="auto"/>
        <w:tabs>
          <w:tab w:leader="none" w:pos="711" w:val="left"/>
        </w:tabs>
        <w:numPr>
          <w:ilvl w:val="0"/>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limit upon the aggregate principal amount of the Securities of the series that may be authenticated and delivered under the Indenture (except for Securities authenticated and delivered upon registration of, transfer of, or in exchange for, or in lieu of, other Securities of the series pursuant to Section 2.08, Section 2.09, Section 2.11 or Section 11.03);</w:t>
      </w:r>
    </w:p>
    <w:p>
      <w:pPr>
        <w:spacing w:after="0" w:line="181" w:lineRule="exact"/>
        <w:rPr>
          <w:rFonts w:ascii="Arial" w:cs="Arial" w:eastAsia="Arial" w:hAnsi="Arial"/>
          <w:sz w:val="18"/>
          <w:szCs w:val="18"/>
          <w:color w:val="auto"/>
        </w:rPr>
      </w:pPr>
    </w:p>
    <w:p>
      <w:pPr>
        <w:ind w:left="700" w:hanging="236"/>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225" w:lineRule="exact"/>
        <w:rPr>
          <w:rFonts w:ascii="Arial" w:cs="Arial" w:eastAsia="Arial" w:hAnsi="Arial"/>
          <w:sz w:val="18"/>
          <w:szCs w:val="18"/>
          <w:color w:val="auto"/>
        </w:rPr>
      </w:pPr>
    </w:p>
    <w:p>
      <w:pPr>
        <w:ind w:right="140" w:firstLine="464"/>
        <w:spacing w:after="0" w:line="264" w:lineRule="auto"/>
        <w:tabs>
          <w:tab w:leader="none" w:pos="711"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rate or rates at which the Securities of the series shall bear interest, if any, or the method by which such rate shall be determined, the date or dates from which such interest shall accrue, the Interest Payment Dates on which such interest shall be payable and the record dates for the determination of Holders to whom interest is payable on such Interest Payment Dates;</w:t>
      </w:r>
    </w:p>
    <w:p>
      <w:pPr>
        <w:spacing w:after="0" w:line="181" w:lineRule="exact"/>
        <w:rPr>
          <w:rFonts w:ascii="Arial" w:cs="Arial" w:eastAsia="Arial" w:hAnsi="Arial"/>
          <w:sz w:val="18"/>
          <w:szCs w:val="18"/>
          <w:color w:val="auto"/>
        </w:rPr>
      </w:pPr>
    </w:p>
    <w:p>
      <w:pPr>
        <w:ind w:left="700" w:hanging="236"/>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such extension;</w:t>
      </w:r>
    </w:p>
    <w:p>
      <w:pPr>
        <w:spacing w:after="0" w:line="225" w:lineRule="exact"/>
        <w:rPr>
          <w:rFonts w:ascii="Arial" w:cs="Arial" w:eastAsia="Arial" w:hAnsi="Arial"/>
          <w:sz w:val="18"/>
          <w:szCs w:val="18"/>
          <w:color w:val="auto"/>
        </w:rPr>
      </w:pPr>
    </w:p>
    <w:p>
      <w:pPr>
        <w:ind w:left="680" w:hanging="216"/>
        <w:spacing w:after="0"/>
        <w:tabs>
          <w:tab w:leader="none" w:pos="6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place or places where the principal of and any interest on Securities of the series shall be payable (if other than as provided in Section 3.02);</w:t>
      </w:r>
    </w:p>
    <w:p>
      <w:pPr>
        <w:spacing w:after="0" w:line="248" w:lineRule="exact"/>
        <w:rPr>
          <w:rFonts w:ascii="Arial" w:cs="Arial" w:eastAsia="Arial" w:hAnsi="Arial"/>
          <w:sz w:val="16"/>
          <w:szCs w:val="16"/>
          <w:color w:val="auto"/>
        </w:rPr>
      </w:pPr>
    </w:p>
    <w:p>
      <w:pPr>
        <w:ind w:right="100" w:firstLine="464"/>
        <w:spacing w:after="0" w:line="277" w:lineRule="auto"/>
        <w:tabs>
          <w:tab w:leader="none" w:pos="711"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price or prices at which, the period or periods within which and the terms and conditions upon which Securities of the series may be redeemed, in whole or in part, at the option of the Issuer;</w:t>
      </w:r>
    </w:p>
    <w:p>
      <w:pPr>
        <w:spacing w:after="0" w:line="170" w:lineRule="exact"/>
        <w:rPr>
          <w:rFonts w:ascii="Arial" w:cs="Arial" w:eastAsia="Arial" w:hAnsi="Arial"/>
          <w:sz w:val="18"/>
          <w:szCs w:val="18"/>
          <w:color w:val="auto"/>
        </w:rPr>
      </w:pPr>
    </w:p>
    <w:p>
      <w:pPr>
        <w:ind w:right="220" w:firstLine="464"/>
        <w:spacing w:after="0" w:line="264" w:lineRule="auto"/>
        <w:tabs>
          <w:tab w:leader="none" w:pos="711"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obligation, if any, of the Issuer to redeem, purchase or repay Securities of the series at the option of a Holder thereof and the price or prices at which and the period or periods within which and the terms and conditions upon which Securities of the series shall be redeemed, purchased or repaid, in whole or in part, pursuant to such obligation;</w:t>
      </w:r>
    </w:p>
    <w:p>
      <w:pPr>
        <w:spacing w:after="0" w:line="181" w:lineRule="exact"/>
        <w:rPr>
          <w:rFonts w:ascii="Arial" w:cs="Arial" w:eastAsia="Arial" w:hAnsi="Arial"/>
          <w:sz w:val="18"/>
          <w:szCs w:val="18"/>
          <w:color w:val="auto"/>
        </w:rPr>
      </w:pPr>
    </w:p>
    <w:p>
      <w:pPr>
        <w:ind w:left="680" w:hanging="216"/>
        <w:spacing w:after="0"/>
        <w:tabs>
          <w:tab w:leader="none" w:pos="6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other than denominations of $2,000 and any multiple of $1,000 in excess thereof, the denominations in which Securities of the series shall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issuable;</w:t>
      </w:r>
    </w:p>
    <w:p>
      <w:pPr>
        <w:spacing w:after="0" w:line="210" w:lineRule="exact"/>
        <w:rPr>
          <w:rFonts w:ascii="Arial" w:cs="Arial" w:eastAsia="Arial" w:hAnsi="Arial"/>
          <w:sz w:val="16"/>
          <w:szCs w:val="16"/>
          <w:color w:val="auto"/>
        </w:rPr>
      </w:pPr>
    </w:p>
    <w:p>
      <w:pPr>
        <w:ind w:right="460" w:firstLine="464"/>
        <w:spacing w:after="0" w:line="264" w:lineRule="auto"/>
        <w:tabs>
          <w:tab w:leader="none" w:pos="671"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Securities will be issued, and, if other than the principal amount thereof, the portion of the principal amount of Securities of the series which shall be payable upon declaration of acceleration of the maturity thereof pursuant to Section 4.01 or provable in bankruptcy pursuant to Section 4.02;</w:t>
      </w:r>
    </w:p>
    <w:p>
      <w:pPr>
        <w:spacing w:after="0" w:line="181" w:lineRule="exact"/>
        <w:rPr>
          <w:rFonts w:ascii="Arial" w:cs="Arial" w:eastAsia="Arial" w:hAnsi="Arial"/>
          <w:sz w:val="18"/>
          <w:szCs w:val="18"/>
          <w:color w:val="auto"/>
        </w:rPr>
      </w:pPr>
    </w:p>
    <w:p>
      <w:pPr>
        <w:ind w:right="160" w:firstLine="464"/>
        <w:spacing w:after="0" w:line="277" w:lineRule="auto"/>
        <w:tabs>
          <w:tab w:leader="none" w:pos="711"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whether the Securities are issuable under an exemption under the Securities Act and, in such case, any provisions unique to such form of issuance including any transfer restrictions or exchange and registration rights;</w:t>
      </w:r>
    </w:p>
    <w:p>
      <w:pPr>
        <w:spacing w:after="0" w:line="170" w:lineRule="exact"/>
        <w:rPr>
          <w:rFonts w:ascii="Arial" w:cs="Arial" w:eastAsia="Arial" w:hAnsi="Arial"/>
          <w:sz w:val="18"/>
          <w:szCs w:val="18"/>
          <w:color w:val="auto"/>
        </w:rPr>
      </w:pPr>
    </w:p>
    <w:p>
      <w:pPr>
        <w:ind w:right="160" w:firstLine="464"/>
        <w:spacing w:after="0" w:line="308" w:lineRule="auto"/>
        <w:tabs>
          <w:tab w:leader="none" w:pos="671" w:val="left"/>
        </w:tabs>
        <w:numPr>
          <w:ilvl w:val="0"/>
          <w:numId w:val="63"/>
        </w:numPr>
        <w:rPr>
          <w:rFonts w:ascii="Arial" w:cs="Arial" w:eastAsia="Arial" w:hAnsi="Arial"/>
          <w:sz w:val="17"/>
          <w:szCs w:val="17"/>
          <w:color w:val="auto"/>
        </w:rPr>
      </w:pPr>
      <w:r>
        <w:rPr>
          <w:rFonts w:ascii="Arial" w:cs="Arial" w:eastAsia="Arial" w:hAnsi="Arial"/>
          <w:sz w:val="17"/>
          <w:szCs w:val="17"/>
          <w:color w:val="auto"/>
        </w:rPr>
        <w:t>any and all other terms of the series (which terms shall not be inconsistent with the provisions of the Indenture) including any terms which may be required by or advisable under U.S. law or regulations or advisable in connection with the marketing of Securities in that series;</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82" w:name="page83"/>
    <w:bookmarkEnd w:id="82"/>
    <w:p>
      <w:pPr>
        <w:ind w:left="760" w:hanging="296"/>
        <w:spacing w:after="0"/>
        <w:tabs>
          <w:tab w:leader="none" w:pos="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whether the Securities are issuable as a Global Security and, in such case, the identity of the Depositary for such series;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any deletion from, modification of or addition to the Events of Default or covenants provided for with respect to the Securities of the series;</w:t>
      </w:r>
    </w:p>
    <w:p>
      <w:pPr>
        <w:spacing w:after="0" w:line="236" w:lineRule="exact"/>
        <w:rPr>
          <w:rFonts w:ascii="Arial" w:cs="Arial" w:eastAsia="Arial" w:hAnsi="Arial"/>
          <w:sz w:val="17"/>
          <w:szCs w:val="17"/>
          <w:color w:val="auto"/>
        </w:rPr>
      </w:pPr>
    </w:p>
    <w:p>
      <w:pPr>
        <w:ind w:left="720" w:hanging="256"/>
        <w:spacing w:after="0"/>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when a specified event occurs;</w:t>
      </w:r>
    </w:p>
    <w:p>
      <w:pPr>
        <w:spacing w:after="0" w:line="225" w:lineRule="exact"/>
        <w:rPr>
          <w:rFonts w:ascii="Arial" w:cs="Arial" w:eastAsia="Arial" w:hAnsi="Arial"/>
          <w:sz w:val="18"/>
          <w:szCs w:val="18"/>
          <w:color w:val="auto"/>
        </w:rPr>
      </w:pPr>
    </w:p>
    <w:p>
      <w:pPr>
        <w:ind w:right="20" w:firstLine="464"/>
        <w:spacing w:after="0" w:line="286" w:lineRule="auto"/>
        <w:tabs>
          <w:tab w:leader="none" w:pos="711" w:val="left"/>
        </w:tabs>
        <w:numPr>
          <w:ilvl w:val="0"/>
          <w:numId w:val="64"/>
        </w:numPr>
        <w:rPr>
          <w:rFonts w:ascii="Arial" w:cs="Arial" w:eastAsia="Arial" w:hAnsi="Arial"/>
          <w:sz w:val="17"/>
          <w:szCs w:val="17"/>
          <w:color w:val="auto"/>
        </w:rPr>
      </w:pPr>
      <w:r>
        <w:rPr>
          <w:rFonts w:ascii="Arial" w:cs="Arial" w:eastAsia="Arial" w:hAnsi="Arial"/>
          <w:sz w:val="17"/>
          <w:szCs w:val="17"/>
          <w:color w:val="auto"/>
        </w:rPr>
        <w:t>whether and under what circumstances the Issuer will pay additional amounts on the Securities of the series held by a Person who is not a U.S. Person (within the meaning of Regulation S under the Securities Act) in respect of any tax, assessment or governmental charge withheld or deducted and, if so, whether the Issuer will have the option to redeem the Securities of the series rather than pay such additional amounts;</w:t>
      </w:r>
    </w:p>
    <w:p>
      <w:pPr>
        <w:spacing w:after="0" w:line="165" w:lineRule="exact"/>
        <w:rPr>
          <w:rFonts w:ascii="Arial" w:cs="Arial" w:eastAsia="Arial" w:hAnsi="Arial"/>
          <w:sz w:val="17"/>
          <w:szCs w:val="17"/>
          <w:color w:val="auto"/>
        </w:rPr>
      </w:pPr>
    </w:p>
    <w:p>
      <w:pPr>
        <w:ind w:left="720" w:hanging="256"/>
        <w:spacing w:after="0"/>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special tax implications of the Securities, including provisions for Original Issue Discount Securities;</w:t>
      </w:r>
    </w:p>
    <w:p>
      <w:pPr>
        <w:spacing w:after="0" w:line="225" w:lineRule="exact"/>
        <w:rPr>
          <w:rFonts w:ascii="Arial" w:cs="Arial" w:eastAsia="Arial" w:hAnsi="Arial"/>
          <w:sz w:val="18"/>
          <w:szCs w:val="18"/>
          <w:color w:val="auto"/>
        </w:rPr>
      </w:pPr>
    </w:p>
    <w:p>
      <w:pPr>
        <w:ind w:left="680" w:hanging="216"/>
        <w:spacing w:after="0"/>
        <w:tabs>
          <w:tab w:leader="none" w:pos="6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any trustees, authenticating or paying agents, transfer agents or registrars or any other agents with respect to the Securities of such series;</w:t>
      </w:r>
    </w:p>
    <w:p>
      <w:pPr>
        <w:spacing w:after="0" w:line="236" w:lineRule="exact"/>
        <w:rPr>
          <w:rFonts w:ascii="Arial" w:cs="Arial" w:eastAsia="Arial" w:hAnsi="Arial"/>
          <w:sz w:val="17"/>
          <w:szCs w:val="17"/>
          <w:color w:val="auto"/>
        </w:rPr>
      </w:pPr>
    </w:p>
    <w:p>
      <w:pPr>
        <w:ind w:left="700" w:hanging="236"/>
        <w:spacing w:after="0"/>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guarantor or co-issuer of the Securities of the series;</w:t>
      </w:r>
    </w:p>
    <w:p>
      <w:pPr>
        <w:spacing w:after="0" w:line="225" w:lineRule="exact"/>
        <w:rPr>
          <w:rFonts w:ascii="Arial" w:cs="Arial" w:eastAsia="Arial" w:hAnsi="Arial"/>
          <w:sz w:val="18"/>
          <w:szCs w:val="18"/>
          <w:color w:val="auto"/>
        </w:rPr>
      </w:pPr>
    </w:p>
    <w:p>
      <w:pPr>
        <w:ind w:left="680" w:hanging="216"/>
        <w:spacing w:after="0"/>
        <w:tabs>
          <w:tab w:leader="none" w:pos="6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special interest premium or other premium;</w:t>
      </w:r>
    </w:p>
    <w:p>
      <w:pPr>
        <w:spacing w:after="0" w:line="225" w:lineRule="exact"/>
        <w:rPr>
          <w:rFonts w:ascii="Arial" w:cs="Arial" w:eastAsia="Arial" w:hAnsi="Arial"/>
          <w:sz w:val="18"/>
          <w:szCs w:val="18"/>
          <w:color w:val="auto"/>
        </w:rPr>
      </w:pPr>
    </w:p>
    <w:p>
      <w:pPr>
        <w:ind w:firstLine="464"/>
        <w:spacing w:after="0" w:line="277" w:lineRule="auto"/>
        <w:tabs>
          <w:tab w:leader="none" w:pos="711" w:val="left"/>
        </w:tabs>
        <w:numPr>
          <w:ilvl w:val="0"/>
          <w:numId w:val="64"/>
        </w:numPr>
        <w:rPr>
          <w:rFonts w:ascii="Arial" w:cs="Arial" w:eastAsia="Arial" w:hAnsi="Arial"/>
          <w:sz w:val="18"/>
          <w:szCs w:val="18"/>
          <w:color w:val="auto"/>
        </w:rPr>
      </w:pPr>
      <w:r>
        <w:rPr>
          <w:rFonts w:ascii="Arial" w:cs="Arial" w:eastAsia="Arial" w:hAnsi="Arial"/>
          <w:sz w:val="18"/>
          <w:szCs w:val="18"/>
          <w:color w:val="auto"/>
        </w:rPr>
        <w:t>whether the Securities are convertible or exchangeable into common stock or other equity securities of the Issuer or a combination thereof and the terms and conditions upon which such conversion or exchange shall be effected; and</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currency in which payments shall be made, if other than U.S. dollars.</w:t>
      </w:r>
    </w:p>
    <w:p>
      <w:pPr>
        <w:spacing w:after="0" w:line="22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All Securities of any one series shall be substantially identical except as to denomination and except as may otherwise be provided in or pursuant to such Resolution of the Board of Directors and set forth in an Officer’s Certificate, or in any indenture supplemental hereto. The Issuer may, without the consent of the Holders, increase the principal amount of the Securities of any series by issuing additional Securities of the same series in the future on the same terms and conditions as the Securities of such series, except for any differences in the issue price and, if applicable, the initial interest accrual date and interest payment date; provided that the additional Securities are fungible with the Securities of such series for U.S. federal income tax purposes. The additional Securities will have the same CUSIP number as the Securities of the applicable series. Under the Indenture, the Securities of any series and any additional Securities of such series the Issuer may issue in the future will be treated as a single series for all purposes under the Indenture, including for purposes of determining whether the required percentage of the Holders of record of the Securities of such series has given approval or consent to an amendment or waiver or joined in directing the Trustee to take certain actions on behalf of all Holders of the Securities of such series.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274" w:right="419" w:bottom="1440" w:gutter="0" w:footer="0" w:header="0"/>
        </w:sectPr>
      </w:pPr>
    </w:p>
    <w:bookmarkStart w:id="83" w:name="page84"/>
    <w:bookmarkEnd w:id="83"/>
    <w:p>
      <w:pPr>
        <w:ind w:right="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 shall be established in or pursuant to a Resolution of the Board of Directors and set forth in an Officer’s Certificate, or established in one or more indentures supplemental hereto, prior to the issuance of any additional Securities of any series:</w:t>
      </w:r>
    </w:p>
    <w:p>
      <w:pPr>
        <w:spacing w:after="0" w:line="62" w:lineRule="exact"/>
        <w:rPr>
          <w:sz w:val="20"/>
          <w:szCs w:val="20"/>
          <w:color w:val="auto"/>
        </w:rPr>
      </w:pPr>
    </w:p>
    <w:p>
      <w:pPr>
        <w:ind w:left="1120" w:hanging="217"/>
        <w:spacing w:after="0"/>
        <w:tabs>
          <w:tab w:leader="none" w:pos="11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aggregate principal amount of such additional Securities to be authenticated and delivered pursuant to the Indenture;</w:t>
      </w:r>
    </w:p>
    <w:p>
      <w:pPr>
        <w:spacing w:after="0" w:line="117" w:lineRule="exact"/>
        <w:rPr>
          <w:rFonts w:ascii="Arial" w:cs="Arial" w:eastAsia="Arial" w:hAnsi="Arial"/>
          <w:sz w:val="18"/>
          <w:szCs w:val="18"/>
          <w:color w:val="auto"/>
        </w:rPr>
      </w:pPr>
    </w:p>
    <w:p>
      <w:pPr>
        <w:ind w:left="460" w:right="220" w:firstLine="443"/>
        <w:spacing w:after="0" w:line="277" w:lineRule="auto"/>
        <w:tabs>
          <w:tab w:leader="none" w:pos="116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issue price, the issue date and the CUSIP number, if any, of such additional Securities and, to the extent applicable, the date from which interest shall accrue on, and the initial Interest Payment Date for, such additional Securities; and</w:t>
      </w:r>
    </w:p>
    <w:p>
      <w:pPr>
        <w:spacing w:after="0" w:line="62" w:lineRule="exact"/>
        <w:rPr>
          <w:rFonts w:ascii="Arial" w:cs="Arial" w:eastAsia="Arial" w:hAnsi="Arial"/>
          <w:sz w:val="18"/>
          <w:szCs w:val="18"/>
          <w:color w:val="auto"/>
        </w:rPr>
      </w:pPr>
    </w:p>
    <w:p>
      <w:pPr>
        <w:ind w:left="1220" w:hanging="317"/>
        <w:spacing w:after="0"/>
        <w:tabs>
          <w:tab w:leader="none" w:pos="12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whether such additional Securities shall be transfer restricted Securities or have any registration or exchange rights.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Authentication and Delivery of Securities.</w:t>
      </w:r>
      <w:r>
        <w:rPr>
          <w:rFonts w:ascii="Arial" w:cs="Arial" w:eastAsia="Arial" w:hAnsi="Arial"/>
          <w:sz w:val="18"/>
          <w:szCs w:val="18"/>
          <w:color w:val="auto"/>
        </w:rPr>
        <w:t xml:space="preserve"> At any time and from time to time after the execution and delivery of the Indenture, the Issuer may deliver Securities of any series executed by the Issuer to the Trustee for authentication, together with a written order of the Issuer, signed in the name of the Issuer by any one of the following officers: chairman of the Board of Directors, chief executive officer, chief financial officer, principal accounting officer, treasurer, president, any vice president, secretary, controller or general counsel</w:t>
      </w:r>
      <w:r>
        <w:rPr>
          <w:rFonts w:ascii="Arial" w:cs="Arial" w:eastAsia="Arial" w:hAnsi="Arial"/>
          <w:sz w:val="15"/>
          <w:szCs w:val="15"/>
          <w:color w:val="auto"/>
        </w:rPr>
        <w:t>1</w:t>
      </w:r>
      <w:r>
        <w:rPr>
          <w:rFonts w:ascii="Arial" w:cs="Arial" w:eastAsia="Arial" w:hAnsi="Arial"/>
          <w:sz w:val="18"/>
          <w:szCs w:val="18"/>
          <w:color w:val="auto"/>
        </w:rPr>
        <w:t xml:space="preserve"> of the Issuer (an “</w:t>
      </w:r>
      <w:r>
        <w:rPr>
          <w:rFonts w:ascii="Arial" w:cs="Arial" w:eastAsia="Arial" w:hAnsi="Arial"/>
          <w:sz w:val="18"/>
          <w:szCs w:val="18"/>
          <w:b w:val="1"/>
          <w:bCs w:val="1"/>
          <w:color w:val="auto"/>
        </w:rPr>
        <w:t>Issuer Order</w:t>
      </w:r>
      <w:r>
        <w:rPr>
          <w:rFonts w:ascii="Arial" w:cs="Arial" w:eastAsia="Arial" w:hAnsi="Arial"/>
          <w:sz w:val="18"/>
          <w:szCs w:val="18"/>
          <w:color w:val="auto"/>
        </w:rPr>
        <w:t>”). The Trustee, in accordance with such written order, shall authenticate and deliver such Securities.</w:t>
      </w:r>
    </w:p>
    <w:p>
      <w:pPr>
        <w:spacing w:after="0" w:line="188"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In authenticating such Securities and accepting the additional responsibilities under the Indenture in relation to such Securities, the Trustee shall be entitled to receive and (subject to Section 5.01) shall be fully protected in relying upon:</w:t>
      </w:r>
    </w:p>
    <w:p>
      <w:pPr>
        <w:spacing w:after="0" w:line="62" w:lineRule="exact"/>
        <w:rPr>
          <w:sz w:val="20"/>
          <w:szCs w:val="20"/>
          <w:color w:val="auto"/>
        </w:rPr>
      </w:pPr>
    </w:p>
    <w:p>
      <w:pPr>
        <w:ind w:left="700" w:hanging="236"/>
        <w:spacing w:after="0"/>
        <w:tabs>
          <w:tab w:leader="none" w:pos="7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 copy of any Resolution or Resolutions of the Board of Directors, certified by the secretary or an assistant secretary of the Issuer, authorizing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series;</w:t>
      </w:r>
    </w:p>
    <w:p>
      <w:pPr>
        <w:spacing w:after="0" w:line="210" w:lineRule="exact"/>
        <w:rPr>
          <w:rFonts w:ascii="Arial" w:cs="Arial" w:eastAsia="Arial" w:hAnsi="Arial"/>
          <w:sz w:val="16"/>
          <w:szCs w:val="16"/>
          <w:color w:val="auto"/>
        </w:rPr>
      </w:pPr>
    </w:p>
    <w:p>
      <w:pPr>
        <w:ind w:left="720" w:hanging="256"/>
        <w:spacing w:after="0"/>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executed supplemental indenture, if any;</w:t>
      </w:r>
    </w:p>
    <w:p>
      <w:pPr>
        <w:spacing w:after="0" w:line="225" w:lineRule="exact"/>
        <w:rPr>
          <w:rFonts w:ascii="Arial" w:cs="Arial" w:eastAsia="Arial" w:hAnsi="Arial"/>
          <w:sz w:val="18"/>
          <w:szCs w:val="18"/>
          <w:color w:val="auto"/>
        </w:rPr>
      </w:pPr>
    </w:p>
    <w:p>
      <w:pPr>
        <w:ind w:right="280" w:firstLine="464"/>
        <w:spacing w:after="0" w:line="277" w:lineRule="auto"/>
        <w:tabs>
          <w:tab w:leader="none" w:pos="701"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lieu of a supplemental indenture, an Officer’s Certificate setting forth the form and terms of the Securities as required pursuant to Section 2.01 and Section 2.03, respectively, and prepared in accordance with Section 10.05; and</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Opinion of Counsel, prepared in accordance with Section 10.05, to the effect that</w:t>
      </w:r>
    </w:p>
    <w:p>
      <w:pPr>
        <w:spacing w:after="0" w:line="117" w:lineRule="exact"/>
        <w:rPr>
          <w:rFonts w:ascii="Arial" w:cs="Arial" w:eastAsia="Arial" w:hAnsi="Arial"/>
          <w:sz w:val="18"/>
          <w:szCs w:val="18"/>
          <w:color w:val="auto"/>
        </w:rPr>
      </w:pPr>
    </w:p>
    <w:p>
      <w:pPr>
        <w:ind w:left="460" w:right="140" w:firstLine="443"/>
        <w:spacing w:after="0" w:line="264" w:lineRule="auto"/>
        <w:tabs>
          <w:tab w:leader="none" w:pos="1113"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form or forms and terms of such Securities have been established by or pursuant to a Resolution of the Board of Directors and set forth in an Officer’s Certificate, or by a supplemental indenture as permitted by Section 2.01 and Section 2.03 in conformity with the provisions of the Indenture;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89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5620" w:right="3860" w:hanging="5612"/>
        <w:spacing w:after="0" w:line="449" w:lineRule="auto"/>
        <w:tabs>
          <w:tab w:leader="none" w:pos="450" w:val="left"/>
        </w:tabs>
        <w:numPr>
          <w:ilvl w:val="0"/>
          <w:numId w:val="67"/>
        </w:numPr>
        <w:rPr>
          <w:rFonts w:ascii="Arial" w:cs="Arial" w:eastAsia="Arial" w:hAnsi="Arial"/>
          <w:sz w:val="15"/>
          <w:szCs w:val="15"/>
          <w:color w:val="auto"/>
        </w:rPr>
      </w:pPr>
      <w:r>
        <w:rPr>
          <w:rFonts w:ascii="Arial" w:cs="Arial" w:eastAsia="Arial" w:hAnsi="Arial"/>
          <w:sz w:val="18"/>
          <w:szCs w:val="18"/>
          <w:color w:val="auto"/>
        </w:rPr>
        <w:t>NTD: to be confirmed with company; to conform the definition of Officer’s Certificate and § 2.05. 10</w:t>
      </w:r>
    </w:p>
    <w:p>
      <w:pPr>
        <w:sectPr>
          <w:pgSz w:w="11900" w:h="16838" w:orient="portrait"/>
          <w:cols w:equalWidth="0" w:num="1">
            <w:col w:w="11420"/>
          </w:cols>
          <w:pgMar w:left="240" w:top="274" w:right="239" w:bottom="1440" w:gutter="0" w:footer="0" w:header="0"/>
        </w:sectPr>
      </w:pPr>
    </w:p>
    <w:bookmarkStart w:id="84" w:name="page85"/>
    <w:bookmarkEnd w:id="84"/>
    <w:p>
      <w:pPr>
        <w:ind w:left="460" w:firstLine="443"/>
        <w:spacing w:after="0" w:line="276" w:lineRule="auto"/>
        <w:tabs>
          <w:tab w:leader="none" w:pos="1163" w:val="left"/>
        </w:tabs>
        <w:numPr>
          <w:ilvl w:val="0"/>
          <w:numId w:val="6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Securities, when authenticated and delivered by the Trustee and issued by the Issuer in the manner and subject to any conditions specified in such Opinion of Counsel, will constitute valid and binding obligations of the Issuer entitled to the benefits of the Indenture, and enforceable against the Issuer in accordance with their terms, except to the extent that enforcement thereof may be limited by bankruptcy, insolvency, reorganization, moratorium, fraudulent conveyance or similar laws now or hereafter in effect relating to creditors’ rights generally, and general principles of equity (regardless of whether enforceability is considered in a proceeding in equity or at law).</w:t>
      </w:r>
    </w:p>
    <w:p>
      <w:pPr>
        <w:spacing w:after="0" w:line="173"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Trustee shall have the right to decline to authenticate and deliver any Securities under this section if the Trustee, being advised by counsel, determines that such action may not lawfully be taken by the Issuer or if the Trustee in good faith by its board of directors or board of trustees, executive committee, or a trust committee of directors or trustees or Responsible Officers shall determine that such action would expose the Trustee to personal liability.</w:t>
      </w:r>
    </w:p>
    <w:p>
      <w:pPr>
        <w:spacing w:after="0" w:line="14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i w:val="1"/>
          <w:iCs w:val="1"/>
          <w:color w:val="auto"/>
        </w:rPr>
        <w:t>Execution of Securities.</w:t>
      </w:r>
      <w:r>
        <w:rPr>
          <w:rFonts w:ascii="Arial" w:cs="Arial" w:eastAsia="Arial" w:hAnsi="Arial"/>
          <w:sz w:val="17"/>
          <w:szCs w:val="17"/>
          <w:color w:val="auto"/>
        </w:rPr>
        <w:t xml:space="preserve"> The Securities shall be signed in the name of the Issuer by any one of its chairman of the Board of Directors, chief executive officer, chief financial officer, principal accounting officer, treasurer, president, vice presidents or general counsel. Such signature may be the manual or facsimile signature of the present or any future such officer. Typographical and other minor errors or defects in any such signature shall not affect the validity or enforceability of any Security that has been duly authenticated and delivered by the Trustee.</w:t>
      </w:r>
    </w:p>
    <w:p>
      <w:pPr>
        <w:spacing w:after="0" w:line="17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case any officer of the Issuer who shall have signed any of the Securities shall cease to be such officer before the Security so signed shall be authenticated and delivered by the Trustee or disposed of by the Issuer, such Security nevertheless may be authenticated and delivered or disposed of as though the person who signed such Security had not ceased to be such officer of the Issuer; and any Security may be signed on behalf of the Issuer by such person as, at the actual date of the execution of such Security, shall be the proper officer of the Issuer, although at the date of the execution and delivery of the Indenture any such person was not such an officer.</w:t>
      </w:r>
    </w:p>
    <w:p>
      <w:pPr>
        <w:spacing w:after="0" w:line="188"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color w:val="auto"/>
        </w:rPr>
        <w:t xml:space="preserve">Section 2.06. </w:t>
      </w:r>
      <w:r>
        <w:rPr>
          <w:rFonts w:ascii="Arial" w:cs="Arial" w:eastAsia="Arial" w:hAnsi="Arial"/>
          <w:sz w:val="17"/>
          <w:szCs w:val="17"/>
          <w:i w:val="1"/>
          <w:iCs w:val="1"/>
          <w:color w:val="auto"/>
        </w:rPr>
        <w:t>Certificate of Authentication.</w:t>
      </w:r>
      <w:r>
        <w:rPr>
          <w:rFonts w:ascii="Arial" w:cs="Arial" w:eastAsia="Arial" w:hAnsi="Arial"/>
          <w:sz w:val="17"/>
          <w:szCs w:val="17"/>
          <w:color w:val="auto"/>
        </w:rPr>
        <w:t xml:space="preserve"> Only such Securities as shall bear thereon a certificate of authentication substantially in the form recited herein, executed by the Trustee by the manual signature of one of its authorized signatories, shall be entitled to the benefits of the Indenture or be valid or obligatory for any purpose. Such certificate by the Trustee upon any Security executed by the Issuer shall be conclusive evidence that the Security so authenticated has been duly authenticated and delivered hereunder and that the Holder is entitled to the benefits of the Indenture.</w:t>
      </w:r>
    </w:p>
    <w:p>
      <w:pPr>
        <w:spacing w:after="0" w:line="171"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 xml:space="preserve">Section 2.07. </w:t>
      </w:r>
      <w:r>
        <w:rPr>
          <w:rFonts w:ascii="Arial" w:cs="Arial" w:eastAsia="Arial" w:hAnsi="Arial"/>
          <w:sz w:val="17"/>
          <w:szCs w:val="17"/>
          <w:i w:val="1"/>
          <w:iCs w:val="1"/>
          <w:color w:val="auto"/>
        </w:rPr>
        <w:t>Denomination and Date of Securities; Payments of Interest</w:t>
      </w:r>
      <w:r>
        <w:rPr>
          <w:rFonts w:ascii="Arial" w:cs="Arial" w:eastAsia="Arial" w:hAnsi="Arial"/>
          <w:sz w:val="17"/>
          <w:szCs w:val="17"/>
          <w:color w:val="auto"/>
        </w:rPr>
        <w:t>. The Securities shall be issuable as registered securities without coupons and in denominations as shall be specified as contemplated by Section 2.03. In the absence of any such specification with respect to the Securities of any series, the Securities of such series shall be issuable in denominations of $2,000 in principal amount and multiples of $1,000 in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85" w:name="page86"/>
    <w:bookmarkEnd w:id="85"/>
    <w:p>
      <w:pPr>
        <w:ind w:right="3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excess thereof. The Securities shall be numbered, lettered, or otherwise distinguished in such manner or in accordance with such plan as the officer of the Issuer executing the same may determine with the approval of the Trustee as evidenced by the execution and authentication thereof.</w:t>
      </w:r>
    </w:p>
    <w:p>
      <w:pPr>
        <w:spacing w:after="0" w:line="14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principal of and the interest on the Securities of any series shall be payable in the coin or currency of the United States of America that at the time is legal tender for public and private debt, at the office or agency of the Issuer maintained for that purpose.</w:t>
      </w:r>
    </w:p>
    <w:p>
      <w:pPr>
        <w:spacing w:after="0" w:line="17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Each Security shall be dated the date of its authentication, shall bear interest, if any, from the date and shall be payable on the dates, in each case, established as contemplated by Section 2.03.</w:t>
      </w:r>
    </w:p>
    <w:p>
      <w:pPr>
        <w:spacing w:after="0" w:line="17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Except as otherwise provided pursuant to Section 2.03, 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or exchange of such Security subsequent to the record date and prior to such Interest Payment Date, except if and to the extent the Issuer shall default in the payment of the interest due on such Interest Payment Date for such series, in which case such defaulted interest shall be paid to the Persons in whose names Outstanding Securities for such series are registered at the close of business on a subsequent record date (which shall be not less than five Business Days prior to the date of payment of such defaulted interest) established by notice given by mail by or on behalf of the Issuer to the Holders not less than 15 days preceding such subsequent record date. The term “</w:t>
      </w:r>
      <w:r>
        <w:rPr>
          <w:rFonts w:ascii="Arial" w:cs="Arial" w:eastAsia="Arial" w:hAnsi="Arial"/>
          <w:sz w:val="17"/>
          <w:szCs w:val="17"/>
          <w:b w:val="1"/>
          <w:bCs w:val="1"/>
          <w:color w:val="auto"/>
        </w:rPr>
        <w:t>record date</w:t>
      </w:r>
      <w:r>
        <w:rPr>
          <w:rFonts w:ascii="Arial" w:cs="Arial" w:eastAsia="Arial" w:hAnsi="Arial"/>
          <w:sz w:val="17"/>
          <w:szCs w:val="17"/>
          <w:color w:val="auto"/>
        </w:rPr>
        <w:t>” as used with respect to any Interest Payment Date (except a date for payment of defaulted interest) shall mean the date specified as such in the terms of the Securities of any particular series, or, if no such date is so specified, if such Interest Payment Date is the first day of a calendar month, the fifteenth day of the next preceding calendar month or, if such Interest Payment Date is the fifteenth day of a calendar month, the first day of such calendar month, whether or not such record date is a Business Day.</w:t>
      </w:r>
    </w:p>
    <w:p>
      <w:pPr>
        <w:spacing w:after="0" w:line="18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Registration, Transfer and Exchange.</w:t>
      </w:r>
      <w:r>
        <w:rPr>
          <w:rFonts w:ascii="Arial" w:cs="Arial" w:eastAsia="Arial" w:hAnsi="Arial"/>
          <w:sz w:val="18"/>
          <w:szCs w:val="18"/>
          <w:color w:val="auto"/>
        </w:rPr>
        <w:t xml:space="preserve"> The Issuer may appoint one or more Registrars;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not be more than one Registrar at any given time. The Issuer initially appoints the Trustee as Registrar. The Issuer will keep or cause to be kept at one of the offices or agencies to be maintained for the purpose as provided in Section 3.02 a register (the “</w:t>
      </w:r>
      <w:r>
        <w:rPr>
          <w:rFonts w:ascii="Arial" w:cs="Arial" w:eastAsia="Arial" w:hAnsi="Arial"/>
          <w:sz w:val="18"/>
          <w:szCs w:val="18"/>
          <w:b w:val="1"/>
          <w:bCs w:val="1"/>
          <w:color w:val="auto"/>
        </w:rPr>
        <w:t>Register</w:t>
      </w:r>
      <w:r>
        <w:rPr>
          <w:rFonts w:ascii="Arial" w:cs="Arial" w:eastAsia="Arial" w:hAnsi="Arial"/>
          <w:sz w:val="18"/>
          <w:szCs w:val="18"/>
          <w:color w:val="auto"/>
        </w:rPr>
        <w:t>”) in which, subject to such reasonable regulations as it may prescribe, it will register, and will register the transfer of, Securities as in this Article provided. The Register shall be in written form in the English language or in any other form capable of being converted into such form within a reasonable time. At all reasonable times the Register shall be open for inspection by the Trustee.</w:t>
      </w:r>
    </w:p>
    <w:p>
      <w:pPr>
        <w:spacing w:after="0" w:line="193"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Upon due presentation for registration of transfer of any Security of any series at any such office or agency to be maintained for the purpose as provided in Section 3.02, the Issuer shall execute and the Trustee shall authenticate and deliver in the name of the transferee or transferees a new Security or Securities of the same series in authorized denominations for a like aggregate principal amount.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86" w:name="page87"/>
    <w:bookmarkEnd w:id="86"/>
    <w:p>
      <w:pPr>
        <w:ind w:right="20" w:firstLine="456"/>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Security or Securities of any series may be exchanged for a Security or Securities of the same series in other authorized denominations, in an equal aggregate principal amount. Securities of any series to be exchanged shall be surrendered at any office or agency to be maintained by the Issuer for the purpose as provided in Section 3.02, and the Issuer shall execute and the Trustee shall authenticate and deliver in exchange therefor the Security or Securities of the same series which the Holder making the exchange shall be entitled to receive, bearing numbers not contemporaneously Outstanding.</w:t>
      </w:r>
    </w:p>
    <w:p>
      <w:pPr>
        <w:spacing w:after="0" w:line="15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All Securities presented for registration of transfer, exchange, redemption or payment shall (if so required by the Issuer or the Trustee) be duly endorsed by, or be accompanied by a written instrument or instruments of transfer in form satisfactory to the Issuer and the Trustee duly executed by, the Holder or his attorney duly authorized in writing, together with signature guarantees for such Holder or attorney.</w:t>
      </w:r>
    </w:p>
    <w:p>
      <w:pPr>
        <w:spacing w:after="0" w:line="18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Issuer or the Trustee may require payment of a sum sufficient to cover any tax or other governmental charge that may be imposed in connection with any exchange or registration of transfer of Securities. No service charge shall be made for any such transaction.</w:t>
      </w:r>
    </w:p>
    <w:p>
      <w:pPr>
        <w:spacing w:after="0" w:line="17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Neither the Issuer nor the Trustee shall be required to exchange or register a transfer of (a) any Securities of any series for a period of 15 days preceding the first mailing of notice of redemption of Securities of such series to be redeemed, or (b) any Securities selected, called or being called for redemption except, in the case of any Security where public notice has been given that such Security is to be redeemed in part, the portion thereof not so to be redeemed.</w:t>
      </w:r>
    </w:p>
    <w:p>
      <w:pPr>
        <w:spacing w:after="0" w:line="14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addition to the transfer requirements provided in this Section 2.08, any Security or Securities will be subject to such further transfer restrictions as may be contained in an Officer’s Certificate or indenture supplemental hereto applicable to such series of Securities.</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All Securities issued upon any registration of transfer or exchange of Securities shall be valid obligations of the Issuer, evidencing the same debt, and entitled to the same benefits under the Indenture, as the Securities surrendered upon such transfer or exchange.</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i w:val="1"/>
          <w:iCs w:val="1"/>
          <w:color w:val="auto"/>
        </w:rPr>
        <w:t>Mutilated, Defaced, Destroyed, Lost and Stolen Securities.</w:t>
      </w:r>
      <w:r>
        <w:rPr>
          <w:rFonts w:ascii="Arial" w:cs="Arial" w:eastAsia="Arial" w:hAnsi="Arial"/>
          <w:sz w:val="18"/>
          <w:szCs w:val="18"/>
          <w:color w:val="auto"/>
        </w:rPr>
        <w:t xml:space="preserve"> In case any temporary or definitive Security shall become mutilated, defaced or be destroyed, lost or stolen, the Issuer in its discretion may execute, and upon the receipt of an Issuer Order, the Trustee shall authenticate and deliver, a new Security of the same series, bearing a number not contemporaneously Outstanding, in exchange and substitution for the mutilated or defaced Security, or in lieu of and substitution for the Security so destroyed, lost or stolen. In every case the applicant for a substitute Security shall furnish to the Issuer and to the Trustee and any agent of the Issuer or the Trustee such security or indemnity as may be required by them to indemnify and defend and to save each of them harmless and, in every case of destruction, loss or theft, evidence to their satisfaction of the destruction, loss or theft of such Security and of the ownership thereof.</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87" w:name="page88"/>
    <w:bookmarkEnd w:id="87"/>
    <w:p>
      <w:pPr>
        <w:ind w:right="40" w:firstLine="456"/>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issuance of any substitute Security, the Issuer or the Trustee may require the payment of a sum sufficient to cover any tax or other governmental charge that may be imposed in relation thereto and any other expenses (including the fees and expenses of the Trustee) connected therewith. In case any Security, which has matured or is about to mature or has been called for redemption in full or has otherwise become or is about to become due and payable, shall become mutilated or defaced or be destroyed, lost or stolen, the Issuer may instead of issuing a substitute Security, pay or authorize the payment of the same (without surrender thereof except in the case of a mutilated or defaced Security), if the applicant for such payment shall furnish to the Issuer and to the Trustee and any agent of the Issuer or the Trustee such security or indemnity as any of them may require to save each of them harmless, and, in every case of destruction, loss or theft, the applicant shall also furnish to the Issuer and the Trustee and any agent of the Issuer or the Trustee evidence to their satisfaction of the destruction, loss or theft of such Security and of the ownership thereof.</w:t>
      </w:r>
    </w:p>
    <w:p>
      <w:pPr>
        <w:spacing w:after="0" w:line="179"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Every substitute Security of any series issued pursuant to the provisions of this section by virtue of the fact that any such Security is destroyed, lost or stolen shall constitute an additional contractual obligation of the Issuer, whether or not the destroyed, lost or stolen Security shall be at any time enforceable by anyone and shall be entitled to all the benefits of (but shall be subject to all the limitations of rights set forth in) the Indenture equally and proportionately with any and all other Securities of such series duly authenticated and delivered hereunder. All Securities shall be held and owned upon the express condition that, to the extent permitted by law, the foregoing provisions are exclusive with respect to the replacement or payment of mutilated, defaced or destroyed, lost or stolen Securities and shall preclude any and all other rights or remedies notwithstanding any law or statute existing or hereafter enacted to the contrary with respect to the replacement or payment of negotiable instruments or other securities without their surrender.</w:t>
      </w:r>
    </w:p>
    <w:p>
      <w:pPr>
        <w:spacing w:after="0" w:line="16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Cancellation of Securities; Destruction Thereof.</w:t>
      </w:r>
      <w:r>
        <w:rPr>
          <w:rFonts w:ascii="Arial" w:cs="Arial" w:eastAsia="Arial" w:hAnsi="Arial"/>
          <w:sz w:val="18"/>
          <w:szCs w:val="18"/>
          <w:color w:val="auto"/>
        </w:rPr>
        <w:t xml:space="preserve"> All Securities surrendered for payment, redemption, cancellation, registration of transfer or exchange, or for credit against any payment in respect of a sinking or analogous fund, if surrendered to the Issuer or any agent of the Issuer or the Trustee, shall be delivered to the Trustee for cancellation or, if surrendered to the Trustee, shall be cancelled by it; and no Securities shall be issued in lieu thereof except as expressly permitted by any of the provisions of the Indenture. On written request of the Issuer at the time of such surrender, the Trustee shall deliver to the Issuer the Securities cancelled by the Trustee. In the absence of such request, the Trustee shall dispose of cancelled Securities held by it in accordance with its customary procedures and deliver a certificate of disposition to the Issuer. If the Issuer shall acquire any of the Securities, such acquisition shall not operate as a redemption or satisfaction of the indebtedness represented by such Securities unless and until the same are delivered to the Trustee for cancellation.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88" w:name="page89"/>
    <w:bookmarkEnd w:id="88"/>
    <w:p>
      <w:pPr>
        <w:ind w:firstLine="456"/>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2.11. </w:t>
      </w:r>
      <w:r>
        <w:rPr>
          <w:rFonts w:ascii="Arial" w:cs="Arial" w:eastAsia="Arial" w:hAnsi="Arial"/>
          <w:sz w:val="17"/>
          <w:szCs w:val="17"/>
          <w:i w:val="1"/>
          <w:iCs w:val="1"/>
          <w:color w:val="auto"/>
        </w:rPr>
        <w:t>Temporary Securities.</w:t>
      </w:r>
      <w:r>
        <w:rPr>
          <w:rFonts w:ascii="Arial" w:cs="Arial" w:eastAsia="Arial" w:hAnsi="Arial"/>
          <w:sz w:val="17"/>
          <w:szCs w:val="17"/>
          <w:color w:val="auto"/>
        </w:rPr>
        <w:t xml:space="preserve"> Pending the preparation of definitive Securities for any series, the Issuer may execute and the Trustee shall, upon receipt of an Issuer Order, authenticate and deliver temporary Securities for such series (printed, lithographed, typewritten or otherwise reproduced, in each case in form satisfactory to the Trustee). Temporary Securities of any series shall be issuable as registered Securities without coupons, of any authorized denomination, and substantially in the form of the definitive Securities of such series but with such omissions, insertions and variations as may be appropriate for temporary Securities, all as may be determined by the Issuer with the concurrence of the Trustee. Temporary Securities may contain such reference to any provisions of the Indenture as may be appropriate. Every temporary Security shall be executed by the Issuer and be authenticated by the Trustee upon the same conditions and in substantially the same manner, and with like effect, as the definitive Securities. Without unreasonable delay the Issuer shall execute and shall furnish definitive Securities of such series and thereupon temporary Securities of such series may be surrendered in exchange therefor without charge at each office or agency to be maintained by the Issuer for that purpose pursuant to Section 3.02, and the Trustee shall, upon receipt of an Issuer Order, authenticate and deliver in exchange for such temporary Securities of such series a like aggregate principal amount of definitive Securities of the same series of authorized denominations. Until so exchanged, the temporary Securities of any series shall be entitled to the same benefits under the Indenture as definitive Securities of such series.</w:t>
      </w:r>
    </w:p>
    <w:p>
      <w:pPr>
        <w:spacing w:after="0" w:line="180"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 xml:space="preserve">Section 2.12. </w:t>
      </w:r>
      <w:r>
        <w:rPr>
          <w:rFonts w:ascii="Arial" w:cs="Arial" w:eastAsia="Arial" w:hAnsi="Arial"/>
          <w:sz w:val="17"/>
          <w:szCs w:val="17"/>
          <w:i w:val="1"/>
          <w:iCs w:val="1"/>
          <w:color w:val="auto"/>
        </w:rPr>
        <w:t>Authenticating Agent</w:t>
      </w:r>
      <w:r>
        <w:rPr>
          <w:rFonts w:ascii="Arial" w:cs="Arial" w:eastAsia="Arial" w:hAnsi="Arial"/>
          <w:sz w:val="17"/>
          <w:szCs w:val="17"/>
          <w:color w:val="auto"/>
        </w:rPr>
        <w:t>. 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the Indenture and shall be valid and binding for all purposes as if authenticated by the Trustee hereunder. All references in the Indenture to the authentication of Securities by the Trustee shall be deemed to include authentication by an Authenticating Agent for such series. Each Authenticating Agent shall be acceptable to the Issuer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 Any Authenticating Agent may at any time resign by giving written notice of resignation to the Trustee and to the Issuer. The Trustee may at any time (and upon written request by the Issuer shall) terminate the agency of any Authenticating Agent by giving written notice of termination to such Authenticating Agent and to the Issuer. Upon resignation, termination or cessation of eligibility of any Authenticating Agent, the Trustee may appoint an eligible successor Authenticating Agent acceptable to the Issuer. Any successor Authenticating Agent, upon acceptance of its appointment hereunder, shall become vested with all the rights, powers and duties of its predecessor hereunder as if originally named as an Authenticating Agent pursuant hereto.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89" w:name="page90"/>
    <w:bookmarkEnd w:id="89"/>
    <w:p>
      <w:pPr>
        <w:ind w:right="32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2.13. </w:t>
      </w:r>
      <w:r>
        <w:rPr>
          <w:rFonts w:ascii="Arial" w:cs="Arial" w:eastAsia="Arial" w:hAnsi="Arial"/>
          <w:sz w:val="16"/>
          <w:szCs w:val="16"/>
          <w:i w:val="1"/>
          <w:iCs w:val="1"/>
          <w:color w:val="auto"/>
        </w:rPr>
        <w:t>Global Securities.</w:t>
      </w:r>
      <w:r>
        <w:rPr>
          <w:rFonts w:ascii="Arial" w:cs="Arial" w:eastAsia="Arial" w:hAnsi="Arial"/>
          <w:sz w:val="16"/>
          <w:szCs w:val="16"/>
          <w:color w:val="auto"/>
        </w:rPr>
        <w:t xml:space="preserve"> (a) If the Issuer shall establish pursuant to Section 2.03 that the Securities of a particular series are to be issued as a Global Security, then the Issuer shall execute and the Trustee shall, in accordance with Section 2.04, authenticate and deliver, a Global Security that shall</w:t>
      </w:r>
    </w:p>
    <w:p>
      <w:pPr>
        <w:ind w:right="100" w:firstLine="8"/>
        <w:spacing w:after="0" w:line="253" w:lineRule="auto"/>
        <w:tabs>
          <w:tab w:leader="none" w:pos="215"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represent, and be issued in a denomination or aggregate denominations equal to the aggregate principal amount of all the Securities to be represented by a Global Security, (ii) be registered in the name of the Depositary or its nominee, (iii) be delivered by the Trustee to the Depositary or pursuant to the Depositary’s instruction and (iv) bear a legend substantially to the following effect: “Except as otherwise provided in Section 2.13 of the Indenture, this Security may be transferred, in whole but not in part, only to the Depositary, to another nominee of the Depositary or to a successor Depositary or to a nominee of such successor Depositary.”</w:t>
      </w:r>
    </w:p>
    <w:p>
      <w:pPr>
        <w:spacing w:after="0" w:line="19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Notwithstanding the provisions of Section 2.08, the Global Security of a series may be transferred, in whole but not in part and in the manner provided in Section 2.08, only to the Depositary for such series, to another nominee of the Depositary for such series or to a successor Depositary for such series selected or approved by the Issuer or to a nominee of such successor Depositary.</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Ownership of beneficial interests in a registered Global Security will be limited to Agent Members that have accounts with the Depositary or Persons that may hold interests through Agent Members. Upon the issuance of a registered Global Security, the Depositary will credit, on its book-entry registration and transfer system, the Agent Members’ accounts with the respective principal or face amounts of the Securities beneficially owned by the Agent Members. Any dealers, underwriters, initial purchasers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Agent Members, and on the records of Agent Members, with respect to interests of Persons holding through Agent Members.</w:t>
      </w:r>
    </w:p>
    <w:p>
      <w:pPr>
        <w:spacing w:after="0" w:line="18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Indenture. Except as described in this Section 2.13,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Indenture. Accordingly, each Person owning a beneficial interest in a registered Global Security must rely on the procedures of the Depositary for that registered Global Security and, if that Person is not an Agent Member, on the procedures of the Agent Member through which the Person owns its interest, to exercise any rights of a Holder under the Indenture. Notwithstanding the foregoing, the Depositary or its nominee may grant proxies and otherwise authorize any Person (including any Agent Member and any Person that holds a beneficial interest in a Global Security through an Agent Member) to take any action which a Holder is entitled to take under the Indenture or the Securities, and nothing herein will impair, as between the Depositary and its Agent Members, the operation of customary practices governing the exercise of the rights of a Holder of any Security.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90" w:name="page91"/>
    <w:bookmarkEnd w:id="90"/>
    <w:p>
      <w:pPr>
        <w:ind w:right="2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Principal and interest payments on Securities represented by a Global Security registered in the name of the Depositary or its nominee will be made to the Depositary or its nominee, as the case may be, as the registered owner of the registered Global Security. None of the Issuer, the Trustee or any other agent of the Issuer, or any agent of the Trustee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88" w:lineRule="exact"/>
        <w:rPr>
          <w:sz w:val="20"/>
          <w:szCs w:val="20"/>
          <w:color w:val="auto"/>
        </w:rPr>
      </w:pPr>
    </w:p>
    <w:p>
      <w:pPr>
        <w:ind w:firstLine="464"/>
        <w:spacing w:after="0" w:line="267" w:lineRule="auto"/>
        <w:tabs>
          <w:tab w:leader="none" w:pos="711" w:val="left"/>
        </w:tabs>
        <w:numPr>
          <w:ilvl w:val="0"/>
          <w:numId w:val="70"/>
        </w:numPr>
        <w:rPr>
          <w:rFonts w:ascii="Arial" w:cs="Arial" w:eastAsia="Arial" w:hAnsi="Arial"/>
          <w:sz w:val="17"/>
          <w:szCs w:val="17"/>
          <w:color w:val="auto"/>
        </w:rPr>
      </w:pPr>
      <w:r>
        <w:rPr>
          <w:rFonts w:ascii="Arial" w:cs="Arial" w:eastAsia="Arial" w:hAnsi="Arial"/>
          <w:sz w:val="17"/>
          <w:szCs w:val="17"/>
          <w:color w:val="auto"/>
        </w:rPr>
        <w:t>If at any time the Depositary for a series of the Securities notifies the Issuer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Issuer within 90 days after the Issuer receives such notice or becomes aware of such condition, as the case may be, Section 2.13(a) shall no longer be applicable to the Securities of such series and the Issuer will execute, and subject to Section 2.08,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Issuer may, subject to the procedures of the Depositary, at any time determine that the Securities of any series shall no longer be represented by a Global Security and that the provisions of Section 2.13(a) shall no longer apply to the Securities of such series. In such event the Issuer will execute and subject to Section 2.08, the Trustee, upon receipt of an Officer’s Certificate evidencing such determination by the Issuer,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cancelled by the Trustee. Such Securities in definitive registered form issued in exchange for the Global Security pursuant to this Section 2.13(b) shall be registered in such names and in such authorized denominations as the Depositary, pursuant to instructions from its direct or indirect Agent Members or otherwise, shall instruct the Trustee in writing. The Issuer and the Trustee shall be entitled to conclusively rely on such instructions from the Depositary and shall incur no liability to any Person for any losses or damages arising as a result of any delay in receiving such instructions. The Trustee shall deliver such Securities to the Depositary for delivery to the Persons in whose names such Securities are so registered.</w:t>
      </w:r>
    </w:p>
    <w:p>
      <w:pPr>
        <w:spacing w:after="0" w:line="193"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Section 2.14. </w:t>
      </w:r>
      <w:r>
        <w:rPr>
          <w:rFonts w:ascii="Arial" w:cs="Arial" w:eastAsia="Arial" w:hAnsi="Arial"/>
          <w:sz w:val="17"/>
          <w:szCs w:val="17"/>
          <w:i w:val="1"/>
          <w:iCs w:val="1"/>
          <w:color w:val="auto"/>
        </w:rPr>
        <w:t>CUSIP Numbers</w:t>
      </w:r>
      <w:r>
        <w:rPr>
          <w:rFonts w:ascii="Arial" w:cs="Arial" w:eastAsia="Arial" w:hAnsi="Arial"/>
          <w:sz w:val="17"/>
          <w:szCs w:val="17"/>
          <w:color w:val="auto"/>
        </w:rPr>
        <w:t>. The Issuer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91" w:name="page92"/>
    <w:bookmarkEnd w:id="91"/>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reliance may be placed only on the other identification numbers printed on the Securities, and any such redemption shall not be affected by any defect in or omission of such numbers. The Issuer will promptly notify the Trustee in writing of any change in the “CUSIP” numbers.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OVENANTS OF THE</w:t>
      </w:r>
      <w:r>
        <w:rPr>
          <w:rFonts w:ascii="Arial" w:cs="Arial" w:eastAsia="Arial" w:hAnsi="Arial"/>
          <w:sz w:val="18"/>
          <w:szCs w:val="18"/>
          <w:color w:val="auto"/>
        </w:rPr>
        <w:t xml:space="preserve"> I</w:t>
      </w:r>
      <w:r>
        <w:rPr>
          <w:rFonts w:ascii="Arial" w:cs="Arial" w:eastAsia="Arial" w:hAnsi="Arial"/>
          <w:sz w:val="15"/>
          <w:szCs w:val="15"/>
          <w:color w:val="auto"/>
        </w:rPr>
        <w:t>SSUER AND THE</w:t>
      </w:r>
      <w:r>
        <w:rPr>
          <w:rFonts w:ascii="Arial" w:cs="Arial" w:eastAsia="Arial" w:hAnsi="Arial"/>
          <w:sz w:val="18"/>
          <w:szCs w:val="18"/>
          <w:color w:val="auto"/>
        </w:rPr>
        <w:t xml:space="preserve"> G</w:t>
      </w:r>
      <w:r>
        <w:rPr>
          <w:rFonts w:ascii="Arial" w:cs="Arial" w:eastAsia="Arial" w:hAnsi="Arial"/>
          <w:sz w:val="15"/>
          <w:szCs w:val="15"/>
          <w:color w:val="auto"/>
        </w:rPr>
        <w:t>UARANTORS</w:t>
      </w:r>
    </w:p>
    <w:p>
      <w:pPr>
        <w:spacing w:after="0" w:line="21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i w:val="1"/>
          <w:iCs w:val="1"/>
          <w:color w:val="auto"/>
        </w:rPr>
        <w:t>Payment of Principal and Interest.</w:t>
      </w:r>
      <w:r>
        <w:rPr>
          <w:rFonts w:ascii="Arial" w:cs="Arial" w:eastAsia="Arial" w:hAnsi="Arial"/>
          <w:sz w:val="17"/>
          <w:szCs w:val="17"/>
          <w:color w:val="auto"/>
        </w:rPr>
        <w:t xml:space="preserve"> (a) The Issuer covenants and agrees for the benefit of each series of Securities that it will duly and punctually pay or cause to be paid the principal of, and interest on, each of the Securities of such series at the place or places, at the respective times and in the manner provided in such Securities. The Issuer shall pay interest (including post-petition interest in any proceeding under any Bankruptcy Law) on overdue principal on each series of Securities at the rate specified therefor in the terms of such series of Securities to the extent lawful; it shall pay interest (including post-petition interest in any proceeding under any Bankruptcy Law) on overdue installments of interest (without regard to any applicable grace period) at the same rate to the extent lawful. Unless otherwise provided in the Securities of any series, not later than 11:00 A.M. (New York City time) on the due date of any principal of or interest on any Securities, the Issuer will deposit with the paying agent moneys in immediately available funds sufficient to pay such amounts, provided that if the Issuer or any affiliate of the Issuer is acting as paying agent, it will, on or before each due date, segregate and hold in a separate trust fund for the benefit of the Holders a sum of money sufficient to pay such amounts until paid to such Holders or otherwise disposed of as provided in the Indenture. In each case, unless the paying agent is the Trustee, the Issuer will promptly notify the Trustee of its compliance with this paragraph or any failure to take an action as required by this paragraph.</w:t>
      </w:r>
    </w:p>
    <w:p>
      <w:pPr>
        <w:spacing w:after="0" w:line="183" w:lineRule="exact"/>
        <w:rPr>
          <w:sz w:val="20"/>
          <w:szCs w:val="20"/>
          <w:color w:val="auto"/>
        </w:rPr>
      </w:pPr>
    </w:p>
    <w:p>
      <w:pPr>
        <w:ind w:right="40" w:firstLine="464"/>
        <w:spacing w:after="0" w:line="264" w:lineRule="auto"/>
        <w:tabs>
          <w:tab w:leader="none" w:pos="711"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installment of principal or interest will be considered paid on the date due if the Trustee (or paying agent, other than the Issuer or any affiliate of the Issuer) holds on that date money designated for and sufficient to pay the installment. If the Issuer or any affiliate of the Issuer acts as paying agent, an installment of principal or interest will be considered paid on the due date only if paid to the Holders.</w:t>
      </w:r>
    </w:p>
    <w:p>
      <w:pPr>
        <w:spacing w:after="0" w:line="181" w:lineRule="exact"/>
        <w:rPr>
          <w:rFonts w:ascii="Arial" w:cs="Arial" w:eastAsia="Arial" w:hAnsi="Arial"/>
          <w:sz w:val="18"/>
          <w:szCs w:val="18"/>
          <w:color w:val="auto"/>
        </w:rPr>
      </w:pPr>
    </w:p>
    <w:p>
      <w:pPr>
        <w:ind w:firstLine="464"/>
        <w:spacing w:after="0" w:line="276" w:lineRule="auto"/>
        <w:tabs>
          <w:tab w:leader="none" w:pos="701" w:val="left"/>
        </w:tabs>
        <w:numPr>
          <w:ilvl w:val="0"/>
          <w:numId w:val="71"/>
        </w:numPr>
        <w:rPr>
          <w:rFonts w:ascii="Arial" w:cs="Arial" w:eastAsia="Arial" w:hAnsi="Arial"/>
          <w:sz w:val="17"/>
          <w:szCs w:val="17"/>
          <w:color w:val="auto"/>
        </w:rPr>
      </w:pPr>
      <w:r>
        <w:rPr>
          <w:rFonts w:ascii="Arial" w:cs="Arial" w:eastAsia="Arial" w:hAnsi="Arial"/>
          <w:sz w:val="17"/>
          <w:szCs w:val="17"/>
          <w:color w:val="auto"/>
        </w:rPr>
        <w:t>Payments in respect of the Securities represented by a Global Security are to be made by wire transfer of immediately available funds to the accounts specified by the Holder of such Global Security. Except as otherwise provided pursuant to Section 2.03, with respect to any certificated Security, the Issuer will make all payments by wire transfer of immediately available funds to the account specified by the Holder thereof to the paying agent at least five Business Days prior to the applicable date for such payment or, if no such account is specified, by mailing a check to such Holder’s registered address, subject to surrender of such Security, except in the case of payments of interest on any Interest Payment Date.</w:t>
      </w:r>
    </w:p>
    <w:p>
      <w:pPr>
        <w:spacing w:after="0" w:line="173"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Offices for Payments, etc.</w:t>
      </w:r>
      <w:r>
        <w:rPr>
          <w:rFonts w:ascii="Arial" w:cs="Arial" w:eastAsia="Arial" w:hAnsi="Arial"/>
          <w:sz w:val="18"/>
          <w:szCs w:val="18"/>
          <w:color w:val="auto"/>
        </w:rPr>
        <w:t xml:space="preserve"> So long as any of the Securities remain Outstanding, the Issuer will maintain in New York City, N.Y., the following for each series: an office or agency (a) where the Securities may be presented for payment,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92" w:name="page93"/>
    <w:bookmarkEnd w:id="92"/>
    <w:p>
      <w:pPr>
        <w:ind w:firstLine="8"/>
        <w:spacing w:after="0" w:line="255" w:lineRule="auto"/>
        <w:tabs>
          <w:tab w:leader="none" w:pos="255"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where the Securities may be presented for registration of transfer and for exchange as in the Indenture provided and (c) where notices and demands to or upon the Issuer in respect of the Securities or of the Indenture may be given or served. The Issuer will give to the Trustee written notice of the location of any such office or agency and of any change of location thereof. Unless otherwise specified in accordance with Section 2.03, the Issuer hereby initially designates the Corporate Trust Office of the Trustee as the agency to be maintained by it for each such purpose. In case the Issuer shall fail to so designate or maintain any such office or agency or shall fail to give such notice of the location or of any change in the location thereof, presentations and demands may be made and notices may be served at the applicable Corporate Trust Office of the Trustee and the Issuer hereby appoints the Trustee as its agent to receive all such presentations, notices and demands.</w:t>
      </w:r>
    </w:p>
    <w:p>
      <w:pPr>
        <w:spacing w:after="0" w:line="189"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Paying Agents.</w:t>
      </w:r>
      <w:r>
        <w:rPr>
          <w:rFonts w:ascii="Arial" w:cs="Arial" w:eastAsia="Arial" w:hAnsi="Arial"/>
          <w:sz w:val="18"/>
          <w:szCs w:val="18"/>
          <w:color w:val="auto"/>
        </w:rPr>
        <w:t xml:space="preserve"> Whenever the Issuer shall appoint a paying agent other than the Trustee with respect to the Securities of any series, it will cause such paying agent to execute and deliver to the Trustee an instrument in which such agent shall agree with the Trustee, subject to the provisions of this Section,</w:t>
      </w:r>
    </w:p>
    <w:p>
      <w:pPr>
        <w:spacing w:after="0" w:line="181" w:lineRule="exact"/>
        <w:rPr>
          <w:sz w:val="20"/>
          <w:szCs w:val="20"/>
          <w:color w:val="auto"/>
        </w:rPr>
      </w:pPr>
    </w:p>
    <w:p>
      <w:pPr>
        <w:ind w:right="80" w:firstLine="464"/>
        <w:spacing w:after="0" w:line="264" w:lineRule="auto"/>
        <w:tabs>
          <w:tab w:leader="none" w:pos="701"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that it will hold all sums received by it as such agent for the payment of the principal of or interest on the Securities of such series (whether such sums have been paid to it by the Issuer or by any other obligor on the Securities of such series) in trust for the benefit of the Holders of the Securities of such series or of the Trustee,</w:t>
      </w:r>
    </w:p>
    <w:p>
      <w:pPr>
        <w:spacing w:after="0" w:line="181" w:lineRule="exact"/>
        <w:rPr>
          <w:rFonts w:ascii="Arial" w:cs="Arial" w:eastAsia="Arial" w:hAnsi="Arial"/>
          <w:sz w:val="18"/>
          <w:szCs w:val="18"/>
          <w:color w:val="auto"/>
        </w:rPr>
      </w:pPr>
    </w:p>
    <w:p>
      <w:pPr>
        <w:ind w:right="120" w:firstLine="464"/>
        <w:spacing w:after="0" w:line="277" w:lineRule="auto"/>
        <w:tabs>
          <w:tab w:leader="none" w:pos="711"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that it will give the Trustee notice of any failure by the Issuer (or by any other obligor on the Securities of such series) to make any payment of the principal of or interest on the Securities of such series when the same shall be due and payable,</w:t>
      </w:r>
    </w:p>
    <w:p>
      <w:pPr>
        <w:spacing w:after="0" w:line="170" w:lineRule="exact"/>
        <w:rPr>
          <w:rFonts w:ascii="Arial" w:cs="Arial" w:eastAsia="Arial" w:hAnsi="Arial"/>
          <w:sz w:val="18"/>
          <w:szCs w:val="18"/>
          <w:color w:val="auto"/>
        </w:rPr>
      </w:pPr>
    </w:p>
    <w:p>
      <w:pPr>
        <w:ind w:right="20" w:firstLine="464"/>
        <w:spacing w:after="0" w:line="277" w:lineRule="auto"/>
        <w:tabs>
          <w:tab w:leader="none" w:pos="701"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that it will pay any such sums so held in trust by it to the Trustee upon the Trustee’s written request at any time during the continuance of the failure referred to in Section 3.03(b) above, and</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that it will perform all other duties of paying agent as set forth in the Indenture.</w:t>
      </w:r>
    </w:p>
    <w:p>
      <w:pPr>
        <w:spacing w:after="0" w:line="225"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Anything in this section to the contrary notwithstanding, the Issuer may at any time, for the purpose of obtaining a satisfaction and discharge with respect to one or more or all series of Securities hereunder, or for any other reason, pay or cause to be paid to the Trustee all sums held in trust for any such series by the Issuer or any paying agent hereunder, as required by this Section, such sums to be held by the Trustee upon the trusts herein contained.</w:t>
      </w:r>
    </w:p>
    <w:p>
      <w:pPr>
        <w:spacing w:after="0" w:line="14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Anything in this section to the contrary notwithstanding, the agreement to hold sums in trust as provided in this section is subject to the provisions of Section 9.05 and Section 9.06.</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Certificate of the Issuer.</w:t>
      </w:r>
      <w:r>
        <w:rPr>
          <w:rFonts w:ascii="Arial" w:cs="Arial" w:eastAsia="Arial" w:hAnsi="Arial"/>
          <w:sz w:val="18"/>
          <w:szCs w:val="18"/>
          <w:color w:val="auto"/>
        </w:rPr>
        <w:t xml:space="preserve"> The Issuer will furnish to the Trustee on or before 120 days after the end of each fiscal year (beginning with the fiscal year ended December 31, 2013) a brief certificate (which need not comply with Section 10.05)</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74" w:right="279" w:bottom="1440" w:gutter="0" w:footer="0" w:header="0"/>
        </w:sectPr>
      </w:pPr>
    </w:p>
    <w:bookmarkStart w:id="93" w:name="page94"/>
    <w:bookmarkEnd w:id="93"/>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from the principal executive, financial or accounting officer or the treasurer of the Issuer as to his or her knowledge of the Issuer’s compliance, performance and observance with all conditions and covenants under the Indenture (such compliance to be determined without regard to any period of grace or requirement of notice provided under the Indenture), or if there has been a default, specifying the default and its nature and status.</w:t>
      </w:r>
    </w:p>
    <w:p>
      <w:pPr>
        <w:spacing w:after="0" w:line="166"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i w:val="1"/>
          <w:iCs w:val="1"/>
          <w:color w:val="auto"/>
        </w:rPr>
        <w:t>Reports by the Issuer.</w:t>
      </w:r>
      <w:r>
        <w:rPr>
          <w:rFonts w:ascii="Arial" w:cs="Arial" w:eastAsia="Arial" w:hAnsi="Arial"/>
          <w:sz w:val="17"/>
          <w:szCs w:val="17"/>
          <w:color w:val="auto"/>
        </w:rPr>
        <w:t xml:space="preserve"> The Issuer will furnish to the Trustee any document or report the Issuer is required to file with the Commission pursuant to Section 13 or Section 15(d) of the Exchange Act within 15 days after such document or report is filed with the Commission; provided that in each case the delivery of materials to the Trustee by electronic means or filing documents pursuant to the Commission’s “EDGAR” system (or any successor electronic filing system) shall be deemed to constitute “filing” with the Trustee for purposes of this Section 3.05.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i w:val="1"/>
          <w:iCs w:val="1"/>
          <w:color w:val="auto"/>
        </w:rPr>
        <w:t>Limitation on Liens</w:t>
      </w:r>
      <w:r>
        <w:rPr>
          <w:rFonts w:ascii="Arial" w:cs="Arial" w:eastAsia="Arial" w:hAnsi="Arial"/>
          <w:sz w:val="18"/>
          <w:szCs w:val="18"/>
          <w:color w:val="auto"/>
        </w:rPr>
        <w:t>.</w:t>
      </w:r>
    </w:p>
    <w:p>
      <w:pPr>
        <w:spacing w:after="0" w:line="225" w:lineRule="exact"/>
        <w:rPr>
          <w:sz w:val="20"/>
          <w:szCs w:val="20"/>
          <w:color w:val="auto"/>
        </w:rPr>
      </w:pPr>
    </w:p>
    <w:p>
      <w:pPr>
        <w:ind w:right="60" w:firstLine="464"/>
        <w:spacing w:after="0" w:line="264" w:lineRule="auto"/>
        <w:tabs>
          <w:tab w:leader="none" w:pos="701" w:val="left"/>
        </w:tabs>
        <w:numPr>
          <w:ilvl w:val="0"/>
          <w:numId w:val="74"/>
        </w:numPr>
        <w:rPr>
          <w:rFonts w:ascii="Arial" w:cs="Arial" w:eastAsia="Arial" w:hAnsi="Arial"/>
          <w:sz w:val="18"/>
          <w:szCs w:val="18"/>
          <w:color w:val="auto"/>
        </w:rPr>
      </w:pPr>
      <w:r>
        <w:rPr>
          <w:rFonts w:ascii="Arial" w:cs="Arial" w:eastAsia="Arial" w:hAnsi="Arial"/>
          <w:sz w:val="18"/>
          <w:szCs w:val="18"/>
          <w:color w:val="auto"/>
        </w:rPr>
        <w:t>With respect to the Securities of each series, each Obligor covenants not to create or incur any Lien on any of its Properties, whether now owned or hereafter acquired, in order to secure any of its Indebtedness, without effectively providing that the Securities of such series shall be equally and ratably secured until such time as such Indebtedness is no longer secured by such Lien, except</w:t>
      </w:r>
      <w:r>
        <w:rPr>
          <w:rFonts w:ascii="Arial" w:cs="Arial" w:eastAsia="Arial" w:hAnsi="Arial"/>
          <w:sz w:val="18"/>
          <w:szCs w:val="18"/>
          <w:i w:val="1"/>
          <w:iCs w:val="1"/>
          <w:color w:val="auto"/>
        </w:rPr>
        <w:t>:</w:t>
      </w:r>
    </w:p>
    <w:p>
      <w:pPr>
        <w:spacing w:after="0" w:line="73" w:lineRule="exact"/>
        <w:rPr>
          <w:rFonts w:ascii="Arial" w:cs="Arial" w:eastAsia="Arial" w:hAnsi="Arial"/>
          <w:sz w:val="18"/>
          <w:szCs w:val="18"/>
          <w:color w:val="auto"/>
        </w:rPr>
      </w:pPr>
    </w:p>
    <w:p>
      <w:pPr>
        <w:ind w:left="1120" w:hanging="217"/>
        <w:spacing w:after="0"/>
        <w:tabs>
          <w:tab w:leader="none" w:pos="11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Liens existing as of the date of initial issuance of the Securities of such series;</w:t>
      </w:r>
    </w:p>
    <w:p>
      <w:pPr>
        <w:spacing w:after="0" w:line="225" w:lineRule="exact"/>
        <w:rPr>
          <w:rFonts w:ascii="Arial" w:cs="Arial" w:eastAsia="Arial" w:hAnsi="Arial"/>
          <w:sz w:val="18"/>
          <w:szCs w:val="18"/>
          <w:color w:val="auto"/>
        </w:rPr>
      </w:pPr>
    </w:p>
    <w:p>
      <w:pPr>
        <w:ind w:left="1160" w:hanging="257"/>
        <w:spacing w:after="0"/>
        <w:tabs>
          <w:tab w:leader="none" w:pos="1160" w:val="left"/>
        </w:tabs>
        <w:numPr>
          <w:ilvl w:val="1"/>
          <w:numId w:val="74"/>
        </w:numPr>
        <w:rPr>
          <w:rFonts w:ascii="Arial" w:cs="Arial" w:eastAsia="Arial" w:hAnsi="Arial"/>
          <w:sz w:val="16"/>
          <w:szCs w:val="16"/>
          <w:color w:val="auto"/>
        </w:rPr>
      </w:pPr>
      <w:r>
        <w:rPr>
          <w:rFonts w:ascii="Arial" w:cs="Arial" w:eastAsia="Arial" w:hAnsi="Arial"/>
          <w:sz w:val="16"/>
          <w:szCs w:val="16"/>
          <w:color w:val="auto"/>
        </w:rPr>
        <w:t>Liens granted after the date of initial issuance of the Securities of such series, created in favor of the Holders of the Securities of such series;</w:t>
      </w:r>
    </w:p>
    <w:p>
      <w:pPr>
        <w:spacing w:after="0" w:line="248" w:lineRule="exact"/>
        <w:rPr>
          <w:rFonts w:ascii="Arial" w:cs="Arial" w:eastAsia="Arial" w:hAnsi="Arial"/>
          <w:sz w:val="16"/>
          <w:szCs w:val="16"/>
          <w:color w:val="auto"/>
        </w:rPr>
      </w:pPr>
    </w:p>
    <w:p>
      <w:pPr>
        <w:ind w:left="460" w:right="60" w:firstLine="443"/>
        <w:spacing w:after="0" w:line="279" w:lineRule="auto"/>
        <w:tabs>
          <w:tab w:leader="none" w:pos="1213" w:val="left"/>
        </w:tabs>
        <w:numPr>
          <w:ilvl w:val="1"/>
          <w:numId w:val="74"/>
        </w:numPr>
        <w:rPr>
          <w:rFonts w:ascii="Arial" w:cs="Arial" w:eastAsia="Arial" w:hAnsi="Arial"/>
          <w:sz w:val="17"/>
          <w:szCs w:val="17"/>
          <w:color w:val="auto"/>
        </w:rPr>
      </w:pPr>
      <w:r>
        <w:rPr>
          <w:rFonts w:ascii="Arial" w:cs="Arial" w:eastAsia="Arial" w:hAnsi="Arial"/>
          <w:sz w:val="17"/>
          <w:szCs w:val="17"/>
          <w:color w:val="auto"/>
        </w:rPr>
        <w:t>Liens securing such Obligor’s Indebtedness which are incurred to extend, renew or refinance Indebtedness which is secured by Liens permitted to be incurred under this Section 3.06(a),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171" w:lineRule="exact"/>
        <w:rPr>
          <w:rFonts w:ascii="Arial" w:cs="Arial" w:eastAsia="Arial" w:hAnsi="Arial"/>
          <w:sz w:val="17"/>
          <w:szCs w:val="17"/>
          <w:color w:val="auto"/>
        </w:rPr>
      </w:pPr>
    </w:p>
    <w:p>
      <w:pPr>
        <w:ind w:left="1200" w:hanging="297"/>
        <w:spacing w:after="0"/>
        <w:tabs>
          <w:tab w:leader="none" w:pos="12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225" w:lineRule="exact"/>
        <w:rPr>
          <w:rFonts w:ascii="Arial" w:cs="Arial" w:eastAsia="Arial" w:hAnsi="Arial"/>
          <w:sz w:val="18"/>
          <w:szCs w:val="18"/>
          <w:color w:val="auto"/>
        </w:rPr>
      </w:pPr>
    </w:p>
    <w:p>
      <w:pPr>
        <w:ind w:right="20" w:firstLine="464"/>
        <w:spacing w:after="0" w:line="286" w:lineRule="auto"/>
        <w:tabs>
          <w:tab w:leader="none" w:pos="711" w:val="left"/>
        </w:tabs>
        <w:numPr>
          <w:ilvl w:val="0"/>
          <w:numId w:val="74"/>
        </w:numPr>
        <w:rPr>
          <w:rFonts w:ascii="Arial" w:cs="Arial" w:eastAsia="Arial" w:hAnsi="Arial"/>
          <w:sz w:val="17"/>
          <w:szCs w:val="17"/>
          <w:color w:val="auto"/>
        </w:rPr>
      </w:pPr>
      <w:r>
        <w:rPr>
          <w:rFonts w:ascii="Arial" w:cs="Arial" w:eastAsia="Arial" w:hAnsi="Arial"/>
          <w:sz w:val="17"/>
          <w:szCs w:val="17"/>
          <w:color w:val="auto"/>
        </w:rPr>
        <w:t>Notwithstanding Section 3.06(a), any Obligor may, without securing the Securities of any series, create or incur Liens which would otherwise be subject to the restrictions set forth in Section 3.06(a), if after giving effect thereto, its Aggregate Debt together with the Aggregate Debt of each other Obligor does not exceed the greater of (i) 15% of the Issuer’s Consolidated Net Worth calculated as of the date of the creation or</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74" w:right="279" w:bottom="1440" w:gutter="0" w:footer="0" w:header="0"/>
        </w:sectPr>
      </w:pPr>
    </w:p>
    <w:bookmarkStart w:id="94" w:name="page95"/>
    <w:bookmarkEnd w:id="94"/>
    <w:p>
      <w:pPr>
        <w:ind w:right="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incurrence of the Lien and (ii) 15% of the Issuer’s Consolidated Net Worth calculated as of the date of initial issuance of the Securities of such series; provided that Liens created or incurred pursuant to this Section 3.06(b)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w:t>
      </w:r>
    </w:p>
    <w:p>
      <w:pPr>
        <w:spacing w:after="0" w:line="225" w:lineRule="exact"/>
        <w:rPr>
          <w:sz w:val="20"/>
          <w:szCs w:val="20"/>
          <w:color w:val="auto"/>
        </w:rPr>
      </w:pPr>
    </w:p>
    <w:p>
      <w:pPr>
        <w:ind w:right="300" w:firstLine="464"/>
        <w:spacing w:after="0" w:line="277" w:lineRule="auto"/>
        <w:tabs>
          <w:tab w:leader="none" w:pos="701" w:val="left"/>
        </w:tabs>
        <w:numPr>
          <w:ilvl w:val="0"/>
          <w:numId w:val="75"/>
        </w:numPr>
        <w:rPr>
          <w:rFonts w:ascii="Arial" w:cs="Arial" w:eastAsia="Arial" w:hAnsi="Arial"/>
          <w:sz w:val="18"/>
          <w:szCs w:val="18"/>
          <w:color w:val="auto"/>
        </w:rPr>
      </w:pPr>
      <w:r>
        <w:rPr>
          <w:rFonts w:ascii="Arial" w:cs="Arial" w:eastAsia="Arial" w:hAnsi="Arial"/>
          <w:sz w:val="18"/>
          <w:szCs w:val="18"/>
          <w:color w:val="auto"/>
        </w:rPr>
        <w:t>With respect to the Securities of each series, each Obligor covenants not to enter into any sale and lease-back transaction for the sale and leasing back of any Property, whether now owned or hereafter acquired, unless:</w:t>
      </w:r>
    </w:p>
    <w:p>
      <w:pPr>
        <w:spacing w:after="0" w:line="62" w:lineRule="exact"/>
        <w:rPr>
          <w:rFonts w:ascii="Arial" w:cs="Arial" w:eastAsia="Arial" w:hAnsi="Arial"/>
          <w:sz w:val="18"/>
          <w:szCs w:val="18"/>
          <w:color w:val="auto"/>
        </w:rPr>
      </w:pPr>
    </w:p>
    <w:p>
      <w:pPr>
        <w:ind w:left="1120" w:hanging="217"/>
        <w:spacing w:after="0"/>
        <w:tabs>
          <w:tab w:leader="none" w:pos="11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such transaction was entered into prior to the date of the initial issuance of the Securities of such series;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such Obligor of any Property by one of its Subsidiaries;</w:t>
      </w:r>
    </w:p>
    <w:p>
      <w:pPr>
        <w:spacing w:after="0" w:line="117" w:lineRule="exact"/>
        <w:rPr>
          <w:rFonts w:ascii="Arial" w:cs="Arial" w:eastAsia="Arial" w:hAnsi="Arial"/>
          <w:sz w:val="18"/>
          <w:szCs w:val="18"/>
          <w:color w:val="auto"/>
        </w:rPr>
      </w:pPr>
    </w:p>
    <w:p>
      <w:pPr>
        <w:ind w:left="1220" w:hanging="317"/>
        <w:spacing w:after="0"/>
        <w:tabs>
          <w:tab w:leader="none" w:pos="12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such transaction involves a lease for less than three years;</w:t>
      </w:r>
    </w:p>
    <w:p>
      <w:pPr>
        <w:spacing w:after="0" w:line="117" w:lineRule="exact"/>
        <w:rPr>
          <w:rFonts w:ascii="Arial" w:cs="Arial" w:eastAsia="Arial" w:hAnsi="Arial"/>
          <w:sz w:val="18"/>
          <w:szCs w:val="18"/>
          <w:color w:val="auto"/>
        </w:rPr>
      </w:pPr>
    </w:p>
    <w:p>
      <w:pPr>
        <w:ind w:left="460" w:right="300" w:firstLine="443"/>
        <w:spacing w:after="0" w:line="264" w:lineRule="auto"/>
        <w:tabs>
          <w:tab w:leader="none" w:pos="1203" w:val="left"/>
        </w:tabs>
        <w:numPr>
          <w:ilvl w:val="1"/>
          <w:numId w:val="75"/>
        </w:numPr>
        <w:rPr>
          <w:rFonts w:ascii="Arial" w:cs="Arial" w:eastAsia="Arial" w:hAnsi="Arial"/>
          <w:sz w:val="18"/>
          <w:szCs w:val="18"/>
          <w:color w:val="auto"/>
        </w:rPr>
      </w:pPr>
      <w:r>
        <w:rPr>
          <w:rFonts w:ascii="Arial" w:cs="Arial" w:eastAsia="Arial" w:hAnsi="Arial"/>
          <w:sz w:val="18"/>
          <w:szCs w:val="18"/>
          <w:color w:val="auto"/>
        </w:rPr>
        <w:t>such Obligor would be entitled to incur Indebtedness secured by a mortgage on the Property to be leased in an amount equal to the Attributable Liens with respect to such sale and lease-back transaction without equally and ratably securing the Securities of such series pursuant to Section 3.06(a) above; or</w:t>
      </w:r>
    </w:p>
    <w:p>
      <w:pPr>
        <w:spacing w:after="0" w:line="73" w:lineRule="exact"/>
        <w:rPr>
          <w:rFonts w:ascii="Arial" w:cs="Arial" w:eastAsia="Arial" w:hAnsi="Arial"/>
          <w:sz w:val="18"/>
          <w:szCs w:val="18"/>
          <w:color w:val="auto"/>
        </w:rPr>
      </w:pPr>
    </w:p>
    <w:p>
      <w:pPr>
        <w:ind w:left="460" w:right="40" w:firstLine="443"/>
        <w:spacing w:after="0" w:line="312" w:lineRule="auto"/>
        <w:tabs>
          <w:tab w:leader="none" w:pos="1153" w:val="left"/>
        </w:tabs>
        <w:numPr>
          <w:ilvl w:val="1"/>
          <w:numId w:val="75"/>
        </w:numPr>
        <w:rPr>
          <w:rFonts w:ascii="Arial" w:cs="Arial" w:eastAsia="Arial" w:hAnsi="Arial"/>
          <w:sz w:val="16"/>
          <w:szCs w:val="16"/>
          <w:color w:val="auto"/>
        </w:rPr>
      </w:pPr>
      <w:r>
        <w:rPr>
          <w:rFonts w:ascii="Arial" w:cs="Arial" w:eastAsia="Arial" w:hAnsi="Arial"/>
          <w:sz w:val="16"/>
          <w:szCs w:val="16"/>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(or the Issuer) may deliver Securities to the Trustee therefor for cancellation, such Securities to be credited at the cost thereof to the Obligor.</w:t>
      </w:r>
    </w:p>
    <w:p>
      <w:pPr>
        <w:spacing w:after="0" w:line="146" w:lineRule="exact"/>
        <w:rPr>
          <w:rFonts w:ascii="Arial" w:cs="Arial" w:eastAsia="Arial" w:hAnsi="Arial"/>
          <w:sz w:val="16"/>
          <w:szCs w:val="16"/>
          <w:color w:val="auto"/>
        </w:rPr>
      </w:pPr>
    </w:p>
    <w:p>
      <w:pPr>
        <w:ind w:firstLine="464"/>
        <w:spacing w:after="0" w:line="302" w:lineRule="auto"/>
        <w:tabs>
          <w:tab w:leader="none" w:pos="711" w:val="left"/>
        </w:tabs>
        <w:numPr>
          <w:ilvl w:val="0"/>
          <w:numId w:val="75"/>
        </w:numPr>
        <w:rPr>
          <w:rFonts w:ascii="Arial" w:cs="Arial" w:eastAsia="Arial" w:hAnsi="Arial"/>
          <w:sz w:val="16"/>
          <w:szCs w:val="16"/>
          <w:color w:val="auto"/>
        </w:rPr>
      </w:pPr>
      <w:r>
        <w:rPr>
          <w:rFonts w:ascii="Arial" w:cs="Arial" w:eastAsia="Arial" w:hAnsi="Arial"/>
          <w:sz w:val="16"/>
          <w:szCs w:val="16"/>
          <w:color w:val="auto"/>
        </w:rPr>
        <w:t>Notwithstanding Section 3.07(a), any Obligor may enter into any sale and lease-back transaction which would otherwise be subject to the foregoing restrictions with respect to the Securities of any series if after giving effect thereto and at the time of determination, its Aggregate Debt together with the Aggregate Debt of all other Obligors does not exceed the greater of (i) 15% of the Issuer’s Consolidated Net Worth calculated as of the closing date of the sale and lease-back transaction and (ii) 15% of the Issuer’s Consolidated Net Worth calculated as of the date of initial issuance of the Securities of such series.</w:t>
      </w:r>
    </w:p>
    <w:p>
      <w:pPr>
        <w:spacing w:after="0" w:line="15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i w:val="1"/>
          <w:iCs w:val="1"/>
          <w:color w:val="auto"/>
        </w:rPr>
        <w:t>Existence</w:t>
      </w:r>
      <w:r>
        <w:rPr>
          <w:rFonts w:ascii="Arial" w:cs="Arial" w:eastAsia="Arial" w:hAnsi="Arial"/>
          <w:sz w:val="18"/>
          <w:szCs w:val="18"/>
          <w:color w:val="auto"/>
        </w:rPr>
        <w:t xml:space="preserve">. Except as permitted under Article 8, the Issuer covenants to do or cause to be done all things necessary to preserve and keep in full force and effect its existence, rights and franchises;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Issuer shall not be required to preserve any right or franchise if it determines that its preservation is no longer desirable in the conduct of its business.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95" w:name="page96"/>
    <w:bookmarkEnd w:id="95"/>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3.09. </w:t>
      </w:r>
      <w:r>
        <w:rPr>
          <w:rFonts w:ascii="Arial" w:cs="Arial" w:eastAsia="Arial" w:hAnsi="Arial"/>
          <w:sz w:val="16"/>
          <w:szCs w:val="16"/>
          <w:i w:val="1"/>
          <w:iCs w:val="1"/>
          <w:color w:val="auto"/>
        </w:rPr>
        <w:t>Certain Definitions</w:t>
      </w:r>
      <w:r>
        <w:rPr>
          <w:rFonts w:ascii="Arial" w:cs="Arial" w:eastAsia="Arial" w:hAnsi="Arial"/>
          <w:sz w:val="16"/>
          <w:szCs w:val="16"/>
          <w:color w:val="auto"/>
        </w:rPr>
        <w:t>. As used in Sections 3.06 and 3.07 and this Section 3.09, the following terms have the meanings set forth below.</w:t>
      </w:r>
    </w:p>
    <w:p>
      <w:pPr>
        <w:spacing w:after="0" w:line="2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Debt</w:t>
      </w:r>
      <w:r>
        <w:rPr>
          <w:rFonts w:ascii="Arial" w:cs="Arial" w:eastAsia="Arial" w:hAnsi="Arial"/>
          <w:sz w:val="18"/>
          <w:szCs w:val="18"/>
          <w:color w:val="auto"/>
        </w:rPr>
        <w:t>” means, with respect to an Obligor, the sum of the following as of the date of determination:</w:t>
      </w:r>
    </w:p>
    <w:p>
      <w:pPr>
        <w:spacing w:after="0" w:line="121" w:lineRule="exact"/>
        <w:rPr>
          <w:sz w:val="20"/>
          <w:szCs w:val="20"/>
          <w:color w:val="auto"/>
        </w:rPr>
      </w:pPr>
    </w:p>
    <w:p>
      <w:pPr>
        <w:ind w:right="120" w:firstLine="464"/>
        <w:spacing w:after="0" w:line="277" w:lineRule="auto"/>
        <w:tabs>
          <w:tab w:leader="none" w:pos="711"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aggregate principal amount of such Obligor’s Indebtedness incurred after the date of initial issuance of the Securities and secured by Liens not permitted by the first sentence under Section 3.06(a), and</w:t>
      </w:r>
    </w:p>
    <w:p>
      <w:pPr>
        <w:spacing w:after="0" w:line="170" w:lineRule="exact"/>
        <w:rPr>
          <w:rFonts w:ascii="Arial" w:cs="Arial" w:eastAsia="Arial" w:hAnsi="Arial"/>
          <w:sz w:val="18"/>
          <w:szCs w:val="18"/>
          <w:color w:val="auto"/>
        </w:rPr>
      </w:pPr>
    </w:p>
    <w:p>
      <w:pPr>
        <w:ind w:right="260" w:firstLine="464"/>
        <w:spacing w:after="0" w:line="277" w:lineRule="auto"/>
        <w:tabs>
          <w:tab w:leader="none" w:pos="711"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such Obligor’s Attributable Liens in respect of sale and lease-back transactions entered into after the date of the initial issuance of the Securities pursuant to Section 3.07(b).</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Attributable Liens</w:t>
      </w:r>
      <w:r>
        <w:rPr>
          <w:rFonts w:ascii="Arial" w:cs="Arial" w:eastAsia="Arial" w:hAnsi="Arial"/>
          <w:sz w:val="18"/>
          <w:szCs w:val="18"/>
          <w:color w:val="auto"/>
        </w:rPr>
        <w:t>” means in connection with a sale and lease-back transaction of an Obligor the lesser of:</w:t>
      </w:r>
    </w:p>
    <w:p>
      <w:pPr>
        <w:spacing w:after="0" w:line="121" w:lineRule="exact"/>
        <w:rPr>
          <w:sz w:val="20"/>
          <w:szCs w:val="20"/>
          <w:color w:val="auto"/>
        </w:rPr>
      </w:pPr>
    </w:p>
    <w:p>
      <w:pPr>
        <w:ind w:firstLine="464"/>
        <w:spacing w:after="0" w:line="277" w:lineRule="auto"/>
        <w:tabs>
          <w:tab w:leader="none" w:pos="711"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transaction (as determined in good faith by the Board of Directors (in the case of the Issuer) or the equivalent governing body (in the case of any Guarantor)); and</w:t>
      </w:r>
    </w:p>
    <w:p>
      <w:pPr>
        <w:spacing w:after="0" w:line="170" w:lineRule="exact"/>
        <w:rPr>
          <w:rFonts w:ascii="Arial" w:cs="Arial" w:eastAsia="Arial" w:hAnsi="Arial"/>
          <w:sz w:val="18"/>
          <w:szCs w:val="18"/>
          <w:color w:val="auto"/>
        </w:rPr>
      </w:pPr>
    </w:p>
    <w:p>
      <w:pPr>
        <w:ind w:right="40" w:firstLine="464"/>
        <w:spacing w:after="0" w:line="264" w:lineRule="auto"/>
        <w:tabs>
          <w:tab w:leader="none" w:pos="711"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present value (discounted at a rate per annum equal to the average interest borne by all Outstanding Securities of each series issued under the Indenture determined on a weighted average basis and compounded semi-annually) of the obligations of the lessee for rental payments during the term of the related lease.</w:t>
      </w:r>
    </w:p>
    <w:p>
      <w:pPr>
        <w:spacing w:after="0" w:line="177" w:lineRule="exact"/>
        <w:rPr>
          <w:sz w:val="20"/>
          <w:szCs w:val="20"/>
          <w:color w:val="auto"/>
        </w:rPr>
      </w:pPr>
    </w:p>
    <w:p>
      <w:pPr>
        <w:jc w:val="both"/>
        <w:ind w:right="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Lease</w:t>
      </w:r>
      <w:r>
        <w:rPr>
          <w:rFonts w:ascii="Arial" w:cs="Arial" w:eastAsia="Arial" w:hAnsi="Arial"/>
          <w:sz w:val="18"/>
          <w:szCs w:val="18"/>
          <w:color w:val="auto"/>
        </w:rPr>
        <w:t>” means any Indebtedness represented by a lease obligation of a Person incurred with respect to real property or equipment acquired or leased by such Person and used in its business that would be required to be recorded as a capital lease in accordance with GAAP as in effect as of the date of this Indenture, whether entered into before or after the date of this Indenture.</w:t>
      </w:r>
    </w:p>
    <w:p>
      <w:pPr>
        <w:spacing w:after="0" w:line="176"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Worth</w:t>
      </w:r>
      <w:r>
        <w:rPr>
          <w:rFonts w:ascii="Arial" w:cs="Arial" w:eastAsia="Arial" w:hAnsi="Arial"/>
          <w:sz w:val="18"/>
          <w:szCs w:val="18"/>
          <w:color w:val="auto"/>
        </w:rPr>
        <w:t>” of any Person means, as of any date of determination, the stockholders’ equity or members’ capital of such Person as reflected on the most recent consolidated balance sheet of such Person and prepared in accordance with GAAP.</w:t>
      </w:r>
    </w:p>
    <w:p>
      <w:pPr>
        <w:spacing w:after="0" w:line="162" w:lineRule="exact"/>
        <w:rPr>
          <w:sz w:val="20"/>
          <w:szCs w:val="20"/>
          <w:color w:val="auto"/>
        </w:rPr>
      </w:pPr>
    </w:p>
    <w:p>
      <w:pPr>
        <w:ind w:right="28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GAAP</w:t>
      </w:r>
      <w:r>
        <w:rPr>
          <w:rFonts w:ascii="Arial" w:cs="Arial" w:eastAsia="Arial" w:hAnsi="Arial"/>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w:t>
      </w:r>
    </w:p>
    <w:p>
      <w:pPr>
        <w:spacing w:after="0" w:line="2" w:lineRule="exact"/>
        <w:rPr>
          <w:sz w:val="20"/>
          <w:szCs w:val="20"/>
          <w:color w:val="auto"/>
        </w:rPr>
      </w:pPr>
    </w:p>
    <w:p>
      <w:pPr>
        <w:ind w:left="220" w:hanging="212"/>
        <w:spacing w:after="0"/>
        <w:tabs>
          <w:tab w:leader="none" w:pos="2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date of this Indenture, for purposes of the definition of “Capital Lease” and (ii) the date of determination, for all other purposes under this Indenture.</w:t>
      </w:r>
    </w:p>
    <w:p>
      <w:pPr>
        <w:spacing w:after="0" w:line="166"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22</w:t>
      </w:r>
    </w:p>
    <w:p>
      <w:pPr>
        <w:sectPr>
          <w:pgSz w:w="11900" w:h="16838" w:orient="portrait"/>
          <w:cols w:equalWidth="0" w:num="1">
            <w:col w:w="11360"/>
          </w:cols>
          <w:pgMar w:left="240" w:top="274" w:right="299" w:bottom="1440" w:gutter="0" w:footer="0" w:header="0"/>
        </w:sectPr>
      </w:pPr>
    </w:p>
    <w:bookmarkStart w:id="96" w:name="page97"/>
    <w:bookmarkEnd w:id="9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121" w:lineRule="exact"/>
        <w:rPr>
          <w:sz w:val="20"/>
          <w:szCs w:val="20"/>
          <w:color w:val="auto"/>
        </w:rPr>
      </w:pPr>
    </w:p>
    <w:p>
      <w:pPr>
        <w:ind w:right="160" w:firstLine="464"/>
        <w:spacing w:after="0" w:line="277" w:lineRule="auto"/>
        <w:tabs>
          <w:tab w:leader="none" w:pos="711"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interest rate lock agreements and interest rate collar agreements;</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other agreements or arrangements designed to protect such Person against fluctuations in currency exchange rates or commodity prices; and</w:t>
      </w:r>
    </w:p>
    <w:p>
      <w:pPr>
        <w:spacing w:after="0" w:line="128" w:lineRule="exact"/>
        <w:rPr>
          <w:rFonts w:ascii="Arial" w:cs="Arial" w:eastAsia="Arial" w:hAnsi="Arial"/>
          <w:sz w:val="17"/>
          <w:szCs w:val="17"/>
          <w:color w:val="auto"/>
        </w:rPr>
      </w:pPr>
    </w:p>
    <w:p>
      <w:pPr>
        <w:ind w:left="720" w:hanging="256"/>
        <w:spacing w:after="0"/>
        <w:tabs>
          <w:tab w:leader="none" w:pos="7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other agreements or arrangements designed to protect such Person against fluctuations in equity prices.</w:t>
      </w:r>
    </w:p>
    <w:p>
      <w:pPr>
        <w:spacing w:after="0" w:line="221"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54"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lien, security interest, charge or encumbrance of any kind (including any conditional sale or other title retention agreement, any lease in the nature thereof, and any agreement to give any security interest).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 with respect to an Obligor:</w:t>
      </w:r>
    </w:p>
    <w:p>
      <w:pPr>
        <w:spacing w:after="0" w:line="121" w:lineRule="exact"/>
        <w:rPr>
          <w:sz w:val="20"/>
          <w:szCs w:val="20"/>
          <w:color w:val="auto"/>
        </w:rPr>
      </w:pPr>
    </w:p>
    <w:p>
      <w:pPr>
        <w:ind w:right="120" w:firstLine="464"/>
        <w:spacing w:after="0" w:line="264" w:lineRule="auto"/>
        <w:tabs>
          <w:tab w:leader="none" w:pos="711" w:val="left"/>
        </w:tabs>
        <w:numPr>
          <w:ilvl w:val="0"/>
          <w:numId w:val="80"/>
        </w:numPr>
        <w:rPr>
          <w:rFonts w:ascii="Arial" w:cs="Arial" w:eastAsia="Arial" w:hAnsi="Arial"/>
          <w:sz w:val="18"/>
          <w:szCs w:val="18"/>
          <w:color w:val="auto"/>
        </w:rPr>
      </w:pPr>
      <w:r>
        <w:rPr>
          <w:rFonts w:ascii="Arial" w:cs="Arial" w:eastAsia="Arial" w:hAnsi="Arial"/>
          <w:sz w:val="18"/>
          <w:szCs w:val="18"/>
          <w:color w:val="auto"/>
        </w:rPr>
        <w:t>Liens on any of the applicable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8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(2)(a)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(a) the Liens shall be given within 24 months after such acquisition and shall attach solely to the Property acquired or purchased and any improvements then or thereafter placed thereon, (b)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(c) all renewals, extensions, refinancings, replacements or refundings of such obligations under this clause (2);</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0" w:right="259" w:bottom="1440" w:gutter="0" w:footer="0" w:header="0"/>
        </w:sectPr>
      </w:pPr>
    </w:p>
    <w:bookmarkStart w:id="97" w:name="page98"/>
    <w:bookmarkEnd w:id="97"/>
    <w:p>
      <w:pPr>
        <w:ind w:left="720" w:hanging="256"/>
        <w:spacing w:after="0"/>
        <w:tabs>
          <w:tab w:leader="none" w:pos="720" w:val="left"/>
        </w:tabs>
        <w:numPr>
          <w:ilvl w:val="0"/>
          <w:numId w:val="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Liens in favor of customs and revenue authorities arising as a matter of law to secure payment of customs duties in connection with the importation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goods;</w:t>
      </w:r>
    </w:p>
    <w:p>
      <w:pPr>
        <w:spacing w:after="0" w:line="210" w:lineRule="exact"/>
        <w:rPr>
          <w:rFonts w:ascii="Arial" w:cs="Arial" w:eastAsia="Arial" w:hAnsi="Arial"/>
          <w:sz w:val="16"/>
          <w:szCs w:val="16"/>
          <w:color w:val="auto"/>
        </w:rPr>
      </w:pPr>
    </w:p>
    <w:p>
      <w:pPr>
        <w:ind w:right="20" w:firstLine="464"/>
        <w:spacing w:after="0" w:line="277" w:lineRule="auto"/>
        <w:tabs>
          <w:tab w:leader="none" w:pos="711" w:val="left"/>
        </w:tabs>
        <w:numPr>
          <w:ilvl w:val="0"/>
          <w:numId w:val="81"/>
        </w:numPr>
        <w:rPr>
          <w:rFonts w:ascii="Arial" w:cs="Arial" w:eastAsia="Arial" w:hAnsi="Arial"/>
          <w:sz w:val="18"/>
          <w:szCs w:val="18"/>
          <w:color w:val="auto"/>
        </w:rPr>
      </w:pPr>
      <w:r>
        <w:rPr>
          <w:rFonts w:ascii="Arial" w:cs="Arial" w:eastAsia="Arial" w:hAnsi="Arial"/>
          <w:sz w:val="18"/>
          <w:szCs w:val="18"/>
          <w:color w:val="auto"/>
        </w:rPr>
        <w:t>Liens for taxes not yet due or that are being contested in good faith by appropriate proceedings, provided that adequate reserves with respect thereto are maintained on such Obligor’s books in conformity with GAAP;</w:t>
      </w:r>
    </w:p>
    <w:p>
      <w:pPr>
        <w:spacing w:after="0" w:line="170" w:lineRule="exact"/>
        <w:rPr>
          <w:rFonts w:ascii="Arial" w:cs="Arial" w:eastAsia="Arial" w:hAnsi="Arial"/>
          <w:sz w:val="18"/>
          <w:szCs w:val="18"/>
          <w:color w:val="auto"/>
        </w:rPr>
      </w:pPr>
    </w:p>
    <w:p>
      <w:pPr>
        <w:ind w:right="300" w:firstLine="464"/>
        <w:spacing w:after="0" w:line="277" w:lineRule="auto"/>
        <w:tabs>
          <w:tab w:leader="none" w:pos="711" w:val="left"/>
        </w:tabs>
        <w:numPr>
          <w:ilvl w:val="0"/>
          <w:numId w:val="81"/>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products and proceeds thereof;</w:t>
      </w:r>
    </w:p>
    <w:p>
      <w:pPr>
        <w:spacing w:after="0" w:line="170" w:lineRule="exact"/>
        <w:rPr>
          <w:rFonts w:ascii="Arial" w:cs="Arial" w:eastAsia="Arial" w:hAnsi="Arial"/>
          <w:sz w:val="18"/>
          <w:szCs w:val="18"/>
          <w:color w:val="auto"/>
        </w:rPr>
      </w:pPr>
    </w:p>
    <w:p>
      <w:pPr>
        <w:jc w:val="both"/>
        <w:ind w:firstLine="464"/>
        <w:spacing w:after="0" w:line="264" w:lineRule="auto"/>
        <w:tabs>
          <w:tab w:leader="none" w:pos="711" w:val="left"/>
        </w:tabs>
        <w:numPr>
          <w:ilvl w:val="0"/>
          <w:numId w:val="81"/>
        </w:numPr>
        <w:rPr>
          <w:rFonts w:ascii="Arial" w:cs="Arial" w:eastAsia="Arial" w:hAnsi="Arial"/>
          <w:sz w:val="18"/>
          <w:szCs w:val="18"/>
          <w:color w:val="auto"/>
        </w:rPr>
      </w:pPr>
      <w:r>
        <w:rPr>
          <w:rFonts w:ascii="Arial" w:cs="Arial" w:eastAsia="Arial" w:hAnsi="Arial"/>
          <w:sz w:val="18"/>
          <w:szCs w:val="18"/>
          <w:color w:val="auto"/>
        </w:rPr>
        <w:t>Liens encumbering customary initial deposits and margin deposits and other Liens in the ordinary course of business, in each case securing Hedging Obligations and forward contracts, options, futures contracts, futures options, swaps, equity hedges or similar agreements or arrangements designed to protect such Obligor from fluctuations in interest rates, currencies, equities or the price of commodities;</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Liens in favor of the Issuer or any Guarantor;</w:t>
      </w:r>
    </w:p>
    <w:p>
      <w:pPr>
        <w:spacing w:after="0" w:line="225" w:lineRule="exact"/>
        <w:rPr>
          <w:rFonts w:ascii="Arial" w:cs="Arial" w:eastAsia="Arial" w:hAnsi="Arial"/>
          <w:sz w:val="18"/>
          <w:szCs w:val="18"/>
          <w:color w:val="auto"/>
        </w:rPr>
      </w:pPr>
    </w:p>
    <w:p>
      <w:pPr>
        <w:ind w:right="20" w:firstLine="464"/>
        <w:spacing w:after="0" w:line="264" w:lineRule="auto"/>
        <w:tabs>
          <w:tab w:leader="none" w:pos="711"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81" w:lineRule="exact"/>
        <w:rPr>
          <w:rFonts w:ascii="Arial" w:cs="Arial" w:eastAsia="Arial" w:hAnsi="Arial"/>
          <w:sz w:val="18"/>
          <w:szCs w:val="18"/>
          <w:color w:val="auto"/>
        </w:rPr>
      </w:pPr>
    </w:p>
    <w:p>
      <w:pPr>
        <w:ind w:right="20" w:firstLine="464"/>
        <w:spacing w:after="0" w:line="277" w:lineRule="auto"/>
        <w:tabs>
          <w:tab w:leader="none" w:pos="711" w:val="left"/>
        </w:tabs>
        <w:numPr>
          <w:ilvl w:val="0"/>
          <w:numId w:val="81"/>
        </w:numPr>
        <w:rPr>
          <w:rFonts w:ascii="Arial" w:cs="Arial" w:eastAsia="Arial" w:hAnsi="Arial"/>
          <w:sz w:val="18"/>
          <w:szCs w:val="18"/>
          <w:color w:val="auto"/>
        </w:rPr>
      </w:pPr>
      <w:r>
        <w:rPr>
          <w:rFonts w:ascii="Arial" w:cs="Arial" w:eastAsia="Arial" w:hAnsi="Arial"/>
          <w:sz w:val="18"/>
          <w:szCs w:val="18"/>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70" w:lineRule="exact"/>
        <w:rPr>
          <w:rFonts w:ascii="Arial" w:cs="Arial" w:eastAsia="Arial" w:hAnsi="Arial"/>
          <w:sz w:val="18"/>
          <w:szCs w:val="18"/>
          <w:color w:val="auto"/>
        </w:rPr>
      </w:pPr>
    </w:p>
    <w:p>
      <w:pPr>
        <w:ind w:right="760" w:firstLine="464"/>
        <w:spacing w:after="0" w:line="277" w:lineRule="auto"/>
        <w:tabs>
          <w:tab w:leader="none" w:pos="801" w:val="left"/>
        </w:tabs>
        <w:numPr>
          <w:ilvl w:val="0"/>
          <w:numId w:val="81"/>
        </w:numPr>
        <w:rPr>
          <w:rFonts w:ascii="Arial" w:cs="Arial" w:eastAsia="Arial" w:hAnsi="Arial"/>
          <w:sz w:val="18"/>
          <w:szCs w:val="18"/>
          <w:color w:val="auto"/>
        </w:rPr>
      </w:pPr>
      <w:r>
        <w:rPr>
          <w:rFonts w:ascii="Arial" w:cs="Arial" w:eastAsia="Arial" w:hAnsi="Arial"/>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70" w:lineRule="exact"/>
        <w:rPr>
          <w:rFonts w:ascii="Arial" w:cs="Arial" w:eastAsia="Arial" w:hAnsi="Arial"/>
          <w:sz w:val="18"/>
          <w:szCs w:val="18"/>
          <w:color w:val="auto"/>
        </w:rPr>
      </w:pPr>
    </w:p>
    <w:p>
      <w:pPr>
        <w:ind w:right="140" w:firstLine="464"/>
        <w:spacing w:after="0" w:line="269" w:lineRule="auto"/>
        <w:tabs>
          <w:tab w:leader="none" w:pos="795"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Liens consisting of pledges or deposits of Property to secure performance in connection with operating leases made in the ordinary course of business to which such Obligor is a party as lessee, provided the aggregate value of all such pledges and deposits in connection with any such lease does not at any time exceed 16 </w:t>
      </w:r>
      <w:r>
        <w:rPr>
          <w:rFonts w:ascii="Arial" w:cs="Arial" w:eastAsia="Arial" w:hAnsi="Arial"/>
          <w:sz w:val="30"/>
          <w:szCs w:val="30"/>
          <w:color w:val="auto"/>
          <w:vertAlign w:val="superscript"/>
        </w:rPr>
        <w:t>2</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of the annual fixed rentals payable under such lease;</w:t>
      </w:r>
    </w:p>
    <w:p>
      <w:pPr>
        <w:spacing w:after="0" w:line="13" w:lineRule="exact"/>
        <w:rPr>
          <w:rFonts w:ascii="Arial" w:cs="Arial" w:eastAsia="Arial" w:hAnsi="Arial"/>
          <w:sz w:val="18"/>
          <w:szCs w:val="18"/>
          <w:color w:val="auto"/>
        </w:rPr>
      </w:pPr>
    </w:p>
    <w:p>
      <w:pPr>
        <w:ind w:left="800" w:hanging="336"/>
        <w:spacing w:after="0"/>
        <w:tabs>
          <w:tab w:leader="none" w:pos="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such Obligor’s statutory obligations in the ordinary course of its business;</w:t>
      </w:r>
    </w:p>
    <w:p>
      <w:pPr>
        <w:spacing w:after="0" w:line="225" w:lineRule="exact"/>
        <w:rPr>
          <w:rFonts w:ascii="Arial" w:cs="Arial" w:eastAsia="Arial" w:hAnsi="Arial"/>
          <w:sz w:val="18"/>
          <w:szCs w:val="18"/>
          <w:color w:val="auto"/>
        </w:rPr>
      </w:pPr>
    </w:p>
    <w:p>
      <w:pPr>
        <w:ind w:right="40" w:firstLine="464"/>
        <w:spacing w:after="0" w:line="277" w:lineRule="auto"/>
        <w:tabs>
          <w:tab w:leader="none" w:pos="801" w:val="left"/>
        </w:tabs>
        <w:numPr>
          <w:ilvl w:val="0"/>
          <w:numId w:val="81"/>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(or in lieu of) surety, appeal or customs bonds in proceedings to which such Obligor is a party in the ordinary course of its business, but not in excess of $25,000,000;</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98" w:name="page99"/>
    <w:bookmarkEnd w:id="98"/>
    <w:p>
      <w:pPr>
        <w:ind w:left="800" w:hanging="336"/>
        <w:spacing w:after="0"/>
        <w:tabs>
          <w:tab w:leader="none" w:pos="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Liens on “margin stock” (as defined in Regulation U of the Board of Governors of the Federal Reserve System);</w:t>
      </w:r>
    </w:p>
    <w:p>
      <w:pPr>
        <w:spacing w:after="0" w:line="225" w:lineRule="exact"/>
        <w:rPr>
          <w:rFonts w:ascii="Arial" w:cs="Arial" w:eastAsia="Arial" w:hAnsi="Arial"/>
          <w:sz w:val="18"/>
          <w:szCs w:val="18"/>
          <w:color w:val="auto"/>
        </w:rPr>
      </w:pPr>
    </w:p>
    <w:p>
      <w:pPr>
        <w:ind w:right="120" w:firstLine="464"/>
        <w:spacing w:after="0" w:line="277" w:lineRule="auto"/>
        <w:tabs>
          <w:tab w:leader="none" w:pos="801" w:val="left"/>
        </w:tabs>
        <w:numPr>
          <w:ilvl w:val="0"/>
          <w:numId w:val="82"/>
        </w:numPr>
        <w:rPr>
          <w:rFonts w:ascii="Arial" w:cs="Arial" w:eastAsia="Arial" w:hAnsi="Arial"/>
          <w:sz w:val="18"/>
          <w:szCs w:val="18"/>
          <w:color w:val="auto"/>
        </w:rPr>
      </w:pPr>
      <w:r>
        <w:rPr>
          <w:rFonts w:ascii="Arial" w:cs="Arial" w:eastAsia="Arial" w:hAnsi="Arial"/>
          <w:sz w:val="18"/>
          <w:szCs w:val="18"/>
          <w:color w:val="auto"/>
        </w:rPr>
        <w:t>Liens permitted under sale and lease-back transactions, and any renewals or extensions thereof, so long as the Indebtedness secured thereby does not exceed $300,000,000 in the aggregate;</w:t>
      </w:r>
    </w:p>
    <w:p>
      <w:pPr>
        <w:spacing w:after="0" w:line="170" w:lineRule="exact"/>
        <w:rPr>
          <w:rFonts w:ascii="Arial" w:cs="Arial" w:eastAsia="Arial" w:hAnsi="Arial"/>
          <w:sz w:val="18"/>
          <w:szCs w:val="18"/>
          <w:color w:val="auto"/>
        </w:rPr>
      </w:pPr>
    </w:p>
    <w:p>
      <w:pPr>
        <w:ind w:right="220" w:firstLine="464"/>
        <w:spacing w:after="0" w:line="277" w:lineRule="auto"/>
        <w:tabs>
          <w:tab w:leader="none" w:pos="801" w:val="left"/>
        </w:tabs>
        <w:numPr>
          <w:ilvl w:val="0"/>
          <w:numId w:val="82"/>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of all Obligors secured thereby does not exceed $300,000,000 at any one time;</w:t>
      </w:r>
    </w:p>
    <w:p>
      <w:pPr>
        <w:spacing w:after="0" w:line="170" w:lineRule="exact"/>
        <w:rPr>
          <w:rFonts w:ascii="Arial" w:cs="Arial" w:eastAsia="Arial" w:hAnsi="Arial"/>
          <w:sz w:val="18"/>
          <w:szCs w:val="18"/>
          <w:color w:val="auto"/>
        </w:rPr>
      </w:pPr>
    </w:p>
    <w:p>
      <w:pPr>
        <w:ind w:left="800" w:hanging="336"/>
        <w:spacing w:after="0"/>
        <w:tabs>
          <w:tab w:leader="none" w:pos="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Liens securing Specified Non-Recourse Debt;</w:t>
      </w:r>
    </w:p>
    <w:p>
      <w:pPr>
        <w:spacing w:after="0" w:line="225" w:lineRule="exact"/>
        <w:rPr>
          <w:rFonts w:ascii="Arial" w:cs="Arial" w:eastAsia="Arial" w:hAnsi="Arial"/>
          <w:sz w:val="18"/>
          <w:szCs w:val="18"/>
          <w:color w:val="auto"/>
        </w:rPr>
      </w:pPr>
    </w:p>
    <w:p>
      <w:pPr>
        <w:ind w:right="140" w:firstLine="464"/>
        <w:spacing w:after="0" w:line="264" w:lineRule="auto"/>
        <w:tabs>
          <w:tab w:leader="none" w:pos="801" w:val="left"/>
        </w:tabs>
        <w:numPr>
          <w:ilvl w:val="0"/>
          <w:numId w:val="82"/>
        </w:numPr>
        <w:rPr>
          <w:rFonts w:ascii="Arial" w:cs="Arial" w:eastAsia="Arial" w:hAnsi="Arial"/>
          <w:sz w:val="18"/>
          <w:szCs w:val="18"/>
          <w:color w:val="auto"/>
        </w:rPr>
      </w:pPr>
      <w:r>
        <w:rPr>
          <w:rFonts w:ascii="Arial" w:cs="Arial" w:eastAsia="Arial" w:hAnsi="Arial"/>
          <w:sz w:val="18"/>
          <w:szCs w:val="18"/>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 (iii) attaching to other prepayments, deposits or earnest money in the ordinary course of business; and</w:t>
      </w:r>
    </w:p>
    <w:p>
      <w:pPr>
        <w:spacing w:after="0" w:line="181" w:lineRule="exact"/>
        <w:rPr>
          <w:rFonts w:ascii="Arial" w:cs="Arial" w:eastAsia="Arial" w:hAnsi="Arial"/>
          <w:sz w:val="18"/>
          <w:szCs w:val="18"/>
          <w:color w:val="auto"/>
        </w:rPr>
      </w:pPr>
    </w:p>
    <w:p>
      <w:pPr>
        <w:ind w:left="800" w:hanging="336"/>
        <w:spacing w:after="0"/>
        <w:tabs>
          <w:tab w:leader="none" w:pos="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Take-or-pay obligations arising in the ordinary course of business.</w:t>
      </w:r>
    </w:p>
    <w:p>
      <w:pPr>
        <w:spacing w:after="0" w:line="221"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 means with respect to any Person any property or asset, whether real, personal or mixed, or tangible or intangible, including shares of capital stock.</w:t>
      </w:r>
    </w:p>
    <w:p>
      <w:pPr>
        <w:spacing w:after="0" w:line="162"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Non-Recourse Debt</w:t>
      </w:r>
      <w:r>
        <w:rPr>
          <w:rFonts w:ascii="Arial" w:cs="Arial" w:eastAsia="Arial" w:hAnsi="Arial"/>
          <w:sz w:val="18"/>
          <w:szCs w:val="18"/>
          <w:color w:val="auto"/>
        </w:rPr>
        <w:t>” means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176"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274" w:right="29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w:t>
      </w:r>
      <w:r>
        <w:rPr>
          <w:rFonts w:ascii="Arial" w:cs="Arial" w:eastAsia="Arial" w:hAnsi="Arial"/>
          <w:sz w:val="15"/>
          <w:szCs w:val="15"/>
          <w:color w:val="auto"/>
        </w:rPr>
        <w:t>EMEDIES OF THE</w:t>
      </w:r>
      <w:r>
        <w:rPr>
          <w:rFonts w:ascii="Arial" w:cs="Arial" w:eastAsia="Arial" w:hAnsi="Arial"/>
          <w:sz w:val="18"/>
          <w:szCs w:val="18"/>
          <w:color w:val="auto"/>
        </w:rPr>
        <w:t xml:space="preserve"> T</w:t>
      </w:r>
      <w:r>
        <w:rPr>
          <w:rFonts w:ascii="Arial" w:cs="Arial" w:eastAsia="Arial" w:hAnsi="Arial"/>
          <w:sz w:val="15"/>
          <w:szCs w:val="15"/>
          <w:color w:val="auto"/>
        </w:rPr>
        <w:t>RUSTEE AND</w:t>
      </w:r>
      <w:r>
        <w:rPr>
          <w:rFonts w:ascii="Arial" w:cs="Arial" w:eastAsia="Arial" w:hAnsi="Arial"/>
          <w:sz w:val="18"/>
          <w:szCs w:val="18"/>
          <w:color w:val="auto"/>
        </w:rPr>
        <w:t xml:space="preserve"> H</w:t>
      </w:r>
      <w:r>
        <w:rPr>
          <w:rFonts w:ascii="Arial" w:cs="Arial" w:eastAsia="Arial" w:hAnsi="Arial"/>
          <w:sz w:val="15"/>
          <w:szCs w:val="15"/>
          <w:color w:val="auto"/>
        </w:rPr>
        <w:t>OLDERS ON</w:t>
      </w:r>
      <w:r>
        <w:rPr>
          <w:rFonts w:ascii="Arial" w:cs="Arial" w:eastAsia="Arial" w:hAnsi="Arial"/>
          <w:sz w:val="18"/>
          <w:szCs w:val="18"/>
          <w:color w:val="auto"/>
        </w:rPr>
        <w:t xml:space="preserve"> E</w:t>
      </w:r>
      <w:r>
        <w:rPr>
          <w:rFonts w:ascii="Arial" w:cs="Arial" w:eastAsia="Arial" w:hAnsi="Arial"/>
          <w:sz w:val="15"/>
          <w:szCs w:val="15"/>
          <w:color w:val="auto"/>
        </w:rPr>
        <w:t>VENT OF</w:t>
      </w:r>
      <w:r>
        <w:rPr>
          <w:rFonts w:ascii="Arial" w:cs="Arial" w:eastAsia="Arial" w:hAnsi="Arial"/>
          <w:sz w:val="18"/>
          <w:szCs w:val="18"/>
          <w:color w:val="auto"/>
        </w:rPr>
        <w:t xml:space="preserve"> D</w:t>
      </w:r>
      <w:r>
        <w:rPr>
          <w:rFonts w:ascii="Arial" w:cs="Arial" w:eastAsia="Arial" w:hAnsi="Arial"/>
          <w:sz w:val="15"/>
          <w:szCs w:val="15"/>
          <w:color w:val="auto"/>
        </w:rPr>
        <w:t>EFAULT</w:t>
      </w:r>
    </w:p>
    <w:p>
      <w:pPr>
        <w:spacing w:after="0" w:line="207" w:lineRule="exact"/>
        <w:rPr>
          <w:sz w:val="20"/>
          <w:szCs w:val="20"/>
          <w:color w:val="auto"/>
        </w:rPr>
      </w:pPr>
    </w:p>
    <w:p>
      <w:pPr>
        <w:ind w:right="160" w:firstLine="456"/>
        <w:spacing w:after="0" w:line="261"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Event of Default; Acceleration of Maturity; Waiver of Default.</w:t>
      </w:r>
      <w:r>
        <w:rPr>
          <w:rFonts w:ascii="Arial" w:cs="Arial" w:eastAsia="Arial" w:hAnsi="Arial"/>
          <w:sz w:val="18"/>
          <w:szCs w:val="18"/>
          <w:color w:val="auto"/>
        </w:rPr>
        <w:t xml:space="preserve"> An “</w:t>
      </w:r>
      <w:r>
        <w:rPr>
          <w:rFonts w:ascii="Arial" w:cs="Arial" w:eastAsia="Arial" w:hAnsi="Arial"/>
          <w:sz w:val="18"/>
          <w:szCs w:val="18"/>
          <w:b w:val="1"/>
          <w:bCs w:val="1"/>
          <w:color w:val="auto"/>
        </w:rPr>
        <w:t>Event of Default</w:t>
      </w:r>
      <w:r>
        <w:rPr>
          <w:rFonts w:ascii="Arial" w:cs="Arial" w:eastAsia="Arial" w:hAnsi="Arial"/>
          <w:sz w:val="18"/>
          <w:szCs w:val="18"/>
          <w:color w:val="auto"/>
        </w:rPr>
        <w:t>” with respect to Securities of any series means the occurrence of one or more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76" w:lineRule="exact"/>
        <w:rPr>
          <w:sz w:val="20"/>
          <w:szCs w:val="20"/>
          <w:color w:val="auto"/>
        </w:rPr>
      </w:pPr>
    </w:p>
    <w:p>
      <w:pPr>
        <w:ind w:right="160" w:firstLine="464"/>
        <w:spacing w:after="0" w:line="277" w:lineRule="auto"/>
        <w:tabs>
          <w:tab w:leader="none" w:pos="701"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upon any of the Securities of such series as and when the same shall become due and payable, and continuance of such default for a period of 30 days or more;</w:t>
      </w:r>
    </w:p>
    <w:p>
      <w:pPr>
        <w:spacing w:after="0" w:line="170" w:lineRule="exact"/>
        <w:rPr>
          <w:rFonts w:ascii="Arial" w:cs="Arial" w:eastAsia="Arial" w:hAnsi="Arial"/>
          <w:sz w:val="18"/>
          <w:szCs w:val="18"/>
          <w:color w:val="auto"/>
        </w:rPr>
      </w:pPr>
    </w:p>
    <w:p>
      <w:pPr>
        <w:ind w:right="40" w:firstLine="464"/>
        <w:spacing w:after="0" w:line="277" w:lineRule="auto"/>
        <w:tabs>
          <w:tab w:leader="none" w:pos="711"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default in the payment of the principal on any of the Securities of such series as and when the same shall become due and payable either at maturity, upon redemption, by declaration or otherwise;</w:t>
      </w:r>
    </w:p>
    <w:p>
      <w:pPr>
        <w:spacing w:after="0" w:line="170" w:lineRule="exact"/>
        <w:rPr>
          <w:rFonts w:ascii="Arial" w:cs="Arial" w:eastAsia="Arial" w:hAnsi="Arial"/>
          <w:sz w:val="18"/>
          <w:szCs w:val="18"/>
          <w:color w:val="auto"/>
        </w:rPr>
      </w:pPr>
    </w:p>
    <w:p>
      <w:pPr>
        <w:ind w:right="80" w:firstLine="464"/>
        <w:spacing w:after="0" w:line="257" w:lineRule="auto"/>
        <w:tabs>
          <w:tab w:leader="none" w:pos="701"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default by any Obligor in the performance, or breach, of any of its covenants in respect of the Securities of such series (other than defaults pursuant to paragraphs (a) and (b) above), and continuance of such default or breach for a period of 90 days or more after there has been given, by registered or certified mail, to the Issuer by the Trustee or to the Issuer and the Trustee by the Holders of at least 25% in principal amount of the Outstanding Securities of all affected series (voting together as a single class) thereby, a written notice specifying such default or breach and requiring it to be remedied and stating that such notice is a “</w:t>
      </w:r>
      <w:r>
        <w:rPr>
          <w:rFonts w:ascii="Arial" w:cs="Arial" w:eastAsia="Arial" w:hAnsi="Arial"/>
          <w:sz w:val="18"/>
          <w:szCs w:val="18"/>
          <w:b w:val="1"/>
          <w:bCs w:val="1"/>
          <w:color w:val="auto"/>
        </w:rPr>
        <w:t>Notice of Default</w:t>
      </w:r>
      <w:r>
        <w:rPr>
          <w:rFonts w:ascii="Arial" w:cs="Arial" w:eastAsia="Arial" w:hAnsi="Arial"/>
          <w:sz w:val="18"/>
          <w:szCs w:val="18"/>
          <w:color w:val="auto"/>
        </w:rPr>
        <w:t>” hereunder;</w:t>
      </w:r>
    </w:p>
    <w:p>
      <w:pPr>
        <w:spacing w:after="0" w:line="188" w:lineRule="exact"/>
        <w:rPr>
          <w:rFonts w:ascii="Arial" w:cs="Arial" w:eastAsia="Arial" w:hAnsi="Arial"/>
          <w:sz w:val="18"/>
          <w:szCs w:val="18"/>
          <w:color w:val="auto"/>
        </w:rPr>
      </w:pPr>
    </w:p>
    <w:p>
      <w:pPr>
        <w:ind w:right="340" w:firstLine="464"/>
        <w:spacing w:after="0" w:line="259" w:lineRule="auto"/>
        <w:tabs>
          <w:tab w:leader="none" w:pos="711"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court having jurisdiction in the premises shall enter a decree or order for relief in respect of any Obligor in an involuntary case under any applicable bankruptcy, insolvency or other similar law now or hereafter in effect, or appointing a receiver, liquidator, assignee, custodian, trustee or sequestrator (or similar official) of such Obligor or for any substantial part of its Property or ordering the winding up or liquidation of its affairs, and such decree or order shall remain unstayed and in effect for a period of 60 consecutive days;</w:t>
      </w:r>
    </w:p>
    <w:p>
      <w:pPr>
        <w:spacing w:after="0" w:line="186" w:lineRule="exact"/>
        <w:rPr>
          <w:rFonts w:ascii="Arial" w:cs="Arial" w:eastAsia="Arial" w:hAnsi="Arial"/>
          <w:sz w:val="18"/>
          <w:szCs w:val="18"/>
          <w:color w:val="auto"/>
        </w:rPr>
      </w:pPr>
    </w:p>
    <w:p>
      <w:pPr>
        <w:ind w:firstLine="464"/>
        <w:spacing w:after="0" w:line="259" w:lineRule="auto"/>
        <w:tabs>
          <w:tab w:leader="none" w:pos="701"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Obligor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liquidator, assignee, custodian, trustee or sequestrator (or similar official) of such Obligor or for any substantial part of its Property, or make any general assignment for the benefit of creditors; or</w:t>
      </w:r>
    </w:p>
    <w:p>
      <w:pPr>
        <w:spacing w:after="0" w:line="186" w:lineRule="exact"/>
        <w:rPr>
          <w:rFonts w:ascii="Arial" w:cs="Arial" w:eastAsia="Arial" w:hAnsi="Arial"/>
          <w:sz w:val="18"/>
          <w:szCs w:val="18"/>
          <w:color w:val="auto"/>
        </w:rPr>
      </w:pPr>
    </w:p>
    <w:p>
      <w:pPr>
        <w:ind w:right="160" w:firstLine="464"/>
        <w:spacing w:after="0" w:line="277" w:lineRule="auto"/>
        <w:tabs>
          <w:tab w:leader="none" w:pos="681"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Guarantee (other than a Guarantee released pursuant to Section 12.09 hereof) shall not be (or shall be claimed by the relevant Guarantor not to be) in full force and effect.</w:t>
      </w:r>
    </w:p>
    <w:p>
      <w:pPr>
        <w:spacing w:after="0" w:line="170"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If an Event of Default specified in Sections 4.01(a), 4.01(b), 4.01(c) or 4.01(f) with respect to the Securities of one or more series occurs and is continuing, then, and in each and every such case, unless the principal of all of the Securities of such series shall have already become due and payable, the Trustee may, and at the direction of the Holders of not less than 25% in aggregate principal amount of the Securities of all affected series then Outstanding (voting together as a single class) by notice in writing to the Issuer, shall declare the entire principal (or, if the Securities of such series are Original Issue Discount Securities, such portion of the principal amount as may be specified in the terms of such series) of all Outstanding Securities of each such series, together with all accrued and unpaid interest, if any, to be due and payable immediately, and upon any such declaration the same shall become immediately due and payable.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100" w:name="page101"/>
    <w:bookmarkEnd w:id="100"/>
    <w:p>
      <w:pPr>
        <w:ind w:right="160"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 Event of Default specified in Sections 4.01(d) or 4.01(e) occurs and is continuing, then the entire principal amount of the Outstanding Securities will automatically become due immediately and payable without any declaration or other act on the part of the Trustee or any Holder.</w:t>
      </w:r>
    </w:p>
    <w:p>
      <w:pPr>
        <w:spacing w:after="0" w:line="14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After a declaration of acceleration under Section 4.01(a), Section 4.01(b), Section 4.01(c) or Section 4.01(f) or any automatic acceleration under Sections 4.01(d) or 4.01(e), the Holders of a majority in principal amount of the Outstanding Securities of any series (each such series voting as a separate class) may rescind such acceleration with respect to the Securities of such series (i) if all existing Events of Default with respect to the Securities of such series, except for nonpayment of the principal and interest on the Securities of such series that have become due solely as a result of such acceleration, have been cured or waived, (ii) if rescission of acceleration would not conflict with any judgment or decree and (iii) if all sums paid or advanced by the Trustee in connection with any such Event of Default (including the reasonable compensation, expenses, disbursements, and advances of the Trustee and its agents and counsel, but excluding any such sums paid or advanced by the Trustee as a result of negligence or bad faith) have been paid.</w:t>
      </w:r>
    </w:p>
    <w:p>
      <w:pPr>
        <w:spacing w:after="0" w:line="167" w:lineRule="exact"/>
        <w:rPr>
          <w:sz w:val="20"/>
          <w:szCs w:val="20"/>
          <w:color w:val="auto"/>
        </w:rPr>
      </w:pPr>
    </w:p>
    <w:p>
      <w:pPr>
        <w:jc w:val="both"/>
        <w:ind w:right="360" w:firstLine="456"/>
        <w:spacing w:after="0" w:line="286" w:lineRule="auto"/>
        <w:rPr>
          <w:sz w:val="20"/>
          <w:szCs w:val="20"/>
          <w:color w:val="auto"/>
        </w:rPr>
      </w:pPr>
      <w:r>
        <w:rPr>
          <w:rFonts w:ascii="Arial" w:cs="Arial" w:eastAsia="Arial" w:hAnsi="Arial"/>
          <w:sz w:val="17"/>
          <w:szCs w:val="17"/>
          <w:color w:val="auto"/>
        </w:rPr>
        <w:t>The Holders of a majority in principal amount of the Outstanding Securities of all affected series (voting together as a single class) may, by written notice to the Issuer and the Trustee, also waive past defaults, except a default in the payment of principal of or interest on any Outstanding Security, or in respect of a covenant or a provision that cannot be modified or amended without the consent of all affected Holders.</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all purposes under the Indenture, if a portion of the principal of any Original Issue Discount Securities shall have been accelerated and declared or become due and payable pursuant to the provisions hereof, then, from and after such acceleration or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9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Collection of Indebtedness by Trustee; Trustee May Prove Debt.</w:t>
      </w:r>
      <w:r>
        <w:rPr>
          <w:rFonts w:ascii="Arial" w:cs="Arial" w:eastAsia="Arial" w:hAnsi="Arial"/>
          <w:sz w:val="18"/>
          <w:szCs w:val="18"/>
          <w:color w:val="auto"/>
        </w:rPr>
        <w:t xml:space="preserve"> The Issuer covenants that (a) in case default shall be made in the payment of any installment of interest on any of the Securities of any series when such interest shall have become due and payable, and such default shall have continued for a period of 30 days or (b) in case default shall be made in the payment of all or any part of the principal of any of the Securities of any series when the same shall have become due and payable, whether upon maturity of the Securities of such series or upon any redemption or by declaration or otherwise, then upon demand of the Trustee, the Issuer will pay to the Trustee for the benefit of the Holders of the Securities of such series the whole amount that then shall have become due and payable on all Securities of such series for principal or interest, as the case may be (with interest to the date of such payment upon the overdue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101" w:name="page102"/>
    <w:bookmarkEnd w:id="101"/>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and in addition thereto, such further amount as shall be sufficient to cover the costs and expenses of collection, including reasonable compensation to the Trustee and each predecessor Trustee, their respective agents, attorneys and counsel, and any expenses and liabilities incurred by the Trustee and each predecessor Trustee except as a result of its negligence or bad faith.</w:t>
      </w:r>
    </w:p>
    <w:p>
      <w:pPr>
        <w:spacing w:after="0" w:line="18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Until such demand is made by the Trustee, the Issuer may pay the principal of and interest on the Securities of any series to the Holders, whether or not the principal of and interest on the Securities of such series be overdue.</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case the Issuer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Issuer or other obligor upon such Securities and collect in the manner provided by law out of the Property of the Issuer or other obligor upon such Securities, wherever situated, the moneys adjudged or decreed to be payable.</w:t>
      </w:r>
    </w:p>
    <w:p>
      <w:pPr>
        <w:spacing w:after="0" w:line="188"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In case there shall be pending proceedings relative to the Issuer or any other obligor upon the Securities of any series under Bankruptcy Law, or in case a receiver, assignee or trustee in bankruptcy or reorganization, liquidator, sequestrator or similar official shall have been appointed for or taken possession of the Issuer or its Property or such other obligor, or in case of any other comparable judicial proceedings relative to the Issuer or other obligor upon the Securities of any series, or to the creditors or Property of the Issuer or such other obligor, the Trustee, irrespective of whether the principal of any Securities shall then be due and payable as therein expressed or by declaration or otherwise and irrespective of whether the Trustee shall have made any demand pursuant to the provisions of this Section, shall be entitled and empowered, by intervention in such proceedings or otherwise:</w:t>
      </w:r>
    </w:p>
    <w:p>
      <w:pPr>
        <w:spacing w:after="0" w:line="57" w:lineRule="exact"/>
        <w:rPr>
          <w:sz w:val="20"/>
          <w:szCs w:val="20"/>
          <w:color w:val="auto"/>
        </w:rPr>
      </w:pPr>
    </w:p>
    <w:p>
      <w:pPr>
        <w:ind w:right="60" w:firstLine="464"/>
        <w:spacing w:after="0" w:line="255" w:lineRule="auto"/>
        <w:tabs>
          <w:tab w:leader="none" w:pos="701"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file and prove a claim or claims for the whole amount of principal and interest (or, if the Securities of any series are Original Issue Discount Securities, such portion of the principal amount as may be specified in the terms of such series) owing and unpaid in respect of the Securities of any series, and to file such other papers or documents as may be necessary or advisable in order to have the claims of the Trustee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or bad faith) and of the Holders allowed in any judicial proceedings relative to the Issuer or other obligor upon the Securities of any series, or to the creditors or Property of the Issuer or such other obligor,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102" w:name="page103"/>
    <w:bookmarkEnd w:id="102"/>
    <w:p>
      <w:pPr>
        <w:ind w:right="160" w:firstLine="464"/>
        <w:spacing w:after="0" w:line="264" w:lineRule="auto"/>
        <w:tabs>
          <w:tab w:leader="none" w:pos="711" w:val="left"/>
        </w:tabs>
        <w:numPr>
          <w:ilvl w:val="0"/>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prohibited by applicable law and regulations, to vote on behalf of the Holders of the Securities of any series in any election of a trustee or a standby trustee in arrangement, reorganization, liquidation or other bankruptcy or insolvency proceedings or Person performing similar functions in comparable proceedings, and</w:t>
      </w:r>
    </w:p>
    <w:p>
      <w:pPr>
        <w:spacing w:after="0" w:line="181" w:lineRule="exact"/>
        <w:rPr>
          <w:rFonts w:ascii="Arial" w:cs="Arial" w:eastAsia="Arial" w:hAnsi="Arial"/>
          <w:sz w:val="18"/>
          <w:szCs w:val="18"/>
          <w:color w:val="auto"/>
        </w:rPr>
      </w:pPr>
    </w:p>
    <w:p>
      <w:pPr>
        <w:ind w:firstLine="464"/>
        <w:spacing w:after="0" w:line="293" w:lineRule="auto"/>
        <w:tabs>
          <w:tab w:leader="none" w:pos="701" w:val="left"/>
        </w:tabs>
        <w:numPr>
          <w:ilvl w:val="0"/>
          <w:numId w:val="85"/>
        </w:numPr>
        <w:rPr>
          <w:rFonts w:ascii="Arial" w:cs="Arial" w:eastAsia="Arial" w:hAnsi="Arial"/>
          <w:sz w:val="16"/>
          <w:szCs w:val="16"/>
          <w:color w:val="auto"/>
        </w:rPr>
      </w:pPr>
      <w:r>
        <w:rPr>
          <w:rFonts w:ascii="Arial" w:cs="Arial" w:eastAsia="Arial" w:hAnsi="Arial"/>
          <w:sz w:val="16"/>
          <w:szCs w:val="16"/>
          <w:color w:val="auto"/>
        </w:rPr>
        <w:t>to collect and receive any moneys or other Property payable or deliverable on any such claims, and to distribute all amounts received with respect to the claims of the Holders and of the Trustee on their behalf; and any trustee, receiver, or liquidator, custodian or other similar official is hereby authorized by each of the Holders to make payments to the Trustee, and, in the event that the Trustee shall consent to the making of payments directly to the Holders, to pay to the Trustee such amounts as shall be sufficient to cover reasonable compensation to the Trustee, each predecessor Trustee and their respective agents, attorneys and counsel, and all other expenses and liabilities incurred, and all advances made, by the Trustee and each predecessor Trustee except as a result of negligence or bad faith and all other amounts due to the Trustee or any predecessor Trustee pursuant to Section 5.07.</w:t>
      </w:r>
    </w:p>
    <w:p>
      <w:pPr>
        <w:spacing w:after="0" w:line="16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Nothing herein contained shall be deemed to authorize the Trustee to authorize or consent to or vote for or accept or adopt on behalf of any Holder any plan or reorganization, arrangement, adjustment or composition affecting the Securities of any series or the rights of any Holder thereof, or to authorize the Trustee to vote in respect of the claim of any Holder in any such proceeding except, as aforesaid, to vote for the election of a trustee in bankruptcy or similar Person.</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All rights of action and of asserting claims under the Indenture, or under any of the Securities of any series, may be enforced by the Trustee without the possession of any of the Securities or the production thereof in any trial or other proceedings relative thereto, and any such action or proceedings instituted by the Trustee shall be brought in its own name as trustee of an express trust, and any recovery of judgment, subject to the payment of the reasonable expenses, disbursements and compensation of the Trustee, each predecessor Trustee and their respective agents and attorneys, shall be for the ratable benefit of the Holders of the Securities in respect of which such action was taken.</w:t>
      </w:r>
    </w:p>
    <w:p>
      <w:pPr>
        <w:spacing w:after="0" w:line="188"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In any proceedings brought by the Trustee (and also any proceedings involving the interpretation of any provision of the Indenture to which the Trustee shall be a party) the Trustee shall be held to represent all the Holders of the Securities in respect to which such action was taken, and it shall not be necessary to make any Holders of such Securities parties to any such proceedings.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103" w:name="page104"/>
    <w:bookmarkEnd w:id="103"/>
    <w:p>
      <w:pPr>
        <w:ind w:right="4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4.03. </w:t>
      </w:r>
      <w:r>
        <w:rPr>
          <w:rFonts w:ascii="Arial" w:cs="Arial" w:eastAsia="Arial" w:hAnsi="Arial"/>
          <w:sz w:val="18"/>
          <w:szCs w:val="18"/>
          <w:i w:val="1"/>
          <w:iCs w:val="1"/>
          <w:color w:val="auto"/>
        </w:rPr>
        <w:t>Application of Proceeds.</w:t>
      </w:r>
      <w:r>
        <w:rPr>
          <w:rFonts w:ascii="Arial" w:cs="Arial" w:eastAsia="Arial" w:hAnsi="Arial"/>
          <w:sz w:val="18"/>
          <w:szCs w:val="18"/>
          <w:color w:val="auto"/>
        </w:rPr>
        <w:t xml:space="preserve"> Any moneys collected by the Trustee pursuant to this Article in respect of the Securities of any series shall be applied in the following order at the date or dates fixed by the Trustee and, in case of the distribution of such moneys on account of principal or interest, upon presentation of the several Securities in respect of which moneys have been collected and stamping (or otherwise noting) thereon the payment, or issuing Securities of such series in reduced principal amounts in exchange for the presented Securities of like series if only partially paid, or upon surrender thereof if fully paid:</w:t>
      </w:r>
    </w:p>
    <w:p>
      <w:pPr>
        <w:spacing w:after="0" w:line="80" w:lineRule="exact"/>
        <w:rPr>
          <w:sz w:val="20"/>
          <w:szCs w:val="20"/>
          <w:color w:val="auto"/>
        </w:rPr>
      </w:pPr>
    </w:p>
    <w:p>
      <w:pPr>
        <w:ind w:left="460" w:right="120" w:firstLine="438"/>
        <w:spacing w:after="0" w:line="259" w:lineRule="auto"/>
        <w:rPr>
          <w:sz w:val="20"/>
          <w:szCs w:val="20"/>
          <w:color w:val="auto"/>
        </w:rPr>
      </w:pPr>
      <w:r>
        <w:rPr>
          <w:rFonts w:ascii="Arial" w:cs="Arial" w:eastAsia="Arial" w:hAnsi="Arial"/>
          <w:sz w:val="18"/>
          <w:szCs w:val="18"/>
          <w:color w:val="auto"/>
        </w:rPr>
        <w:t>FIRST: To the payment of costs and expenses applicable to such series in respect of which moneys have been collected, including reasonable compensation to the Trustee and each predecessor Trustee and their respective agents and attorneys and of all expenses and liabilities incurred by the Trustee and each predecessor Trustee except as a result of negligence or bad faith, and all other amounts due to the Trustee or any predecessor Trustee pursuant to Section 5.07;</w:t>
      </w:r>
    </w:p>
    <w:p>
      <w:pPr>
        <w:spacing w:after="0" w:line="79" w:lineRule="exact"/>
        <w:rPr>
          <w:sz w:val="20"/>
          <w:szCs w:val="20"/>
          <w:color w:val="auto"/>
        </w:rPr>
      </w:pPr>
    </w:p>
    <w:p>
      <w:pPr>
        <w:ind w:left="460" w:right="40" w:firstLine="438"/>
        <w:spacing w:after="0" w:line="257" w:lineRule="auto"/>
        <w:rPr>
          <w:sz w:val="20"/>
          <w:szCs w:val="20"/>
          <w:color w:val="auto"/>
        </w:rPr>
      </w:pPr>
      <w:r>
        <w:rPr>
          <w:rFonts w:ascii="Arial" w:cs="Arial" w:eastAsia="Arial" w:hAnsi="Arial"/>
          <w:sz w:val="18"/>
          <w:szCs w:val="18"/>
          <w:color w:val="auto"/>
        </w:rPr>
        <w:t>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at the same rate as the rate of interest or Yield to Maturity (in the case of Original Issue Discount Securities) specified in such Securities, such payments to be made ratably to the Persons entitled thereto, without discrimination or preference;</w:t>
      </w:r>
    </w:p>
    <w:p>
      <w:pPr>
        <w:spacing w:after="0" w:line="80" w:lineRule="exact"/>
        <w:rPr>
          <w:sz w:val="20"/>
          <w:szCs w:val="20"/>
          <w:color w:val="auto"/>
        </w:rPr>
      </w:pPr>
    </w:p>
    <w:p>
      <w:pPr>
        <w:ind w:left="460" w:firstLine="438"/>
        <w:spacing w:after="0" w:line="290" w:lineRule="auto"/>
        <w:rPr>
          <w:sz w:val="20"/>
          <w:szCs w:val="20"/>
          <w:color w:val="auto"/>
        </w:rPr>
      </w:pPr>
      <w:r>
        <w:rPr>
          <w:rFonts w:ascii="Arial" w:cs="Arial" w:eastAsia="Arial" w:hAnsi="Arial"/>
          <w:sz w:val="16"/>
          <w:szCs w:val="16"/>
          <w:color w:val="auto"/>
        </w:rPr>
        <w:t>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 principal and interest or Yield to Maturity, without preference or priority of principal over interest or Yield to Maturity, or of interest or Yield to Maturity over principal, or of any installment of interest over any other installment of interest, or of any Security of such series over any other Security of such series, ratably to the aggregate of such principal and accrued and unpaid interest or Yield to Maturity; and</w:t>
      </w:r>
    </w:p>
    <w:p>
      <w:pPr>
        <w:spacing w:after="0" w:line="5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FOURTH: To the payment of the remainder, if any, to the Issuer or any other Person lawfully entitled thereto.</w:t>
      </w:r>
    </w:p>
    <w:p>
      <w:pPr>
        <w:spacing w:after="0" w:line="225"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Suits for Enforcement.</w:t>
      </w:r>
      <w:r>
        <w:rPr>
          <w:rFonts w:ascii="Arial" w:cs="Arial" w:eastAsia="Arial" w:hAnsi="Arial"/>
          <w:sz w:val="18"/>
          <w:szCs w:val="18"/>
          <w:color w:val="auto"/>
        </w:rPr>
        <w:t xml:space="preserve"> In case an Event of Default has occurred, has not been waived and is continuing, the Trustee may in its discretion proceed to protect and enforce the rights vested in it by the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the Indenture or to enforce any other legal or equitable right vested in the Trustee by the Indenture or by law.</w:t>
      </w:r>
    </w:p>
    <w:p>
      <w:pPr>
        <w:spacing w:after="0" w:line="18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Restoration of Rights on Abandonment of Proceedings</w:t>
      </w:r>
      <w:r>
        <w:rPr>
          <w:rFonts w:ascii="Arial" w:cs="Arial" w:eastAsia="Arial" w:hAnsi="Arial"/>
          <w:sz w:val="18"/>
          <w:szCs w:val="18"/>
          <w:color w:val="auto"/>
        </w:rPr>
        <w:t>. In case the Trustee shall have proceeded to enforce any right under the Indenture and such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104" w:name="page105"/>
    <w:bookmarkEnd w:id="104"/>
    <w:p>
      <w:pPr>
        <w:ind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proceedings shall have been discontinued or abandoned for any reason, or shall have been determined adversely to the Trustee, then and in every such case the Issuer, each Guarantor and the Trustee shall be restored respectively to their former positions and rights hereunder, and all rights, remedies and powers of the Issuer, each Guarantor, the Trustee and the Holders shall continue as though no such proceedings had been taken.</w:t>
      </w:r>
    </w:p>
    <w:p>
      <w:pPr>
        <w:spacing w:after="0" w:line="166"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Section 4.06. </w:t>
      </w:r>
      <w:r>
        <w:rPr>
          <w:rFonts w:ascii="Arial" w:cs="Arial" w:eastAsia="Arial" w:hAnsi="Arial"/>
          <w:sz w:val="17"/>
          <w:szCs w:val="17"/>
          <w:i w:val="1"/>
          <w:iCs w:val="1"/>
          <w:color w:val="auto"/>
        </w:rPr>
        <w:t>Limitations on Suits by Holder.</w:t>
      </w:r>
      <w:r>
        <w:rPr>
          <w:rFonts w:ascii="Arial" w:cs="Arial" w:eastAsia="Arial" w:hAnsi="Arial"/>
          <w:sz w:val="17"/>
          <w:szCs w:val="17"/>
          <w:color w:val="auto"/>
        </w:rPr>
        <w:t xml:space="preserve"> No Holder of any Security of any series shall have any right by virtue or by availing of any provision of the Indenture to institute any action or proceeding at law or in equity or in bankruptcy or otherwise upon or under or with respect to the Indenture, or for the appointment of a trustee, receiver, liquidator, custodian or other similar official or for any other remedy hereunder, unless (i) such Holder previously shall have given to the Trustee written notice of default and of the continuance thereof, as hereinbefore provided; (ii) the Holders of not less than 25% in aggregate principal amount of the affected Securities then Outstanding shall have made written request upon the Trustee to institute such action or proceedings in its own name as Trustee hereunder; (iii) such Holder or Holders shall have offered to the Trustee such security or indemnity reasonably satisfactory to it against the costs, expenses and liabilities to be incurred in compliance with such request; (iv) the Trustee for 60 days after its receipt of such notice, request and offer of indemnity shall have failed to institute any such action or proceeding; and (v) no direction inconsistent with such written request shall have been given to the Trustee during such 60-day period by the Holders of a majority in aggregate principal amount of the affected Securities then Outstanding. It is understood and intended, and expressly covenanted by the taker and Holder of every Security with every other taker and Holder and the Trustee, that no one or more Holders of any Securities of any series shall have any right in any manner whatever by virtue or by availing of any provision of the Indenture to affect, disturb or prejudice the rights of any other such Holder, or to obtain or seek to obtain priority over or preference to any other such Holder or to enforce any right under the Indenture, except in the manner herein provided and for the equal, ratable and common benefit of all Holders of the applicable series. For the protection and enforcement of the provisions of this Section, each and every Holder and the Trustee shall be entitled to such relief as can be given either at law or in equity.</w:t>
      </w:r>
    </w:p>
    <w:p>
      <w:pPr>
        <w:spacing w:after="0" w:line="1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i w:val="1"/>
          <w:iCs w:val="1"/>
          <w:color w:val="auto"/>
        </w:rPr>
        <w:t>Unconditional Right of Holders to Institute Certain Suits.</w:t>
      </w:r>
      <w:r>
        <w:rPr>
          <w:rFonts w:ascii="Arial" w:cs="Arial" w:eastAsia="Arial" w:hAnsi="Arial"/>
          <w:sz w:val="18"/>
          <w:szCs w:val="18"/>
          <w:color w:val="auto"/>
        </w:rPr>
        <w:t xml:space="preserve"> Notwithstanding any other provision in the Indenture and any provision of any Security, the right of any Holder of any Security to receive payment of the principal of and interest on such Security on or after the respective due dates expressed or provided for in such Security, or to institute suit for the enforcement of any such payment on or after such respective dates, shall not be impaired or affected without the consent of such Holder.</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i w:val="1"/>
          <w:iCs w:val="1"/>
          <w:color w:val="auto"/>
        </w:rPr>
        <w:t>Powers and Remedies Cumulative; Delay or Omission Not Waiver of Default.</w:t>
      </w:r>
      <w:r>
        <w:rPr>
          <w:rFonts w:ascii="Arial" w:cs="Arial" w:eastAsia="Arial" w:hAnsi="Arial"/>
          <w:sz w:val="18"/>
          <w:szCs w:val="18"/>
          <w:color w:val="auto"/>
        </w:rPr>
        <w:t xml:space="preserve"> Except as provided in Section 2.09 or Section 4.06,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105" w:name="page106"/>
    <w:bookmarkEnd w:id="105"/>
    <w:p>
      <w:pPr>
        <w:ind w:right="1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delay or omission of the Trustee or of any Holder to exercise any right or power accruing upon any Event of Default occurring and continuing as aforesaid shall impair any such right or power or shall be construed to be a waiver of any such Event of Default or an acquiescence therein; and, subject to Section 4.06, every power and remedy given by the Indenture or by law to the Trustee or to the Holders may be exercised from time to time, and as often as shall be deemed expedient, by the Trustee or by the Holders.</w:t>
      </w:r>
    </w:p>
    <w:p>
      <w:pPr>
        <w:spacing w:after="0" w:line="18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4.09. </w:t>
      </w:r>
      <w:r>
        <w:rPr>
          <w:rFonts w:ascii="Arial" w:cs="Arial" w:eastAsia="Arial" w:hAnsi="Arial"/>
          <w:sz w:val="16"/>
          <w:szCs w:val="16"/>
          <w:i w:val="1"/>
          <w:iCs w:val="1"/>
          <w:color w:val="auto"/>
        </w:rPr>
        <w:t>Control by Holders.</w:t>
      </w:r>
      <w:r>
        <w:rPr>
          <w:rFonts w:ascii="Arial" w:cs="Arial" w:eastAsia="Arial" w:hAnsi="Arial"/>
          <w:sz w:val="16"/>
          <w:szCs w:val="16"/>
          <w:color w:val="auto"/>
        </w:rPr>
        <w:t xml:space="preserve"> The Holders of a majority in aggregate principal amount of the Securities of all affected series (voting together as a single class) at the time Outstanding shall have the right to direct the time, method, and place of conducting any proceeding for any remedy available to the Trustee, or exercising any trust or power conferred on the Trustee with respect to the Securities of each such series by the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direction shall not be otherwise than in accordance with law and the provisions of the Indenture. Subject to the provisions of Section 5.01, the Trustee shall have the right to decline to follow any such direction if the Trustee, being advised by counsel, shall determine that the action or proceeding so directed may not lawfully be taken or if the Trustee in good faith shall determine that the action or proceedings so directed would involve the Trustee in personal liability or if the Trustee in good faith shall determine that the actions or forbearances specified in or pursuant to such direction would be unduly prejudicial to the interests of Holders of the Securities of all series so affected not joining in the giving of said direction, it being understood that (subject to Section 5.01) the Trustee shall have no duty to ascertain whether or not such actions or forbearances are unduly prejudicial to such Holders.</w:t>
      </w:r>
    </w:p>
    <w:p>
      <w:pPr>
        <w:spacing w:after="0" w:line="167"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Nothing in the Indenture shall impair the right of the Trustee in its discretion to take any action deemed proper by the Trustee and which is not inconsistent with such direction or directions by Holders.</w:t>
      </w:r>
    </w:p>
    <w:p>
      <w:pPr>
        <w:spacing w:after="0" w:line="170"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i w:val="1"/>
          <w:iCs w:val="1"/>
          <w:color w:val="auto"/>
        </w:rPr>
        <w:t>Waiver of Past Defaults.</w:t>
      </w:r>
      <w:r>
        <w:rPr>
          <w:rFonts w:ascii="Arial" w:cs="Arial" w:eastAsia="Arial" w:hAnsi="Arial"/>
          <w:sz w:val="18"/>
          <w:szCs w:val="18"/>
          <w:color w:val="auto"/>
        </w:rPr>
        <w:t xml:space="preserve"> Except as otherwise provided in Section 4.01, Section 4.07 and Section 7.02 the Holders of a majority in aggregate principal amount of the Outstanding Securities affected may, by notice to the Trustee, waive an existing default and its consequences on behalf of the Holders of all Outstanding Securities with respect to which such default has occurred and is continuing. Upon such waiver, such default will cease to exist, and any Event of Default arising therefrom will be deemed to have been cured, but no such waiver will extend to any subsequent or other default or impair any right consequent thereon.</w:t>
      </w:r>
    </w:p>
    <w:p>
      <w:pPr>
        <w:spacing w:after="0" w:line="188"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i w:val="1"/>
          <w:iCs w:val="1"/>
          <w:color w:val="auto"/>
        </w:rPr>
        <w:t>Trustee to Give Notice of Default, But May Withhold in Certain Circumstances</w:t>
      </w:r>
      <w:r>
        <w:rPr>
          <w:rFonts w:ascii="Arial" w:cs="Arial" w:eastAsia="Arial" w:hAnsi="Arial"/>
          <w:sz w:val="16"/>
          <w:szCs w:val="16"/>
          <w:color w:val="auto"/>
        </w:rPr>
        <w:t>. The Trustee shall give to the Holders of the Securities of any series, as the names and addresses of such Holders appear on the Register, notice by mail of all defaults known to the Trustee which have occurred with respect to the Securities of such series, such notice to be transmitted within 90 days after the occurrence thereof, unless such defaults shall have been cured or waived before the giving of such notice (the term “default” or “defaults” for the purposes of this section being hereby defined to mean any</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4" w:right="259" w:bottom="1440" w:gutter="0" w:footer="0" w:header="0"/>
        </w:sectPr>
      </w:pPr>
    </w:p>
    <w:bookmarkStart w:id="106" w:name="page107"/>
    <w:bookmarkEnd w:id="106"/>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event or condition which is, or with notice or lapse of time or both would become, an Event of Default);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in the case of default in the payment of the principal of or interest on any of the Securities of such series, or in the payment of any sinking or purchase fund installment with respect to the Securities of such series,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Holders of the Securities of such series.</w:t>
      </w:r>
    </w:p>
    <w:p>
      <w:pPr>
        <w:spacing w:after="0" w:line="18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i w:val="1"/>
          <w:iCs w:val="1"/>
          <w:color w:val="auto"/>
        </w:rPr>
        <w:t>Right of Court to Require Filing of Undertaking to Pay Costs.</w:t>
      </w:r>
      <w:r>
        <w:rPr>
          <w:rFonts w:ascii="Arial" w:cs="Arial" w:eastAsia="Arial" w:hAnsi="Arial"/>
          <w:sz w:val="18"/>
          <w:szCs w:val="18"/>
          <w:color w:val="auto"/>
        </w:rPr>
        <w:t xml:space="preserve"> In any suit for the enforcement of any right or remedy under the Indenture or in any suit against the Trustee for any action taken or omitted by it as Trustee, a court may require any party litigant in such suit (other than the Trustee) to file an undertaking to pay the costs of the suit, and the court may assess reasonable costs, including reasonable attorneys fees, against any party litigant (other than the Trustee) in the suit having due regard to the merits and good faith of the claims or defenses made by the party litigant. This Section 4.12 does not apply to a suit instituted by a Holder, or group of Holders, holding in the aggregate more than ten percent in principal amount of the Outstanding Securities or to a suit instituted by a Holder to enforce payment of principal of or interest on any Security on the respective due dates expressed or provided for in such Security.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ONCERNING THE</w:t>
      </w:r>
      <w:r>
        <w:rPr>
          <w:rFonts w:ascii="Arial" w:cs="Arial" w:eastAsia="Arial" w:hAnsi="Arial"/>
          <w:sz w:val="18"/>
          <w:szCs w:val="18"/>
          <w:color w:val="auto"/>
        </w:rPr>
        <w:t xml:space="preserve"> T</w:t>
      </w:r>
      <w:r>
        <w:rPr>
          <w:rFonts w:ascii="Arial" w:cs="Arial" w:eastAsia="Arial" w:hAnsi="Arial"/>
          <w:sz w:val="15"/>
          <w:szCs w:val="15"/>
          <w:color w:val="auto"/>
        </w:rPr>
        <w:t>RUSTEE</w:t>
      </w:r>
    </w:p>
    <w:p>
      <w:pPr>
        <w:spacing w:after="0" w:line="21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Duties and Responsibilities of the Trustee; During Default; Prior to Default.</w:t>
      </w:r>
      <w:r>
        <w:rPr>
          <w:rFonts w:ascii="Arial" w:cs="Arial" w:eastAsia="Arial" w:hAnsi="Arial"/>
          <w:sz w:val="18"/>
          <w:szCs w:val="18"/>
          <w:color w:val="auto"/>
        </w:rPr>
        <w:t xml:space="preserve"> (a) The duties and responsibilities of the Trustee are as provided by the Trust Indenture Act and as set forth herein. Whether or not expressly so provided, every provision of the Indenture relating to the conduct or affecting the liability of or affording protection to the Trustee is subject to this Article.</w:t>
      </w:r>
    </w:p>
    <w:p>
      <w:pPr>
        <w:spacing w:after="0" w:line="181" w:lineRule="exact"/>
        <w:rPr>
          <w:sz w:val="20"/>
          <w:szCs w:val="20"/>
          <w:color w:val="auto"/>
        </w:rPr>
      </w:pPr>
    </w:p>
    <w:p>
      <w:pPr>
        <w:ind w:right="80" w:firstLine="464"/>
        <w:spacing w:after="0" w:line="276" w:lineRule="auto"/>
        <w:tabs>
          <w:tab w:leader="none" w:pos="711" w:val="left"/>
        </w:tabs>
        <w:numPr>
          <w:ilvl w:val="0"/>
          <w:numId w:val="86"/>
        </w:numPr>
        <w:rPr>
          <w:rFonts w:ascii="Arial" w:cs="Arial" w:eastAsia="Arial" w:hAnsi="Arial"/>
          <w:sz w:val="17"/>
          <w:szCs w:val="17"/>
          <w:color w:val="auto"/>
        </w:rPr>
      </w:pPr>
      <w:r>
        <w:rPr>
          <w:rFonts w:ascii="Arial" w:cs="Arial" w:eastAsia="Arial" w:hAnsi="Arial"/>
          <w:sz w:val="17"/>
          <w:szCs w:val="17"/>
          <w:color w:val="auto"/>
        </w:rPr>
        <w:t>Except during the continuance of an Event of Default, the Trustee need perform only those duties that are specifically set forth in the Indenture and no others, and no implied covenants or obligations will be read into the Indenture against the Trustee. In case an Event of Default of which a Responsible Officer shall have actual knowledge or shall have received written notice from the Issuer or any Holder of Securities of any series has occurred and is continuing, the Trustee shall exercise those rights and powers vested in it by the Indenture, and use the same degree of care and skill in their exercise, as a prudent person would exercise or use under the circumstances in the conduct of such person’s own affairs.</w:t>
      </w:r>
    </w:p>
    <w:p>
      <w:pPr>
        <w:spacing w:after="0" w:line="172" w:lineRule="exact"/>
        <w:rPr>
          <w:rFonts w:ascii="Arial" w:cs="Arial" w:eastAsia="Arial" w:hAnsi="Arial"/>
          <w:sz w:val="17"/>
          <w:szCs w:val="17"/>
          <w:color w:val="auto"/>
        </w:rPr>
      </w:pPr>
    </w:p>
    <w:p>
      <w:pPr>
        <w:ind w:right="100" w:firstLine="464"/>
        <w:spacing w:after="0" w:line="277" w:lineRule="auto"/>
        <w:tabs>
          <w:tab w:leader="none" w:pos="701"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Except as otherwise provided in the Trust Indenture Act, no provision of the Indenture shall be construed to relieve the Trustee from liability for its own negligent action, its own negligent failure to act or its own willful misconduct.</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Trustee’s Obligations with Respect to the Covenants</w:t>
      </w:r>
      <w:r>
        <w:rPr>
          <w:rFonts w:ascii="Arial" w:cs="Arial" w:eastAsia="Arial" w:hAnsi="Arial"/>
          <w:sz w:val="18"/>
          <w:szCs w:val="18"/>
          <w:color w:val="auto"/>
        </w:rPr>
        <w:t>. The Trustee shall not be obligated to monitor or confirm, on a continuing basis or otherwise, any Obligor’s compliance with the covenants contained in Article 3 or with respect to 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107" w:name="page108"/>
    <w:bookmarkEnd w:id="107"/>
    <w:p>
      <w:pPr>
        <w:ind w:right="5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reports or other documents filed under the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herein shall relieve the Trustee of any obligations to monitor the Issuer’s timely delivery of all certificates required under Section 3.04 and to fulfill its obligations under Article 5 hereof.</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i w:val="1"/>
          <w:iCs w:val="1"/>
          <w:color w:val="auto"/>
        </w:rPr>
        <w:t>Moneys Held by Trustee.</w:t>
      </w:r>
      <w:r>
        <w:rPr>
          <w:rFonts w:ascii="Arial" w:cs="Arial" w:eastAsia="Arial" w:hAnsi="Arial"/>
          <w:sz w:val="18"/>
          <w:szCs w:val="18"/>
          <w:color w:val="auto"/>
        </w:rPr>
        <w:t xml:space="preserve"> Subject to the provisions of Section 9.06 hereof, all moneys received by the Trustee shall, until used or applied as herein provided, be held in trust for the purposes for which they were received, but need not be segregated from other funds except to the extent required by law. Neither the Trustee nor any agent of the Issuer or the Trustee shall be liable for interest on any moneys received by it hereunder except such as it may agree with the Issuer in writing to pay thereon.</w:t>
      </w:r>
    </w:p>
    <w:p>
      <w:pPr>
        <w:spacing w:after="0" w:line="18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i w:val="1"/>
          <w:iCs w:val="1"/>
          <w:color w:val="auto"/>
        </w:rPr>
        <w:t>Reports by the Trustee to Holders.</w:t>
      </w:r>
      <w:r>
        <w:rPr>
          <w:rFonts w:ascii="Arial" w:cs="Arial" w:eastAsia="Arial" w:hAnsi="Arial"/>
          <w:sz w:val="16"/>
          <w:szCs w:val="16"/>
          <w:color w:val="auto"/>
        </w:rPr>
        <w:t xml:space="preserve"> Within 60 days after each May 15, beginning with May 15, 2014, the Trustee will mail to each Holder, as provided in Trust Indenture Act Section 313(c), a brief report dated as of such May 15, if required by Trust Indenture Act Section 313(a), and file such reports with each stock exchange upon which the Securities are listed and with the Commission if, and to the extent, required by Trust Indenture Act Section 313(d). The Issuer will promptly notify the Trustee in writing when Securities are listed on any stock exchange and of any delisting thereof.</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Trustee shall comply with Sections 313(b) and 313(c) of the Trust Indenture Act.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i w:val="1"/>
          <w:iCs w:val="1"/>
          <w:color w:val="auto"/>
        </w:rPr>
        <w:t>Certain Rights of the Trustee</w:t>
      </w:r>
      <w:r>
        <w:rPr>
          <w:rFonts w:ascii="Arial" w:cs="Arial" w:eastAsia="Arial" w:hAnsi="Arial"/>
          <w:sz w:val="18"/>
          <w:szCs w:val="18"/>
          <w:color w:val="auto"/>
        </w:rPr>
        <w:t>. Subject to Trust Indenture Act Sections 315(a) through (d):</w:t>
      </w:r>
    </w:p>
    <w:p>
      <w:pPr>
        <w:spacing w:after="0" w:line="117" w:lineRule="exact"/>
        <w:rPr>
          <w:sz w:val="20"/>
          <w:szCs w:val="20"/>
          <w:color w:val="auto"/>
        </w:rPr>
      </w:pPr>
    </w:p>
    <w:p>
      <w:pPr>
        <w:ind w:right="20" w:firstLine="464"/>
        <w:spacing w:after="0" w:line="253" w:lineRule="auto"/>
        <w:tabs>
          <w:tab w:leader="none" w:pos="701"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the absence of bad faith on its part, the Trustee may conclusively rely, and will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Person. The Trustee need not investigate any fact or matter stated in the document, but, in the case of any document which is specifically required to be furnished to the Trustee pursuant to any provision hereof, the Trustee shall examine the document to determine whether it conforms to the requirements of the Indenture (but need not confirm or investigate the accuracy of mathematical calculations or other facts stated therein). The Trustee, in its discretion, may make further inquiry or investigation into such facts or matters as it sees fit, and, if the Trustee shall determine to make such further inquiry or investigation, it shall be entitled to examine the books, records and premises of the Issuer, personally or by agent or attorney at the sole cost of the Issuer and shall incur no liability or additional liability of any kind by reason of such inquiry or investigation.</w:t>
      </w:r>
    </w:p>
    <w:p>
      <w:pPr>
        <w:spacing w:after="0" w:line="197" w:lineRule="exact"/>
        <w:rPr>
          <w:rFonts w:ascii="Arial" w:cs="Arial" w:eastAsia="Arial" w:hAnsi="Arial"/>
          <w:sz w:val="18"/>
          <w:szCs w:val="18"/>
          <w:color w:val="auto"/>
        </w:rPr>
      </w:pPr>
    </w:p>
    <w:p>
      <w:pPr>
        <w:ind w:firstLine="464"/>
        <w:spacing w:after="0" w:line="277" w:lineRule="auto"/>
        <w:tabs>
          <w:tab w:leader="none" w:pos="711" w:val="left"/>
        </w:tabs>
        <w:numPr>
          <w:ilvl w:val="0"/>
          <w:numId w:val="87"/>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an Officer’s Certificate or an Opinion of Counsel conforming to Section 10.05 and the Trustee will not be liable for any action it takes or omits to take in good faith in reliance on the certificate or opinion.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4" w:right="259" w:bottom="1440" w:gutter="0" w:footer="0" w:header="0"/>
        </w:sectPr>
      </w:pPr>
    </w:p>
    <w:bookmarkStart w:id="108" w:name="page109"/>
    <w:bookmarkEnd w:id="108"/>
    <w:p>
      <w:pPr>
        <w:ind w:left="-40" w:right="720" w:firstLine="464"/>
        <w:spacing w:after="0" w:line="277" w:lineRule="auto"/>
        <w:tabs>
          <w:tab w:leader="none" w:pos="661" w:val="left"/>
        </w:tabs>
        <w:numPr>
          <w:ilvl w:val="0"/>
          <w:numId w:val="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Trustee may act through its attorneys and agents and will not be responsible for the misconduct or negligence of any attorney or agent appointed by the Trustee with due care.</w:t>
      </w:r>
    </w:p>
    <w:p>
      <w:pPr>
        <w:spacing w:after="0" w:line="170" w:lineRule="exact"/>
        <w:rPr>
          <w:rFonts w:ascii="Arial" w:cs="Arial" w:eastAsia="Arial" w:hAnsi="Arial"/>
          <w:sz w:val="18"/>
          <w:szCs w:val="18"/>
          <w:color w:val="auto"/>
        </w:rPr>
      </w:pPr>
    </w:p>
    <w:p>
      <w:pPr>
        <w:ind w:left="-40" w:right="260" w:firstLine="464"/>
        <w:spacing w:after="0" w:line="312" w:lineRule="auto"/>
        <w:tabs>
          <w:tab w:leader="none" w:pos="671"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Trustee will be under no obligation to exercise any of the rights or powers vested in it by the Indenture or to institute, conduct or defend any litigation hereunder or in relation hereto at the request or direction of any of the Holders, unless such Holders have offered to the Trustee security or indemnity as it may reasonably require against the costs, expenses and liabilities that might be incurred by it in compliance with such request or direction.</w:t>
      </w:r>
    </w:p>
    <w:p>
      <w:pPr>
        <w:spacing w:after="0" w:line="146" w:lineRule="exact"/>
        <w:rPr>
          <w:rFonts w:ascii="Arial" w:cs="Arial" w:eastAsia="Arial" w:hAnsi="Arial"/>
          <w:sz w:val="16"/>
          <w:szCs w:val="16"/>
          <w:color w:val="auto"/>
        </w:rPr>
      </w:pPr>
    </w:p>
    <w:p>
      <w:pPr>
        <w:ind w:left="-40" w:right="80" w:firstLine="464"/>
        <w:spacing w:after="0" w:line="259" w:lineRule="auto"/>
        <w:tabs>
          <w:tab w:leader="none" w:pos="661"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Trustee will not be liable in its individual capacity for any action it takes, suffers or omits to take in good faith that it believes to be authorized or within its rights or powers or for any action it takes or omits to take in accordance with the direction of the Holders in accordance with Section 4.09 relating to the time, method and place of conducting any proceeding for any remedy available to the Trustee, or exercising any trust or power conferred upon the Trustee, under the Indenture.</w:t>
      </w:r>
    </w:p>
    <w:p>
      <w:pPr>
        <w:spacing w:after="0" w:line="186" w:lineRule="exact"/>
        <w:rPr>
          <w:rFonts w:ascii="Arial" w:cs="Arial" w:eastAsia="Arial" w:hAnsi="Arial"/>
          <w:sz w:val="18"/>
          <w:szCs w:val="18"/>
          <w:color w:val="auto"/>
        </w:rPr>
      </w:pPr>
    </w:p>
    <w:p>
      <w:pPr>
        <w:ind w:left="-40" w:right="740" w:firstLine="464"/>
        <w:spacing w:after="0" w:line="308" w:lineRule="auto"/>
        <w:tabs>
          <w:tab w:leader="none" w:pos="641"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Trustee may consult with counsel of its selection, and any advice of such counsel or any Opinion of Counsel will be full and complete authorization and protection in respect of any action taken, suffered or omitted by it hereunder in good faith and in reliance thereon.</w:t>
      </w:r>
    </w:p>
    <w:p>
      <w:pPr>
        <w:spacing w:after="0" w:line="146" w:lineRule="exact"/>
        <w:rPr>
          <w:rFonts w:ascii="Arial" w:cs="Arial" w:eastAsia="Arial" w:hAnsi="Arial"/>
          <w:sz w:val="17"/>
          <w:szCs w:val="17"/>
          <w:color w:val="auto"/>
        </w:rPr>
      </w:pPr>
    </w:p>
    <w:p>
      <w:pPr>
        <w:ind w:left="-40" w:firstLine="464"/>
        <w:spacing w:after="0" w:line="342" w:lineRule="auto"/>
        <w:tabs>
          <w:tab w:leader="none" w:pos="671" w:val="left"/>
        </w:tabs>
        <w:numPr>
          <w:ilvl w:val="0"/>
          <w:numId w:val="88"/>
        </w:numPr>
        <w:rPr>
          <w:rFonts w:ascii="Arial" w:cs="Arial" w:eastAsia="Arial" w:hAnsi="Arial"/>
          <w:sz w:val="16"/>
          <w:szCs w:val="16"/>
          <w:color w:val="auto"/>
        </w:rPr>
      </w:pPr>
      <w:r>
        <w:rPr>
          <w:rFonts w:ascii="Arial" w:cs="Arial" w:eastAsia="Arial" w:hAnsi="Arial"/>
          <w:sz w:val="16"/>
          <w:szCs w:val="16"/>
          <w:color w:val="auto"/>
        </w:rPr>
        <w:t>No provision of the Indenture will require the Trustee to expend or risk its own funds or otherwise incur any financial liability in the performance of its duties hereunder, or in the exercise of its rights or powers, unless it receives indemnity satisfactory to it against any loss, liability or expense.</w:t>
      </w:r>
    </w:p>
    <w:p>
      <w:pPr>
        <w:spacing w:after="0" w:line="123" w:lineRule="exact"/>
        <w:rPr>
          <w:rFonts w:ascii="Arial" w:cs="Arial" w:eastAsia="Arial" w:hAnsi="Arial"/>
          <w:sz w:val="16"/>
          <w:szCs w:val="16"/>
          <w:color w:val="auto"/>
        </w:rPr>
      </w:pPr>
    </w:p>
    <w:p>
      <w:pPr>
        <w:ind w:left="-40" w:right="20" w:firstLine="464"/>
        <w:spacing w:after="0" w:line="277" w:lineRule="auto"/>
        <w:tabs>
          <w:tab w:leader="none" w:pos="671"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Trustee shall not be liable in its individual capacity for an error in judgment made in good faith by a Responsible Officer or other officers of the Trustee, unless it shall be proved that the Trustee was negligent in ascertaining the pertinent facts.</w:t>
      </w:r>
    </w:p>
    <w:p>
      <w:pPr>
        <w:spacing w:after="0" w:line="170" w:lineRule="exact"/>
        <w:rPr>
          <w:rFonts w:ascii="Arial" w:cs="Arial" w:eastAsia="Arial" w:hAnsi="Arial"/>
          <w:sz w:val="18"/>
          <w:szCs w:val="18"/>
          <w:color w:val="auto"/>
        </w:rPr>
      </w:pPr>
    </w:p>
    <w:p>
      <w:pPr>
        <w:ind w:left="-40" w:right="240" w:firstLine="464"/>
        <w:spacing w:after="0" w:line="277" w:lineRule="auto"/>
        <w:tabs>
          <w:tab w:leader="none" w:pos="631"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Trustee shall not be personally liable for any action taken, suffered or omitted by it in good faith and believed by it to be authorized or within the discretion or rights or powers conferred upon it by the Indenture.</w:t>
      </w:r>
    </w:p>
    <w:p>
      <w:pPr>
        <w:spacing w:after="0" w:line="170" w:lineRule="exact"/>
        <w:rPr>
          <w:rFonts w:ascii="Arial" w:cs="Arial" w:eastAsia="Arial" w:hAnsi="Arial"/>
          <w:sz w:val="18"/>
          <w:szCs w:val="18"/>
          <w:color w:val="auto"/>
        </w:rPr>
      </w:pPr>
    </w:p>
    <w:p>
      <w:pPr>
        <w:ind w:left="-40" w:firstLine="464"/>
        <w:spacing w:after="0" w:line="264" w:lineRule="auto"/>
        <w:tabs>
          <w:tab w:leader="none" w:pos="631"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Trustee shall have no duty to see to any recording, filing or depositing of the Indenture or any agreement referred to herein or any financing statement or continuation statement evidencing a security interest, or to see to any such re-recording or re-filing or re-depositing thereof or to the maintenance of such security interest or the perfection thereof.</w:t>
      </w:r>
    </w:p>
    <w:p>
      <w:pPr>
        <w:spacing w:after="0" w:line="181" w:lineRule="exact"/>
        <w:rPr>
          <w:rFonts w:ascii="Arial" w:cs="Arial" w:eastAsia="Arial" w:hAnsi="Arial"/>
          <w:sz w:val="18"/>
          <w:szCs w:val="18"/>
          <w:color w:val="auto"/>
        </w:rPr>
      </w:pPr>
    </w:p>
    <w:p>
      <w:pPr>
        <w:jc w:val="both"/>
        <w:ind w:left="-40" w:right="140" w:firstLine="464"/>
        <w:spacing w:after="0" w:line="312" w:lineRule="auto"/>
        <w:tabs>
          <w:tab w:leader="none" w:pos="671"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Trustee shall not be required to take notice or be deemed to have notice or knowledge of any default or Event of Default unless a Responsible Officer of the Trustee shall have received written notice from the Issuer or any Holder of the Securities or obtained actual knowledge thereof. In the absence of receipt of such notice or actual knowledge, the Trustee may conclusively assume that there is no default or Event of Default.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80" w:top="274" w:right="259" w:bottom="1440" w:gutter="0" w:footer="0" w:header="0"/>
        </w:sectPr>
      </w:pPr>
    </w:p>
    <w:bookmarkStart w:id="109" w:name="page110"/>
    <w:bookmarkEnd w:id="109"/>
    <w:p>
      <w:pPr>
        <w:ind w:right="20" w:firstLine="464"/>
        <w:spacing w:after="0" w:line="342" w:lineRule="auto"/>
        <w:tabs>
          <w:tab w:leader="none" w:pos="671" w:val="left"/>
        </w:tabs>
        <w:numPr>
          <w:ilvl w:val="0"/>
          <w:numId w:val="8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p>
      <w:pPr>
        <w:spacing w:after="0" w:line="123" w:lineRule="exact"/>
        <w:rPr>
          <w:rFonts w:ascii="Arial" w:cs="Arial" w:eastAsia="Arial" w:hAnsi="Arial"/>
          <w:sz w:val="16"/>
          <w:szCs w:val="16"/>
          <w:color w:val="auto"/>
        </w:rPr>
      </w:pPr>
    </w:p>
    <w:p>
      <w:pPr>
        <w:ind w:right="480" w:firstLine="464"/>
        <w:spacing w:after="0" w:line="264" w:lineRule="auto"/>
        <w:tabs>
          <w:tab w:leader="none" w:pos="761"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81" w:lineRule="exact"/>
        <w:rPr>
          <w:rFonts w:ascii="Arial" w:cs="Arial" w:eastAsia="Arial" w:hAnsi="Arial"/>
          <w:sz w:val="18"/>
          <w:szCs w:val="18"/>
          <w:color w:val="auto"/>
        </w:rPr>
      </w:pPr>
    </w:p>
    <w:p>
      <w:pPr>
        <w:ind w:right="200" w:firstLine="464"/>
        <w:spacing w:after="0" w:line="286" w:lineRule="auto"/>
        <w:tabs>
          <w:tab w:leader="none" w:pos="711"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Trustee may request that the Issuer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65" w:lineRule="exact"/>
        <w:rPr>
          <w:rFonts w:ascii="Arial" w:cs="Arial" w:eastAsia="Arial" w:hAnsi="Arial"/>
          <w:sz w:val="17"/>
          <w:szCs w:val="17"/>
          <w:color w:val="auto"/>
        </w:rPr>
      </w:pPr>
    </w:p>
    <w:p>
      <w:pPr>
        <w:ind w:left="720" w:hanging="256"/>
        <w:spacing w:after="0"/>
        <w:tabs>
          <w:tab w:leader="none" w:pos="7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Trustee shall not be required to give any bond or surety in respect of the performance of its powers and duties hereunder.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notice, request or direction of the Issuer to the Trustee mentioned herein will be sufficiently evidenced by an Officer’s Certificate.</w:t>
      </w:r>
    </w:p>
    <w:p>
      <w:pPr>
        <w:spacing w:after="0" w:line="225"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 xml:space="preserve">Section 5.06. </w:t>
      </w:r>
      <w:r>
        <w:rPr>
          <w:rFonts w:ascii="Arial" w:cs="Arial" w:eastAsia="Arial" w:hAnsi="Arial"/>
          <w:sz w:val="16"/>
          <w:szCs w:val="16"/>
          <w:i w:val="1"/>
          <w:iCs w:val="1"/>
          <w:color w:val="auto"/>
        </w:rPr>
        <w:t>Trustee and Agents May Hold Securities; Collections, etc.</w:t>
      </w:r>
      <w:r>
        <w:rPr>
          <w:rFonts w:ascii="Arial" w:cs="Arial" w:eastAsia="Arial" w:hAnsi="Arial"/>
          <w:sz w:val="16"/>
          <w:szCs w:val="16"/>
          <w:color w:val="auto"/>
        </w:rPr>
        <w:t xml:space="preserve"> The Trustee or any agent of the Issuer or the Trustee, in its individual or any other capacity, may become the owner or pledgee of Securities with the same rights it would have if it were not the Trustee or such agent and may otherwise deal with the Issuer and receive, collect, hold and retain collections from the Issuer with the same rights it would have if it were not the Trustee or such agent.</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i w:val="1"/>
          <w:iCs w:val="1"/>
          <w:color w:val="auto"/>
        </w:rPr>
        <w:t>Compensation and Indemnification of Trustee and Its Prior Claim.</w:t>
      </w:r>
    </w:p>
    <w:p>
      <w:pPr>
        <w:spacing w:after="0" w:line="225" w:lineRule="exact"/>
        <w:rPr>
          <w:sz w:val="20"/>
          <w:szCs w:val="20"/>
          <w:color w:val="auto"/>
        </w:rPr>
      </w:pPr>
    </w:p>
    <w:p>
      <w:pPr>
        <w:ind w:firstLine="464"/>
        <w:spacing w:after="0" w:line="270" w:lineRule="auto"/>
        <w:tabs>
          <w:tab w:leader="none" w:pos="701"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Issuer will pay the Trustee compensation as agreed upon in writing for its services. The compensation of the Trustee is not limited by any law on compensation of a trustee of an express trust. The Issuer will reimburse the Trustee upon request for all reasonable out-of-pocket expenses, disbursements and advances incurred or made by the Trustee (including the reasonable compensation and the expenses and disbursements of its counsel and of all agents and other Persons not regularly in its employ), except to the extent any such expense, disbursement or advance may arise from its negligence or bad faith. The Issuer and the Guarantors, jointly and severally, also covenant to indemnify the Trustee, its directors, officers, employees and agents and each predecessor Trustee, its directors, officers, employees and agents for, and to hold each of them harmless against, any loss, liability or expense, including taxes (other than taxes based upon, measured by or determined by the income of the Trustee) arising out of or in connection with the acceptance or administration of the Indenture or the trusts hereunder and the performance of its duties hereunder and under the Securities, including the costs and expenses of defending itself against or investigating any claim of liability (whether asserted by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74" w:right="259" w:bottom="1440" w:gutter="0" w:footer="0" w:header="0"/>
        </w:sectPr>
      </w:pPr>
    </w:p>
    <w:bookmarkStart w:id="110" w:name="page111"/>
    <w:bookmarkEnd w:id="110"/>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Issuer, a Guarantor, any Holder or any other Person) in the premises and the costs and expenses of defending itself against any claim or liability and of complying with any process served upon it or any of its officers, or in connection with enforcing the provisions of this Section 5.07, except to the extent such loss liability or expense is due to the negligence or bad faith of the Trustee or such predecessor Trustee.</w:t>
      </w:r>
    </w:p>
    <w:p>
      <w:pPr>
        <w:spacing w:after="0" w:line="181" w:lineRule="exact"/>
        <w:rPr>
          <w:sz w:val="20"/>
          <w:szCs w:val="20"/>
          <w:color w:val="auto"/>
        </w:rPr>
      </w:pPr>
    </w:p>
    <w:p>
      <w:pPr>
        <w:ind w:right="180" w:firstLine="464"/>
        <w:spacing w:after="0" w:line="264" w:lineRule="auto"/>
        <w:tabs>
          <w:tab w:leader="none" w:pos="711"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secure the Issuer’s and the Guarantor’s payment obligations in this Section, the Trustee will have a lien prior to the Securities on all moneys or Property held or collected by the Trustee, in its capacity as Trustee, except moneys or Property held in trust to pay principal of, and interest on, particular Securities.</w:t>
      </w:r>
    </w:p>
    <w:p>
      <w:pPr>
        <w:spacing w:after="0" w:line="181" w:lineRule="exact"/>
        <w:rPr>
          <w:rFonts w:ascii="Arial" w:cs="Arial" w:eastAsia="Arial" w:hAnsi="Arial"/>
          <w:sz w:val="18"/>
          <w:szCs w:val="18"/>
          <w:color w:val="auto"/>
        </w:rPr>
      </w:pPr>
    </w:p>
    <w:p>
      <w:pPr>
        <w:ind w:right="320" w:firstLine="464"/>
        <w:spacing w:after="0" w:line="264" w:lineRule="auto"/>
        <w:tabs>
          <w:tab w:leader="none" w:pos="701" w:val="left"/>
        </w:tabs>
        <w:numPr>
          <w:ilvl w:val="0"/>
          <w:numId w:val="91"/>
        </w:numPr>
        <w:rPr>
          <w:rFonts w:ascii="Arial" w:cs="Arial" w:eastAsia="Arial" w:hAnsi="Arial"/>
          <w:sz w:val="18"/>
          <w:szCs w:val="18"/>
          <w:color w:val="auto"/>
        </w:rPr>
      </w:pPr>
      <w:r>
        <w:rPr>
          <w:rFonts w:ascii="Arial" w:cs="Arial" w:eastAsia="Arial" w:hAnsi="Arial"/>
          <w:sz w:val="18"/>
          <w:szCs w:val="18"/>
          <w:color w:val="auto"/>
        </w:rPr>
        <w:t>When the Trustee incurs expenses or renders services in connection with an Event of Default specified in Section 4.01(d) or Section 4.01(e), the expenses (including the reasonable charges and expenses of its counsel) and the compensation for the services are intended to constitute expenses of administration under any applicable Federal or state bankruptcy, insolvency or other similar law.</w:t>
      </w:r>
    </w:p>
    <w:p>
      <w:pPr>
        <w:spacing w:after="0" w:line="18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obligations of the Issuer and the Guarantors under this Section 5.07 shall survive the resignation and removal of the Trustee and payment of the Securities.</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i w:val="1"/>
          <w:iCs w:val="1"/>
          <w:color w:val="auto"/>
        </w:rPr>
        <w:t>Right of Trustee to Rely on Officer’s Certificate, etc.</w:t>
      </w:r>
      <w:r>
        <w:rPr>
          <w:rFonts w:ascii="Arial" w:cs="Arial" w:eastAsia="Arial" w:hAnsi="Arial"/>
          <w:sz w:val="18"/>
          <w:szCs w:val="18"/>
          <w:color w:val="auto"/>
        </w:rPr>
        <w:t xml:space="preserve"> Subject to Section 5.01 and Section 5.05, whenever in the administration of the trusts of the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the Indenture upon the faith thereof.</w:t>
      </w:r>
    </w:p>
    <w:p>
      <w:pPr>
        <w:spacing w:after="0" w:line="19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i w:val="1"/>
          <w:iCs w:val="1"/>
          <w:color w:val="auto"/>
        </w:rPr>
        <w:t>Disqualification; Conflicting Interests</w:t>
      </w:r>
      <w:r>
        <w:rPr>
          <w:rFonts w:ascii="Arial" w:cs="Arial" w:eastAsia="Arial" w:hAnsi="Arial"/>
          <w:sz w:val="18"/>
          <w:szCs w:val="18"/>
          <w:color w:val="auto"/>
        </w:rPr>
        <w:t>. If the Trustee has or shall acquire any “conflicting interest” within the meaning of Section 310(b) of the Trust Indenture Act, the Trustee and the Issuer shall in all respects comply with the provisions of Section 310(b) of the Trust Indenture Act, subject to the penultimate paragraph thereof. To the extent permitted by the Trust Indenture Act, the Trustee shall not be deemed to have a conflicting interest by virtue of being a trustee under the Indenture with respect to Securities of more than one series.</w:t>
      </w:r>
    </w:p>
    <w:p>
      <w:pPr>
        <w:spacing w:after="0" w:line="187" w:lineRule="exact"/>
        <w:rPr>
          <w:sz w:val="20"/>
          <w:szCs w:val="20"/>
          <w:color w:val="auto"/>
        </w:rPr>
      </w:pPr>
    </w:p>
    <w:p>
      <w:pPr>
        <w:jc w:val="both"/>
        <w:ind w:right="80" w:firstLine="456"/>
        <w:spacing w:after="0" w:line="342"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i w:val="1"/>
          <w:iCs w:val="1"/>
          <w:color w:val="auto"/>
        </w:rPr>
        <w:t>Persons Eligible for Appointment as Trustee.</w:t>
      </w:r>
      <w:r>
        <w:rPr>
          <w:rFonts w:ascii="Arial" w:cs="Arial" w:eastAsia="Arial" w:hAnsi="Arial"/>
          <w:sz w:val="16"/>
          <w:szCs w:val="16"/>
          <w:color w:val="auto"/>
        </w:rPr>
        <w:t xml:space="preserve"> The Indenture must always have a Trustee that satisfies the requirements of Trust Indenture Act Section 310(a) and has a combined capital and surplus of at least $25,000,000 as set forth in its most recent published annual report of condition.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i w:val="1"/>
          <w:iCs w:val="1"/>
          <w:color w:val="auto"/>
        </w:rPr>
        <w:t>Resignation and Removal; Appointment of Successor Trustee</w:t>
      </w:r>
      <w:r>
        <w:rPr>
          <w:rFonts w:ascii="Arial" w:cs="Arial" w:eastAsia="Arial" w:hAnsi="Arial"/>
          <w:sz w:val="18"/>
          <w:szCs w:val="18"/>
          <w:color w:val="auto"/>
        </w:rPr>
        <w:t>.</w:t>
      </w:r>
    </w:p>
    <w:p>
      <w:pPr>
        <w:spacing w:after="0" w:line="225" w:lineRule="exact"/>
        <w:rPr>
          <w:sz w:val="20"/>
          <w:szCs w:val="20"/>
          <w:color w:val="auto"/>
        </w:rPr>
      </w:pPr>
    </w:p>
    <w:p>
      <w:pPr>
        <w:ind w:right="240" w:firstLine="464"/>
        <w:spacing w:after="0" w:line="277" w:lineRule="auto"/>
        <w:tabs>
          <w:tab w:leader="none" w:pos="701"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Trustee, or any trustee or trustees hereafter appointed, may at any time resign with respect to one or more or all series of Securities by giving written notice of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74" w:right="259" w:bottom="1440" w:gutter="0" w:footer="0" w:header="0"/>
        </w:sectPr>
      </w:pPr>
    </w:p>
    <w:bookmarkStart w:id="111" w:name="page112"/>
    <w:bookmarkEnd w:id="111"/>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resignation to the Issuer and by mailing notice thereof by first-class mail, postage prepaid, to Holders of the applicable series of Securities at their last addresses as they shall appear on the Register. Upon receiving such notice of resignation, the Issuer shall promptly appoint a successor trustee or trustees with respect to the applicable series by written instrument in duplicate, executed by authority of the Board of Directors, one copy of which instrument shall be delivered to the resigning Trustee and one copy to the successor trustee or trustees. If no successor trustee shall have been so appointed with respect to any series and have accepted appointment within 30 days after the mailing of such notice of resignation, the resigning Trustee may, at the expense of the Issuer, petition any court of competent jurisdiction for the appointment of a successor trustee, or any Holder who has been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Holder of a Security or Securities of the applicable series for at least six months may, subject to the provisions of Section 4.12, on behalf of himself and all others similarly situated, petition any such court for the appointment of a successor trustee. Such court may thereupon, after such notice, if any, as it may deem proper and prescribe, appoint a successor trustee.</w:t>
      </w:r>
    </w:p>
    <w:p>
      <w:pPr>
        <w:spacing w:after="0" w:line="182" w:lineRule="exact"/>
        <w:rPr>
          <w:sz w:val="20"/>
          <w:szCs w:val="20"/>
          <w:color w:val="auto"/>
        </w:rPr>
      </w:pPr>
    </w:p>
    <w:p>
      <w:pPr>
        <w:ind w:left="720" w:hanging="256"/>
        <w:spacing w:after="0"/>
        <w:tabs>
          <w:tab w:leader="none" w:pos="7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case at any time any of the following shall occur:</w:t>
      </w:r>
    </w:p>
    <w:p>
      <w:pPr>
        <w:spacing w:after="0" w:line="117" w:lineRule="exact"/>
        <w:rPr>
          <w:rFonts w:ascii="Arial" w:cs="Arial" w:eastAsia="Arial" w:hAnsi="Arial"/>
          <w:sz w:val="18"/>
          <w:szCs w:val="18"/>
          <w:color w:val="auto"/>
        </w:rPr>
      </w:pPr>
    </w:p>
    <w:p>
      <w:pPr>
        <w:ind w:left="460" w:right="200" w:firstLine="443"/>
        <w:spacing w:after="0" w:line="264" w:lineRule="auto"/>
        <w:tabs>
          <w:tab w:leader="none" w:pos="1113" w:val="left"/>
        </w:tabs>
        <w:numPr>
          <w:ilvl w:val="1"/>
          <w:numId w:val="93"/>
        </w:numPr>
        <w:rPr>
          <w:rFonts w:ascii="Arial" w:cs="Arial" w:eastAsia="Arial" w:hAnsi="Arial"/>
          <w:sz w:val="18"/>
          <w:szCs w:val="18"/>
          <w:color w:val="auto"/>
        </w:rPr>
      </w:pPr>
      <w:r>
        <w:rPr>
          <w:rFonts w:ascii="Arial" w:cs="Arial" w:eastAsia="Arial" w:hAnsi="Arial"/>
          <w:sz w:val="18"/>
          <w:szCs w:val="18"/>
          <w:color w:val="auto"/>
        </w:rPr>
        <w:t xml:space="preserve">the Trustee shall fail to comply with the provisions of Section 310(b) of the Trust Indenture Act with respect to any series of Securities after written request therefor by the Issuer or by any Holder who has been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Holder of a Security or Securities of such series for at least six months; or</w:t>
      </w:r>
    </w:p>
    <w:p>
      <w:pPr>
        <w:spacing w:after="0" w:line="73" w:lineRule="exact"/>
        <w:rPr>
          <w:rFonts w:ascii="Arial" w:cs="Arial" w:eastAsia="Arial" w:hAnsi="Arial"/>
          <w:sz w:val="18"/>
          <w:szCs w:val="18"/>
          <w:color w:val="auto"/>
        </w:rPr>
      </w:pPr>
    </w:p>
    <w:p>
      <w:pPr>
        <w:ind w:left="460" w:right="320" w:firstLine="443"/>
        <w:spacing w:after="0" w:line="277" w:lineRule="auto"/>
        <w:tabs>
          <w:tab w:leader="none" w:pos="1163"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Trustee shall cease to be eligible in accordance with the provisions of Section 310(a) of the Trust Indenture Act and shall fail to resign after written request therefor by the Issuer or by any Holder; or</w:t>
      </w:r>
    </w:p>
    <w:p>
      <w:pPr>
        <w:spacing w:after="0" w:line="62" w:lineRule="exact"/>
        <w:rPr>
          <w:rFonts w:ascii="Arial" w:cs="Arial" w:eastAsia="Arial" w:hAnsi="Arial"/>
          <w:sz w:val="18"/>
          <w:szCs w:val="18"/>
          <w:color w:val="auto"/>
        </w:rPr>
      </w:pPr>
    </w:p>
    <w:p>
      <w:pPr>
        <w:jc w:val="both"/>
        <w:ind w:left="460" w:right="540" w:firstLine="443"/>
        <w:spacing w:after="0" w:line="264" w:lineRule="auto"/>
        <w:tabs>
          <w:tab w:leader="none" w:pos="1213"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Trustee shall become incapable of acting with respect to any series of Securities, or shall be adjudged a bankrupt or insolvent, or a receiver or liquidator of the Trustee or of its Property shall be appointed, or any public officer shall take charge or control of the Trustee or of its Property or affairs for the purpose of rehabilitation, conservation or liquidation;</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then, in any such case, the Issuer may remove the Trustee with respect to the applicable series of Securities and appoint a successor trustee for such series by written instrument, in duplicate, executed by order of the Board of Directors, one copy of which instrument shall be delivered to the Trustee so removed and one copy to the successor trustee, or any Holder who has been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Holder of a Security or Securities of such series for at least six months may on behalf of himself and all others similarly situated, petition any court of competent jurisdiction for the removal of the Trustee and the appointment of a successor trustee with respect to such series. Such court may thereupon, after such notice, if any, as it may deem proper and prescribe, remove the Trustee and appoint a successor trustee.</w:t>
      </w:r>
    </w:p>
    <w:p>
      <w:pPr>
        <w:spacing w:after="0" w:line="193" w:lineRule="exact"/>
        <w:rPr>
          <w:sz w:val="20"/>
          <w:szCs w:val="20"/>
          <w:color w:val="auto"/>
        </w:rPr>
      </w:pPr>
    </w:p>
    <w:p>
      <w:pPr>
        <w:ind w:right="280" w:firstLine="464"/>
        <w:spacing w:after="0" w:line="277" w:lineRule="auto"/>
        <w:tabs>
          <w:tab w:leader="none" w:pos="701"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Holders of a majority in aggregate principal amount of the Securities of a series at the time Outstanding may at any time remove the Trustee with respect to Securities of such series and appoint a successor Trustee with respect to the Securities of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4" w:right="259" w:bottom="1440" w:gutter="0" w:footer="0" w:header="0"/>
        </w:sectPr>
      </w:pPr>
    </w:p>
    <w:bookmarkStart w:id="112" w:name="page113"/>
    <w:bookmarkEnd w:id="112"/>
    <w:p>
      <w:pPr>
        <w:ind w:right="6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series with the consent of the Issuer by delivering to the Trustee so removed, to the successor Trustee so appointed and to the Issuer the evidence provided for in Section 6.01 of the action in that regard taken by the Holders.</w:t>
      </w:r>
    </w:p>
    <w:p>
      <w:pPr>
        <w:spacing w:after="0" w:line="170" w:lineRule="exact"/>
        <w:rPr>
          <w:sz w:val="20"/>
          <w:szCs w:val="20"/>
          <w:color w:val="auto"/>
        </w:rPr>
      </w:pPr>
    </w:p>
    <w:p>
      <w:pPr>
        <w:ind w:firstLine="464"/>
        <w:spacing w:after="0" w:line="342" w:lineRule="auto"/>
        <w:tabs>
          <w:tab w:leader="none" w:pos="711" w:val="left"/>
        </w:tabs>
        <w:numPr>
          <w:ilvl w:val="0"/>
          <w:numId w:val="95"/>
        </w:numPr>
        <w:rPr>
          <w:rFonts w:ascii="Arial" w:cs="Arial" w:eastAsia="Arial" w:hAnsi="Arial"/>
          <w:sz w:val="16"/>
          <w:szCs w:val="16"/>
          <w:color w:val="auto"/>
        </w:rPr>
      </w:pPr>
      <w:r>
        <w:rPr>
          <w:rFonts w:ascii="Arial" w:cs="Arial" w:eastAsia="Arial" w:hAnsi="Arial"/>
          <w:sz w:val="16"/>
          <w:szCs w:val="16"/>
          <w:color w:val="auto"/>
        </w:rPr>
        <w:t>Any resignation or removal of the Trustee with respect to any series and any appointment of a successor Trustee with respect to such series pursuant to any of the provisions of this Section 5.11 shall become effective upon acceptance of appointment by the successor Trustee as provided in Section 5.12.</w:t>
      </w:r>
    </w:p>
    <w:p>
      <w:pPr>
        <w:spacing w:after="0" w:line="123" w:lineRule="exact"/>
        <w:rPr>
          <w:rFonts w:ascii="Arial" w:cs="Arial" w:eastAsia="Arial" w:hAnsi="Arial"/>
          <w:sz w:val="16"/>
          <w:szCs w:val="16"/>
          <w:color w:val="auto"/>
        </w:rPr>
      </w:pPr>
    </w:p>
    <w:p>
      <w:pPr>
        <w:ind w:right="60" w:firstLine="464"/>
        <w:spacing w:after="0" w:line="277" w:lineRule="auto"/>
        <w:tabs>
          <w:tab w:leader="none" w:pos="701"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7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Section 5.12. </w:t>
      </w:r>
      <w:r>
        <w:rPr>
          <w:rFonts w:ascii="Arial" w:cs="Arial" w:eastAsia="Arial" w:hAnsi="Arial"/>
          <w:sz w:val="16"/>
          <w:szCs w:val="16"/>
          <w:i w:val="1"/>
          <w:iCs w:val="1"/>
          <w:color w:val="auto"/>
        </w:rPr>
        <w:t>Acceptance of Appointment by Successor.</w:t>
      </w:r>
      <w:r>
        <w:rPr>
          <w:rFonts w:ascii="Arial" w:cs="Arial" w:eastAsia="Arial" w:hAnsi="Arial"/>
          <w:sz w:val="16"/>
          <w:szCs w:val="16"/>
          <w:color w:val="auto"/>
        </w:rPr>
        <w:t xml:space="preserve"> Any successor Trustee appointed as provided in Section 5.11 shall execute and deliver to the Issuer and to its predecessor Trustee an instrument accepting such appointment hereunder, and thereupon the resignation or removal of the predecessor Trustee with respect to all or any applicable series shall become effective and such successor Trustee, without any further act, deed or conveyance, shall become vested with all rights, powers, duties and obligations with respect to such series of its predecessor hereunder, with like effect as if originally named as trustee for such series hereunder; but, nevertheless, on the written request of the Issuer or of the successor Trustee, upon payment of its charges then unpaid, the trustee ceasing to act shall, subject to Section 9.06, pay over to the successor Trustee all moneys at the time held by it hereunder and shall execute and deliver an instrument transferring to such successor Trustee all such rights, powers, duties and obligations.</w:t>
      </w:r>
    </w:p>
    <w:p>
      <w:pPr>
        <w:spacing w:after="0" w:line="16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a successor Trustee is appointed with respect to the Securities of one or more (but not all) series, the Issuer, the predecessor Trustee and each successor Trustee with respect to the Securities of any applicable series shall execute and deliver an indenture supplemental hereto prepared by and at the expense of the Issuer which (1) shall contain such provisions as shall be deemed necessary or desirable to transfer and confirm to, and to vest in, each successor Trustee all the rights, powers, trusts and duties of the retiring Trustee with respect to the Securities of that or those series to which the appointment of such successor Trustee relates, (2) shall contain such provisions as shall be deemed necessary or desirable to confirm that all the rights, powers, trusts and duties of the predecessor Trustee with respect to the Securities of any series as to which the predecessor Trustee is not retiring shall continue to be vested in the predecessor Trustee, and (3) shall add to or change any of the provisions of the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w:t>
      </w:r>
    </w:p>
    <w:p>
      <w:pPr>
        <w:spacing w:after="0" w:line="178"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Upon acceptance of appointment by any successor Trustee as provided in this Section 5.12, the Issuer shall mail notice thereof by first-class mail, postage prepaid, to the Holders of Securities of any series for which such successor Trustee is acting as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74" w:right="259" w:bottom="1440" w:gutter="0" w:footer="0" w:header="0"/>
        </w:sectPr>
      </w:pPr>
    </w:p>
    <w:bookmarkStart w:id="113" w:name="page114"/>
    <w:bookmarkEnd w:id="113"/>
    <w:p>
      <w:pPr>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trustee at their last addresses as they shall appear in the Register. If the acceptance of appointment is substantially contemporaneous with the resignation, then the notice called for by the preceding sentence may be combined with the notice called for by Section 5.11. If the Issuer fails to mail such notice within ten days after acceptance of appointment by the successor Trustee, the successor Trustee shall cause such notice to be mailed at the expense of the Issuer.</w:t>
      </w:r>
    </w:p>
    <w:p>
      <w:pPr>
        <w:spacing w:after="0" w:line="14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i w:val="1"/>
          <w:iCs w:val="1"/>
          <w:color w:val="auto"/>
        </w:rPr>
        <w:t>Merger, Conversion, Consolidation or Succession to Business of Trustee.</w:t>
      </w:r>
      <w:r>
        <w:rPr>
          <w:rFonts w:ascii="Arial" w:cs="Arial" w:eastAsia="Arial" w:hAnsi="Arial"/>
          <w:sz w:val="18"/>
          <w:szCs w:val="18"/>
          <w:color w:val="auto"/>
        </w:rPr>
        <w:t xml:space="preserve"> If the Trustee consolidates with, merges or converts into, or transfers all or substantially all of its corporate trust business to, another corporation or national banking association, the resulting, surviving or transferee corporation or national banking association without any further act will be the successor Trustee with the same effect as if the successor Trustee had been named as the Trustee in the Indenture, subject to Section 5.10.</w:t>
      </w:r>
    </w:p>
    <w:p>
      <w:pPr>
        <w:spacing w:after="0" w:line="18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case at the time such successor to the Trustee shall succeed to the trusts created by the Indenture any of the Securities of any series shall have been authenticated but not delivered, any such successor to the Trustee may adopt the certificate of authentication of any predecessor Trustee and deliver such Securities so authenticated; and, in case at that time any of the Securities of any series shall not have been authenticated, any successor to the Trustee may authenticate such Securities either in the name of any predecessor hereunder or in the name of the successor Trustee; and in all such cases such certificate shall have the full force which it is anywhere in the Securities of such series or in the Indenture provided that the certificate of authentication of the Trustee shall have; provided, that the right to adopt the certificate of authentication of any predecessor Trustee or to authenticate Securities of any series in the name of any predecessor Trustee shall apply only to its successor or successors by merger, conversion or consolidation.</w:t>
      </w:r>
    </w:p>
    <w:p>
      <w:pPr>
        <w:spacing w:after="0" w:line="16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i w:val="1"/>
          <w:iCs w:val="1"/>
          <w:color w:val="auto"/>
        </w:rPr>
        <w:t>Preferential Collection of Claims Against the Issuer.</w:t>
      </w:r>
      <w:r>
        <w:rPr>
          <w:rFonts w:ascii="Arial" w:cs="Arial" w:eastAsia="Arial" w:hAnsi="Arial"/>
          <w:sz w:val="18"/>
          <w:szCs w:val="18"/>
          <w:color w:val="auto"/>
        </w:rPr>
        <w:t xml:space="preserve"> 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i w:val="1"/>
          <w:iCs w:val="1"/>
          <w:color w:val="auto"/>
        </w:rPr>
        <w:t>Trustee’s Disclaimer.</w:t>
      </w:r>
      <w:r>
        <w:rPr>
          <w:rFonts w:ascii="Arial" w:cs="Arial" w:eastAsia="Arial" w:hAnsi="Arial"/>
          <w:sz w:val="18"/>
          <w:szCs w:val="18"/>
          <w:color w:val="auto"/>
        </w:rPr>
        <w:t xml:space="preserve"> The Trustee (i) makes no representation as to the validity or adequacy of the Indenture, the Securities of any series or any Guarantee, (ii) is not accountable for the Issuer’s use or application of the proceeds from the Securities of any series and (iii) is not responsible for any statement in the Securities of any series other than its certificate of authentication.</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ONCERNING THE</w:t>
      </w:r>
      <w:r>
        <w:rPr>
          <w:rFonts w:ascii="Arial" w:cs="Arial" w:eastAsia="Arial" w:hAnsi="Arial"/>
          <w:sz w:val="18"/>
          <w:szCs w:val="18"/>
          <w:color w:val="auto"/>
        </w:rPr>
        <w:t xml:space="preserve"> H</w:t>
      </w:r>
      <w:r>
        <w:rPr>
          <w:rFonts w:ascii="Arial" w:cs="Arial" w:eastAsia="Arial" w:hAnsi="Arial"/>
          <w:sz w:val="15"/>
          <w:szCs w:val="15"/>
          <w:color w:val="auto"/>
        </w:rPr>
        <w:t>OLDERS</w:t>
      </w:r>
    </w:p>
    <w:p>
      <w:pPr>
        <w:spacing w:after="0" w:line="21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Evidence of Action Taken by Holders.</w:t>
      </w:r>
      <w:r>
        <w:rPr>
          <w:rFonts w:ascii="Arial" w:cs="Arial" w:eastAsia="Arial" w:hAnsi="Arial"/>
          <w:sz w:val="18"/>
          <w:szCs w:val="18"/>
          <w:color w:val="auto"/>
        </w:rPr>
        <w:t xml:space="preserve"> Any request, demand, authorization, direction, notice, consent, waiver or other action provided by the Indenture to be given or taken by a specified percentage in principal amount of the Holders of any or all series may be embodied in and evidenced by one or more instruments of</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274" w:right="299" w:bottom="1440" w:gutter="0" w:footer="0" w:header="0"/>
        </w:sectPr>
      </w:pPr>
    </w:p>
    <w:bookmarkStart w:id="114" w:name="page115"/>
    <w:bookmarkEnd w:id="114"/>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substantially similar tenor signed by such specified percentage of Holders in person or by agent duly appointed in writing; and, except as herein otherwise expressly provided, such action shall become effective when such instrument or instruments are delivered to the Trustee.</w:t>
      </w:r>
    </w:p>
    <w:p>
      <w:pPr>
        <w:spacing w:after="0" w:line="17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If the Issuer shall solicit from the Holders of Securities of any series any request, demand, authorization, direction, notice, consent, waiver or other action, the Issuer may, at its option, as evidenced by an Officer’s Certificate and subject to Section 6.02, fix in advance a record date for such series for the determination of Holders entitled to give such request, demand, authorization, direction, notice, consent, waiver or other action or to revoke the same, but the Issuer shall have no obligation to do so. If such a record date is fixed, such request, demand, authorization, direction, notice, consent, waiver or other action, may be given before or after the record date, but only the Holders as of such record date of the requisite proportion of Outstanding Securities of that series shall be entitled to give such request, demand, authorization, direction, notice, consent, waiver or other action, and for that purpose the Outstanding Securities of that series shall be computed as of the record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authorization, agreement or consent by such Holders on the record date shall be deemed effective unless it shall become effective pursuant to the provisions of the Indenture not later than six months after the record date.</w:t>
      </w:r>
    </w:p>
    <w:p>
      <w:pPr>
        <w:spacing w:after="0" w:line="166" w:lineRule="exact"/>
        <w:rPr>
          <w:sz w:val="20"/>
          <w:szCs w:val="20"/>
          <w:color w:val="auto"/>
        </w:rPr>
      </w:pPr>
    </w:p>
    <w:p>
      <w:pPr>
        <w:ind w:right="460" w:firstLine="456"/>
        <w:spacing w:after="0" w:line="308" w:lineRule="auto"/>
        <w:rPr>
          <w:sz w:val="20"/>
          <w:szCs w:val="20"/>
          <w:color w:val="auto"/>
        </w:rPr>
      </w:pPr>
      <w:r>
        <w:rPr>
          <w:rFonts w:ascii="Arial" w:cs="Arial" w:eastAsia="Arial" w:hAnsi="Arial"/>
          <w:sz w:val="17"/>
          <w:szCs w:val="17"/>
          <w:color w:val="auto"/>
        </w:rPr>
        <w:t>Proof of execution of any instrument or of a writing appointing any such agent shall be sufficient for any purpose of the Indenture and (subject to Section 5.01 and Section 5.05) conclusive in favor of the Trustee and the Issuer, if made in the manner provided in this Article.</w:t>
      </w:r>
    </w:p>
    <w:p>
      <w:pPr>
        <w:spacing w:after="0" w:line="147"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i w:val="1"/>
          <w:iCs w:val="1"/>
          <w:color w:val="auto"/>
        </w:rPr>
        <w:t>Proof of Execution of Instruments and of Holding of Securities; Record Date.</w:t>
      </w:r>
      <w:r>
        <w:rPr>
          <w:rFonts w:ascii="Arial" w:cs="Arial" w:eastAsia="Arial" w:hAnsi="Arial"/>
          <w:sz w:val="17"/>
          <w:szCs w:val="17"/>
          <w:color w:val="auto"/>
        </w:rPr>
        <w:t xml:space="preserve"> Subject to Section 5.01 and Section 5.05, the execution of any instrument by a Holder or his agent or proxy may be proved in such manner as shall be satisfactory to the Trustee. The holding of Securities shall be proved by the Register or by a certificate of the registrar thereof. The Issuer may set a record date for purposes of determining the identity of Holders of Securities of any series entitled to vote or consent to any action referred to in Section 6.01, which record date may be set at any time or from time to time by notice to the Trustee, for any date or dates (in the case of any adjournment or reconsideration) not more than 60 days nor less than five days prior to the proposed date of such vote or consent, and thereafter, notwithstanding any other provisions hereof, only Holders of such series of record on such record date shall be entitled to so vote or give such consent or revoke such vote or consent. Notice of such record date may be given before or after any request for any action referred to in Section 6.01 is made by the Issuer.</w:t>
      </w:r>
    </w:p>
    <w:p>
      <w:pPr>
        <w:spacing w:after="0" w:line="17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Holders to Be Treated as Owners</w:t>
      </w:r>
      <w:r>
        <w:rPr>
          <w:rFonts w:ascii="Arial" w:cs="Arial" w:eastAsia="Arial" w:hAnsi="Arial"/>
          <w:sz w:val="18"/>
          <w:szCs w:val="18"/>
          <w:color w:val="auto"/>
        </w:rPr>
        <w:t>. Prior to the due presentment for registration of transfer of any Security, the Issuer, the Trustee and any agent of the Issuer or the Trustee may deem and treat the Person in whose name any Security shall be registered upon the Register for such series as the absolute owner of such Security (whether or not such Security shall be overdue and notwithstanding any notation of ownership or other writing thereon) for the purpose of receiving payment of or 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274" w:right="279" w:bottom="1440" w:gutter="0" w:footer="0" w:header="0"/>
        </w:sectPr>
      </w:pPr>
    </w:p>
    <w:bookmarkStart w:id="115" w:name="page116"/>
    <w:bookmarkEnd w:id="115"/>
    <w:p>
      <w:pPr>
        <w:ind w:right="1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account of the principal of, and, subject to the provisions of the Indenture, interest on such Security and for all other purposes; and neither the Issuer, the Trustee, nor any agent of the Issuer or the Trustee shall be affected by any notice to the contrary. All such payments so made to any such Person, or upon his order, shall be valid, and, to the extent of the sum or sums so paid, effectual to satisfy and discharge the liability for moneys payable upon any such Security.</w:t>
      </w:r>
    </w:p>
    <w:p>
      <w:pPr>
        <w:spacing w:after="0" w:line="14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i w:val="1"/>
          <w:iCs w:val="1"/>
          <w:color w:val="auto"/>
        </w:rPr>
        <w:t>Securities Owned by Issuer Deemed Not Outstanding.</w:t>
      </w:r>
      <w:r>
        <w:rPr>
          <w:rFonts w:ascii="Arial" w:cs="Arial" w:eastAsia="Arial" w:hAnsi="Arial"/>
          <w:sz w:val="16"/>
          <w:szCs w:val="16"/>
          <w:color w:val="auto"/>
        </w:rPr>
        <w:t xml:space="preserve"> In determining whether the Holders of the requisite aggregate principal amount of Outstanding Securities of any or all series have concurred in any direction, consent or waiver under the Indenture, Securities which are owned by the Issuer or any other obligor on the Securities with respect to which such determination is being made or by any Person directly or indirectly controlling or controlled by or under direct or indirect common control with the Issuer or any other obligor on the Securities with respect to which such determination is being made shall be disregarded and deemed not to be Outstanding for the purpose of any such determination, except that for the purpose of determining whether the Trustee shall be protected in relying on any such direction, consent or waiver only Securities which a Responsible Officer of the Trustee actually knows are so owned, or has received written notice from the Issuer that such Securities are so owned, shall be so disregarded. Securities so owned which have been pledged in good faith may be regarded as Outstanding if the pledgee establishes to the satisfaction of the Trustee the pledgee’s right so to act with respect to such Securities and that the pledgee is not the Issuer or any other obligor upon the Securities or any Person directly or indirectly controlling or controlled by or under direct or indirect common control with the Issuer or any other obligor on the Securities. In case of a dispute as to such right, the advice of counsel shall be full protection in respect of any decision made by the Trustee in accordance with such advice. Upon request of the Trustee, the Issuer shall furnish to the Trustee promptly an Officer’s Certificate listing and identifying all Securities, if any, known by the Issuer to be owned or held by or for the account of any of the above-described Persons; and, subject to Sections 5.01 and 5.05, the Trustee shall be entitled to accept such Officer’s Certificate as conclusive evidence of the facts therein set forth and of the fact that all Securities not listed therein are Outstanding for the purpose of any such determination.</w:t>
      </w:r>
    </w:p>
    <w:p>
      <w:pPr>
        <w:spacing w:after="0" w:line="172"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 xml:space="preserve">Section 6.05. </w:t>
      </w:r>
      <w:r>
        <w:rPr>
          <w:rFonts w:ascii="Arial" w:cs="Arial" w:eastAsia="Arial" w:hAnsi="Arial"/>
          <w:sz w:val="17"/>
          <w:szCs w:val="17"/>
          <w:i w:val="1"/>
          <w:iCs w:val="1"/>
          <w:color w:val="auto"/>
        </w:rPr>
        <w:t>Right of Revocation of Action Taken.</w:t>
      </w:r>
      <w:r>
        <w:rPr>
          <w:rFonts w:ascii="Arial" w:cs="Arial" w:eastAsia="Arial" w:hAnsi="Arial"/>
          <w:sz w:val="17"/>
          <w:szCs w:val="17"/>
          <w:color w:val="auto"/>
        </w:rPr>
        <w:t xml:space="preserve"> At any time prior to (but not after) the evidencing to the Trustee, as provided in Section 6.01, of the taking of any action by the Holders of the percentage in aggregate principal amount of the Securities of any or all series, as the case may be, specified in the Indenture in connection with such action, any Holder of a Security the serial number of which is shown by the evidence to be included among the serial numbers of the Securities the Holders of which have consented to such action may, by filing written notice at the applicable Corporate Trust Office and upon proof of holding as provided in this Article,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or upon registration of transfer thereof, irrespective of whether or not any notation in regard thereto is made upon any such Security. Any action taken by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74" w:right="259" w:bottom="1440" w:gutter="0" w:footer="0" w:header="0"/>
        </w:sectPr>
      </w:pPr>
    </w:p>
    <w:bookmarkStart w:id="116" w:name="page117"/>
    <w:bookmarkEnd w:id="116"/>
    <w:p>
      <w:pPr>
        <w:ind w:right="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Holders of the percentage in aggregate principal amount of the Securities of any or all series, as the case may be, specified in the Indenture in connection with such action shall be conclusively binding upon the Issuer, the Trustee and the Holders of all the Securities affected by such action.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MENDMENTS</w:t>
      </w:r>
      <w:r>
        <w:rPr>
          <w:rFonts w:ascii="Arial" w:cs="Arial" w:eastAsia="Arial" w:hAnsi="Arial"/>
          <w:sz w:val="18"/>
          <w:szCs w:val="18"/>
          <w:color w:val="auto"/>
        </w:rPr>
        <w:t>, S</w:t>
      </w:r>
      <w:r>
        <w:rPr>
          <w:rFonts w:ascii="Arial" w:cs="Arial" w:eastAsia="Arial" w:hAnsi="Arial"/>
          <w:sz w:val="15"/>
          <w:szCs w:val="15"/>
          <w:color w:val="auto"/>
        </w:rPr>
        <w:t>UPPLEMENTS AND</w:t>
      </w:r>
      <w:r>
        <w:rPr>
          <w:rFonts w:ascii="Arial" w:cs="Arial" w:eastAsia="Arial" w:hAnsi="Arial"/>
          <w:sz w:val="18"/>
          <w:szCs w:val="18"/>
          <w:color w:val="auto"/>
        </w:rPr>
        <w:t xml:space="preserve"> W</w:t>
      </w:r>
      <w:r>
        <w:rPr>
          <w:rFonts w:ascii="Arial" w:cs="Arial" w:eastAsia="Arial" w:hAnsi="Arial"/>
          <w:sz w:val="15"/>
          <w:szCs w:val="15"/>
          <w:color w:val="auto"/>
        </w:rPr>
        <w:t>AIVERS</w:t>
      </w:r>
    </w:p>
    <w:p>
      <w:pPr>
        <w:spacing w:after="0" w:line="21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Supplemental Indentures without Consent of Holders.</w:t>
      </w:r>
      <w:r>
        <w:rPr>
          <w:rFonts w:ascii="Arial" w:cs="Arial" w:eastAsia="Arial" w:hAnsi="Arial"/>
          <w:sz w:val="18"/>
          <w:szCs w:val="18"/>
          <w:color w:val="auto"/>
        </w:rPr>
        <w:t xml:space="preserve"> The Issuer, when authorized by a Resolution of the Board of Directors, the Guarantors and the Trustee may amend or modify the Indenture or the Securities of any series or enter into an indenture supplemental hereto without notice to or the consent of any Holder in order to:</w:t>
      </w:r>
    </w:p>
    <w:p>
      <w:pPr>
        <w:spacing w:after="0" w:line="73" w:lineRule="exact"/>
        <w:rPr>
          <w:sz w:val="20"/>
          <w:szCs w:val="20"/>
          <w:color w:val="auto"/>
        </w:rPr>
      </w:pPr>
    </w:p>
    <w:p>
      <w:pPr>
        <w:ind w:left="700" w:hanging="236"/>
        <w:spacing w:after="0"/>
        <w:tabs>
          <w:tab w:leader="none" w:pos="7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cure ambiguities, omissions, defects or inconsistencies;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the Securities of any series;</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provide for or add guarantors with respect to the Securities of any series;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secure the Securities of any series;</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establish the form or forms or terms of the Securities of any series as contemplated by Section 2.01 and Section 2.03 herein;</w:t>
      </w:r>
    </w:p>
    <w:p>
      <w:pPr>
        <w:spacing w:after="0" w:line="225" w:lineRule="exact"/>
        <w:rPr>
          <w:rFonts w:ascii="Arial" w:cs="Arial" w:eastAsia="Arial" w:hAnsi="Arial"/>
          <w:sz w:val="18"/>
          <w:szCs w:val="18"/>
          <w:color w:val="auto"/>
        </w:rPr>
      </w:pPr>
    </w:p>
    <w:p>
      <w:pPr>
        <w:ind w:left="680" w:hanging="216"/>
        <w:spacing w:after="0"/>
        <w:tabs>
          <w:tab w:leader="none" w:pos="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provide for uncertificated Securities of any series in addition to or in place of certificated Securities of the applicable series;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225" w:lineRule="exact"/>
        <w:rPr>
          <w:rFonts w:ascii="Arial" w:cs="Arial" w:eastAsia="Arial" w:hAnsi="Arial"/>
          <w:sz w:val="18"/>
          <w:szCs w:val="18"/>
          <w:color w:val="auto"/>
        </w:rPr>
      </w:pPr>
    </w:p>
    <w:p>
      <w:pPr>
        <w:ind w:right="120" w:firstLine="464"/>
        <w:spacing w:after="0" w:line="277" w:lineRule="auto"/>
        <w:tabs>
          <w:tab w:leader="none" w:pos="711"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provide for the assumption by a successor company of the Issuer’s obligations to the Holders of the Securities of any series in compliance with the applicable provisions of the Indenture;</w:t>
      </w:r>
    </w:p>
    <w:p>
      <w:pPr>
        <w:spacing w:after="0" w:line="170" w:lineRule="exact"/>
        <w:rPr>
          <w:rFonts w:ascii="Arial" w:cs="Arial" w:eastAsia="Arial" w:hAnsi="Arial"/>
          <w:sz w:val="18"/>
          <w:szCs w:val="18"/>
          <w:color w:val="auto"/>
        </w:rPr>
      </w:pPr>
    </w:p>
    <w:p>
      <w:pPr>
        <w:ind w:left="680" w:hanging="216"/>
        <w:spacing w:after="0"/>
        <w:tabs>
          <w:tab w:leader="none" w:pos="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qualify the Indenture under the Trust Indenture Act;</w:t>
      </w:r>
    </w:p>
    <w:p>
      <w:pPr>
        <w:spacing w:after="0" w:line="225" w:lineRule="exact"/>
        <w:rPr>
          <w:rFonts w:ascii="Arial" w:cs="Arial" w:eastAsia="Arial" w:hAnsi="Arial"/>
          <w:sz w:val="18"/>
          <w:szCs w:val="18"/>
          <w:color w:val="auto"/>
        </w:rPr>
      </w:pPr>
    </w:p>
    <w:p>
      <w:pPr>
        <w:ind w:right="80" w:firstLine="464"/>
        <w:spacing w:after="0" w:line="277" w:lineRule="auto"/>
        <w:tabs>
          <w:tab w:leader="none" w:pos="671"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conform any provision in the Indenture or the terms of the Securities of any series to the prospectus, offering memorandum, offering circular or any other document pursuant to which the Securities of such series were offered; or</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in any material respect.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Trustee is hereby authorized to join with the Issuer and the Guarantors in the execution of any such amendment or supplemental indenture, to make any further appropriate agreements and stipulations which may be therein contained and to accept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74" w:right="259" w:bottom="1440" w:gutter="0" w:footer="0" w:header="0"/>
        </w:sectPr>
      </w:pPr>
    </w:p>
    <w:bookmarkStart w:id="117" w:name="page118"/>
    <w:bookmarkEnd w:id="117"/>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conveyance, transfer, assignment, mortgage or pledge of any Property thereunder, but the Trustee shall not be obligated to enter into any such amendment or supplemental indenture which affects the Trustee’s own rights, duties or immunities under the Indenture or otherwise.</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Any amendment or supplemental indenture authorized by the provisions of this section may be executed without notice to and without the consent of the Holders of any of the Securities at the time Outstanding, notwithstanding any of the provisions of Section 7.02.</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Supplemental Indentures with Consent of Holders.</w:t>
      </w:r>
    </w:p>
    <w:p>
      <w:pPr>
        <w:spacing w:after="0" w:line="225" w:lineRule="exact"/>
        <w:rPr>
          <w:sz w:val="20"/>
          <w:szCs w:val="20"/>
          <w:color w:val="auto"/>
        </w:rPr>
      </w:pPr>
    </w:p>
    <w:p>
      <w:pPr>
        <w:ind w:firstLine="464"/>
        <w:spacing w:after="0" w:line="255" w:lineRule="auto"/>
        <w:tabs>
          <w:tab w:leader="none" w:pos="701" w:val="left"/>
        </w:tabs>
        <w:numPr>
          <w:ilvl w:val="0"/>
          <w:numId w:val="97"/>
        </w:numPr>
        <w:rPr>
          <w:rFonts w:ascii="Arial" w:cs="Arial" w:eastAsia="Arial" w:hAnsi="Arial"/>
          <w:sz w:val="18"/>
          <w:szCs w:val="18"/>
          <w:color w:val="auto"/>
        </w:rPr>
      </w:pPr>
      <w:r>
        <w:rPr>
          <w:rFonts w:ascii="Arial" w:cs="Arial" w:eastAsia="Arial" w:hAnsi="Arial"/>
          <w:sz w:val="18"/>
          <w:szCs w:val="18"/>
          <w:color w:val="auto"/>
        </w:rPr>
        <w:t>With the consent (evidenced as provided in Article 6) of the Holders of not less than a majority in aggregate principal amount of the Outstanding Securities of all series affected by such amendment or supplemental indenture (voting together as a single class), the Issuer, when authorized by a Resolution of the Board of Directors, the Guarantors and the Trustee may, from time to time and at any time, enter into an indenture or indentures supplemental hereto for the purpose of adding any provisions to or changing in any manner or eliminating any of the provisions of the Indenture or of any supplemental indenture or of modifying in any manner the rights of the Holders of the Securities of each such series, and such Holders may waive future compliance by the Issuer with a provision of the Indenture or the Securities.</w:t>
      </w:r>
    </w:p>
    <w:p>
      <w:pPr>
        <w:spacing w:after="0" w:line="193" w:lineRule="exact"/>
        <w:rPr>
          <w:rFonts w:ascii="Arial" w:cs="Arial" w:eastAsia="Arial" w:hAnsi="Arial"/>
          <w:sz w:val="18"/>
          <w:szCs w:val="18"/>
          <w:color w:val="auto"/>
        </w:rPr>
      </w:pPr>
    </w:p>
    <w:p>
      <w:pPr>
        <w:ind w:right="100" w:firstLine="464"/>
        <w:spacing w:after="0" w:line="277" w:lineRule="auto"/>
        <w:tabs>
          <w:tab w:leader="none" w:pos="711"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Notwithstanding the provisions of paragraph (a), without the consent of the Holder of each affected Security of a particular series, an amendment, supplement or waiver may not:</w:t>
      </w:r>
    </w:p>
    <w:p>
      <w:pPr>
        <w:spacing w:after="0" w:line="62" w:lineRule="exact"/>
        <w:rPr>
          <w:rFonts w:ascii="Arial" w:cs="Arial" w:eastAsia="Arial" w:hAnsi="Arial"/>
          <w:sz w:val="18"/>
          <w:szCs w:val="18"/>
          <w:color w:val="auto"/>
        </w:rPr>
      </w:pPr>
    </w:p>
    <w:p>
      <w:pPr>
        <w:ind w:left="460" w:right="200" w:firstLine="443"/>
        <w:spacing w:after="0" w:line="277" w:lineRule="auto"/>
        <w:tabs>
          <w:tab w:leader="none" w:pos="1113" w:val="left"/>
        </w:tabs>
        <w:numPr>
          <w:ilvl w:val="1"/>
          <w:numId w:val="97"/>
        </w:numPr>
        <w:rPr>
          <w:rFonts w:ascii="Arial" w:cs="Arial" w:eastAsia="Arial" w:hAnsi="Arial"/>
          <w:sz w:val="18"/>
          <w:szCs w:val="18"/>
          <w:color w:val="auto"/>
        </w:rPr>
      </w:pPr>
      <w:r>
        <w:rPr>
          <w:rFonts w:ascii="Arial" w:cs="Arial" w:eastAsia="Arial" w:hAnsi="Arial"/>
          <w:sz w:val="18"/>
          <w:szCs w:val="18"/>
          <w:color w:val="auto"/>
        </w:rPr>
        <w:t>reduce the principal amount, or extend the fixed maturity, of the Securities of such series or alter or waive the redemption provisions of the Securities of such series;</w:t>
      </w:r>
    </w:p>
    <w:p>
      <w:pPr>
        <w:spacing w:after="0" w:line="62" w:lineRule="exact"/>
        <w:rPr>
          <w:rFonts w:ascii="Arial" w:cs="Arial" w:eastAsia="Arial" w:hAnsi="Arial"/>
          <w:sz w:val="18"/>
          <w:szCs w:val="18"/>
          <w:color w:val="auto"/>
        </w:rPr>
      </w:pPr>
    </w:p>
    <w:p>
      <w:pPr>
        <w:ind w:left="460" w:right="200" w:firstLine="443"/>
        <w:spacing w:after="0" w:line="277" w:lineRule="auto"/>
        <w:tabs>
          <w:tab w:leader="none" w:pos="1163" w:val="left"/>
        </w:tabs>
        <w:numPr>
          <w:ilvl w:val="1"/>
          <w:numId w:val="97"/>
        </w:numPr>
        <w:rPr>
          <w:rFonts w:ascii="Arial" w:cs="Arial" w:eastAsia="Arial" w:hAnsi="Arial"/>
          <w:sz w:val="18"/>
          <w:szCs w:val="18"/>
          <w:color w:val="auto"/>
        </w:rPr>
      </w:pPr>
      <w:r>
        <w:rPr>
          <w:rFonts w:ascii="Arial" w:cs="Arial" w:eastAsia="Arial" w:hAnsi="Arial"/>
          <w:sz w:val="18"/>
          <w:szCs w:val="18"/>
          <w:color w:val="auto"/>
        </w:rPr>
        <w:t>impair the right of any Holder of the Securities of such series to receive payment of principal or interest on the Securities of such series on and after the due dates for such principal or interest;</w:t>
      </w:r>
    </w:p>
    <w:p>
      <w:pPr>
        <w:spacing w:after="0" w:line="62" w:lineRule="exact"/>
        <w:rPr>
          <w:rFonts w:ascii="Arial" w:cs="Arial" w:eastAsia="Arial" w:hAnsi="Arial"/>
          <w:sz w:val="18"/>
          <w:szCs w:val="18"/>
          <w:color w:val="auto"/>
        </w:rPr>
      </w:pPr>
    </w:p>
    <w:p>
      <w:pPr>
        <w:ind w:left="1220" w:hanging="317"/>
        <w:spacing w:after="0"/>
        <w:tabs>
          <w:tab w:leader="none" w:pos="12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change the currency in which principal or interest is paid;</w:t>
      </w:r>
    </w:p>
    <w:p>
      <w:pPr>
        <w:spacing w:after="0" w:line="117" w:lineRule="exact"/>
        <w:rPr>
          <w:rFonts w:ascii="Arial" w:cs="Arial" w:eastAsia="Arial" w:hAnsi="Arial"/>
          <w:sz w:val="18"/>
          <w:szCs w:val="18"/>
          <w:color w:val="auto"/>
        </w:rPr>
      </w:pPr>
    </w:p>
    <w:p>
      <w:pPr>
        <w:ind w:left="460" w:right="320" w:firstLine="443"/>
        <w:spacing w:after="0" w:line="277" w:lineRule="auto"/>
        <w:tabs>
          <w:tab w:leader="none" w:pos="1203" w:val="left"/>
        </w:tabs>
        <w:numPr>
          <w:ilvl w:val="1"/>
          <w:numId w:val="97"/>
        </w:numPr>
        <w:rPr>
          <w:rFonts w:ascii="Arial" w:cs="Arial" w:eastAsia="Arial" w:hAnsi="Arial"/>
          <w:sz w:val="18"/>
          <w:szCs w:val="18"/>
          <w:color w:val="auto"/>
        </w:rPr>
      </w:pPr>
      <w:r>
        <w:rPr>
          <w:rFonts w:ascii="Arial" w:cs="Arial" w:eastAsia="Arial" w:hAnsi="Arial"/>
          <w:sz w:val="18"/>
          <w:szCs w:val="18"/>
          <w:color w:val="auto"/>
        </w:rPr>
        <w:t>reduce the percentage in principal amount Outstanding of Securities of such series which must consent to an amendment, supplement or waiver or consent to take any action;</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the Securities of such series;</w:t>
      </w:r>
    </w:p>
    <w:p>
      <w:pPr>
        <w:spacing w:after="0" w:line="117" w:lineRule="exact"/>
        <w:rPr>
          <w:rFonts w:ascii="Arial" w:cs="Arial" w:eastAsia="Arial" w:hAnsi="Arial"/>
          <w:sz w:val="18"/>
          <w:szCs w:val="18"/>
          <w:color w:val="auto"/>
        </w:rPr>
      </w:pPr>
    </w:p>
    <w:p>
      <w:pPr>
        <w:ind w:left="1200" w:hanging="297"/>
        <w:spacing w:after="0"/>
        <w:tabs>
          <w:tab w:leader="none" w:pos="12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waive a payment default with respect to the Securities of such series;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20"/>
          </w:cols>
          <w:pgMar w:left="240" w:top="274" w:right="339" w:bottom="1440" w:gutter="0" w:footer="0" w:header="0"/>
        </w:sectPr>
      </w:pPr>
    </w:p>
    <w:bookmarkStart w:id="118" w:name="page119"/>
    <w:bookmarkEnd w:id="118"/>
    <w:p>
      <w:pPr>
        <w:ind w:left="1260" w:hanging="357"/>
        <w:spacing w:after="0"/>
        <w:tabs>
          <w:tab w:leader="none" w:pos="1260" w:val="left"/>
        </w:tabs>
        <w:numPr>
          <w:ilvl w:val="0"/>
          <w:numId w:val="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reduce the interest rate or extend the time for payment of interest on the Securities of such series; or</w:t>
      </w:r>
    </w:p>
    <w:p>
      <w:pPr>
        <w:spacing w:after="0" w:line="117" w:lineRule="exact"/>
        <w:rPr>
          <w:rFonts w:ascii="Arial" w:cs="Arial" w:eastAsia="Arial" w:hAnsi="Arial"/>
          <w:sz w:val="18"/>
          <w:szCs w:val="18"/>
          <w:color w:val="auto"/>
        </w:rPr>
      </w:pPr>
    </w:p>
    <w:p>
      <w:pPr>
        <w:ind w:left="1300" w:hanging="397"/>
        <w:spacing w:after="0"/>
        <w:tabs>
          <w:tab w:leader="none" w:pos="13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adversely affect the ranking of the Securities of such series.</w:t>
      </w:r>
    </w:p>
    <w:p>
      <w:pPr>
        <w:spacing w:after="0" w:line="2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An amendment, supplemental indenture or waiver which changes, eliminates or waives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It shall not be necessary for the consent of the Holders under this section to approve the particular form of any proposed supplemental indenture, but it shall be sufficient if such consent shall approve the substance thereof.</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i w:val="1"/>
          <w:iCs w:val="1"/>
          <w:color w:val="auto"/>
        </w:rPr>
        <w:t>Execution of Amendments or Supplemental Indentures or Waivers.</w:t>
      </w:r>
      <w:r>
        <w:rPr>
          <w:rFonts w:ascii="Arial" w:cs="Arial" w:eastAsia="Arial" w:hAnsi="Arial"/>
          <w:sz w:val="18"/>
          <w:szCs w:val="18"/>
          <w:color w:val="auto"/>
        </w:rPr>
        <w:t xml:space="preserve"> Upon the request of the Issuer, accompanied by a copy of a Resolution of the Board of Directors authorizing the execution of any such amendment, supplemental indenture or waiver and upon the filing with the Trustee of evidence of the consent of Holders as aforesaid and other documents, if any, required by Section 6.01, the Trustee shall join with the Issuer and the Guarantors in the execution of such amendment, supplemental indenture or waiver unless such supplemental indenture or waiver affects the Trustee’s own rights, duties or immunities under the Indenture or otherwise, in which case the Trustee may in its discretion, but shall not be obligated to, enter into such amendment, supplemental indenture or waiver.</w:t>
      </w:r>
    </w:p>
    <w:p>
      <w:pPr>
        <w:spacing w:after="0" w:line="193"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Trustee, subject to the provisions of Sections 5.01 and 5.05, may receive an Officer’s Certificate and an Opinion of Counsel as conclusive evidence that any amendment, supplemental indenture or waiver executed pursuant to this Article 7 complies with the applicable provisions of the Indenture.</w:t>
      </w:r>
    </w:p>
    <w:p>
      <w:pPr>
        <w:spacing w:after="0" w:line="12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Promptly after the execution by the Issuer, the Guarantors and the Trustee of any amendment, supplemental indenture or waiver pursuant to the provisions of this Section, the Issuer shall mail a notice thereof by first-class mail, postage prepaid, to the Holders of each series affected thereby at their addresses as they shall appear on the Register of the Issuer, setting forth in general terms the substance of such amendment, supplemental indenture or waiver. Any failure of the Issuer to mail such notice, or any defect therein, shall not, however, in any way impair or affect the validity of any such amendment, supplemental indenture or waiver.</w:t>
      </w:r>
    </w:p>
    <w:p>
      <w:pPr>
        <w:spacing w:after="0" w:line="18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i w:val="1"/>
          <w:iCs w:val="1"/>
          <w:color w:val="auto"/>
        </w:rPr>
        <w:t>Effect of Amendment, Supplemental Indenture or Waiver.</w:t>
      </w:r>
      <w:r>
        <w:rPr>
          <w:rFonts w:ascii="Arial" w:cs="Arial" w:eastAsia="Arial" w:hAnsi="Arial"/>
          <w:sz w:val="18"/>
          <w:szCs w:val="18"/>
          <w:color w:val="auto"/>
        </w:rPr>
        <w:t xml:space="preserve"> Upon the execution of any amendment, supplemental indenture or waiver pursuant to the provisions hereof, the Indenture shall be and be deemed to be modified and amended in accordance therewith and the respective rights, limitations of rights, obligations, duties and immunities under the Indenture of the Trustee, the Issuer, the Guarantors and the Holders of each series affected thereby shall thereafter be determined, exercised and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74" w:right="259" w:bottom="1440" w:gutter="0" w:footer="0" w:header="0"/>
        </w:sectPr>
      </w:pPr>
    </w:p>
    <w:bookmarkStart w:id="119" w:name="page120"/>
    <w:bookmarkEnd w:id="119"/>
    <w:p>
      <w:pPr>
        <w:ind w:right="3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enforced hereunder subject in all respects to such modifications and amendments, and all the terms and conditions of any such amendment, supplemental indenture or waiver shall be and be deemed to be part of the terms and conditions of the Indenture for any and all purposes.</w:t>
      </w:r>
    </w:p>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i w:val="1"/>
          <w:iCs w:val="1"/>
          <w:color w:val="auto"/>
        </w:rPr>
        <w:t>Effect of Consent.</w:t>
      </w:r>
      <w:r>
        <w:rPr>
          <w:rFonts w:ascii="Arial" w:cs="Arial" w:eastAsia="Arial" w:hAnsi="Arial"/>
          <w:sz w:val="18"/>
          <w:szCs w:val="18"/>
          <w:color w:val="auto"/>
        </w:rPr>
        <w:t xml:space="preserve"> After an amendment, supplemental indenture or waiver becomes effective, it will bind every Holder unless it is of the type requiring the consent of each Holder affected. If the amendment, supplemental indenture or waiver is of the type requiring the consent of each Holder affected, the amendment, supplemental indenture or waiver will bind each Holder that has consented to it and every subsequent Holder of a Security that evidences the same debt as the Security of the consenting Holder.</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i w:val="1"/>
          <w:iCs w:val="1"/>
          <w:color w:val="auto"/>
        </w:rPr>
        <w:t>Notation on Securities in Respect of Amendments, Supplemental Indentures or Waivers.</w:t>
      </w:r>
      <w:r>
        <w:rPr>
          <w:rFonts w:ascii="Arial" w:cs="Arial" w:eastAsia="Arial" w:hAnsi="Arial"/>
          <w:sz w:val="18"/>
          <w:szCs w:val="18"/>
          <w:color w:val="auto"/>
        </w:rPr>
        <w:t xml:space="preserve"> Securities of any series authenticated and delivered after the execution of any amendment, supplemental indenture or waiver pursuant to the provisions of this Article may bear a notation in form approved by the Trustee for such series, as to any matter provided for by such amendment, supplemental indenture or waiver. If the Issuer shall so determine, new Securities of any series so modified as to conform, in the opinion of the Trustee and the Board of Directors, to any modification of the Indenture contained in any such amendment, supplemental indenture or waiver may be prepared by the Issuer, authenticated by the Trustee and delivered in exchange for the Securities of such series then Outstanding.</w:t>
      </w:r>
    </w:p>
    <w:p>
      <w:pPr>
        <w:spacing w:after="0" w:line="193"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i w:val="1"/>
          <w:iCs w:val="1"/>
          <w:color w:val="auto"/>
        </w:rPr>
        <w:t>Conformity with the Trust Indenture Act.</w:t>
      </w:r>
      <w:r>
        <w:rPr>
          <w:rFonts w:ascii="Arial" w:cs="Arial" w:eastAsia="Arial" w:hAnsi="Arial"/>
          <w:sz w:val="18"/>
          <w:szCs w:val="18"/>
          <w:color w:val="auto"/>
        </w:rPr>
        <w:t xml:space="preserve"> Every amendment, supplemental indenture or waiver executed pursuant to this Article shall conform to the requirements of the Trust Indenture Act as then in effect.</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ONSOLIDATION</w:t>
      </w:r>
      <w:r>
        <w:rPr>
          <w:rFonts w:ascii="Arial" w:cs="Arial" w:eastAsia="Arial" w:hAnsi="Arial"/>
          <w:sz w:val="18"/>
          <w:szCs w:val="18"/>
          <w:color w:val="auto"/>
        </w:rPr>
        <w:t>, M</w:t>
      </w:r>
      <w:r>
        <w:rPr>
          <w:rFonts w:ascii="Arial" w:cs="Arial" w:eastAsia="Arial" w:hAnsi="Arial"/>
          <w:sz w:val="15"/>
          <w:szCs w:val="15"/>
          <w:color w:val="auto"/>
        </w:rPr>
        <w:t>ERGER</w:t>
      </w:r>
      <w:r>
        <w:rPr>
          <w:rFonts w:ascii="Arial" w:cs="Arial" w:eastAsia="Arial" w:hAnsi="Arial"/>
          <w:sz w:val="18"/>
          <w:szCs w:val="18"/>
          <w:color w:val="auto"/>
        </w:rPr>
        <w:t>, S</w:t>
      </w:r>
      <w:r>
        <w:rPr>
          <w:rFonts w:ascii="Arial" w:cs="Arial" w:eastAsia="Arial" w:hAnsi="Arial"/>
          <w:sz w:val="15"/>
          <w:szCs w:val="15"/>
          <w:color w:val="auto"/>
        </w:rPr>
        <w:t>ALE OR</w:t>
      </w:r>
      <w:r>
        <w:rPr>
          <w:rFonts w:ascii="Arial" w:cs="Arial" w:eastAsia="Arial" w:hAnsi="Arial"/>
          <w:sz w:val="18"/>
          <w:szCs w:val="18"/>
          <w:color w:val="auto"/>
        </w:rPr>
        <w:t xml:space="preserve"> C</w:t>
      </w:r>
      <w:r>
        <w:rPr>
          <w:rFonts w:ascii="Arial" w:cs="Arial" w:eastAsia="Arial" w:hAnsi="Arial"/>
          <w:sz w:val="15"/>
          <w:szCs w:val="15"/>
          <w:color w:val="auto"/>
        </w:rPr>
        <w:t>ONVEYANCE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Consolidation, Merger or Sale of Assets by the Issuer</w:t>
      </w:r>
      <w:r>
        <w:rPr>
          <w:rFonts w:ascii="Arial" w:cs="Arial" w:eastAsia="Arial" w:hAnsi="Arial"/>
          <w:sz w:val="18"/>
          <w:szCs w:val="18"/>
          <w:color w:val="auto"/>
        </w:rPr>
        <w:t>.</w:t>
      </w:r>
    </w:p>
    <w:p>
      <w:pPr>
        <w:spacing w:after="0" w:line="225" w:lineRule="exact"/>
        <w:rPr>
          <w:sz w:val="20"/>
          <w:szCs w:val="20"/>
          <w:color w:val="auto"/>
        </w:rPr>
      </w:pPr>
    </w:p>
    <w:p>
      <w:pPr>
        <w:ind w:right="20" w:firstLine="464"/>
        <w:spacing w:after="0" w:line="264" w:lineRule="auto"/>
        <w:tabs>
          <w:tab w:leader="none" w:pos="701"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Issuer shall not consolidate or combine with or merge with or into or, directly or indirectly, sell, assign, convey, lease, transfer or otherwise dispose of all or substantially all of its assets to any Person or Persons (other than a transfer or other disposition of assets to any of the Issuer’s wholly owned Subsidiaries) in a single transaction or through a series of transactions, unless:</w:t>
      </w:r>
    </w:p>
    <w:p>
      <w:pPr>
        <w:spacing w:after="0" w:line="7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(i) the Issuer shall be the continuing Person or, if the Issuer is not the continuing Person, the resulting, surviving or transferee Person (the</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Surviving Entity</w:t>
      </w:r>
      <w:r>
        <w:rPr>
          <w:rFonts w:ascii="Arial" w:cs="Arial" w:eastAsia="Arial" w:hAnsi="Arial"/>
          <w:sz w:val="16"/>
          <w:szCs w:val="16"/>
          <w:color w:val="auto"/>
        </w:rPr>
        <w:t>”) is a company organized (or formed in the case of a limited liability company) and existing under the laws of the United States or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state or territory thereof or the District of Columbia;</w:t>
      </w:r>
    </w:p>
    <w:p>
      <w:pPr>
        <w:spacing w:after="0" w:line="103" w:lineRule="exact"/>
        <w:rPr>
          <w:sz w:val="20"/>
          <w:szCs w:val="20"/>
          <w:color w:val="auto"/>
        </w:rPr>
      </w:pPr>
    </w:p>
    <w:p>
      <w:pPr>
        <w:ind w:left="460" w:right="100" w:firstLine="443"/>
        <w:spacing w:after="0" w:line="277" w:lineRule="auto"/>
        <w:tabs>
          <w:tab w:leader="none" w:pos="116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Surviving Entity shall expressly assume all of the Issuer’s obligations under the Securities and the Indenture, and shall, for that purpose, execute a supplemental indenture in form satisfactory to the Trustee which will be delivered to the Trustee;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240" w:top="274" w:right="319" w:bottom="1440" w:gutter="0" w:footer="0" w:header="0"/>
        </w:sectPr>
      </w:pPr>
    </w:p>
    <w:bookmarkStart w:id="120" w:name="page121"/>
    <w:bookmarkEnd w:id="120"/>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(iii) immediately after giving effect to such transaction or series of transactions on a pro forma basis, no default has occurred and is continuing;</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w:t>
      </w:r>
    </w:p>
    <w:p>
      <w:pPr>
        <w:spacing w:after="0" w:line="103" w:lineRule="exact"/>
        <w:rPr>
          <w:sz w:val="20"/>
          <w:szCs w:val="20"/>
          <w:color w:val="auto"/>
        </w:rPr>
      </w:pPr>
    </w:p>
    <w:p>
      <w:pPr>
        <w:ind w:left="460" w:right="480" w:firstLine="443"/>
        <w:spacing w:after="0" w:line="264" w:lineRule="auto"/>
        <w:tabs>
          <w:tab w:leader="none" w:pos="1203"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Issuer or the Surviving Entity will have delivered to the Trustee an Officer’s Certificate and Opinion of Counsel stating that the transaction or series of transactions and a supplemental indenture, if any, complies with this Section 8.01 and that all conditions precedent in the Indenture relating to the transaction or series of transactions have been satisfied.</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restrictions in Section 8.01(a)(iii) shall not be applicable to:</w:t>
      </w:r>
    </w:p>
    <w:p>
      <w:pPr>
        <w:spacing w:after="0" w:line="117" w:lineRule="exact"/>
        <w:rPr>
          <w:rFonts w:ascii="Arial" w:cs="Arial" w:eastAsia="Arial" w:hAnsi="Arial"/>
          <w:sz w:val="18"/>
          <w:szCs w:val="18"/>
          <w:color w:val="auto"/>
        </w:rPr>
      </w:pPr>
    </w:p>
    <w:p>
      <w:pPr>
        <w:ind w:left="460" w:firstLine="443"/>
        <w:spacing w:after="0" w:line="342" w:lineRule="auto"/>
        <w:tabs>
          <w:tab w:leader="none" w:pos="1113" w:val="left"/>
        </w:tabs>
        <w:numPr>
          <w:ilvl w:val="1"/>
          <w:numId w:val="102"/>
        </w:numPr>
        <w:rPr>
          <w:rFonts w:ascii="Arial" w:cs="Arial" w:eastAsia="Arial" w:hAnsi="Arial"/>
          <w:sz w:val="16"/>
          <w:szCs w:val="16"/>
          <w:color w:val="auto"/>
        </w:rPr>
      </w:pPr>
      <w:r>
        <w:rPr>
          <w:rFonts w:ascii="Arial" w:cs="Arial" w:eastAsia="Arial" w:hAnsi="Arial"/>
          <w:sz w:val="16"/>
          <w:szCs w:val="16"/>
          <w:color w:val="auto"/>
        </w:rPr>
        <w:t>the merger or consolidation of the Issuer with an affiliate of such Person if the Board of Directors determines in good faith that the purpose of such transaction is principally to change the state of incorporation of the Issuer or convert the form of organization of the Issuer to another form; or</w:t>
      </w:r>
    </w:p>
    <w:p>
      <w:pPr>
        <w:spacing w:after="0" w:line="15" w:lineRule="exact"/>
        <w:rPr>
          <w:rFonts w:ascii="Arial" w:cs="Arial" w:eastAsia="Arial" w:hAnsi="Arial"/>
          <w:sz w:val="16"/>
          <w:szCs w:val="16"/>
          <w:color w:val="auto"/>
        </w:rPr>
      </w:pPr>
    </w:p>
    <w:p>
      <w:pPr>
        <w:ind w:left="460" w:right="80" w:firstLine="443"/>
        <w:spacing w:after="0" w:line="286" w:lineRule="auto"/>
        <w:tabs>
          <w:tab w:leader="none" w:pos="1163" w:val="left"/>
        </w:tabs>
        <w:numPr>
          <w:ilvl w:val="1"/>
          <w:numId w:val="102"/>
        </w:numPr>
        <w:rPr>
          <w:rFonts w:ascii="Arial" w:cs="Arial" w:eastAsia="Arial" w:hAnsi="Arial"/>
          <w:sz w:val="17"/>
          <w:szCs w:val="17"/>
          <w:color w:val="auto"/>
        </w:rPr>
      </w:pPr>
      <w:r>
        <w:rPr>
          <w:rFonts w:ascii="Arial" w:cs="Arial" w:eastAsia="Arial" w:hAnsi="Arial"/>
          <w:sz w:val="17"/>
          <w:szCs w:val="17"/>
          <w:color w:val="auto"/>
        </w:rPr>
        <w:t>the merger of the Issuer with or into a single direct or indirect wholly owned Subsidiary of the Issuer pursuant to Section 1924(b)(4) (or any successor provision) of the Business Corporation Law of the State of Pennsylvania or Section 251(g) (or any successor provision) of the General Corporation Law of the State of Delaware (or similar provision of the Issuer’s state of incorporation).</w:t>
      </w:r>
    </w:p>
    <w:p>
      <w:pPr>
        <w:spacing w:after="0" w:line="166"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i w:val="1"/>
          <w:iCs w:val="1"/>
          <w:color w:val="auto"/>
        </w:rPr>
        <w:t>Successor Substituted.</w:t>
      </w:r>
      <w:r>
        <w:rPr>
          <w:rFonts w:ascii="Arial" w:cs="Arial" w:eastAsia="Arial" w:hAnsi="Arial"/>
          <w:sz w:val="16"/>
          <w:szCs w:val="16"/>
          <w:color w:val="auto"/>
        </w:rPr>
        <w:t xml:space="preserve"> If any consolidation or merger or any sale, assignment, conveyance, lease, transfer or other disposition of all or substantially all of the Issuer’s assets occurs in accordance with the Indenture, the successor Person shall succeed to, and be substituted for, and may exercise every right and power of the Issuer under the Indenture with the same effect as if such successor Person had been named herein as the Issuer, and the Issuer shall (except in the case of a lease) be discharged from all obligations and covenants under the Indenture and any Securities.</w:t>
      </w:r>
    </w:p>
    <w:p>
      <w:pPr>
        <w:spacing w:after="0" w:line="3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9</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EFEASANCE AND</w:t>
      </w:r>
      <w:r>
        <w:rPr>
          <w:rFonts w:ascii="Arial" w:cs="Arial" w:eastAsia="Arial" w:hAnsi="Arial"/>
          <w:sz w:val="18"/>
          <w:szCs w:val="18"/>
          <w:color w:val="auto"/>
        </w:rPr>
        <w:t xml:space="preserve"> D</w:t>
      </w:r>
      <w:r>
        <w:rPr>
          <w:rFonts w:ascii="Arial" w:cs="Arial" w:eastAsia="Arial" w:hAnsi="Arial"/>
          <w:sz w:val="15"/>
          <w:szCs w:val="15"/>
          <w:color w:val="auto"/>
        </w:rPr>
        <w:t>ISCHARGE</w:t>
      </w:r>
      <w:r>
        <w:rPr>
          <w:rFonts w:ascii="Arial" w:cs="Arial" w:eastAsia="Arial" w:hAnsi="Arial"/>
          <w:sz w:val="18"/>
          <w:szCs w:val="18"/>
          <w:color w:val="auto"/>
        </w:rPr>
        <w:t>; U</w:t>
      </w:r>
      <w:r>
        <w:rPr>
          <w:rFonts w:ascii="Arial" w:cs="Arial" w:eastAsia="Arial" w:hAnsi="Arial"/>
          <w:sz w:val="15"/>
          <w:szCs w:val="15"/>
          <w:color w:val="auto"/>
        </w:rPr>
        <w:t>NCLAIMED</w:t>
      </w:r>
      <w:r>
        <w:rPr>
          <w:rFonts w:ascii="Arial" w:cs="Arial" w:eastAsia="Arial" w:hAnsi="Arial"/>
          <w:sz w:val="18"/>
          <w:szCs w:val="18"/>
          <w:color w:val="auto"/>
        </w:rPr>
        <w:t xml:space="preserve"> M</w:t>
      </w:r>
      <w:r>
        <w:rPr>
          <w:rFonts w:ascii="Arial" w:cs="Arial" w:eastAsia="Arial" w:hAnsi="Arial"/>
          <w:sz w:val="15"/>
          <w:szCs w:val="15"/>
          <w:color w:val="auto"/>
        </w:rPr>
        <w:t>ONEYS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9.01. </w:t>
      </w:r>
      <w:r>
        <w:rPr>
          <w:rFonts w:ascii="Arial" w:cs="Arial" w:eastAsia="Arial" w:hAnsi="Arial"/>
          <w:sz w:val="17"/>
          <w:szCs w:val="17"/>
          <w:i w:val="1"/>
          <w:iCs w:val="1"/>
          <w:color w:val="auto"/>
        </w:rPr>
        <w:t>Satisfaction and Discharge of Indenture.</w:t>
      </w:r>
      <w:r>
        <w:rPr>
          <w:rFonts w:ascii="Arial" w:cs="Arial" w:eastAsia="Arial" w:hAnsi="Arial"/>
          <w:sz w:val="17"/>
          <w:szCs w:val="17"/>
          <w:color w:val="auto"/>
        </w:rPr>
        <w:t xml:space="preserve"> The Issuer may terminate its obligations and the obligations of the Guarantors under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Indenture with respect to the Securities of any series and the Guarantees of the Securities of such series when:</w:t>
      </w:r>
    </w:p>
    <w:p>
      <w:pPr>
        <w:spacing w:after="0" w:line="103" w:lineRule="exact"/>
        <w:rPr>
          <w:sz w:val="20"/>
          <w:szCs w:val="20"/>
          <w:color w:val="auto"/>
        </w:rPr>
      </w:pPr>
    </w:p>
    <w:p>
      <w:pPr>
        <w:ind w:right="20" w:firstLine="464"/>
        <w:spacing w:after="0" w:line="291" w:lineRule="auto"/>
        <w:tabs>
          <w:tab w:leader="none" w:pos="701" w:val="left"/>
        </w:tabs>
        <w:numPr>
          <w:ilvl w:val="0"/>
          <w:numId w:val="103"/>
        </w:numPr>
        <w:rPr>
          <w:rFonts w:ascii="Arial" w:cs="Arial" w:eastAsia="Arial" w:hAnsi="Arial"/>
          <w:sz w:val="16"/>
          <w:szCs w:val="16"/>
          <w:color w:val="auto"/>
        </w:rPr>
      </w:pPr>
      <w:r>
        <w:rPr>
          <w:rFonts w:ascii="Arial" w:cs="Arial" w:eastAsia="Arial" w:hAnsi="Arial"/>
          <w:sz w:val="16"/>
          <w:szCs w:val="16"/>
          <w:color w:val="auto"/>
        </w:rPr>
        <w:t>either (i) all the Securities of such series that have been authenticated and delivered have been cancelled or delivered to the Trustee for cancellation (other than any Securities of such series which shall have been destroyed, lost or stolen and which shall have been replaced or paid as provided in</w:t>
      </w:r>
    </w:p>
    <w:p>
      <w:pPr>
        <w:spacing w:after="0"/>
        <w:rPr>
          <w:rFonts w:ascii="Arial" w:cs="Arial" w:eastAsia="Arial" w:hAnsi="Arial"/>
          <w:sz w:val="16"/>
          <w:szCs w:val="16"/>
          <w:color w:val="auto"/>
        </w:rPr>
      </w:pPr>
      <w:r>
        <w:rPr>
          <w:rFonts w:ascii="Arial" w:cs="Arial" w:eastAsia="Arial" w:hAnsi="Arial"/>
          <w:sz w:val="18"/>
          <w:szCs w:val="18"/>
          <w:color w:val="auto"/>
        </w:rPr>
        <w:t>Section 2.09); or (ii) all the Securities of such series issued that have not been cancelled or delivered to the Trustee for cancellation</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20"/>
          </w:cols>
          <w:pgMar w:left="240" w:top="274" w:right="339" w:bottom="1440" w:gutter="0" w:footer="0" w:header="0"/>
        </w:sectPr>
      </w:pPr>
    </w:p>
    <w:bookmarkStart w:id="121" w:name="page122"/>
    <w:bookmarkEnd w:id="12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have become due and payable, or are by their terms to become due and payable at their final maturity within one year, or are to be called for redemption within one year, under irrevocable arrangements satisfactory to the Trustee for the giving of notice of redemption by the Trustee in the Issuer’s name, and at the Issuer’s expense, and the Issuer shall have irrevocably deposited or caused to be deposited with the Trustee sufficient funds to pay and discharge the entire indebtedness on the Securities of such series to pay principal and interest; and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 The Issuer shall have paid or caused to be paid all other sums then due and payable under the Indenture with respect to the Securities of such series;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right="40" w:firstLine="464"/>
        <w:spacing w:after="0" w:line="308" w:lineRule="auto"/>
        <w:tabs>
          <w:tab w:leader="none" w:pos="701"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Issuer shall have delivered to the Trustee an Officer’s Certificate and an Opinion of Counsel each stating that all conditions precedent under the Indenture relating to the satisfaction and discharge of the Indenture with respect to the Securities of such series have been complied with.</w:t>
      </w:r>
    </w:p>
    <w:p>
      <w:pPr>
        <w:spacing w:after="0" w:line="14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If the foregoing conditions are met, the Trustee, on written demand of the Issuer accompanied by an Officer’s Certificate and an Opinion of Counsel complying with Section 10.05 and at the cost and expense of the Issuer, shall execute proper instruments prepared by the Issuer acknowledging such satisfaction of and discharging the Indenture with respect to the Securities of a series, except as to:</w:t>
      </w:r>
    </w:p>
    <w:p>
      <w:pPr>
        <w:spacing w:after="0" w:line="73" w:lineRule="exact"/>
        <w:rPr>
          <w:sz w:val="20"/>
          <w:szCs w:val="20"/>
          <w:color w:val="auto"/>
        </w:rPr>
      </w:pPr>
    </w:p>
    <w:p>
      <w:pPr>
        <w:ind w:left="1120" w:hanging="217"/>
        <w:spacing w:after="0"/>
        <w:tabs>
          <w:tab w:leader="none" w:pos="11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rights of registration of transfer and exchange of Securities of such series, and the Issuer’s right of optional redemption, if any;</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substitution of mutilated, defaced, destroyed, lost or stolen Securities;</w:t>
      </w:r>
    </w:p>
    <w:p>
      <w:pPr>
        <w:spacing w:after="0" w:line="117" w:lineRule="exact"/>
        <w:rPr>
          <w:rFonts w:ascii="Arial" w:cs="Arial" w:eastAsia="Arial" w:hAnsi="Arial"/>
          <w:sz w:val="18"/>
          <w:szCs w:val="18"/>
          <w:color w:val="auto"/>
        </w:rPr>
      </w:pPr>
    </w:p>
    <w:p>
      <w:pPr>
        <w:ind w:left="1220" w:hanging="317"/>
        <w:spacing w:after="0"/>
        <w:tabs>
          <w:tab w:leader="none" w:pos="12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rights of Holders to receive payments when due of principal thereof and interest thereon;</w:t>
      </w:r>
    </w:p>
    <w:p>
      <w:pPr>
        <w:spacing w:after="0" w:line="117" w:lineRule="exact"/>
        <w:rPr>
          <w:rFonts w:ascii="Arial" w:cs="Arial" w:eastAsia="Arial" w:hAnsi="Arial"/>
          <w:sz w:val="18"/>
          <w:szCs w:val="18"/>
          <w:color w:val="auto"/>
        </w:rPr>
      </w:pPr>
    </w:p>
    <w:p>
      <w:pPr>
        <w:ind w:left="1200" w:hanging="297"/>
        <w:spacing w:after="0"/>
        <w:tabs>
          <w:tab w:leader="none" w:pos="12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rights, powers, trusts, duties and immunities of the Trustee hereunder, including the obligations of the Issuer under Section 5.07;</w:t>
      </w:r>
    </w:p>
    <w:p>
      <w:pPr>
        <w:spacing w:after="0" w:line="128" w:lineRule="exact"/>
        <w:rPr>
          <w:rFonts w:ascii="Arial" w:cs="Arial" w:eastAsia="Arial" w:hAnsi="Arial"/>
          <w:sz w:val="17"/>
          <w:szCs w:val="17"/>
          <w:color w:val="auto"/>
        </w:rPr>
      </w:pPr>
    </w:p>
    <w:p>
      <w:pPr>
        <w:ind w:left="460" w:right="100" w:firstLine="443"/>
        <w:spacing w:after="0" w:line="277" w:lineRule="auto"/>
        <w:tabs>
          <w:tab w:leader="none" w:pos="115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rights of the Holders of such series as beneficiaries hereof with respect to the Property so deposited with the Trustee payable to all or any of them; and</w:t>
      </w:r>
    </w:p>
    <w:p>
      <w:pPr>
        <w:spacing w:after="0" w:line="62" w:lineRule="exact"/>
        <w:rPr>
          <w:rFonts w:ascii="Arial" w:cs="Arial" w:eastAsia="Arial" w:hAnsi="Arial"/>
          <w:sz w:val="18"/>
          <w:szCs w:val="18"/>
          <w:color w:val="auto"/>
        </w:rPr>
      </w:pPr>
    </w:p>
    <w:p>
      <w:pPr>
        <w:ind w:left="1200" w:hanging="297"/>
        <w:spacing w:after="0"/>
        <w:tabs>
          <w:tab w:leader="none" w:pos="12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rights of the Issuer to be repaid any money pursuant to Sections 9.05 and 9.06.</w:t>
      </w:r>
    </w:p>
    <w:p>
      <w:pPr>
        <w:spacing w:after="0" w:line="225"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i w:val="1"/>
          <w:iCs w:val="1"/>
          <w:color w:val="auto"/>
        </w:rPr>
        <w:t>Legal Defeasance.</w:t>
      </w:r>
      <w:r>
        <w:rPr>
          <w:rFonts w:ascii="Arial" w:cs="Arial" w:eastAsia="Arial" w:hAnsi="Arial"/>
          <w:sz w:val="18"/>
          <w:szCs w:val="18"/>
          <w:color w:val="auto"/>
        </w:rPr>
        <w:t xml:space="preserve"> After the 91st day following the deposit referred to in Section 9.02(a), the Issuer will be deemed to have paid and will be discharged from its obligations in respect of the Securities of any series and the Indenture, other than the Issuer’s obligations in Article 2 and Section 3.02, Section 5.07, Section 5.11 and listed in clauses (i), (ii), (iii), (iv), (v) and (vi) of Section 9.01(c), and the Guarantees will no longer be in effect with respect to the Securities of such series, provided the following conditions have been satisfied: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74" w:right="259" w:bottom="1440" w:gutter="0" w:footer="0" w:header="0"/>
        </w:sectPr>
      </w:pPr>
    </w:p>
    <w:bookmarkStart w:id="122" w:name="page123"/>
    <w:bookmarkEnd w:id="122"/>
    <w:p>
      <w:pPr>
        <w:ind w:firstLine="464"/>
        <w:spacing w:after="0" w:line="271" w:lineRule="auto"/>
        <w:tabs>
          <w:tab w:leader="none" w:pos="701" w:val="left"/>
        </w:tabs>
        <w:numPr>
          <w:ilvl w:val="0"/>
          <w:numId w:val="10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Issuer has irrevocably deposited or caused to be deposited with the Trustee as trust funds for the purpose of making the following payments, specifically pledged as security for, and dedicated solely to the benefit of the Holders of the Securities of such series cash, Governmental Obligations or a combination thereof (other than cash in an amount equal to moneys repaid by the Trustee or any paying agent to the Issuer in accordance with Section 9.06), in each case, sufficient (with respect to Governmental Obligations, such sufficiency shall be measured with respect to the scheduled payments of principal and interest thereon) without reinvestment, in the written opinion of a nationally recognized firm of independent public accountants, to pay and discharge, and which shall be applied by the Trustee to pay and discharge, all of the principal of and interest on such Securities due on or prior to maturity or if the Issuer has made irrevocable arrangements satisfactory to the Trustee for the giving of notice of redemption by the Trustee in the Issuer’s name and at the Issuer’s expense, due on or prior to the redemption date;</w:t>
      </w:r>
    </w:p>
    <w:p>
      <w:pPr>
        <w:spacing w:after="0" w:line="178" w:lineRule="exact"/>
        <w:rPr>
          <w:rFonts w:ascii="Arial" w:cs="Arial" w:eastAsia="Arial" w:hAnsi="Arial"/>
          <w:sz w:val="17"/>
          <w:szCs w:val="17"/>
          <w:color w:val="auto"/>
        </w:rPr>
      </w:pPr>
    </w:p>
    <w:p>
      <w:pPr>
        <w:ind w:left="720" w:hanging="256"/>
        <w:spacing w:after="0"/>
        <w:tabs>
          <w:tab w:leader="none" w:pos="7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Issuer has delivered to the Trustee an Opinion of Counsel stating that, as a result of an Internal Revenue Service ruling or a change in</w:t>
      </w:r>
    </w:p>
    <w:p>
      <w:pPr>
        <w:spacing w:after="0" w:line="34" w:lineRule="exact"/>
        <w:rPr>
          <w:rFonts w:ascii="Arial" w:cs="Arial" w:eastAsia="Arial" w:hAnsi="Arial"/>
          <w:sz w:val="17"/>
          <w:szCs w:val="17"/>
          <w:color w:val="auto"/>
        </w:rPr>
      </w:pPr>
    </w:p>
    <w:p>
      <w:pPr>
        <w:ind w:right="60"/>
        <w:spacing w:after="0" w:line="255" w:lineRule="auto"/>
        <w:rPr>
          <w:rFonts w:ascii="Arial" w:cs="Arial" w:eastAsia="Arial" w:hAnsi="Arial"/>
          <w:sz w:val="17"/>
          <w:szCs w:val="17"/>
          <w:color w:val="auto"/>
        </w:rPr>
      </w:pPr>
      <w:r>
        <w:rPr>
          <w:rFonts w:ascii="Arial" w:cs="Arial" w:eastAsia="Arial" w:hAnsi="Arial"/>
          <w:sz w:val="18"/>
          <w:szCs w:val="18"/>
          <w:color w:val="auto"/>
        </w:rPr>
        <w:t>applicable federal income tax law, the Holders of the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190" w:lineRule="exact"/>
        <w:rPr>
          <w:rFonts w:ascii="Arial" w:cs="Arial" w:eastAsia="Arial" w:hAnsi="Arial"/>
          <w:sz w:val="17"/>
          <w:szCs w:val="17"/>
          <w:color w:val="auto"/>
        </w:rPr>
      </w:pPr>
    </w:p>
    <w:p>
      <w:pPr>
        <w:ind w:right="180" w:firstLine="464"/>
        <w:spacing w:after="0" w:line="302" w:lineRule="auto"/>
        <w:tabs>
          <w:tab w:leader="none" w:pos="701" w:val="left"/>
        </w:tabs>
        <w:numPr>
          <w:ilvl w:val="0"/>
          <w:numId w:val="106"/>
        </w:numPr>
        <w:rPr>
          <w:rFonts w:ascii="Arial" w:cs="Arial" w:eastAsia="Arial" w:hAnsi="Arial"/>
          <w:sz w:val="16"/>
          <w:szCs w:val="16"/>
          <w:color w:val="auto"/>
        </w:rPr>
      </w:pPr>
      <w:r>
        <w:rPr>
          <w:rFonts w:ascii="Arial" w:cs="Arial" w:eastAsia="Arial" w:hAnsi="Arial"/>
          <w:sz w:val="16"/>
          <w:szCs w:val="16"/>
          <w:color w:val="auto"/>
        </w:rPr>
        <w:t>No default with respect to the Outstanding Securities of such series has occurred and is continuing at the time of such deposit after giving effect to the deposit or, in the case of legal defeasance under this Section 9.02,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154" w:lineRule="exact"/>
        <w:rPr>
          <w:rFonts w:ascii="Arial" w:cs="Arial" w:eastAsia="Arial" w:hAnsi="Arial"/>
          <w:sz w:val="16"/>
          <w:szCs w:val="16"/>
          <w:color w:val="auto"/>
        </w:rPr>
      </w:pPr>
    </w:p>
    <w:p>
      <w:pPr>
        <w:ind w:right="300" w:firstLine="464"/>
        <w:spacing w:after="0" w:line="277" w:lineRule="auto"/>
        <w:tabs>
          <w:tab w:leader="none" w:pos="71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defeasance will not cause the Trustee to have a conflicting interest within the meaning of the Trust Indenture Act, assuming all Securities of such series were in default within the meaning of such Act;</w:t>
      </w:r>
    </w:p>
    <w:p>
      <w:pPr>
        <w:spacing w:after="0" w:line="170" w:lineRule="exact"/>
        <w:rPr>
          <w:rFonts w:ascii="Arial" w:cs="Arial" w:eastAsia="Arial" w:hAnsi="Arial"/>
          <w:sz w:val="18"/>
          <w:szCs w:val="18"/>
          <w:color w:val="auto"/>
        </w:rPr>
      </w:pPr>
    </w:p>
    <w:p>
      <w:pPr>
        <w:jc w:val="both"/>
        <w:ind w:right="140" w:firstLine="464"/>
        <w:spacing w:after="0" w:line="264" w:lineRule="auto"/>
        <w:tabs>
          <w:tab w:leader="none" w:pos="70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defeasance will not result in a breach or violation of, or constitute a default under, the Indenture (other than an Event of Default resulting from the borrowing of funds to be applied to such deposit and the grant of any Lien securing such borrowings), the Guarantees or any other material agreement or instrument to which the Issuer is a party;</w:t>
      </w:r>
    </w:p>
    <w:p>
      <w:pPr>
        <w:spacing w:after="0" w:line="181" w:lineRule="exact"/>
        <w:rPr>
          <w:rFonts w:ascii="Arial" w:cs="Arial" w:eastAsia="Arial" w:hAnsi="Arial"/>
          <w:sz w:val="18"/>
          <w:szCs w:val="18"/>
          <w:color w:val="auto"/>
        </w:rPr>
      </w:pPr>
    </w:p>
    <w:p>
      <w:pPr>
        <w:ind w:right="500" w:firstLine="464"/>
        <w:spacing w:after="0" w:line="277" w:lineRule="auto"/>
        <w:tabs>
          <w:tab w:leader="none" w:pos="68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defeasance will not result in the trust arising from such deposit constituting an investment company within the meaning of the Investment Company Act of 1940, as amended, unless the trust is registered under such Act or exempt from registration;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123" w:name="page124"/>
    <w:bookmarkEnd w:id="123"/>
    <w:p>
      <w:pPr>
        <w:ind w:right="660" w:firstLine="464"/>
        <w:spacing w:after="0" w:line="277" w:lineRule="auto"/>
        <w:tabs>
          <w:tab w:leader="none" w:pos="711" w:val="left"/>
        </w:tabs>
        <w:numPr>
          <w:ilvl w:val="0"/>
          <w:numId w:val="1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Issuer has delivered to the Trustee an Officer’s Certificate and an Opinion of Counsel, in each case stating that all conditions precedent provided for herein relating to the defeasance have been complied with;</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Prior to the end of the 91-day period, none of the Issuer’s or any Guarantor’s obligations under the Indenture will be discharged. Thereafter, the Trustee upon request will acknowledge in writing the discharge of the Issuer’s and the Guarantors’ obligations under the Securities and the Indenture except for the surviving obligations specified above.</w:t>
      </w:r>
    </w:p>
    <w:p>
      <w:pPr>
        <w:spacing w:after="0" w:line="18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 xml:space="preserve">Section 9.03. </w:t>
      </w:r>
      <w:r>
        <w:rPr>
          <w:rFonts w:ascii="Arial" w:cs="Arial" w:eastAsia="Arial" w:hAnsi="Arial"/>
          <w:sz w:val="17"/>
          <w:szCs w:val="17"/>
          <w:i w:val="1"/>
          <w:iCs w:val="1"/>
          <w:color w:val="auto"/>
        </w:rPr>
        <w:t>Covenant Defeasance.</w:t>
      </w:r>
      <w:r>
        <w:rPr>
          <w:rFonts w:ascii="Arial" w:cs="Arial" w:eastAsia="Arial" w:hAnsi="Arial"/>
          <w:sz w:val="17"/>
          <w:szCs w:val="17"/>
          <w:color w:val="auto"/>
        </w:rPr>
        <w:t xml:space="preserve"> After the 91st day following the deposit referred to in Section 9.02(a) with respect to the Securities of a series, the Issuer’s and the Guarantors’ obligations with respect to the Securities of such series set forth in Section 3.06, Section 3.07 and Section 8.01 will terminate and Section 4.01(c) (insofar as relating to the covenants subject to the covenant defeasance pursuant to this Section 9.03) will no longer constitute a default with respect to the Securities of such series, provided the following conditions have been satisfied:</w:t>
      </w:r>
    </w:p>
    <w:p>
      <w:pPr>
        <w:spacing w:after="0" w:line="63" w:lineRule="exact"/>
        <w:rPr>
          <w:sz w:val="20"/>
          <w:szCs w:val="20"/>
          <w:color w:val="auto"/>
        </w:rPr>
      </w:pPr>
    </w:p>
    <w:p>
      <w:pPr>
        <w:ind w:left="700" w:hanging="236"/>
        <w:spacing w:after="0"/>
        <w:tabs>
          <w:tab w:leader="none" w:pos="7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Issuer has complied with clauses (a), (c), (d), (e), (f) and (g) of Section 9.02; and</w:t>
      </w:r>
    </w:p>
    <w:p>
      <w:pPr>
        <w:spacing w:after="0" w:line="225" w:lineRule="exact"/>
        <w:rPr>
          <w:rFonts w:ascii="Arial" w:cs="Arial" w:eastAsia="Arial" w:hAnsi="Arial"/>
          <w:sz w:val="18"/>
          <w:szCs w:val="18"/>
          <w:color w:val="auto"/>
        </w:rPr>
      </w:pPr>
    </w:p>
    <w:p>
      <w:pPr>
        <w:ind w:right="60" w:firstLine="464"/>
        <w:spacing w:after="0" w:line="264" w:lineRule="auto"/>
        <w:tabs>
          <w:tab w:leader="none" w:pos="71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Issuer has delivered to the Trustee an Opinion of Counsel to the effect that the Holders of the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Notwithstanding a covenant defeasance with respect to Section 8.01, any Person to whom a sale, assignment, conveyance, lease, transfer or other disposition is made pursuant to Section 8.01, shall as a condition to such sale, assignment, conveyance, lease, transfer or other disposition, assume by an indenture supplemental hereto in form satisfactory to the Trustee, executed by such successor Person and delivered to the Trustee, the obligations of the Issuer to the Trustee under Section 5.07 and the second to the last paragraph of Section 9.04.</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Except as specifically stated above, none of the Issuer’s, or except as provided in Section 12.09 any Guarantor’s, obligations under the Indenture will be discharged.</w:t>
      </w:r>
    </w:p>
    <w:p>
      <w:pPr>
        <w:spacing w:after="0" w:line="170" w:lineRule="exact"/>
        <w:rPr>
          <w:sz w:val="20"/>
          <w:szCs w:val="20"/>
          <w:color w:val="auto"/>
        </w:rPr>
      </w:pPr>
    </w:p>
    <w:p>
      <w:pPr>
        <w:jc w:val="both"/>
        <w:ind w:right="120" w:firstLine="456"/>
        <w:spacing w:after="0" w:line="273" w:lineRule="auto"/>
        <w:rPr>
          <w:sz w:val="20"/>
          <w:szCs w:val="20"/>
          <w:color w:val="auto"/>
        </w:rPr>
      </w:pPr>
      <w:r>
        <w:rPr>
          <w:rFonts w:ascii="Arial" w:cs="Arial" w:eastAsia="Arial" w:hAnsi="Arial"/>
          <w:sz w:val="17"/>
          <w:szCs w:val="17"/>
          <w:color w:val="auto"/>
        </w:rPr>
        <w:t xml:space="preserve">Section 9.04. </w:t>
      </w:r>
      <w:r>
        <w:rPr>
          <w:rFonts w:ascii="Arial" w:cs="Arial" w:eastAsia="Arial" w:hAnsi="Arial"/>
          <w:sz w:val="17"/>
          <w:szCs w:val="17"/>
          <w:i w:val="1"/>
          <w:iCs w:val="1"/>
          <w:color w:val="auto"/>
        </w:rPr>
        <w:t>Application by Trustee of Funds Deposited for Payment of Securities.</w:t>
      </w:r>
      <w:r>
        <w:rPr>
          <w:rFonts w:ascii="Arial" w:cs="Arial" w:eastAsia="Arial" w:hAnsi="Arial"/>
          <w:sz w:val="17"/>
          <w:szCs w:val="17"/>
          <w:color w:val="auto"/>
        </w:rPr>
        <w:t xml:space="preserve"> Subject to Section 9.06, all moneys and Governmental Obligations (including the proceeds thereof) deposited with the Trustee pursuant to Section 9.01 or Section 9.02 with respect to the Securities of a series shall be held in trust and applied by it to the payment, either directly or through any paying agent (including the Issuer acting as its own paying agent), to the Holders of the particular Securities of such series for the payment or redemption of which such moneys or Governmental Obligations have been deposited with the Trustee, of all sums due and to become due thereon for principal and interest. Such moneys and Governmental Obligations (including the proceeds thereof) need not be segregated from other funds except to the extent required by law.</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124" w:name="page125"/>
    <w:bookmarkEnd w:id="124"/>
    <w:p>
      <w:pPr>
        <w:ind w:right="28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Issuer shall pay and indemnify the Trustee against any tax, fee or other charge imposed on or assessed against the cash or Governmental Obligations deposited pursuant to Section 9.01 or Section 9.02 or the principal and interest received in respect thereof other than any such tax, fee or other charge which by law is for the account of the Holders.</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Anything in this Article 9 to the contrary notwithstanding, the Trustee shall deliver or pay to the Issuer from time to time upon the request of the Issuer any moneys held by it as provided in Section 9.04 which, in the opinion of a nationally recognized firm of independent public accountants expressed in a written certification thereof delivered to the Trustee (which may be the opinion delivered under Section 9.02(a) but which opinion need not be given unless Governmental Obligations have been deposited), are in excess of the amount thereof that would then be required to be deposited to effect an equivalent satisfaction and discharge, legal defeasance or covenant defeasance.</w:t>
      </w:r>
    </w:p>
    <w:p>
      <w:pPr>
        <w:spacing w:after="0" w:line="18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i w:val="1"/>
          <w:iCs w:val="1"/>
          <w:color w:val="auto"/>
        </w:rPr>
        <w:t>Repayment of Moneys Held by Paying Agent.</w:t>
      </w:r>
      <w:r>
        <w:rPr>
          <w:rFonts w:ascii="Arial" w:cs="Arial" w:eastAsia="Arial" w:hAnsi="Arial"/>
          <w:sz w:val="18"/>
          <w:szCs w:val="18"/>
          <w:color w:val="auto"/>
        </w:rPr>
        <w:t xml:space="preserve"> In connection with the satisfaction and discharge of the Indenture with respect to Securities of any series, all moneys then held by any paying agent under the provisions of the Indenture with respect to such series of Securities shall, upon demand of the Issuer, be repaid to the Issuer or paid to the Trustee and thereupon such paying agent shall be released from all further liability with respect to such moneys.</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Section 9.06. </w:t>
      </w:r>
      <w:r>
        <w:rPr>
          <w:rFonts w:ascii="Arial" w:cs="Arial" w:eastAsia="Arial" w:hAnsi="Arial"/>
          <w:sz w:val="17"/>
          <w:szCs w:val="17"/>
          <w:i w:val="1"/>
          <w:iCs w:val="1"/>
          <w:color w:val="auto"/>
        </w:rPr>
        <w:t>Return of Moneys Held by Trustee and Paying Agent Unclaimed for Two Years.</w:t>
      </w:r>
      <w:r>
        <w:rPr>
          <w:rFonts w:ascii="Arial" w:cs="Arial" w:eastAsia="Arial" w:hAnsi="Arial"/>
          <w:sz w:val="17"/>
          <w:szCs w:val="17"/>
          <w:color w:val="auto"/>
        </w:rPr>
        <w:t xml:space="preserve"> Any moneys deposited with or paid to the Trustee or any paying agent for the payment of the principal of or interest on any Security of any series and not applied but remaining unclaimed for two years after the date upon which such principal or interest shall have become due and payable, shall, upon the written request of the Issuer and unless otherwise required by mandatory provisions of applicable escheat or abandoned or unclaimed property law, be repaid to the Issuer by the Trustee for such series or such paying agent, and the Holder of the Security of such series shall, unless otherwise required by mandatory provisions of applicable escheat or abandoned or unclaimed property laws, thereafter look only to the Issuer for any payment which such Holder may be entitled to collect, and all liability of the Trustee or any paying agent with respect to such moneys shall thereupon cease.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ISCELLANEOUS</w:t>
      </w:r>
      <w:r>
        <w:rPr>
          <w:rFonts w:ascii="Arial" w:cs="Arial" w:eastAsia="Arial" w:hAnsi="Arial"/>
          <w:sz w:val="18"/>
          <w:szCs w:val="18"/>
          <w:color w:val="auto"/>
        </w:rPr>
        <w:t xml:space="preserve"> P</w:t>
      </w:r>
      <w:r>
        <w:rPr>
          <w:rFonts w:ascii="Arial" w:cs="Arial" w:eastAsia="Arial" w:hAnsi="Arial"/>
          <w:sz w:val="15"/>
          <w:szCs w:val="15"/>
          <w:color w:val="auto"/>
        </w:rPr>
        <w:t>ROVISIONS</w:t>
      </w:r>
    </w:p>
    <w:p>
      <w:pPr>
        <w:spacing w:after="0" w:line="21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Incorporators, Stockholders, Employees, Officers and Directors Exempt from Individual Liability.</w:t>
      </w:r>
      <w:r>
        <w:rPr>
          <w:rFonts w:ascii="Arial" w:cs="Arial" w:eastAsia="Arial" w:hAnsi="Arial"/>
          <w:sz w:val="18"/>
          <w:szCs w:val="18"/>
          <w:color w:val="auto"/>
        </w:rPr>
        <w:t xml:space="preserve"> No recourse under or upon any obligation, covenant or agreement contained in the Indenture, the Guarantees or in any Security, or because of any indebtedness evidenced thereby, shall be had against any incorporator, as such, or against any past, present or future stockholder, employee, officer or director, as such, of the Issuer, any Guarantor, or of any of their respective successors, either directly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74" w:right="259" w:bottom="1440" w:gutter="0" w:footer="0" w:header="0"/>
        </w:sectPr>
      </w:pPr>
    </w:p>
    <w:bookmarkStart w:id="125" w:name="page126"/>
    <w:bookmarkEnd w:id="125"/>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through the Issuer,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w:t>
      </w:r>
    </w:p>
    <w:p>
      <w:pPr>
        <w:spacing w:after="0" w:line="18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 xml:space="preserve">Section 10.02. </w:t>
      </w:r>
      <w:r>
        <w:rPr>
          <w:rFonts w:ascii="Arial" w:cs="Arial" w:eastAsia="Arial" w:hAnsi="Arial"/>
          <w:sz w:val="17"/>
          <w:szCs w:val="17"/>
          <w:i w:val="1"/>
          <w:iCs w:val="1"/>
          <w:color w:val="auto"/>
        </w:rPr>
        <w:t>Provisions of Indenture for the Sole Benefit of Parties and Holders.</w:t>
      </w:r>
      <w:r>
        <w:rPr>
          <w:rFonts w:ascii="Arial" w:cs="Arial" w:eastAsia="Arial" w:hAnsi="Arial"/>
          <w:sz w:val="17"/>
          <w:szCs w:val="17"/>
          <w:color w:val="auto"/>
        </w:rPr>
        <w:t xml:space="preserve"> Nothing in the Indenture or in the Securities, expressed or implied, shall give or be construed to give to any Person, firm or corporation, other than the parties hereto and their successors and the Holders of the Securities, any legal or equitable right, remedy or claim under the Indenture or under any covenant or provision herein contained, all such covenants and provisions being for the sole benefit of the parties hereto and their successors and of the Holders of the Securities.</w:t>
      </w:r>
    </w:p>
    <w:p>
      <w:pPr>
        <w:spacing w:after="0" w:line="17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i w:val="1"/>
          <w:iCs w:val="1"/>
          <w:color w:val="auto"/>
        </w:rPr>
        <w:t>Successors and Assigns of Issuer Bound by Indenture.</w:t>
      </w:r>
      <w:r>
        <w:rPr>
          <w:rFonts w:ascii="Arial" w:cs="Arial" w:eastAsia="Arial" w:hAnsi="Arial"/>
          <w:sz w:val="18"/>
          <w:szCs w:val="18"/>
          <w:color w:val="auto"/>
        </w:rPr>
        <w:t xml:space="preserve"> All the terms, covenants and agreements of the Issuer and, except as provided in Section 12.09, each Guarantor in the Indenture and the Securities shall bind its successors and assigns.</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Section 10.04. </w:t>
      </w:r>
      <w:r>
        <w:rPr>
          <w:rFonts w:ascii="Arial" w:cs="Arial" w:eastAsia="Arial" w:hAnsi="Arial"/>
          <w:sz w:val="17"/>
          <w:szCs w:val="17"/>
          <w:i w:val="1"/>
          <w:iCs w:val="1"/>
          <w:color w:val="auto"/>
        </w:rPr>
        <w:t>Notices and Demands on Issuer, Trustee and Holders.</w:t>
      </w:r>
      <w:r>
        <w:rPr>
          <w:rFonts w:ascii="Arial" w:cs="Arial" w:eastAsia="Arial" w:hAnsi="Arial"/>
          <w:sz w:val="17"/>
          <w:szCs w:val="17"/>
          <w:color w:val="auto"/>
        </w:rPr>
        <w:t xml:space="preserve"> Any notice or demand which by any provision of the Indenture is required or permitted to be given or served by the Trustee or by the Holders to or on the Issuer or any Guarantor may be given or served by being deposited postage prepaid, first-class mail (except as otherwise specifically provided herein) addressed (until another address of the Issuer is filed by the Issuer with the Trustee) to Comcast Corporation, One Comcast Center, Philadelphia, PA 19103-2838 (fax: (215) 286-7744), Attention: Treasurer and a copy of such notice or demand shall be sent Attention: General Counsel at the same address. Any notice, direction, request or demand by the Issuer or any Holder to or upon the Trustee shall be deemed to have been sufficiently given or made, for all purposes, if in writing and given or made by being mailed by first-class mail, postage prepaid, addressed to the Corporate Trust Office of the Trustee, attention: Corporate Trust Administration.</w:t>
      </w:r>
    </w:p>
    <w:p>
      <w:pPr>
        <w:spacing w:after="0" w:line="17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The Trustee agrees to accept and act upon instructions or directions pursuant to this Indenture sent by unsecured e-mail, PDF, facsimile transmission or other similar unsecured electronic methods,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Trustee shall have received an incumbency certificate listing persons designated to give such instructions or directions and containing specimen signatures of such designated persons, which such incumbency certificate shall be amended and replaced whenever a person is to be added or deleted from the listing. If the Issuer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Issuer agrees to assume all risks arising out of the use of such electronic methods to submit instructions and directions to the Trustee, including without limitation the risk of the Trustee acting on unauthorized instructions, and the risk or interception and misuse by third parties.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4" w:right="239" w:bottom="1440" w:gutter="0" w:footer="0" w:header="0"/>
        </w:sectPr>
      </w:pPr>
    </w:p>
    <w:bookmarkStart w:id="126" w:name="page127"/>
    <w:bookmarkEnd w:id="126"/>
    <w:p>
      <w:pPr>
        <w:ind w:right="160" w:firstLine="456"/>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Where the Indenture provides for notice to Holders, such notice shall be sufficiently given (unless otherwise herein expressly provided) if in writing and mailed, first-class postage prepaid, to each Holder entitled thereto, at his last address as it appears in the Register. In any case where notice to Holders is given by mail, neither the failure to mail such notice, nor any defect in any notice so mailed, to any particular Holder shall affect the sufficiency of such notice with respect to other Holders. Where the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65"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In case, by reason of the suspension of or irregularities in regular mail service, it shall be impracticable to mail notice to the Issuer and Holders when such notice is required to be given pursuant to any provision of the Indenture, then any manner of giving such notice as shall be satisfactory to the Trustee shall be deemed to be a sufficient giving of such notice.</w:t>
      </w:r>
    </w:p>
    <w:p>
      <w:pPr>
        <w:spacing w:after="0" w:line="18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i w:val="1"/>
          <w:iCs w:val="1"/>
          <w:color w:val="auto"/>
        </w:rPr>
        <w:t>Officer’s Certificates and Opinions of Counsel; Statements to Be Contained Therein.</w:t>
      </w:r>
      <w:r>
        <w:rPr>
          <w:rFonts w:ascii="Arial" w:cs="Arial" w:eastAsia="Arial" w:hAnsi="Arial"/>
          <w:sz w:val="18"/>
          <w:szCs w:val="18"/>
          <w:color w:val="auto"/>
        </w:rPr>
        <w:t xml:space="preserve"> Upon any application or demand by the Issuer to the Trustee to take any action under any of the provisions of the Indenture, the Issuer shall furnish to the Trustee an Officer’s Certificate stating that all conditions precedent, if any, provided for in the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the Indenture relating to such particular application or demand, no additional certificate or opinion need be furnished.</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Each certificate or opinion provided for in the Indenture and delivered to the Trustee with respect to compliance with a condition or covenant provided for in the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has made such examination or investigation as is necessary to enable him to express an informed opinion as to whether or not such covenant or condition has been complied with and (d) a statement as to whether or not, in the opinion of such Person, such condition or covenant has been complied with.</w:t>
      </w:r>
    </w:p>
    <w:p>
      <w:pPr>
        <w:spacing w:after="0" w:line="193"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Any certificate, statement or opinion of an officer of the Issuer may be based, insofar as it relates to legal matters, upon a certificate or opinion of or representations by counsel, unless such officer knows that the certificate or opinion or representations with respect to the matters upon which his certificate, statement or opinion may be based as aforesaid are erroneous, or in the exercise of reasonable care should know that the same are erroneous. Any certificate, statement or Opinion of Counsel may be based, insofar as it relates to factual matters, information with respect to which is in the possession of the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4" w:right="239" w:bottom="1440" w:gutter="0" w:footer="0" w:header="0"/>
        </w:sectPr>
      </w:pPr>
    </w:p>
    <w:bookmarkStart w:id="127" w:name="page128"/>
    <w:bookmarkEnd w:id="127"/>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Issuer, upon the certificate, statement or opinion of or representations by an officer or officers of the Issuer, unless such counsel knows that the certificate, statement or opinion or representations with respect to the matters upon which his certificate, statement or opinion may be based as aforesaid are erroneous, or in the exercise of reasonable care should know that the same are erroneous.</w:t>
      </w:r>
    </w:p>
    <w:p>
      <w:pPr>
        <w:spacing w:after="0" w:line="18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Any certificate, statement or opinion of an officer of the Issuer or Opinion of Counsel may be based, insofar as it relates to accounting matters, upon a certificate or opinion of or representations by an accountant or firm of accountants in the employ of the Issuer, unless such officer or counsel, as the case may be, knows that the certificate or opinion or representations with respect to the accounting matters upon which his certificate, statement or opinion may be based as aforesaid are erroneous, or in the exercise of reasonable care should know that the same are erroneous.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certificate or opinion of any independent firm of public accountants filed with the Trustee shall contain a statement that such firm is independent.</w:t>
      </w:r>
    </w:p>
    <w:p>
      <w:pPr>
        <w:spacing w:after="0" w:line="24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i w:val="1"/>
          <w:iCs w:val="1"/>
          <w:color w:val="auto"/>
        </w:rPr>
        <w:t>Payments Due on Saturdays, Sundays and Holidays.</w:t>
      </w:r>
      <w:r>
        <w:rPr>
          <w:rFonts w:ascii="Arial" w:cs="Arial" w:eastAsia="Arial" w:hAnsi="Arial"/>
          <w:sz w:val="18"/>
          <w:szCs w:val="18"/>
          <w:color w:val="auto"/>
        </w:rPr>
        <w:t xml:space="preserve"> Except as provided pursuant to Section 2.01 and Section 2.03 pursuant to a Resolution of the Board of Directors and as set forth in an Officer’s Certificate, or established in one or more indentures supplemental to the Indenture, each in accordance with Section 2.03, if the date of maturity of interest on or principal of the Securities of any series or the date fixed for redemption or repayment of any such Security shall not be a Business Day, then payment of interest or principal need not be made on such date, but may be made on the next succeeding Business Day with the same force and effect as if made on the date of maturity of interest or principal or the date fixed for redemption, and no interest shall accrue for the period after such date.</w:t>
      </w:r>
    </w:p>
    <w:p>
      <w:pPr>
        <w:spacing w:after="0" w:line="19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i w:val="1"/>
          <w:iCs w:val="1"/>
          <w:color w:val="auto"/>
        </w:rPr>
        <w:t>Trust Indenture Act.</w:t>
      </w:r>
      <w:r>
        <w:rPr>
          <w:rFonts w:ascii="Arial" w:cs="Arial" w:eastAsia="Arial" w:hAnsi="Arial"/>
          <w:sz w:val="18"/>
          <w:szCs w:val="18"/>
          <w:color w:val="auto"/>
        </w:rPr>
        <w:t xml:space="preserve"> The Indenture shall incorporate and be governed by the provisions of the Trust Indenture Act that are required to be part of and to govern indentures qualified under the Trust Indenture Act. If any provision of this Indenture limits, qualifies or conflicts with the duties imposed by the Trust Indenture Act, the imposed duties shall control.</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i w:val="1"/>
          <w:iCs w:val="1"/>
          <w:color w:val="auto"/>
        </w:rPr>
        <w:t>New York Law to Govern; Waiver of Trial by Jury.</w:t>
      </w:r>
      <w:r>
        <w:rPr>
          <w:rFonts w:ascii="Arial" w:cs="Arial" w:eastAsia="Arial" w:hAnsi="Arial"/>
          <w:sz w:val="18"/>
          <w:szCs w:val="18"/>
          <w:color w:val="auto"/>
        </w:rPr>
        <w:t xml:space="preserve"> The Indenture, including any Guarantee, and each Security shall be governed by and construed in accordance with the laws of the State of New York.</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Each of the Issuer, each Guarantor and the Trustee irrevocably waives, to the fullest extent permitted by applicable law, any and all right to trial by jury in any legal proceeding arising out of or relating to the Indenture or the transactions contemplated hereby.</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i w:val="1"/>
          <w:iCs w:val="1"/>
          <w:color w:val="auto"/>
        </w:rPr>
        <w:t>Counterparts.</w:t>
      </w:r>
      <w:r>
        <w:rPr>
          <w:rFonts w:ascii="Arial" w:cs="Arial" w:eastAsia="Arial" w:hAnsi="Arial"/>
          <w:sz w:val="18"/>
          <w:szCs w:val="18"/>
          <w:color w:val="auto"/>
        </w:rPr>
        <w:t xml:space="preserve"> The Indenture may be executed in any number of counterparts, each of which shall be an original, but such counterparts shall together constitute but one and the same instrument.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274" w:right="299" w:bottom="1440" w:gutter="0" w:footer="0" w:header="0"/>
        </w:sectPr>
      </w:pPr>
    </w:p>
    <w:bookmarkStart w:id="128" w:name="page129"/>
    <w:bookmarkEnd w:id="128"/>
    <w:p>
      <w:pPr>
        <w:jc w:val="both"/>
        <w:ind w:right="1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10.10. </w:t>
      </w:r>
      <w:r>
        <w:rPr>
          <w:rFonts w:ascii="Arial" w:cs="Arial" w:eastAsia="Arial" w:hAnsi="Arial"/>
          <w:sz w:val="18"/>
          <w:szCs w:val="18"/>
          <w:i w:val="1"/>
          <w:iCs w:val="1"/>
          <w:color w:val="auto"/>
        </w:rPr>
        <w:t>Effect of Headings.</w:t>
      </w:r>
      <w:r>
        <w:rPr>
          <w:rFonts w:ascii="Arial" w:cs="Arial" w:eastAsia="Arial" w:hAnsi="Arial"/>
          <w:sz w:val="18"/>
          <w:szCs w:val="18"/>
          <w:color w:val="auto"/>
        </w:rPr>
        <w:t xml:space="preserve"> The Article and Section headings herein and the Table of Contents are for convenience only and shall not affect the construction hereof.</w:t>
      </w:r>
    </w:p>
    <w:p>
      <w:pPr>
        <w:spacing w:after="0" w:line="17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i w:val="1"/>
          <w:iCs w:val="1"/>
          <w:color w:val="auto"/>
        </w:rPr>
        <w:t>Separability.</w:t>
      </w:r>
      <w:r>
        <w:rPr>
          <w:rFonts w:ascii="Arial" w:cs="Arial" w:eastAsia="Arial" w:hAnsi="Arial"/>
          <w:sz w:val="18"/>
          <w:szCs w:val="18"/>
          <w:color w:val="auto"/>
        </w:rPr>
        <w:t xml:space="preserve"> In case any one or more of the provisions contained in the Indenture or in the Securities of any series shall for any reason be held to be invalid, illegal, or unenforceable in any respect, such invalidity, illegality or unenforceability shall not affect or impair any other provisions of the Indenture or of such Securities, but the Indenture and such Securities shall be construed as if such invalid or illegal or unenforceable provision had never been contained herein or therein.</w:t>
      </w:r>
    </w:p>
    <w:p>
      <w:pPr>
        <w:spacing w:after="0" w:line="18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 xml:space="preserve">Section 10.12. </w:t>
      </w:r>
      <w:r>
        <w:rPr>
          <w:rFonts w:ascii="Arial" w:cs="Arial" w:eastAsia="Arial" w:hAnsi="Arial"/>
          <w:sz w:val="17"/>
          <w:szCs w:val="17"/>
          <w:i w:val="1"/>
          <w:iCs w:val="1"/>
          <w:color w:val="auto"/>
        </w:rPr>
        <w:t>Force Majeure.</w:t>
      </w:r>
      <w:r>
        <w:rPr>
          <w:rFonts w:ascii="Arial" w:cs="Arial" w:eastAsia="Arial" w:hAnsi="Arial"/>
          <w:sz w:val="17"/>
          <w:szCs w:val="17"/>
          <w:color w:val="auto"/>
        </w:rPr>
        <w:t xml:space="preserve">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73"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 xml:space="preserve">Section 10.13. </w:t>
      </w:r>
      <w:r>
        <w:rPr>
          <w:rFonts w:ascii="Arial" w:cs="Arial" w:eastAsia="Arial" w:hAnsi="Arial"/>
          <w:sz w:val="16"/>
          <w:szCs w:val="16"/>
          <w:i w:val="1"/>
          <w:iCs w:val="1"/>
          <w:color w:val="auto"/>
        </w:rPr>
        <w:t>U.S.A. Patriot Act.</w:t>
      </w:r>
      <w:r>
        <w:rPr>
          <w:rFonts w:ascii="Arial" w:cs="Arial" w:eastAsia="Arial" w:hAnsi="Arial"/>
          <w:sz w:val="16"/>
          <w:szCs w:val="16"/>
          <w:color w:val="auto"/>
        </w:rPr>
        <w:t xml:space="preserve">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w:t>
      </w:r>
      <w:r>
        <w:rPr>
          <w:rFonts w:ascii="Arial" w:cs="Arial" w:eastAsia="Arial" w:hAnsi="Arial"/>
          <w:sz w:val="15"/>
          <w:szCs w:val="15"/>
          <w:color w:val="auto"/>
        </w:rPr>
        <w:t>EDEMPTION OF</w:t>
      </w:r>
      <w:r>
        <w:rPr>
          <w:rFonts w:ascii="Arial" w:cs="Arial" w:eastAsia="Arial" w:hAnsi="Arial"/>
          <w:sz w:val="18"/>
          <w:szCs w:val="18"/>
          <w:color w:val="auto"/>
        </w:rPr>
        <w:t xml:space="preserve"> S</w:t>
      </w:r>
      <w:r>
        <w:rPr>
          <w:rFonts w:ascii="Arial" w:cs="Arial" w:eastAsia="Arial" w:hAnsi="Arial"/>
          <w:sz w:val="15"/>
          <w:szCs w:val="15"/>
          <w:color w:val="auto"/>
        </w:rPr>
        <w:t>ECURITIES AND</w:t>
      </w:r>
      <w:r>
        <w:rPr>
          <w:rFonts w:ascii="Arial" w:cs="Arial" w:eastAsia="Arial" w:hAnsi="Arial"/>
          <w:sz w:val="18"/>
          <w:szCs w:val="18"/>
          <w:color w:val="auto"/>
        </w:rPr>
        <w:t xml:space="preserve"> S</w:t>
      </w:r>
      <w:r>
        <w:rPr>
          <w:rFonts w:ascii="Arial" w:cs="Arial" w:eastAsia="Arial" w:hAnsi="Arial"/>
          <w:sz w:val="15"/>
          <w:szCs w:val="15"/>
          <w:color w:val="auto"/>
        </w:rPr>
        <w:t>INKING</w:t>
      </w:r>
      <w:r>
        <w:rPr>
          <w:rFonts w:ascii="Arial" w:cs="Arial" w:eastAsia="Arial" w:hAnsi="Arial"/>
          <w:sz w:val="18"/>
          <w:szCs w:val="18"/>
          <w:color w:val="auto"/>
        </w:rPr>
        <w:t xml:space="preserve"> F</w:t>
      </w:r>
      <w:r>
        <w:rPr>
          <w:rFonts w:ascii="Arial" w:cs="Arial" w:eastAsia="Arial" w:hAnsi="Arial"/>
          <w:sz w:val="15"/>
          <w:szCs w:val="15"/>
          <w:color w:val="auto"/>
        </w:rPr>
        <w:t>UND</w:t>
      </w:r>
      <w:r>
        <w:rPr>
          <w:rFonts w:ascii="Arial" w:cs="Arial" w:eastAsia="Arial" w:hAnsi="Arial"/>
          <w:sz w:val="18"/>
          <w:szCs w:val="18"/>
          <w:color w:val="auto"/>
        </w:rPr>
        <w:t xml:space="preserve"> P</w:t>
      </w:r>
      <w:r>
        <w:rPr>
          <w:rFonts w:ascii="Arial" w:cs="Arial" w:eastAsia="Arial" w:hAnsi="Arial"/>
          <w:sz w:val="15"/>
          <w:szCs w:val="15"/>
          <w:color w:val="auto"/>
        </w:rPr>
        <w:t>ROVISIONS</w:t>
      </w:r>
    </w:p>
    <w:p>
      <w:pPr>
        <w:spacing w:after="0" w:line="21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i w:val="1"/>
          <w:iCs w:val="1"/>
          <w:color w:val="auto"/>
        </w:rPr>
        <w:t>Applicability of Article.</w:t>
      </w:r>
      <w:r>
        <w:rPr>
          <w:rFonts w:ascii="Arial" w:cs="Arial" w:eastAsia="Arial" w:hAnsi="Arial"/>
          <w:sz w:val="18"/>
          <w:szCs w:val="18"/>
          <w:color w:val="auto"/>
        </w:rPr>
        <w:t xml:space="preserve"> The provisions of this Article shall be applicable to the Securities of any series which are redeemable before their maturity or to any sinking fund for the retirement of Securities of a series except as otherwise specified as contemplated by Section 2.03 for Securities of such series.</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Section 11.02. </w:t>
      </w:r>
      <w:r>
        <w:rPr>
          <w:rFonts w:ascii="Arial" w:cs="Arial" w:eastAsia="Arial" w:hAnsi="Arial"/>
          <w:sz w:val="17"/>
          <w:szCs w:val="17"/>
          <w:i w:val="1"/>
          <w:iCs w:val="1"/>
          <w:color w:val="auto"/>
        </w:rPr>
        <w:t>Notice of Redemption; Partial Redemptions.</w:t>
      </w:r>
      <w:r>
        <w:rPr>
          <w:rFonts w:ascii="Arial" w:cs="Arial" w:eastAsia="Arial" w:hAnsi="Arial"/>
          <w:sz w:val="17"/>
          <w:szCs w:val="17"/>
          <w:color w:val="auto"/>
        </w:rPr>
        <w:t xml:space="preserve"> Notice of redemption to the Holders of Securities of any series to be redeemed as a whole or in part at the option of the Issuer or otherwise shall be given by mailing notice of such redemption by first-class mail, postage prepaid, at least 30 days but not more than 60 days prior to the date fixed for redemption to such Holders of such series at their last addresses as they shall appear upon the Register, unless another redemption notice period shall be established with respect to the Securities of a series as contemplated by Section 2.03. Any notice which is mailed in the manner herein provided shall be conclusively presumed to have been duly given, whether or not the Holder receives the notice. Failure to give notice by mail, or any defect in the notice to the Holder of any Security of a series designated for redemption as a whole or in part shall not affect the validity of the proceedings for the redemption of any other Security of such series.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74" w:right="239" w:bottom="1440" w:gutter="0" w:footer="0" w:header="0"/>
        </w:sectPr>
      </w:pPr>
    </w:p>
    <w:bookmarkStart w:id="129" w:name="page130"/>
    <w:bookmarkEnd w:id="129"/>
    <w:p>
      <w:pPr>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notice of redemption to each such Holder shall identify the Securities to be redeemed (including CUSIP numbers, if available) and shall specify the principal amount of each Security of such series held by such Holder to be redeemed, the date fixed for redemption, the redemption price (or if not then ascertainable, the manner of calculation thereby),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unless the Issuer defaults in payment of the redemption price, on and after said date interest will cease to accrue thereon or on the portions thereof called for redemption. In case any Security of a series is to be redeemed in part only the notice of redemption shall state the portion of the principal amount thereof to be redeemed and shall state that on and after the date fixed for redemption, upon surrender of such Security, a new Security or Securities of such series in principal amount equal to the unredeemed portion thereof will be issued.</w:t>
      </w:r>
    </w:p>
    <w:p>
      <w:pPr>
        <w:spacing w:after="0" w:line="166"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notice of redemption of Securities of any series to be redeemed shall be prepared and given by the Issuer or, at the Issuer’s request, prepared by the Issuer and given by the Trustee in the name and at the expense of the Issuer.</w:t>
      </w:r>
    </w:p>
    <w:p>
      <w:pPr>
        <w:spacing w:after="0" w:line="17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election of the Issuer to redeem any Securities shall be evidenced by a Resolution of the Board of Directors or in another manner specified as contemplated by Section 2.03 for such Securities. In case of any redemption at the election of the Issuer or in the case of a mandatory redemption (other than a mandatory redemption scheduled to occur on fixed dates), the Issuer shall, at least 45 days (30 days if the Securities to be redeemed are Global Securities, the redemption is in whole and the Issuer prepares the notice of redemption) prior to the redemption date fixed by the Issuer (unless a shorter notice shall be satisfactory to the Trustee or unless otherwise provided pursuant to Section 2.03), notify the Trustee of such redemption date, of the principal amount of Securities of such series to be redeemed and of the provision of the Securities of such series pursuant to which the redemption is to be made. In the case of any redemption of Securities (a) prior to the expiration of any restriction on such redemption provided in the terms of such Securities or elsewhere in this Indenture, or (b) pursuant to an election or an obligation of the Issuer which is subject to a condition specified in the terms of such Securities or elsewhere in this Indenture, the Issuer shall furnish the Trustee with an Officer’s Certificate evidencing compliance with such restriction or condition.</w:t>
      </w:r>
    </w:p>
    <w:p>
      <w:pPr>
        <w:spacing w:after="0" w:line="167" w:lineRule="exact"/>
        <w:rPr>
          <w:sz w:val="20"/>
          <w:szCs w:val="20"/>
          <w:color w:val="auto"/>
        </w:rPr>
      </w:pPr>
    </w:p>
    <w:p>
      <w:pPr>
        <w:ind w:right="340" w:firstLine="456"/>
        <w:spacing w:after="0" w:line="276" w:lineRule="auto"/>
        <w:rPr>
          <w:sz w:val="20"/>
          <w:szCs w:val="20"/>
          <w:color w:val="auto"/>
        </w:rPr>
      </w:pPr>
      <w:r>
        <w:rPr>
          <w:rFonts w:ascii="Arial" w:cs="Arial" w:eastAsia="Arial" w:hAnsi="Arial"/>
          <w:sz w:val="17"/>
          <w:szCs w:val="17"/>
          <w:color w:val="auto"/>
        </w:rPr>
        <w:t>If less than all the Securities of a series are to be redeemed, the Securities to be redeemed shall be selected by lot by the Depositary in the case of Securities represented by a Global Security, or, in the case of Securities not represented by a Global Security, the Trustee shall select, in such manner as it shall deem appropriate and fair, Securities of such series to be redeemed in whole or in part. Securities may be redeemed in part in multiples equal to the minimum authorized denomination for Securities of such series or any multiple thereof. The Trustee shall promptly notify the Issuer in writing of the Securities of such series selected for redemption and, in the case of any Securities of such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74" w:right="259" w:bottom="1440" w:gutter="0" w:footer="0" w:header="0"/>
        </w:sectPr>
      </w:pPr>
    </w:p>
    <w:bookmarkStart w:id="130" w:name="page131"/>
    <w:bookmarkEnd w:id="130"/>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series selected for partial redemption, the principal amount thereof to be redeemed. For all purposes of the Indenture, unless the context otherwise requires, all provisions relating to the redemption of Securities of any series shall relate, in the case of any Security redeemed or to be redeemed only in part, to the portion of the principal amount of such Security which has been or is to be redeemed.</w:t>
      </w:r>
    </w:p>
    <w:p>
      <w:pPr>
        <w:spacing w:after="0" w:line="18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Not later than 10:00 A.M. (New York City time) on the redemption date specified in the notice of redemption given as provided in this Section, the Issuer will deposit with the Trustee or with one or more paying agents (or, if the Issuer is acting as its own paying agent, set aside, segregate and hold in trust as provided in Section 3.03) an amount of money sufficient to redeem on the redemption date all the Securities of such series so called for redemption at the appropriate redemption price, together with accrued interest to the date fixed for redemption.</w:t>
      </w:r>
    </w:p>
    <w:p>
      <w:pPr>
        <w:spacing w:after="0" w:line="171"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 xml:space="preserve">Section 11.03. </w:t>
      </w:r>
      <w:r>
        <w:rPr>
          <w:rFonts w:ascii="Arial" w:cs="Arial" w:eastAsia="Arial" w:hAnsi="Arial"/>
          <w:sz w:val="17"/>
          <w:szCs w:val="17"/>
          <w:i w:val="1"/>
          <w:iCs w:val="1"/>
          <w:color w:val="auto"/>
        </w:rPr>
        <w:t>Payment of Securities Called for Redemption.</w:t>
      </w:r>
      <w:r>
        <w:rPr>
          <w:rFonts w:ascii="Arial" w:cs="Arial" w:eastAsia="Arial" w:hAnsi="Arial"/>
          <w:sz w:val="17"/>
          <w:szCs w:val="17"/>
          <w:color w:val="auto"/>
        </w:rPr>
        <w:t xml:space="preserve">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said date (unless the Issuer shall default in the payment of such Securities at the redemption price, together with interest accrued to said date) interest on the Securities or portions of Securities so called for redemption shall cease to accrue and such Securities shall cease from and after the date fixed for redemption to be entitled to any benefit or security under the Indenture, and the Holders thereof shall have no right in respect of such Securities 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Issuer at the applicable redemption price, together with interest accrued thereon to the date fixed for redemption; provided that any payment of interest becoming due on or before the date fixed for redemption shall be payable to the Holders of such Securities registered as such on the relevant record date.</w:t>
      </w:r>
    </w:p>
    <w:p>
      <w:pPr>
        <w:spacing w:after="0" w:line="17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the Security.</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Upon presentation of any Security redeemed in part only, the Issuer shall execute and the Trustee shall authenticate and deliver to or on the order of the Holder thereof, at the expense of the Issuer, a new Security or Securities of such series, of authorized denominations, in principal amount equal to the unredeemed portion of the Security so presented.</w:t>
      </w:r>
    </w:p>
    <w:p>
      <w:pPr>
        <w:spacing w:after="0" w:line="18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i w:val="1"/>
          <w:iCs w:val="1"/>
          <w:color w:val="auto"/>
        </w:rPr>
        <w:t>Exclusion of Certain Securities from Eligibility for Selection for Redemption.</w:t>
      </w:r>
      <w:r>
        <w:rPr>
          <w:rFonts w:ascii="Arial" w:cs="Arial" w:eastAsia="Arial" w:hAnsi="Arial"/>
          <w:sz w:val="18"/>
          <w:szCs w:val="18"/>
          <w:color w:val="auto"/>
        </w:rPr>
        <w:t xml:space="preserve"> Securities shall be excluded from eligibility for selection for redemption if they are identified by registration and certificate number in an Officer’s Certificate delivered to the Trustee at least 15 days prior to the last date on which notice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74" w:right="239" w:bottom="1440" w:gutter="0" w:footer="0" w:header="0"/>
        </w:sectPr>
      </w:pPr>
    </w:p>
    <w:bookmarkStart w:id="131" w:name="page132"/>
    <w:bookmarkEnd w:id="131"/>
    <w:p>
      <w:pPr>
        <w:ind w:right="1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redemption may be given as being owned of record and beneficially by, and not pledged or hypothecated by either (a) the Issuer or (b) an entity specifically identified in such written statement directly or indirectly controlling or controlled by or under direct or indirect common control with the Issuer.</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w:t>
      </w:r>
      <w:r>
        <w:rPr>
          <w:rFonts w:ascii="Arial" w:cs="Arial" w:eastAsia="Arial" w:hAnsi="Arial"/>
          <w:sz w:val="15"/>
          <w:szCs w:val="15"/>
          <w:color w:val="auto"/>
        </w:rPr>
        <w:t>UARANTEES</w:t>
      </w:r>
    </w:p>
    <w:p>
      <w:pPr>
        <w:spacing w:after="0" w:line="21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i w:val="1"/>
          <w:iCs w:val="1"/>
          <w:color w:val="auto"/>
        </w:rPr>
        <w:t>The Guarantees.</w:t>
      </w:r>
      <w:r>
        <w:rPr>
          <w:rFonts w:ascii="Arial" w:cs="Arial" w:eastAsia="Arial" w:hAnsi="Arial"/>
          <w:sz w:val="18"/>
          <w:szCs w:val="18"/>
          <w:color w:val="auto"/>
        </w:rPr>
        <w:t xml:space="preserve"> Subject to the provisions of this Article, each Guarantor hereby irrevocably, fully and unconditionally guarantees, jointly and severally, on an unsecured basis, the full and punctual payment (whether at maturity, upon redemption, or otherwise) of the principal of and interest on, and all other amounts payable under, each Security, and the full and punctual payment of all other amounts payable by the Issuer under the Indenture. Upon failure by the Issuer to pay punctually any such amount, each Guarantor shall forthwith on demand pay the amount not so paid at the place and in the manner specified in the Indenture.</w:t>
      </w:r>
    </w:p>
    <w:p>
      <w:pPr>
        <w:spacing w:after="0" w:line="188"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i w:val="1"/>
          <w:iCs w:val="1"/>
          <w:color w:val="auto"/>
        </w:rPr>
        <w:t>Guarantees Unconditional.</w:t>
      </w:r>
      <w:r>
        <w:rPr>
          <w:rFonts w:ascii="Arial" w:cs="Arial" w:eastAsia="Arial" w:hAnsi="Arial"/>
          <w:sz w:val="18"/>
          <w:szCs w:val="18"/>
          <w:color w:val="auto"/>
        </w:rPr>
        <w:t xml:space="preserve"> The obligations of each Guarantor hereunder are unconditional and absolute and, without limiting the generality of the foregoing, will not be released, discharged or otherwise affected by</w:t>
      </w:r>
    </w:p>
    <w:p>
      <w:pPr>
        <w:spacing w:after="0" w:line="170" w:lineRule="exact"/>
        <w:rPr>
          <w:sz w:val="20"/>
          <w:szCs w:val="20"/>
          <w:color w:val="auto"/>
        </w:rPr>
      </w:pPr>
    </w:p>
    <w:p>
      <w:pPr>
        <w:ind w:right="100" w:firstLine="464"/>
        <w:spacing w:after="0" w:line="277" w:lineRule="auto"/>
        <w:tabs>
          <w:tab w:leader="none" w:pos="70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extension, renewal, settlement, compromise, waiver or release in respect of any obligation of the Issuer under the Indenture or any Security, by operation of law or otherwise;</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modification or amendment of or supplement to the Indenture or any Security;</w:t>
      </w:r>
    </w:p>
    <w:p>
      <w:pPr>
        <w:spacing w:after="0" w:line="225" w:lineRule="exact"/>
        <w:rPr>
          <w:rFonts w:ascii="Arial" w:cs="Arial" w:eastAsia="Arial" w:hAnsi="Arial"/>
          <w:sz w:val="18"/>
          <w:szCs w:val="18"/>
          <w:color w:val="auto"/>
        </w:rPr>
      </w:pPr>
    </w:p>
    <w:p>
      <w:pPr>
        <w:ind w:right="320" w:firstLine="464"/>
        <w:spacing w:after="0" w:line="342" w:lineRule="auto"/>
        <w:tabs>
          <w:tab w:leader="none" w:pos="701"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any change in the corporate existence, structure or ownership of the Issuer, or any insolvency, bankruptcy, reorganization or other similar proceeding affecting the Issuer or its assets or any resulting release or discharge of any obligation of the Issuer contained in the Indenture or any Security;</w:t>
      </w:r>
    </w:p>
    <w:p>
      <w:pPr>
        <w:spacing w:after="0" w:line="123" w:lineRule="exact"/>
        <w:rPr>
          <w:rFonts w:ascii="Arial" w:cs="Arial" w:eastAsia="Arial" w:hAnsi="Arial"/>
          <w:sz w:val="16"/>
          <w:szCs w:val="16"/>
          <w:color w:val="auto"/>
        </w:rPr>
      </w:pPr>
    </w:p>
    <w:p>
      <w:pPr>
        <w:ind w:right="40" w:firstLine="464"/>
        <w:spacing w:after="0" w:line="264" w:lineRule="auto"/>
        <w:tabs>
          <w:tab w:leader="none" w:pos="71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the existence of any claim, set-off or other rights which any Guarantor may have at any time against the Issuer, the Trustee, any other Guarantor or any other Person, whether in connection with the Indenture or unrelated transactions,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herein prevents the assertion of any such claim by separate suit or compulsory counterclaim;</w:t>
      </w:r>
    </w:p>
    <w:p>
      <w:pPr>
        <w:spacing w:after="0" w:line="181" w:lineRule="exact"/>
        <w:rPr>
          <w:rFonts w:ascii="Arial" w:cs="Arial" w:eastAsia="Arial" w:hAnsi="Arial"/>
          <w:sz w:val="18"/>
          <w:szCs w:val="18"/>
          <w:color w:val="auto"/>
        </w:rPr>
      </w:pPr>
    </w:p>
    <w:p>
      <w:pPr>
        <w:ind w:firstLine="464"/>
        <w:spacing w:after="0" w:line="264" w:lineRule="auto"/>
        <w:tabs>
          <w:tab w:leader="none" w:pos="70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invalidity, irregularity or unenforceability relating to or against the Issuer for any reason of the Indenture or any Security, or any provision of applicable law or regulation purporting to prohibit the payment by the Issuer of the principal of or interest on any Security or any other amount payable by the Issuer under the Indenture; or</w:t>
      </w:r>
    </w:p>
    <w:p>
      <w:pPr>
        <w:spacing w:after="0" w:line="181" w:lineRule="exact"/>
        <w:rPr>
          <w:rFonts w:ascii="Arial" w:cs="Arial" w:eastAsia="Arial" w:hAnsi="Arial"/>
          <w:sz w:val="18"/>
          <w:szCs w:val="18"/>
          <w:color w:val="auto"/>
        </w:rPr>
      </w:pPr>
    </w:p>
    <w:p>
      <w:pPr>
        <w:ind w:right="400" w:firstLine="464"/>
        <w:spacing w:after="0" w:line="342" w:lineRule="auto"/>
        <w:tabs>
          <w:tab w:leader="none" w:pos="681"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any other act or omission to act or delay of any kind by the Issuer, the Trustee or any other Person or any other circumstance whatsoever which might, but for the provisions of this paragraph, constitute a legal or equitable discharge of or defense to such Guarantor’s obligations hereunder.</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274" w:right="259" w:bottom="1440" w:gutter="0" w:footer="0" w:header="0"/>
        </w:sectPr>
      </w:pPr>
    </w:p>
    <w:bookmarkStart w:id="132" w:name="page133"/>
    <w:bookmarkEnd w:id="132"/>
    <w:p>
      <w:pPr>
        <w:ind w:right="8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12.03. </w:t>
      </w:r>
      <w:r>
        <w:rPr>
          <w:rFonts w:ascii="Arial" w:cs="Arial" w:eastAsia="Arial" w:hAnsi="Arial"/>
          <w:sz w:val="18"/>
          <w:szCs w:val="18"/>
          <w:i w:val="1"/>
          <w:iCs w:val="1"/>
          <w:color w:val="auto"/>
        </w:rPr>
        <w:t>Discharge; Reinstatement.</w:t>
      </w:r>
      <w:r>
        <w:rPr>
          <w:rFonts w:ascii="Arial" w:cs="Arial" w:eastAsia="Arial" w:hAnsi="Arial"/>
          <w:sz w:val="18"/>
          <w:szCs w:val="18"/>
          <w:color w:val="auto"/>
        </w:rPr>
        <w:t xml:space="preserve"> Each Guarantor’s obligations hereunder will remain in full force and effect until the principal of and interest on the Securities of each series and all other amounts payable by the Issuer under the Indenture have been paid in full. If at any time any payment of the principal of or interest on any Security or any other amount payable by the Issuer under the Indenture is rescinded or must be otherwise restored or returned upon the insolvency, bankruptcy or reorganization of the Issuer or otherwise, each Guarantor’s obligations hereunder with respect to such payment will be reinstated as though such payment had been due but not made at such time.</w:t>
      </w:r>
    </w:p>
    <w:p>
      <w:pPr>
        <w:spacing w:after="0" w:line="188"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 xml:space="preserve">Section 12.04. </w:t>
      </w:r>
      <w:r>
        <w:rPr>
          <w:rFonts w:ascii="Arial" w:cs="Arial" w:eastAsia="Arial" w:hAnsi="Arial"/>
          <w:sz w:val="16"/>
          <w:szCs w:val="16"/>
          <w:i w:val="1"/>
          <w:iCs w:val="1"/>
          <w:color w:val="auto"/>
        </w:rPr>
        <w:t>Waiver by the Guarantors.</w:t>
      </w:r>
      <w:r>
        <w:rPr>
          <w:rFonts w:ascii="Arial" w:cs="Arial" w:eastAsia="Arial" w:hAnsi="Arial"/>
          <w:sz w:val="16"/>
          <w:szCs w:val="16"/>
          <w:color w:val="auto"/>
        </w:rPr>
        <w:t xml:space="preserve"> Each Guarantor irrevocably waives acceptance hereof, presentment, demand, protest and any notice not provided for herein, as well as any requirement that at any time any action be taken by any Person against the Issuer or any other Person.</w:t>
      </w:r>
    </w:p>
    <w:p>
      <w:pPr>
        <w:spacing w:after="0" w:line="124"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 xml:space="preserve">Section 12.05. </w:t>
      </w:r>
      <w:r>
        <w:rPr>
          <w:rFonts w:ascii="Arial" w:cs="Arial" w:eastAsia="Arial" w:hAnsi="Arial"/>
          <w:sz w:val="17"/>
          <w:szCs w:val="17"/>
          <w:i w:val="1"/>
          <w:iCs w:val="1"/>
          <w:color w:val="auto"/>
        </w:rPr>
        <w:t>Subrogation and Contribution.</w:t>
      </w:r>
      <w:r>
        <w:rPr>
          <w:rFonts w:ascii="Arial" w:cs="Arial" w:eastAsia="Arial" w:hAnsi="Arial"/>
          <w:sz w:val="17"/>
          <w:szCs w:val="17"/>
          <w:color w:val="auto"/>
        </w:rPr>
        <w:t xml:space="preserve"> Upon making any payment with respect to any obligation of the Issuer under this Article, the Guarantor making such payment will be subrogated to the rights of the payee against the Issuer with respect to such obligation,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Guarantor may not enforce either any right of subrogation, or any right to receive payment in the nature of contribution, or otherwise, from any other Guarantor, with respect to such payment so long as any amount payable by the Issuer hereunder or under the Securities remains unpaid.</w:t>
      </w:r>
    </w:p>
    <w:p>
      <w:pPr>
        <w:spacing w:after="0" w:line="17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Section 12.06. </w:t>
      </w:r>
      <w:r>
        <w:rPr>
          <w:rFonts w:ascii="Arial" w:cs="Arial" w:eastAsia="Arial" w:hAnsi="Arial"/>
          <w:sz w:val="18"/>
          <w:szCs w:val="18"/>
          <w:i w:val="1"/>
          <w:iCs w:val="1"/>
          <w:color w:val="auto"/>
        </w:rPr>
        <w:t>Stay of Acceleration.</w:t>
      </w:r>
      <w:r>
        <w:rPr>
          <w:rFonts w:ascii="Arial" w:cs="Arial" w:eastAsia="Arial" w:hAnsi="Arial"/>
          <w:sz w:val="18"/>
          <w:szCs w:val="18"/>
          <w:color w:val="auto"/>
        </w:rPr>
        <w:t xml:space="preserve"> If acceleration of the time for payment of any amount payable by the Issuer under the Indenture or the Securities is stayed upon the insolvency, bankruptcy or reorganization of the Issuer, all such amounts otherwise subject to acceleration under the terms of the Indenture are nonetheless payable by the Guarantors hereunder forthwith on demand by the Trustee or the Holders.</w:t>
      </w:r>
    </w:p>
    <w:p>
      <w:pPr>
        <w:spacing w:after="0" w:line="18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 xml:space="preserve">Section 12.07. </w:t>
      </w:r>
      <w:r>
        <w:rPr>
          <w:rFonts w:ascii="Arial" w:cs="Arial" w:eastAsia="Arial" w:hAnsi="Arial"/>
          <w:sz w:val="17"/>
          <w:szCs w:val="17"/>
          <w:i w:val="1"/>
          <w:iCs w:val="1"/>
          <w:color w:val="auto"/>
        </w:rPr>
        <w:t>Limitation on Amount of Guarantees.</w:t>
      </w:r>
      <w:r>
        <w:rPr>
          <w:rFonts w:ascii="Arial" w:cs="Arial" w:eastAsia="Arial" w:hAnsi="Arial"/>
          <w:sz w:val="17"/>
          <w:szCs w:val="17"/>
          <w:color w:val="auto"/>
        </w:rPr>
        <w:t xml:space="preserve"> Notwithstanding anything to the contrary in this Article, each Guarantor, and by its acceptance of Securities, each Holder, hereby confirms that it is the intention of all such parties that no Guarantee shall constitute a fraudulent conveyance under applicable fraudulent conveyance provisions of the United States Bankruptcy Code or any comparable provision of other U.S. and non-U.S. law. To effectuate that intention, the Trustee, the Holders and each Guarantor hereby irrevocably agree that the obligations of each Guarantor under its Guarantee are limited to the maximum amount that would not render such Guarantor’s obligations subject to avoidance under applicable fraudulent conveyance provisions of the United States Bankruptcy Code or any comparable provision of other U.S. and non-U.S. law.</w:t>
      </w:r>
    </w:p>
    <w:p>
      <w:pPr>
        <w:spacing w:after="0" w:line="178"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 xml:space="preserve">Section 12.08. </w:t>
      </w:r>
      <w:r>
        <w:rPr>
          <w:rFonts w:ascii="Arial" w:cs="Arial" w:eastAsia="Arial" w:hAnsi="Arial"/>
          <w:sz w:val="16"/>
          <w:szCs w:val="16"/>
          <w:i w:val="1"/>
          <w:iCs w:val="1"/>
          <w:color w:val="auto"/>
        </w:rPr>
        <w:t>Execution and Delivery of Guarantees.</w:t>
      </w:r>
      <w:r>
        <w:rPr>
          <w:rFonts w:ascii="Arial" w:cs="Arial" w:eastAsia="Arial" w:hAnsi="Arial"/>
          <w:sz w:val="16"/>
          <w:szCs w:val="16"/>
          <w:color w:val="auto"/>
        </w:rPr>
        <w:t xml:space="preserve"> The execution by each Guarantor of the Indenture evidences the Guarantee of such Guarantor, whether or not the person signing as an officer of such Guarantor still holds that office at the time of authentication of any Security. The delivery of any Security by the Trustee after authentication constitutes due delivery of the Guarantees set forth in the Indenture on behalf of the respective Guarantors.</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274" w:right="279" w:bottom="1440" w:gutter="0" w:footer="0" w:header="0"/>
        </w:sectPr>
      </w:pPr>
    </w:p>
    <w:bookmarkStart w:id="133" w:name="page134"/>
    <w:bookmarkEnd w:id="13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12.09. </w:t>
      </w:r>
      <w:r>
        <w:rPr>
          <w:rFonts w:ascii="Arial" w:cs="Arial" w:eastAsia="Arial" w:hAnsi="Arial"/>
          <w:sz w:val="18"/>
          <w:szCs w:val="18"/>
          <w:i w:val="1"/>
          <w:iCs w:val="1"/>
          <w:color w:val="auto"/>
        </w:rPr>
        <w:t>Release of Guarantees</w:t>
      </w:r>
      <w:r>
        <w:rPr>
          <w:rFonts w:ascii="Arial" w:cs="Arial" w:eastAsia="Arial" w:hAnsi="Arial"/>
          <w:sz w:val="18"/>
          <w:szCs w:val="18"/>
          <w:color w:val="auto"/>
        </w:rPr>
        <w:t>. The Guarantee of a Guarantor will terminate upon:</w:t>
      </w:r>
    </w:p>
    <w:p>
      <w:pPr>
        <w:spacing w:after="0" w:line="117" w:lineRule="exact"/>
        <w:rPr>
          <w:sz w:val="20"/>
          <w:szCs w:val="20"/>
          <w:color w:val="auto"/>
        </w:rPr>
      </w:pPr>
    </w:p>
    <w:p>
      <w:pPr>
        <w:jc w:val="both"/>
        <w:ind w:firstLine="464"/>
        <w:spacing w:after="0" w:line="264" w:lineRule="auto"/>
        <w:tabs>
          <w:tab w:leader="none" w:pos="70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sale or other disposition (including by way of consolidation or merger) of a Guarantor or the sale or disposition of all or substantially all the assets of such Guarantor (in each case other than to the Issuer or a Guarantor or a Person who, prior to such sale or other disposition, is an affiliate of the Issuer or a Guarantor);</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defeasance or discharge of the Securities, as provided in Article 9.</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Upon delivery by the Issuer to the Trustee of an Officer’s Certificate and an Opinion of Counsel to the foregoing effect, the Trustee will execute any documents reasonably required in order to evidence the release of the Guarantor from its obligations under its Guarantee.</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274" w:right="29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the Indenture to be duly executed as of the date set forth above.</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COMCAST CORPORATION, as Issuer</w:t>
      </w:r>
    </w:p>
    <w:p>
      <w:pPr>
        <w:spacing w:after="0" w:line="225" w:lineRule="exact"/>
        <w:rPr>
          <w:sz w:val="20"/>
          <w:szCs w:val="20"/>
          <w:color w:val="auto"/>
        </w:rPr>
      </w:pPr>
    </w:p>
    <w:p>
      <w:pPr>
        <w:ind w:left="6400"/>
        <w:spacing w:after="0"/>
        <w:tabs>
          <w:tab w:leader="none" w:pos="6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4412615</wp:posOffset>
            </wp:positionH>
            <wp:positionV relativeFrom="paragraph">
              <wp:posOffset>14605</wp:posOffset>
            </wp:positionV>
            <wp:extent cx="254698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Name: Lawrence J. Salva</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6"/>
          <w:szCs w:val="16"/>
          <w:color w:val="auto"/>
        </w:rPr>
        <w:t>Title: Senior Vice President, Chief Accounting Officer</w:t>
      </w:r>
    </w:p>
    <w:p>
      <w:pPr>
        <w:spacing w:after="0" w:line="32"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and Controller</w:t>
      </w:r>
    </w:p>
    <w:p>
      <w:pPr>
        <w:spacing w:after="0" w:line="35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NBCUNIVERSAL MEDIA, LLC, as Guarantor</w:t>
      </w:r>
    </w:p>
    <w:p>
      <w:pPr>
        <w:spacing w:after="0" w:line="225" w:lineRule="exact"/>
        <w:rPr>
          <w:sz w:val="20"/>
          <w:szCs w:val="20"/>
          <w:color w:val="auto"/>
        </w:rPr>
      </w:pPr>
    </w:p>
    <w:p>
      <w:pPr>
        <w:ind w:left="6400"/>
        <w:spacing w:after="0"/>
        <w:tabs>
          <w:tab w:leader="none" w:pos="6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4412615</wp:posOffset>
            </wp:positionH>
            <wp:positionV relativeFrom="paragraph">
              <wp:posOffset>14605</wp:posOffset>
            </wp:positionV>
            <wp:extent cx="254698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Name: Lawrence J. Salva</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Title: Senior Vice President</w:t>
      </w:r>
    </w:p>
    <w:p>
      <w:pPr>
        <w:spacing w:after="0" w:line="35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COMCAST CABLE COMMUNICATIONS, LLC, as</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Guarantor</w:t>
      </w:r>
    </w:p>
    <w:p>
      <w:pPr>
        <w:spacing w:after="0" w:line="211" w:lineRule="exact"/>
        <w:rPr>
          <w:sz w:val="20"/>
          <w:szCs w:val="20"/>
          <w:color w:val="auto"/>
        </w:rPr>
      </w:pPr>
    </w:p>
    <w:p>
      <w:pPr>
        <w:ind w:left="6400"/>
        <w:spacing w:after="0"/>
        <w:tabs>
          <w:tab w:leader="none" w:pos="6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4412615</wp:posOffset>
            </wp:positionH>
            <wp:positionV relativeFrom="paragraph">
              <wp:posOffset>14605</wp:posOffset>
            </wp:positionV>
            <wp:extent cx="254698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Name: Lawrence J. Salva</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Title: Senior Vice President</w:t>
      </w:r>
    </w:p>
    <w:p>
      <w:pPr>
        <w:spacing w:after="0" w:line="35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COMCAST CABLE HOLDINGS, LLC, as Guarantor</w:t>
      </w:r>
    </w:p>
    <w:p>
      <w:pPr>
        <w:spacing w:after="0" w:line="225" w:lineRule="exact"/>
        <w:rPr>
          <w:sz w:val="20"/>
          <w:szCs w:val="20"/>
          <w:color w:val="auto"/>
        </w:rPr>
      </w:pPr>
    </w:p>
    <w:p>
      <w:pPr>
        <w:ind w:left="6400"/>
        <w:spacing w:after="0"/>
        <w:tabs>
          <w:tab w:leader="none" w:pos="6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4412615</wp:posOffset>
            </wp:positionH>
            <wp:positionV relativeFrom="paragraph">
              <wp:posOffset>14605</wp:posOffset>
            </wp:positionV>
            <wp:extent cx="254698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Name: Lawrence J. Salva</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27"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[SIGNATURE PAGE 1 OF 2 TO INDENTURE]</w:t>
      </w:r>
    </w:p>
    <w:p>
      <w:pPr>
        <w:sectPr>
          <w:pgSz w:w="11900" w:h="16838" w:orient="portrait"/>
          <w:cols w:equalWidth="0" w:num="1">
            <w:col w:w="10880"/>
          </w:cols>
          <w:pgMar w:left="700" w:top="274" w:right="319" w:bottom="1440" w:gutter="0" w:footer="0" w:header="0"/>
        </w:sectPr>
      </w:pPr>
    </w:p>
    <w:bookmarkStart w:id="135" w:name="page136"/>
    <w:bookmarkEnd w:id="13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MO GROUP, INC., as Guarantor</w:t>
      </w:r>
    </w:p>
    <w:p>
      <w:pPr>
        <w:spacing w:after="0" w:line="225" w:lineRule="exact"/>
        <w:rPr>
          <w:sz w:val="20"/>
          <w:szCs w:val="20"/>
          <w:color w:val="auto"/>
        </w:rPr>
      </w:pPr>
    </w:p>
    <w:p>
      <w:pPr>
        <w:ind w:left="566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14605</wp:posOffset>
            </wp:positionV>
            <wp:extent cx="254698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Lawrence J. Salva</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Senior Vice President</w:t>
      </w:r>
    </w:p>
    <w:p>
      <w:pPr>
        <w:spacing w:after="0" w:line="35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COMCAST MO OF DELAWARE, LLC, as Guarantor</w:t>
      </w:r>
    </w:p>
    <w:p>
      <w:pPr>
        <w:spacing w:after="0" w:line="248" w:lineRule="exact"/>
        <w:rPr>
          <w:sz w:val="20"/>
          <w:szCs w:val="20"/>
          <w:color w:val="auto"/>
        </w:rPr>
      </w:pPr>
    </w:p>
    <w:p>
      <w:pPr>
        <w:ind w:left="566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14605</wp:posOffset>
            </wp:positionV>
            <wp:extent cx="254698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Lawrence J. Salva</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Senior Vice President</w:t>
      </w:r>
    </w:p>
    <w:p>
      <w:pPr>
        <w:spacing w:after="0" w:line="359"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THE BANK OF NEW YORK MELLON, as Trustee</w:t>
      </w:r>
    </w:p>
    <w:p>
      <w:pPr>
        <w:spacing w:after="0" w:line="237" w:lineRule="exact"/>
        <w:rPr>
          <w:sz w:val="20"/>
          <w:szCs w:val="20"/>
          <w:color w:val="auto"/>
        </w:rPr>
      </w:pPr>
    </w:p>
    <w:p>
      <w:pPr>
        <w:ind w:left="566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Laurence J.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14605</wp:posOffset>
            </wp:positionV>
            <wp:extent cx="254698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Laurence J. O’Brien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[SIGNATURE PAGE 2 OF 2 TO INDENTURE]</w:t>
      </w:r>
    </w:p>
    <w:p>
      <w:pPr>
        <w:sectPr>
          <w:pgSz w:w="11900" w:h="16838" w:orient="portrait"/>
          <w:cols w:equalWidth="0" w:num="1">
            <w:col w:w="9600"/>
          </w:cols>
          <w:pgMar w:left="1440" w:top="274" w:right="859" w:bottom="1440" w:gutter="0" w:footer="0" w:header="0"/>
        </w:sectPr>
      </w:pPr>
    </w:p>
    <w:bookmarkStart w:id="136" w:name="page137"/>
    <w:bookmarkEnd w:id="136"/>
    <w:p>
      <w:pPr>
        <w:ind w:left="10580"/>
        <w:spacing w:after="0"/>
        <w:rPr>
          <w:sz w:val="20"/>
          <w:szCs w:val="20"/>
          <w:color w:val="auto"/>
        </w:rPr>
      </w:pPr>
      <w:r>
        <w:rPr>
          <w:rFonts w:ascii="Arial" w:cs="Arial" w:eastAsia="Arial" w:hAnsi="Arial"/>
          <w:sz w:val="16"/>
          <w:szCs w:val="16"/>
          <w:b w:val="1"/>
          <w:bCs w:val="1"/>
          <w:color w:val="auto"/>
        </w:rPr>
        <w:t>Exhibit 4.4</w:t>
      </w:r>
    </w:p>
    <w:p>
      <w:pPr>
        <w:spacing w:after="0" w:line="252"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ectPr>
          <w:pgSz w:w="11900" w:h="16838" w:orient="portrait"/>
          <w:cols w:equalWidth="0" w:num="1">
            <w:col w:w="11420"/>
          </w:cols>
          <w:pgMar w:left="240" w:top="121"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COMCAST CORPORATION</w:t>
      </w:r>
    </w:p>
    <w:p>
      <w:pPr>
        <w:spacing w:after="0" w:line="225" w:lineRule="exact"/>
        <w:rPr>
          <w:sz w:val="20"/>
          <w:szCs w:val="20"/>
          <w:color w:val="auto"/>
        </w:rPr>
      </w:pPr>
    </w:p>
    <w:p>
      <w:pPr>
        <w:jc w:val="center"/>
        <w:spacing w:after="0"/>
        <w:tabs>
          <w:tab w:leader="none" w:pos="160" w:val="left"/>
          <w:tab w:leader="none" w:pos="200" w:val="left"/>
        </w:tabs>
        <w:rPr>
          <w:sz w:val="20"/>
          <w:szCs w:val="20"/>
          <w:color w:val="auto"/>
        </w:rPr>
      </w:pPr>
      <w:r>
        <w:rPr>
          <w:rFonts w:ascii="Arial" w:cs="Arial" w:eastAsia="Arial" w:hAnsi="Arial"/>
          <w:sz w:val="18"/>
          <w:szCs w:val="18"/>
          <w:b w:val="1"/>
          <w:bCs w:val="1"/>
          <w:color w:val="auto"/>
        </w:rPr>
        <w:t>[</w:t>
        <w:tab/>
        <w:t>] % Senior Notes Due 20[</w:t>
        <w:tab/>
        <w:t>]</w:t>
      </w:r>
    </w:p>
    <w:p>
      <w:pPr>
        <w:sectPr>
          <w:pgSz w:w="11900" w:h="16838" w:orient="portrait"/>
          <w:cols w:equalWidth="0" w:num="1">
            <w:col w:w="11420"/>
          </w:cols>
          <w:pgMar w:left="240" w:top="270"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No. [</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ISIN No.: [</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4">
            <w:col w:w="380" w:space="180"/>
            <w:col w:w="8560" w:space="720"/>
            <w:col w:w="980" w:space="540"/>
            <w:col w:w="60"/>
          </w:cols>
          <w:pgMar w:left="240" w:top="270" w:right="239" w:bottom="1440" w:gutter="0" w:footer="0" w:header="0"/>
          <w:type w:val="continuous"/>
        </w:sectPr>
      </w:pPr>
    </w:p>
    <w:p>
      <w:pPr>
        <w:spacing w:after="0" w:line="7"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entity), for value received promises to pay to CEDE &amp; CO. or registered assigns, the principal sum of $[ ] ([ ]Dollars) on [ ].</w:t>
      </w:r>
    </w:p>
    <w:p>
      <w:pPr>
        <w:sectPr>
          <w:pgSz w:w="11900" w:h="16838" w:orient="portrait"/>
          <w:cols w:equalWidth="0" w:num="1">
            <w:col w:w="11420"/>
          </w:cols>
          <w:pgMar w:left="240" w:top="270" w:right="239" w:bottom="1440" w:gutter="0" w:footer="0" w:header="0"/>
          <w:type w:val="continuous"/>
        </w:sectPr>
      </w:pP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Payment Dates: [</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 and [</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 (each, an “</w:t>
      </w:r>
      <w:r>
        <w:rPr>
          <w:rFonts w:ascii="Arial" w:cs="Arial" w:eastAsia="Arial" w:hAnsi="Arial"/>
          <w:sz w:val="16"/>
          <w:szCs w:val="16"/>
          <w:b w:val="1"/>
          <w:bCs w:val="1"/>
          <w:color w:val="auto"/>
        </w:rPr>
        <w:t>Interest Payment Date</w:t>
      </w:r>
      <w:r>
        <w:rPr>
          <w:rFonts w:ascii="Arial" w:cs="Arial" w:eastAsia="Arial" w:hAnsi="Arial"/>
          <w:sz w:val="16"/>
          <w:szCs w:val="16"/>
          <w:color w:val="auto"/>
        </w:rPr>
        <w:t>”), commencing on [</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4">
            <w:col w:w="2460" w:space="720"/>
            <w:col w:w="660" w:space="720"/>
            <w:col w:w="4280" w:space="720"/>
            <w:col w:w="1860"/>
          </w:cols>
          <w:pgMar w:left="240" w:top="270" w:right="239" w:bottom="1440" w:gutter="0" w:footer="0" w:header="0"/>
          <w:type w:val="continuous"/>
        </w:sectPr>
      </w:pP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Record Dates: [</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 and [</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 (each, an “</w:t>
      </w:r>
      <w:r>
        <w:rPr>
          <w:rFonts w:ascii="Arial" w:cs="Arial" w:eastAsia="Arial" w:hAnsi="Arial"/>
          <w:sz w:val="16"/>
          <w:szCs w:val="16"/>
          <w:b w:val="1"/>
          <w:bCs w:val="1"/>
          <w:color w:val="auto"/>
        </w:rPr>
        <w:t>Interest Record Date</w:t>
      </w:r>
      <w:r>
        <w:rPr>
          <w:rFonts w:ascii="Arial" w:cs="Arial" w:eastAsia="Arial" w:hAnsi="Arial"/>
          <w:sz w:val="16"/>
          <w:szCs w:val="16"/>
          <w:color w:val="auto"/>
        </w:rPr>
        <w:t>”).</w:t>
      </w:r>
    </w:p>
    <w:p>
      <w:pPr>
        <w:spacing w:after="0" w:line="204" w:lineRule="exact"/>
        <w:rPr>
          <w:sz w:val="20"/>
          <w:szCs w:val="20"/>
          <w:color w:val="auto"/>
        </w:rPr>
      </w:pPr>
    </w:p>
    <w:p>
      <w:pPr>
        <w:sectPr>
          <w:pgSz w:w="11900" w:h="16838" w:orient="portrait"/>
          <w:cols w:equalWidth="0" w:num="3">
            <w:col w:w="2360" w:space="720"/>
            <w:col w:w="640" w:space="720"/>
            <w:col w:w="6980"/>
          </w:cols>
          <w:pgMar w:left="240" w:top="270" w:right="239" w:bottom="1440" w:gutter="0" w:footer="0" w:header="0"/>
          <w:type w:val="continuous"/>
        </w:sectPr>
      </w:pPr>
    </w:p>
    <w:p>
      <w:pPr>
        <w:spacing w:after="0" w:line="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ectPr>
          <w:pgSz w:w="11900" w:h="16838" w:orient="portrait"/>
          <w:cols w:equalWidth="0" w:num="1">
            <w:col w:w="11420"/>
          </w:cols>
          <w:pgMar w:left="240" w:top="270" w:right="239" w:bottom="1440" w:gutter="0" w:footer="0" w:header="0"/>
          <w:type w:val="continuous"/>
        </w:sectPr>
      </w:pPr>
    </w:p>
    <w:bookmarkStart w:id="138" w:name="page139"/>
    <w:bookmarkEnd w:id="138"/>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Issuer has caused this Security to be signed manually or by facsimile by its duly authorized officer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71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220"/>
          </w:cols>
          <w:pgMar w:left="240" w:top="274" w:right="4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series designated herein and referred to in the within-mentioned Indenture.</w:t>
      </w:r>
    </w:p>
    <w:p>
      <w:pPr>
        <w:spacing w:after="0" w:line="225"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Dated: [</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THE BANK OF NEW YORK MELLON, as Trustee</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-130810</wp:posOffset>
            </wp:positionV>
            <wp:extent cx="26930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ectPr>
          <w:pgSz w:w="11900" w:h="16838" w:orient="portrait"/>
          <w:cols w:equalWidth="0" w:num="1">
            <w:col w:w="10660"/>
          </w:cols>
          <w:pgMar w:left="240" w:top="274" w:right="999" w:bottom="1440" w:gutter="0" w:footer="0" w:header="0"/>
        </w:sectPr>
      </w:pPr>
    </w:p>
    <w:bookmarkStart w:id="140" w:name="page141"/>
    <w:bookmarkEnd w:id="14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(REVERSE OF SECURITY)</w:t>
      </w:r>
    </w:p>
    <w:p>
      <w:pPr>
        <w:spacing w:after="0" w:line="22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ind w:left="4620"/>
        <w:spacing w:after="0"/>
        <w:tabs>
          <w:tab w:leader="none" w:pos="4840" w:val="left"/>
          <w:tab w:leader="none" w:pos="6740" w:val="left"/>
        </w:tabs>
        <w:rPr>
          <w:sz w:val="20"/>
          <w:szCs w:val="20"/>
          <w:color w:val="auto"/>
        </w:rPr>
      </w:pPr>
      <w:r>
        <w:rPr>
          <w:rFonts w:ascii="Arial" w:cs="Arial" w:eastAsia="Arial" w:hAnsi="Arial"/>
          <w:sz w:val="18"/>
          <w:szCs w:val="18"/>
          <w:b w:val="1"/>
          <w:bCs w:val="1"/>
          <w:color w:val="auto"/>
        </w:rPr>
        <w:t>[</w:t>
        <w:tab/>
        <w:t>]% Senior Notes Due [</w:t>
        <w:tab/>
        <w:t>]</w:t>
      </w:r>
    </w:p>
    <w:p>
      <w:pPr>
        <w:spacing w:after="0" w:line="256" w:lineRule="exact"/>
        <w:rPr>
          <w:sz w:val="20"/>
          <w:szCs w:val="20"/>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Interest.</w:t>
      </w:r>
    </w:p>
    <w:p>
      <w:pPr>
        <w:spacing w:after="0" w:line="113" w:lineRule="exact"/>
        <w:rPr>
          <w:sz w:val="20"/>
          <w:szCs w:val="20"/>
          <w:color w:val="auto"/>
        </w:rPr>
      </w:pPr>
    </w:p>
    <w:p>
      <w:pPr>
        <w:ind w:right="300" w:firstLine="456"/>
        <w:spacing w:after="0" w:line="293" w:lineRule="auto"/>
        <w:rPr>
          <w:sz w:val="20"/>
          <w:szCs w:val="20"/>
          <w:color w:val="auto"/>
        </w:rPr>
      </w:pPr>
      <w:r>
        <w:rPr>
          <w:rFonts w:ascii="Arial" w:cs="Arial" w:eastAsia="Arial" w:hAnsi="Arial"/>
          <w:sz w:val="16"/>
          <w:szCs w:val="16"/>
          <w:color w:val="auto"/>
        </w:rPr>
        <w:t>COMCAST CORPORATION, a Pennsylvania corporation (the “</w:t>
      </w:r>
      <w:r>
        <w:rPr>
          <w:rFonts w:ascii="Arial" w:cs="Arial" w:eastAsia="Arial" w:hAnsi="Arial"/>
          <w:sz w:val="16"/>
          <w:szCs w:val="16"/>
          <w:b w:val="1"/>
          <w:bCs w:val="1"/>
          <w:color w:val="auto"/>
        </w:rPr>
        <w:t>Issuer</w:t>
      </w:r>
      <w:r>
        <w:rPr>
          <w:rFonts w:ascii="Arial" w:cs="Arial" w:eastAsia="Arial" w:hAnsi="Arial"/>
          <w:sz w:val="16"/>
          <w:szCs w:val="16"/>
          <w:color w:val="auto"/>
        </w:rPr>
        <w:t>”, which term includes any successor entity), promises to pay interest on the principal amount of this Security at the rate per annum set forth above. Interest on this Security will accrue from the most recent date to which interest has</w:t>
      </w:r>
    </w:p>
    <w:p>
      <w:pPr>
        <w:spacing w:after="0" w:line="1"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been paid or duly provided for or, if no interest has been paid or duly provided for, from [ ]. The Issuer will pay interest semiannually in arrears on each Interest Payment Date, commencing [ ] to the Persons in whose names the Securities are registered at the close of business on the preceding</w:t>
      </w:r>
    </w:p>
    <w:p>
      <w:pPr>
        <w:ind w:right="200"/>
        <w:spacing w:after="0" w:line="261" w:lineRule="auto"/>
        <w:rPr>
          <w:sz w:val="20"/>
          <w:szCs w:val="20"/>
          <w:color w:val="auto"/>
        </w:rPr>
      </w:pPr>
      <w:r>
        <w:rPr>
          <w:rFonts w:ascii="Arial" w:cs="Arial" w:eastAsia="Arial" w:hAnsi="Arial"/>
          <w:sz w:val="18"/>
          <w:szCs w:val="18"/>
          <w:color w:val="auto"/>
        </w:rPr>
        <w:t>Interest Record Date (whether or not a Business Day). Interest will be computed on the basis of a 360-day year consisting of twelve 30-day months and, for partial months, on the basis of actual days elapsed in a 30-day month.</w:t>
      </w:r>
    </w:p>
    <w:p>
      <w:pPr>
        <w:spacing w:after="0" w:line="184"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319" w:lineRule="exact"/>
        <w:rPr>
          <w:sz w:val="20"/>
          <w:szCs w:val="20"/>
          <w:color w:val="auto"/>
        </w:rPr>
      </w:pPr>
    </w:p>
    <w:p>
      <w:pPr>
        <w:ind w:left="900" w:hanging="446"/>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117"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Securities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R-1</w:t>
      </w:r>
    </w:p>
    <w:p>
      <w:pPr>
        <w:sectPr>
          <w:pgSz w:w="11900" w:h="16838" w:orient="portrait"/>
          <w:cols w:equalWidth="0" w:num="1">
            <w:col w:w="11420"/>
          </w:cols>
          <w:pgMar w:left="240" w:top="274" w:right="239" w:bottom="1440" w:gutter="0" w:footer="0" w:header="0"/>
        </w:sectPr>
      </w:pPr>
    </w:p>
    <w:bookmarkStart w:id="141" w:name="page142"/>
    <w:bookmarkEnd w:id="141"/>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Paying Agent.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pacing w:after="0" w:line="374" w:lineRule="exact"/>
        <w:rPr>
          <w:sz w:val="20"/>
          <w:szCs w:val="20"/>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Indenture.</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Issuer issued the Securities under an Indenture dated as of September [—], 2013 (the “</w:t>
      </w:r>
      <w:r>
        <w:rPr>
          <w:rFonts w:ascii="Arial" w:cs="Arial" w:eastAsia="Arial" w:hAnsi="Arial"/>
          <w:sz w:val="18"/>
          <w:szCs w:val="18"/>
          <w:b w:val="1"/>
          <w:bCs w:val="1"/>
          <w:color w:val="auto"/>
        </w:rPr>
        <w:t>Indenture</w:t>
      </w:r>
      <w:r>
        <w:rPr>
          <w:rFonts w:ascii="Arial" w:cs="Arial" w:eastAsia="Arial" w:hAnsi="Arial"/>
          <w:sz w:val="18"/>
          <w:szCs w:val="18"/>
          <w:color w:val="auto"/>
        </w:rPr>
        <w:t>”) by and among the Issuer, the Guarantors party thereto and the Trustee.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Arial" w:cs="Arial" w:eastAsia="Arial" w:hAnsi="Arial"/>
          <w:sz w:val="18"/>
          <w:szCs w:val="18"/>
          <w:b w:val="1"/>
          <w:bCs w:val="1"/>
          <w:color w:val="auto"/>
        </w:rPr>
        <w:t>TIA</w:t>
      </w:r>
      <w:r>
        <w:rPr>
          <w:rFonts w:ascii="Arial" w:cs="Arial" w:eastAsia="Arial" w:hAnsi="Arial"/>
          <w:sz w:val="18"/>
          <w:szCs w:val="18"/>
          <w:color w:val="auto"/>
        </w:rPr>
        <w:t>”), to the extent set forth in the Indenture.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w:t>
      </w:r>
    </w:p>
    <w:p>
      <w:pPr>
        <w:spacing w:after="0" w:line="340" w:lineRule="exact"/>
        <w:rPr>
          <w:sz w:val="20"/>
          <w:szCs w:val="20"/>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Guarantees.</w:t>
      </w:r>
    </w:p>
    <w:p>
      <w:pPr>
        <w:spacing w:after="0" w:line="11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Each of NBCUniversal Media, LLC, Comcast Cable Communications, LLC, Comcast Cable Holdings, LLC, Comcast MO Group, Inc. and Comcast MO of Delaware, LLC (together, the “</w:t>
      </w:r>
      <w:r>
        <w:rPr>
          <w:rFonts w:ascii="Arial" w:cs="Arial" w:eastAsia="Arial" w:hAnsi="Arial"/>
          <w:sz w:val="16"/>
          <w:szCs w:val="16"/>
          <w:b w:val="1"/>
          <w:bCs w:val="1"/>
          <w:color w:val="auto"/>
        </w:rPr>
        <w:t>Guarantors</w:t>
      </w:r>
      <w:r>
        <w:rPr>
          <w:rFonts w:ascii="Arial" w:cs="Arial" w:eastAsia="Arial" w:hAnsi="Arial"/>
          <w:sz w:val="16"/>
          <w:szCs w:val="16"/>
          <w:color w:val="auto"/>
        </w:rPr>
        <w:t>”), has irrevocably, fully and unconditionally guaranteed,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303"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8"/>
          <w:szCs w:val="18"/>
          <w:color w:val="auto"/>
        </w:rPr>
        <w:t>Denominations; Transfer; Exchange.</w:t>
      </w:r>
    </w:p>
    <w:p>
      <w:pPr>
        <w:sectPr>
          <w:pgSz w:w="11900" w:h="16838" w:orient="portrait"/>
          <w:cols w:equalWidth="0" w:num="1">
            <w:col w:w="11340"/>
          </w:cols>
          <w:pgMar w:left="240" w:top="274" w:right="319" w:bottom="1440" w:gutter="0" w:footer="0" w:header="0"/>
        </w:sectPr>
      </w:pP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Securities are in registered form, without coupons, in denominations of $[</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and multiples of $[</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 in excess thereof. A Holder shall register</w:t>
      </w:r>
    </w:p>
    <w:p>
      <w:pPr>
        <w:spacing w:after="0" w:line="46" w:lineRule="exact"/>
        <w:rPr>
          <w:sz w:val="20"/>
          <w:szCs w:val="20"/>
          <w:color w:val="auto"/>
        </w:rPr>
      </w:pPr>
    </w:p>
    <w:p>
      <w:pPr>
        <w:sectPr>
          <w:pgSz w:w="11900" w:h="16838" w:orient="portrait"/>
          <w:cols w:equalWidth="0" w:num="3">
            <w:col w:w="6100" w:space="360"/>
            <w:col w:w="1480" w:space="360"/>
            <w:col w:w="3040"/>
          </w:cols>
          <w:pgMar w:left="240" w:top="274" w:right="319" w:bottom="1440" w:gutter="0" w:footer="0" w:header="0"/>
          <w:type w:val="continuous"/>
        </w:sectPr>
      </w:pPr>
    </w:p>
    <w:p>
      <w:pPr>
        <w:spacing w:after="0"/>
        <w:rPr>
          <w:sz w:val="20"/>
          <w:szCs w:val="20"/>
          <w:color w:val="auto"/>
        </w:rPr>
      </w:pPr>
      <w:r>
        <w:rPr>
          <w:rFonts w:ascii="Arial" w:cs="Arial" w:eastAsia="Arial" w:hAnsi="Arial"/>
          <w:sz w:val="18"/>
          <w:szCs w:val="18"/>
          <w:color w:val="auto"/>
        </w:rPr>
        <w:t>the transfer or exchange of Securities in accordance with the Indenture.</w:t>
      </w:r>
    </w:p>
    <w:p>
      <w:pPr>
        <w:spacing w:after="0" w:line="211"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or exchange of any Securities or portions thereof for a period of fifteen (15) days before the mailing of a notice of redemption, nor need the Issuer register the transfer or exchange of any Security selected for redemption in whole or in part.</w:t>
      </w:r>
    </w:p>
    <w:p>
      <w:pPr>
        <w:spacing w:after="0" w:line="335" w:lineRule="exact"/>
        <w:rPr>
          <w:sz w:val="20"/>
          <w:szCs w:val="20"/>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R-2</w:t>
      </w:r>
    </w:p>
    <w:p>
      <w:pPr>
        <w:sectPr>
          <w:pgSz w:w="11900" w:h="16838" w:orient="portrait"/>
          <w:cols w:equalWidth="0" w:num="1">
            <w:col w:w="11340"/>
          </w:cols>
          <w:pgMar w:left="240" w:top="274" w:right="319" w:bottom="1440" w:gutter="0" w:footer="0" w:header="0"/>
          <w:type w:val="continuous"/>
        </w:sectPr>
      </w:pPr>
    </w:p>
    <w:bookmarkStart w:id="142" w:name="page143"/>
    <w:bookmarkEnd w:id="142"/>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Unclaimed Funds.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319" w:lineRule="exact"/>
        <w:rPr>
          <w:sz w:val="20"/>
          <w:szCs w:val="20"/>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117"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314" w:lineRule="exact"/>
        <w:rPr>
          <w:sz w:val="20"/>
          <w:szCs w:val="20"/>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Information.</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Issuer will furnish to the Trustee any document or report the Issuer is required to file with the Commission pursuant to Section 13 or Section 15(d) of the Exchange Act within 15 days after such document or report is filed with the Commission; provided that in each case the delivery of materials to the Trustee by electronic means or filing documents pursuant to the Commission’s “EDGAR” system (or any successor electronic filing system) shall be deemed to constitute “filing” with the Trustee for purposes of this Section 10.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342" w:lineRule="exact"/>
        <w:rPr>
          <w:sz w:val="20"/>
          <w:szCs w:val="20"/>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 in any material respect.</w:t>
      </w:r>
    </w:p>
    <w:p>
      <w:pPr>
        <w:spacing w:after="0" w:line="326" w:lineRule="exact"/>
        <w:rPr>
          <w:sz w:val="20"/>
          <w:szCs w:val="20"/>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R-3</w:t>
      </w:r>
    </w:p>
    <w:p>
      <w:pPr>
        <w:sectPr>
          <w:pgSz w:w="11900" w:h="16838" w:orient="portrait"/>
          <w:cols w:equalWidth="0" w:num="1">
            <w:col w:w="11400"/>
          </w:cols>
          <w:pgMar w:left="240" w:top="274" w:right="259" w:bottom="1440" w:gutter="0" w:footer="0" w:header="0"/>
        </w:sectPr>
      </w:pPr>
    </w:p>
    <w:bookmarkStart w:id="143" w:name="page144"/>
    <w:bookmarkEnd w:id="143"/>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Redemption.</w:t>
      </w:r>
    </w:p>
    <w:p>
      <w:pPr>
        <w:spacing w:after="0" w:line="117"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The Issuer may at its option redeem any of the Securities in whole or in part, at any time or from time to time, prior to their maturity, on at least 30 days, but not more than 60 days, prior notice mailed to the registered address of each Holder of Securities to be redeemed such date (the “</w:t>
      </w:r>
      <w:r>
        <w:rPr>
          <w:rFonts w:ascii="Arial" w:cs="Arial" w:eastAsia="Arial" w:hAnsi="Arial"/>
          <w:sz w:val="18"/>
          <w:szCs w:val="18"/>
          <w:b w:val="1"/>
          <w:bCs w:val="1"/>
          <w:color w:val="auto"/>
        </w:rPr>
        <w:t>Redemption</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at a redemption price, calculated by the Issuer, equal to the greater of:</w:t>
      </w:r>
    </w:p>
    <w:p>
      <w:pPr>
        <w:spacing w:after="0" w:line="73" w:lineRule="exact"/>
        <w:rPr>
          <w:sz w:val="20"/>
          <w:szCs w:val="20"/>
          <w:color w:val="auto"/>
        </w:rPr>
      </w:pPr>
    </w:p>
    <w:p>
      <w:pPr>
        <w:ind w:left="680" w:hanging="216"/>
        <w:spacing w:after="0"/>
        <w:tabs>
          <w:tab w:leader="none" w:pos="6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100% of the principal amount of the Securities to be redeemed; and</w:t>
      </w:r>
    </w:p>
    <w:p>
      <w:pPr>
        <w:spacing w:after="0" w:line="225" w:lineRule="exact"/>
        <w:rPr>
          <w:rFonts w:ascii="Arial" w:cs="Arial" w:eastAsia="Arial" w:hAnsi="Arial"/>
          <w:sz w:val="18"/>
          <w:szCs w:val="18"/>
          <w:color w:val="auto"/>
        </w:rPr>
      </w:pPr>
    </w:p>
    <w:p>
      <w:pPr>
        <w:jc w:val="both"/>
        <w:ind w:right="40" w:firstLine="464"/>
        <w:spacing w:after="0" w:line="264" w:lineRule="auto"/>
        <w:tabs>
          <w:tab w:leader="none" w:pos="72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 months) at the Treasury Rate (as defined below) plus 20 basis points,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plus, in each case, accrued interest thereon to the Redemption Date.</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Notwithstanding the foregoing, installments of interest on Securities that are due and payable on Interest Payment Dates falling on or prior to a Redemption Date will be payable on the Interest Payment Date to the registered Holders as of the close of business on the relevant record date according to the Securities and the Indenture.</w:t>
      </w:r>
    </w:p>
    <w:p>
      <w:pPr>
        <w:spacing w:after="0" w:line="177" w:lineRule="exact"/>
        <w:rPr>
          <w:sz w:val="20"/>
          <w:szCs w:val="20"/>
          <w:color w:val="auto"/>
        </w:rPr>
      </w:pPr>
    </w:p>
    <w:p>
      <w:pPr>
        <w:ind w:right="30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the United States Treasury security or securities selected by an Independent Investment Banker as having an actual or interpolated maturity comparable to the remaining term of the Securities to be redeemed that would be utilized, at the time of selection and in accordance with customary financial practice, in pricing new issues of corporate debt securities of a comparable maturity to the remaining term of such Securities.</w:t>
      </w:r>
    </w:p>
    <w:p>
      <w:pPr>
        <w:spacing w:after="0" w:line="180" w:lineRule="exact"/>
        <w:rPr>
          <w:sz w:val="20"/>
          <w:szCs w:val="20"/>
          <w:color w:val="auto"/>
        </w:rPr>
      </w:pPr>
    </w:p>
    <w:p>
      <w:pPr>
        <w:jc w:val="both"/>
        <w:ind w:right="3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Quotations or (ii) if the Independent Investment Banker obtains fewer than three such Reference Treasury Dealer Quotations, the average of all such quotations.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ind w:firstLine="456"/>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Reference Treasury Dealer</w:t>
      </w:r>
      <w:r>
        <w:rPr>
          <w:rFonts w:ascii="Arial" w:cs="Arial" w:eastAsia="Arial" w:hAnsi="Arial"/>
          <w:sz w:val="17"/>
          <w:szCs w:val="17"/>
          <w:color w:val="auto"/>
        </w:rPr>
        <w:t>” means each of (i) [ ] or their affiliates which are primary U.S. government securities dealers (a “Primary Treasury Dealer”), and their respective successors; provided, however, that if any of the foregoing shall cease to be a primary U.S. government securities dealer, the Issuer will substitute therefor another Primary Treasury Dealer and (ii) any other Primary Treasury Dealer selected by the Issuer.</w:t>
      </w:r>
    </w:p>
    <w:p>
      <w:pPr>
        <w:spacing w:after="0" w:line="158" w:lineRule="exact"/>
        <w:rPr>
          <w:sz w:val="20"/>
          <w:szCs w:val="20"/>
          <w:color w:val="auto"/>
        </w:rPr>
      </w:pPr>
    </w:p>
    <w:p>
      <w:pPr>
        <w:ind w:right="8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R-4</w:t>
      </w:r>
    </w:p>
    <w:p>
      <w:pPr>
        <w:sectPr>
          <w:pgSz w:w="11900" w:h="16838" w:orient="portrait"/>
          <w:cols w:equalWidth="0" w:num="1">
            <w:col w:w="11400"/>
          </w:cols>
          <w:pgMar w:left="240" w:top="274" w:right="259" w:bottom="1440" w:gutter="0" w:footer="0" w:header="0"/>
        </w:sectPr>
      </w:pPr>
    </w:p>
    <w:bookmarkStart w:id="144" w:name="page145"/>
    <w:bookmarkEnd w:id="144"/>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Issue (expressed as a percentage of its principal amount) quoted in writing to the Independent Investment Banker by such Reference Treasury Dealer at 3:30 p.m. New York time on the third Business Day preceding such Redemption Date.</w:t>
      </w:r>
    </w:p>
    <w:p>
      <w:pPr>
        <w:spacing w:after="0" w:line="166"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8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Unless the Issuer defaults in payment of the redemption price, on and after the Redemption Date, interest will cease to accrue on the Securities or portions thereof called for redemption. If less than all of the Securities are to be redeemed, the Securities to be redeemed shall be selected by the Trustee by such method as the Trustee shall deem fair and appropriate, provided that Securities held in global form will be selected in accordance with the procedures of DTC.</w:t>
      </w:r>
    </w:p>
    <w:p>
      <w:pPr>
        <w:spacing w:after="0" w:line="335" w:lineRule="exact"/>
        <w:rPr>
          <w:sz w:val="20"/>
          <w:szCs w:val="20"/>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117"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If an Event of Default (other than certain bankruptcy Events of Default with respect to the Issuer or any Guarantor)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Guarantor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in good faith that withholding notice is in their interest.</w:t>
      </w:r>
    </w:p>
    <w:p>
      <w:pPr>
        <w:spacing w:after="0" w:line="315" w:lineRule="exact"/>
        <w:rPr>
          <w:sz w:val="20"/>
          <w:szCs w:val="20"/>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319" w:lineRule="exact"/>
        <w:rPr>
          <w:sz w:val="20"/>
          <w:szCs w:val="20"/>
          <w:color w:val="auto"/>
        </w:rPr>
      </w:pPr>
    </w:p>
    <w:p>
      <w:pPr>
        <w:ind w:left="900" w:hanging="446"/>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R-5</w:t>
      </w:r>
    </w:p>
    <w:p>
      <w:pPr>
        <w:sectPr>
          <w:pgSz w:w="11900" w:h="16838" w:orient="portrait"/>
          <w:cols w:equalWidth="0" w:num="1">
            <w:col w:w="11400"/>
          </w:cols>
          <w:pgMar w:left="240" w:top="274" w:right="259" w:bottom="1440" w:gutter="0" w:footer="0" w:header="0"/>
        </w:sectPr>
      </w:pPr>
    </w:p>
    <w:bookmarkStart w:id="145" w:name="page146"/>
    <w:bookmarkEnd w:id="145"/>
    <w:p>
      <w:pPr>
        <w:ind w:left="900" w:hanging="446"/>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Authentication.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374" w:lineRule="exact"/>
        <w:rPr>
          <w:sz w:val="20"/>
          <w:szCs w:val="20"/>
          <w:color w:val="auto"/>
        </w:rPr>
      </w:pPr>
    </w:p>
    <w:p>
      <w:pPr>
        <w:ind w:left="900" w:hanging="446"/>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11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330" w:lineRule="exact"/>
        <w:rPr>
          <w:sz w:val="20"/>
          <w:szCs w:val="20"/>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To the extent that the Issuer has caused CUSIP numbers to be printed on the Securities, no representation is made as to the accuracy of such numbers as printed on the Securities and reliance may be placed only on the other identification numbers printed hereon.</w:t>
      </w:r>
    </w:p>
    <w:p>
      <w:pPr>
        <w:spacing w:after="0" w:line="319" w:lineRule="exact"/>
        <w:rPr>
          <w:sz w:val="20"/>
          <w:szCs w:val="20"/>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this Security and the Guarantees.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R-6</w:t>
      </w:r>
    </w:p>
    <w:p>
      <w:pPr>
        <w:sectPr>
          <w:pgSz w:w="11900" w:h="16838" w:orient="portrait"/>
          <w:cols w:equalWidth="0" w:num="1">
            <w:col w:w="11380"/>
          </w:cols>
          <w:pgMar w:left="240" w:top="274" w:right="27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40" w:type="dxa"/>
            <w:vAlign w:val="bottom"/>
            <w:gridSpan w:val="5"/>
          </w:tcPr>
          <w:p>
            <w:pPr>
              <w:jc w:val="center"/>
              <w:ind w:right="2560"/>
              <w:spacing w:after="0"/>
              <w:rPr>
                <w:sz w:val="20"/>
                <w:szCs w:val="20"/>
                <w:color w:val="auto"/>
              </w:rPr>
            </w:pPr>
            <w:r>
              <w:rPr>
                <w:rFonts w:ascii="Arial" w:cs="Arial" w:eastAsia="Arial" w:hAnsi="Arial"/>
                <w:sz w:val="18"/>
                <w:szCs w:val="18"/>
                <w:color w:val="auto"/>
                <w:w w:val="88"/>
              </w:rPr>
              <w:t>(Print or type name, address and zip code of assignee or transferee)</w:t>
            </w:r>
          </w:p>
        </w:tc>
      </w:tr>
      <w:tr>
        <w:trPr>
          <w:trHeight w:val="513"/>
        </w:trPr>
        <w:tc>
          <w:tcPr>
            <w:tcW w:w="5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r>
        <w:trPr>
          <w:trHeight w:val="237"/>
        </w:trPr>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40" w:type="dxa"/>
            <w:vAlign w:val="bottom"/>
            <w:gridSpan w:val="5"/>
          </w:tcPr>
          <w:p>
            <w:pPr>
              <w:jc w:val="center"/>
              <w:ind w:right="2580"/>
              <w:spacing w:after="0"/>
              <w:rPr>
                <w:sz w:val="20"/>
                <w:szCs w:val="20"/>
                <w:color w:val="auto"/>
              </w:rPr>
            </w:pPr>
            <w:r>
              <w:rPr>
                <w:rFonts w:ascii="Arial" w:cs="Arial" w:eastAsia="Arial" w:hAnsi="Arial"/>
                <w:sz w:val="18"/>
                <w:szCs w:val="18"/>
                <w:color w:val="auto"/>
                <w:w w:val="91"/>
              </w:rPr>
              <w:t>(Insert Social Security or other identifying number of assignee or transferee)</w:t>
            </w:r>
          </w:p>
        </w:tc>
      </w:tr>
      <w:tr>
        <w:trPr>
          <w:trHeight w:val="608"/>
        </w:trPr>
        <w:tc>
          <w:tcPr>
            <w:tcW w:w="1720" w:type="dxa"/>
            <w:vAlign w:val="bottom"/>
            <w:gridSpan w:val="2"/>
          </w:tcPr>
          <w:p>
            <w:pPr>
              <w:spacing w:after="0"/>
              <w:rPr>
                <w:sz w:val="20"/>
                <w:szCs w:val="20"/>
                <w:color w:val="auto"/>
              </w:rPr>
            </w:pPr>
            <w:r>
              <w:rPr>
                <w:rFonts w:ascii="Arial" w:cs="Arial" w:eastAsia="Arial" w:hAnsi="Arial"/>
                <w:sz w:val="18"/>
                <w:szCs w:val="18"/>
                <w:color w:val="auto"/>
                <w:w w:val="91"/>
              </w:rPr>
              <w:t>and irrevocably appoint</w:t>
            </w: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7860" w:type="dxa"/>
            <w:vAlign w:val="bottom"/>
            <w:gridSpan w:val="4"/>
          </w:tcPr>
          <w:p>
            <w:pPr>
              <w:ind w:left="40"/>
              <w:spacing w:after="0"/>
              <w:rPr>
                <w:sz w:val="20"/>
                <w:szCs w:val="20"/>
                <w:color w:val="auto"/>
              </w:rPr>
            </w:pPr>
            <w:r>
              <w:rPr>
                <w:rFonts w:ascii="Arial" w:cs="Arial" w:eastAsia="Arial" w:hAnsi="Arial"/>
                <w:sz w:val="18"/>
                <w:szCs w:val="18"/>
                <w:color w:val="auto"/>
                <w:w w:val="93"/>
              </w:rPr>
              <w:t>agent to transfer this Security on the books of the Issuer. The agent may substitute another to act for him.</w:t>
            </w:r>
          </w:p>
        </w:tc>
      </w:tr>
      <w:tr>
        <w:trPr>
          <w:trHeight w:val="736"/>
        </w:trPr>
        <w:tc>
          <w:tcPr>
            <w:tcW w:w="2140" w:type="dxa"/>
            <w:vAlign w:val="bottom"/>
            <w:gridSpan w:val="3"/>
          </w:tcPr>
          <w:p>
            <w:pPr>
              <w:spacing w:after="0"/>
              <w:rPr>
                <w:sz w:val="20"/>
                <w:szCs w:val="20"/>
                <w:color w:val="auto"/>
              </w:rPr>
            </w:pPr>
            <w:r>
              <w:rPr>
                <w:rFonts w:ascii="Arial" w:cs="Arial" w:eastAsia="Arial" w:hAnsi="Arial"/>
                <w:sz w:val="18"/>
                <w:szCs w:val="18"/>
                <w:color w:val="auto"/>
              </w:rPr>
              <w:t>Dated:</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140" w:type="dxa"/>
            <w:vAlign w:val="bottom"/>
            <w:gridSpan w:val="3"/>
          </w:tcPr>
          <w:p>
            <w:pPr>
              <w:ind w:left="680"/>
              <w:spacing w:after="0"/>
              <w:rPr>
                <w:sz w:val="20"/>
                <w:szCs w:val="20"/>
                <w:color w:val="auto"/>
              </w:rPr>
            </w:pPr>
            <w:r>
              <w:rPr>
                <w:rFonts w:ascii="Arial" w:cs="Arial" w:eastAsia="Arial" w:hAnsi="Arial"/>
                <w:sz w:val="18"/>
                <w:szCs w:val="18"/>
                <w:color w:val="auto"/>
              </w:rPr>
              <w:t>Signed:</w:t>
            </w:r>
          </w:p>
        </w:tc>
      </w:tr>
      <w:tr>
        <w:trPr>
          <w:trHeight w:val="195"/>
        </w:trPr>
        <w:tc>
          <w:tcPr>
            <w:tcW w:w="54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3400" w:type="dxa"/>
            <w:vAlign w:val="bottom"/>
            <w:tcBorders>
              <w:top w:val="single" w:sz="8" w:color="auto"/>
            </w:tcBorders>
          </w:tcPr>
          <w:p>
            <w:pPr>
              <w:jc w:val="center"/>
              <w:ind w:left="10"/>
              <w:spacing w:after="0" w:line="195" w:lineRule="exact"/>
              <w:rPr>
                <w:sz w:val="20"/>
                <w:szCs w:val="20"/>
                <w:color w:val="auto"/>
              </w:rPr>
            </w:pPr>
            <w:r>
              <w:rPr>
                <w:rFonts w:ascii="Arial" w:cs="Arial" w:eastAsia="Arial" w:hAnsi="Arial"/>
                <w:sz w:val="18"/>
                <w:szCs w:val="18"/>
                <w:color w:val="auto"/>
                <w:w w:val="87"/>
              </w:rPr>
              <w:t>(Signed exactly as name appears</w:t>
            </w:r>
          </w:p>
        </w:tc>
        <w:tc>
          <w:tcPr>
            <w:tcW w:w="248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880" w:type="dxa"/>
            <w:vAlign w:val="bottom"/>
            <w:gridSpan w:val="2"/>
          </w:tcPr>
          <w:p>
            <w:pPr>
              <w:jc w:val="center"/>
              <w:ind w:right="2400"/>
              <w:spacing w:after="0"/>
              <w:rPr>
                <w:sz w:val="20"/>
                <w:szCs w:val="20"/>
                <w:color w:val="auto"/>
              </w:rPr>
            </w:pPr>
            <w:r>
              <w:rPr>
                <w:rFonts w:ascii="Arial" w:cs="Arial" w:eastAsia="Arial" w:hAnsi="Arial"/>
                <w:sz w:val="18"/>
                <w:szCs w:val="18"/>
                <w:color w:val="auto"/>
                <w:w w:val="91"/>
              </w:rPr>
              <w:t>on the other side of this Security)</w:t>
            </w:r>
          </w:p>
        </w:tc>
      </w:tr>
      <w:tr>
        <w:trPr>
          <w:trHeight w:val="729"/>
        </w:trPr>
        <w:tc>
          <w:tcPr>
            <w:tcW w:w="2140" w:type="dxa"/>
            <w:vAlign w:val="bottom"/>
            <w:gridSpan w:val="3"/>
          </w:tcPr>
          <w:p>
            <w:pPr>
              <w:spacing w:after="0"/>
              <w:rPr>
                <w:sz w:val="20"/>
                <w:szCs w:val="20"/>
                <w:color w:val="auto"/>
              </w:rPr>
            </w:pPr>
            <w:r>
              <w:rPr>
                <w:rFonts w:ascii="Arial" w:cs="Arial" w:eastAsia="Arial" w:hAnsi="Arial"/>
                <w:sz w:val="18"/>
                <w:szCs w:val="18"/>
                <w:color w:val="auto"/>
              </w:rPr>
              <w:t>Signature Guarantee:</w:t>
            </w:r>
          </w:p>
        </w:tc>
        <w:tc>
          <w:tcPr>
            <w:tcW w:w="4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2480" w:type="dxa"/>
            <w:vAlign w:val="bottom"/>
          </w:tcPr>
          <w:p>
            <w:pPr>
              <w:spacing w:after="0"/>
              <w:rPr>
                <w:sz w:val="24"/>
                <w:szCs w:val="24"/>
                <w:color w:val="auto"/>
              </w:rPr>
            </w:pPr>
          </w:p>
        </w:tc>
      </w:tr>
      <w:tr>
        <w:trPr>
          <w:trHeight w:val="209"/>
        </w:trPr>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360" w:type="dxa"/>
            <w:vAlign w:val="bottom"/>
            <w:gridSpan w:val="4"/>
          </w:tcPr>
          <w:p>
            <w:pPr>
              <w:jc w:val="center"/>
              <w:ind w:right="10"/>
              <w:spacing w:after="0"/>
              <w:rPr>
                <w:sz w:val="20"/>
                <w:szCs w:val="20"/>
                <w:color w:val="auto"/>
              </w:rPr>
            </w:pPr>
            <w:r>
              <w:rPr>
                <w:rFonts w:ascii="Arial" w:cs="Arial" w:eastAsia="Arial" w:hAnsi="Arial"/>
                <w:sz w:val="18"/>
                <w:szCs w:val="18"/>
                <w:color w:val="auto"/>
                <w:w w:val="90"/>
              </w:rPr>
              <w:t>Participant in a recognized Signature Guarantee Medallion Program (or other signature</w:t>
            </w:r>
          </w:p>
        </w:tc>
        <w:tc>
          <w:tcPr>
            <w:tcW w:w="248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80" w:type="dxa"/>
            <w:vAlign w:val="bottom"/>
            <w:gridSpan w:val="6"/>
          </w:tcPr>
          <w:p>
            <w:pPr>
              <w:ind w:left="440"/>
              <w:spacing w:after="0"/>
              <w:rPr>
                <w:sz w:val="20"/>
                <w:szCs w:val="20"/>
                <w:color w:val="auto"/>
              </w:rPr>
            </w:pPr>
            <w:r>
              <w:rPr>
                <w:rFonts w:ascii="Arial" w:cs="Arial" w:eastAsia="Arial" w:hAnsi="Arial"/>
                <w:sz w:val="18"/>
                <w:szCs w:val="18"/>
                <w:color w:val="auto"/>
              </w:rPr>
              <w:t>guarantor program reasonably acceptable to the Trustee)</w:t>
            </w:r>
          </w:p>
        </w:tc>
      </w:tr>
    </w:tbl>
    <w:p>
      <w:pPr>
        <w:sectPr>
          <w:pgSz w:w="11900" w:h="16838" w:orient="portrait"/>
          <w:cols w:equalWidth="0" w:num="1">
            <w:col w:w="11420"/>
          </w:cols>
          <w:pgMar w:left="240" w:top="274" w:right="2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INCREASES OR DECREASES IN GLOBAL SECURITY</w:t>
      </w:r>
    </w:p>
    <w:p>
      <w:pPr>
        <w:spacing w:after="0" w:line="225" w:lineRule="exact"/>
        <w:rPr>
          <w:sz w:val="20"/>
          <w:szCs w:val="20"/>
          <w:color w:val="auto"/>
        </w:rPr>
      </w:pPr>
    </w:p>
    <w:p>
      <w:pPr>
        <w:spacing w:after="0"/>
        <w:tabs>
          <w:tab w:leader="none" w:pos="4400" w:val="left"/>
        </w:tabs>
        <w:rPr>
          <w:sz w:val="20"/>
          <w:szCs w:val="20"/>
          <w:color w:val="auto"/>
        </w:rPr>
      </w:pPr>
      <w:r>
        <w:rPr>
          <w:rFonts w:ascii="Arial" w:cs="Arial" w:eastAsia="Arial" w:hAnsi="Arial"/>
          <w:sz w:val="18"/>
          <w:szCs w:val="18"/>
          <w:color w:val="auto"/>
        </w:rPr>
        <w:t>The initial principal amount of this Global Security is $[</w:t>
      </w:r>
      <w:r>
        <w:rPr>
          <w:sz w:val="20"/>
          <w:szCs w:val="20"/>
          <w:color w:val="auto"/>
        </w:rPr>
        <w:tab/>
      </w:r>
      <w:r>
        <w:rPr>
          <w:rFonts w:ascii="Arial" w:cs="Arial" w:eastAsia="Arial" w:hAnsi="Arial"/>
          <w:sz w:val="16"/>
          <w:szCs w:val="16"/>
          <w:color w:val="auto"/>
        </w:rPr>
        <w:t>]. The following increases or decreases in this Global Security have been made: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80" w:type="dxa"/>
            <w:vAlign w:val="bottom"/>
            <w:gridSpan w:val="2"/>
          </w:tcPr>
          <w:p>
            <w:pPr>
              <w:jc w:val="center"/>
              <w:ind w:right="760"/>
              <w:spacing w:after="0"/>
              <w:rPr>
                <w:sz w:val="20"/>
                <w:szCs w:val="20"/>
                <w:color w:val="auto"/>
              </w:rPr>
            </w:pPr>
            <w:r>
              <w:rPr>
                <w:rFonts w:ascii="Arial" w:cs="Arial" w:eastAsia="Arial" w:hAnsi="Arial"/>
                <w:sz w:val="14"/>
                <w:szCs w:val="14"/>
                <w:color w:val="auto"/>
                <w:w w:val="93"/>
              </w:rPr>
              <w:t>Principal amount</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74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7"/>
              </w:rPr>
              <w:t>Amount of</w:t>
            </w:r>
          </w:p>
        </w:tc>
        <w:tc>
          <w:tcPr>
            <w:tcW w:w="176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7"/>
              </w:rPr>
              <w:t>Amount of</w:t>
            </w:r>
          </w:p>
        </w:tc>
        <w:tc>
          <w:tcPr>
            <w:tcW w:w="178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97"/>
              </w:rPr>
              <w:t>of this Global</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74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88"/>
              </w:rPr>
              <w:t>decrease in</w:t>
            </w:r>
          </w:p>
        </w:tc>
        <w:tc>
          <w:tcPr>
            <w:tcW w:w="176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1"/>
              </w:rPr>
              <w:t>increase in</w:t>
            </w:r>
          </w:p>
        </w:tc>
        <w:tc>
          <w:tcPr>
            <w:tcW w:w="178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94"/>
              </w:rPr>
              <w:t>Security</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2"/>
              </w:rPr>
              <w:t>Signature of</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74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3"/>
              </w:rPr>
              <w:t>Principal amount</w:t>
            </w:r>
          </w:p>
        </w:tc>
        <w:tc>
          <w:tcPr>
            <w:tcW w:w="176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3"/>
              </w:rPr>
              <w:t>Principal amount</w:t>
            </w:r>
          </w:p>
        </w:tc>
        <w:tc>
          <w:tcPr>
            <w:tcW w:w="178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7"/>
              </w:rPr>
              <w:t>following such</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4"/>
              </w:rPr>
              <w:t>authorized officer</w:t>
            </w:r>
          </w:p>
        </w:tc>
        <w:tc>
          <w:tcPr>
            <w:tcW w:w="0" w:type="dxa"/>
            <w:vAlign w:val="bottom"/>
          </w:tcPr>
          <w:p>
            <w:pPr>
              <w:spacing w:after="0"/>
              <w:rPr>
                <w:sz w:val="1"/>
                <w:szCs w:val="1"/>
                <w:color w:val="auto"/>
              </w:rPr>
            </w:pPr>
          </w:p>
        </w:tc>
      </w:tr>
      <w:tr>
        <w:trPr>
          <w:trHeight w:val="149"/>
        </w:trPr>
        <w:tc>
          <w:tcPr>
            <w:tcW w:w="1720" w:type="dxa"/>
            <w:vAlign w:val="bottom"/>
            <w:vMerge w:val="restart"/>
          </w:tcPr>
          <w:p>
            <w:pPr>
              <w:spacing w:after="0"/>
              <w:rPr>
                <w:sz w:val="20"/>
                <w:szCs w:val="20"/>
                <w:color w:val="auto"/>
              </w:rPr>
            </w:pPr>
            <w:r>
              <w:rPr>
                <w:rFonts w:ascii="Arial" w:cs="Arial" w:eastAsia="Arial" w:hAnsi="Arial"/>
                <w:sz w:val="14"/>
                <w:szCs w:val="14"/>
                <w:color w:val="auto"/>
                <w:w w:val="92"/>
              </w:rPr>
              <w:t>Date of Exchange or Transfer</w:t>
            </w:r>
          </w:p>
        </w:tc>
        <w:tc>
          <w:tcPr>
            <w:tcW w:w="2480" w:type="dxa"/>
            <w:vAlign w:val="bottom"/>
          </w:tcPr>
          <w:p>
            <w:pPr>
              <w:spacing w:after="0"/>
              <w:rPr>
                <w:sz w:val="12"/>
                <w:szCs w:val="12"/>
                <w:color w:val="auto"/>
              </w:rPr>
            </w:pPr>
          </w:p>
        </w:tc>
        <w:tc>
          <w:tcPr>
            <w:tcW w:w="174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5"/>
              </w:rPr>
              <w:t>of this Global</w:t>
            </w:r>
          </w:p>
        </w:tc>
        <w:tc>
          <w:tcPr>
            <w:tcW w:w="176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5"/>
              </w:rPr>
              <w:t>of this Global</w:t>
            </w:r>
          </w:p>
        </w:tc>
        <w:tc>
          <w:tcPr>
            <w:tcW w:w="178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89"/>
              </w:rPr>
              <w:t>decrease or</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3"/>
              </w:rPr>
              <w:t>of Trustee or</w:t>
            </w:r>
          </w:p>
        </w:tc>
        <w:tc>
          <w:tcPr>
            <w:tcW w:w="0" w:type="dxa"/>
            <w:vAlign w:val="bottom"/>
          </w:tcPr>
          <w:p>
            <w:pPr>
              <w:spacing w:after="0"/>
              <w:rPr>
                <w:sz w:val="1"/>
                <w:szCs w:val="1"/>
                <w:color w:val="auto"/>
              </w:rPr>
            </w:pPr>
          </w:p>
        </w:tc>
      </w:tr>
      <w:tr>
        <w:trPr>
          <w:trHeight w:val="161"/>
        </w:trPr>
        <w:tc>
          <w:tcPr>
            <w:tcW w:w="1720" w:type="dxa"/>
            <w:vAlign w:val="bottom"/>
            <w:vMerge w:val="continue"/>
          </w:tcPr>
          <w:p>
            <w:pPr>
              <w:spacing w:after="0"/>
              <w:rPr>
                <w:sz w:val="13"/>
                <w:szCs w:val="13"/>
                <w:color w:val="auto"/>
              </w:rPr>
            </w:pPr>
          </w:p>
        </w:tc>
        <w:tc>
          <w:tcPr>
            <w:tcW w:w="2480" w:type="dxa"/>
            <w:vAlign w:val="bottom"/>
          </w:tcPr>
          <w:p>
            <w:pPr>
              <w:spacing w:after="0"/>
              <w:rPr>
                <w:sz w:val="13"/>
                <w:szCs w:val="13"/>
                <w:color w:val="auto"/>
              </w:rPr>
            </w:pPr>
          </w:p>
        </w:tc>
        <w:tc>
          <w:tcPr>
            <w:tcW w:w="1740" w:type="dxa"/>
            <w:vAlign w:val="bottom"/>
            <w:gridSpan w:val="2"/>
          </w:tcPr>
          <w:p>
            <w:pPr>
              <w:jc w:val="center"/>
              <w:ind w:right="740"/>
              <w:spacing w:after="0" w:line="154" w:lineRule="exact"/>
              <w:rPr>
                <w:sz w:val="20"/>
                <w:szCs w:val="20"/>
                <w:color w:val="auto"/>
              </w:rPr>
            </w:pPr>
            <w:r>
              <w:rPr>
                <w:rFonts w:ascii="Arial" w:cs="Arial" w:eastAsia="Arial" w:hAnsi="Arial"/>
                <w:sz w:val="14"/>
                <w:szCs w:val="14"/>
                <w:color w:val="auto"/>
                <w:w w:val="94"/>
              </w:rPr>
              <w:t>Security</w:t>
            </w:r>
          </w:p>
        </w:tc>
        <w:tc>
          <w:tcPr>
            <w:tcW w:w="1760" w:type="dxa"/>
            <w:vAlign w:val="bottom"/>
            <w:gridSpan w:val="2"/>
          </w:tcPr>
          <w:p>
            <w:pPr>
              <w:jc w:val="center"/>
              <w:ind w:right="760"/>
              <w:spacing w:after="0" w:line="154" w:lineRule="exact"/>
              <w:rPr>
                <w:sz w:val="20"/>
                <w:szCs w:val="20"/>
                <w:color w:val="auto"/>
              </w:rPr>
            </w:pPr>
            <w:r>
              <w:rPr>
                <w:rFonts w:ascii="Arial" w:cs="Arial" w:eastAsia="Arial" w:hAnsi="Arial"/>
                <w:sz w:val="14"/>
                <w:szCs w:val="14"/>
                <w:color w:val="auto"/>
                <w:w w:val="94"/>
              </w:rPr>
              <w:t>Security</w:t>
            </w:r>
          </w:p>
        </w:tc>
        <w:tc>
          <w:tcPr>
            <w:tcW w:w="1780" w:type="dxa"/>
            <w:vAlign w:val="bottom"/>
            <w:gridSpan w:val="2"/>
          </w:tcPr>
          <w:p>
            <w:pPr>
              <w:jc w:val="center"/>
              <w:ind w:right="780"/>
              <w:spacing w:after="0" w:line="154" w:lineRule="exact"/>
              <w:rPr>
                <w:sz w:val="20"/>
                <w:szCs w:val="20"/>
                <w:color w:val="auto"/>
              </w:rPr>
            </w:pPr>
            <w:r>
              <w:rPr>
                <w:rFonts w:ascii="Arial" w:cs="Arial" w:eastAsia="Arial" w:hAnsi="Arial"/>
                <w:sz w:val="14"/>
                <w:szCs w:val="14"/>
                <w:color w:val="auto"/>
                <w:w w:val="90"/>
              </w:rPr>
              <w:t>increase</w:t>
            </w:r>
          </w:p>
        </w:tc>
        <w:tc>
          <w:tcPr>
            <w:tcW w:w="1020" w:type="dxa"/>
            <w:vAlign w:val="bottom"/>
          </w:tcPr>
          <w:p>
            <w:pPr>
              <w:jc w:val="center"/>
              <w:spacing w:after="0" w:line="154" w:lineRule="exact"/>
              <w:rPr>
                <w:sz w:val="20"/>
                <w:szCs w:val="20"/>
                <w:color w:val="auto"/>
              </w:rPr>
            </w:pPr>
            <w:r>
              <w:rPr>
                <w:rFonts w:ascii="Arial" w:cs="Arial" w:eastAsia="Arial" w:hAnsi="Arial"/>
                <w:sz w:val="14"/>
                <w:szCs w:val="14"/>
                <w:color w:val="auto"/>
                <w:w w:val="91"/>
              </w:rPr>
              <w:t>Custodian</w:t>
            </w:r>
          </w:p>
        </w:tc>
        <w:tc>
          <w:tcPr>
            <w:tcW w:w="0" w:type="dxa"/>
            <w:vAlign w:val="bottom"/>
          </w:tcPr>
          <w:p>
            <w:pPr>
              <w:spacing w:after="0"/>
              <w:rPr>
                <w:sz w:val="1"/>
                <w:szCs w:val="1"/>
                <w:color w:val="auto"/>
              </w:rPr>
            </w:pPr>
          </w:p>
        </w:tc>
      </w:tr>
      <w:tr>
        <w:trPr>
          <w:trHeight w:val="203"/>
        </w:trPr>
        <w:tc>
          <w:tcPr>
            <w:tcW w:w="1720" w:type="dxa"/>
            <w:vAlign w:val="bottom"/>
            <w:tcBorders>
              <w:top w:val="single" w:sz="8" w:color="auto"/>
            </w:tcBorders>
            <w:shd w:val="clear" w:color="auto" w:fill="CCEEFF"/>
          </w:tcPr>
          <w:p>
            <w:pPr>
              <w:spacing w:after="0"/>
              <w:rPr>
                <w:sz w:val="17"/>
                <w:szCs w:val="17"/>
                <w:color w:val="auto"/>
              </w:rPr>
            </w:pPr>
          </w:p>
        </w:tc>
        <w:tc>
          <w:tcPr>
            <w:tcW w:w="24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700" w:top="274" w:right="69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18, 2013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Comcast Corporation, a Pennsylvania corporation (the “Company”) is filing with the Securities and Exchange Commission a Registration Statement on Form S-3 (the “Registration Statement”) for the purpose of registering under the Securities Act of 1933, as amended (the “Securities Act”), (i) shares of the Company’s Class A Common Stock, par value $0.01 per share (the “Class A Common Stock”); (ii) shares of the Company’s Class A Special Common Stock, par value $0.01 per share (the “Class A Special Common Stock”); (iii) shares of the Company’s preferred stock, without par value (the “Preferred Stock”);</w:t>
      </w:r>
    </w:p>
    <w:p>
      <w:pPr>
        <w:spacing w:after="0" w:line="2" w:lineRule="exact"/>
        <w:rPr>
          <w:sz w:val="20"/>
          <w:szCs w:val="20"/>
          <w:color w:val="auto"/>
        </w:rPr>
      </w:pPr>
    </w:p>
    <w:p>
      <w:pPr>
        <w:ind w:right="20" w:firstLine="8"/>
        <w:spacing w:after="0" w:line="281" w:lineRule="auto"/>
        <w:tabs>
          <w:tab w:leader="none" w:pos="30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Company’s senior debt securities (the “Debt Securities”), which may be fully and unconditionally guaranteed by each of NBCUniversal Media, LLC, Comcast Cable Communications, LLC, Comcast Cable Holdings, LLC, Comcast MO Group, Inc., and Comcast MO of Delaware, LLC (collectively, the “Guarantors”); (v) warrants (the “Warrants”), which may be issued pursuant to a warrant agreement (the “Warrant Agreement”) between the Company and the warrant agent to be named therein; (vi) purchase contracts (the “Purchase Contracts”) which may be issued under one or more purchase contract agreements (each, a “Purchase Contract Agreement”) to be entered into between the Company and the purchase contract agent to be named therein (the “Purchase Contract Agent”) requiring the holders thereof to purchase or sell (A) the Company’s securities or securities of an entity unaffiliated or affiliated with the Company, a basket of such securities, an index or indices of such securities or any combination of the above, (B) currencies or composite currencies or (C) commodities; (vii) units (the “Units”) consisting of Debt Securities, Warrants, Purchase Contracts, Preferred Stock, Class A Common Stock or Class A Special Common Stock or any combination of the foregoing to be issued under one or more unit agreements to be entered into among the Company, a bank or trust company, as unit agent (the “Unit Agent”), and the holders from time to time of the Units (each such unit agreement, a “Unit Agreement”);</w:t>
      </w:r>
    </w:p>
    <w:p>
      <w:pPr>
        <w:spacing w:after="0" w:line="6" w:lineRule="exact"/>
        <w:rPr>
          <w:rFonts w:ascii="Arial" w:cs="Arial" w:eastAsia="Arial" w:hAnsi="Arial"/>
          <w:sz w:val="16"/>
          <w:szCs w:val="16"/>
          <w:color w:val="auto"/>
        </w:rPr>
      </w:pPr>
    </w:p>
    <w:p>
      <w:pPr>
        <w:ind w:right="40" w:firstLine="8"/>
        <w:spacing w:after="0" w:line="268" w:lineRule="auto"/>
        <w:tabs>
          <w:tab w:leader="none" w:pos="405" w:val="left"/>
        </w:tabs>
        <w:numPr>
          <w:ilvl w:val="0"/>
          <w:numId w:val="132"/>
        </w:numPr>
        <w:rPr>
          <w:rFonts w:ascii="Arial" w:cs="Arial" w:eastAsia="Arial" w:hAnsi="Arial"/>
          <w:sz w:val="17"/>
          <w:szCs w:val="17"/>
          <w:color w:val="auto"/>
        </w:rPr>
      </w:pPr>
      <w:r>
        <w:rPr>
          <w:rFonts w:ascii="Arial" w:cs="Arial" w:eastAsia="Arial" w:hAnsi="Arial"/>
          <w:sz w:val="17"/>
          <w:szCs w:val="17"/>
          <w:color w:val="auto"/>
        </w:rPr>
        <w:t>guarantees (the “Guarantees”) of the Debt Securities by the Guarantors; and (ix) guarantees (the “Additional Guarantees”) of Warrants, Purchase Contracts and Units or any combination of the foregoing by the Guarantors to be issued under one or more guarantee agreements (each, a “Guarantee Agreement” to be entered into by the Guarantors). The Debt Securities, Preferred Stock, Class A Common Stock, Class A Special Common Stock, Warrants, Purchase Contracts, Units, Guarantees and Additional Guarantees are herein collectively referred to as the “Securities.” The Debt Securities and the Preferred Stock may be convertible and/or exchangeable for Securities or other securities or rights. The Debt Securities are to be issued pursuant to an Indenture (the “Indenture”) dated September 18, 2013, among the Company, the Guarantors and The Bank of New York Mellon, as Trustee. The Company may offer Depositary Shares (the “Depositary Shares”) representing interests in Preferred Stock deposited with a Depositary and evidenced by Depositary Receipts, and such Depositary Shares are also covered by the Registration Statement.</w:t>
      </w:r>
    </w:p>
    <w:p>
      <w:pPr>
        <w:spacing w:after="0" w:line="184"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 have examined originals or copies, certified or otherwise identified to my satisfaction, of such documents, corporate records, certificates of public officials and other instruments as I have deemed necessary or advisable for the purpose of rendering this opinion.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I advise you that, in my opinion:</w:t>
      </w:r>
    </w:p>
    <w:p>
      <w:pPr>
        <w:spacing w:after="0" w:line="117" w:lineRule="exact"/>
        <w:rPr>
          <w:sz w:val="20"/>
          <w:szCs w:val="20"/>
          <w:color w:val="auto"/>
        </w:rPr>
      </w:pPr>
    </w:p>
    <w:p>
      <w:pPr>
        <w:ind w:right="60" w:firstLine="464"/>
        <w:spacing w:after="0" w:line="255" w:lineRule="auto"/>
        <w:tabs>
          <w:tab w:leader="none" w:pos="63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When the necessary corporate action on the part of the Company has been taken to authorize the issuance and sale of such shares of Class A Common Stock proposed to be sold by the Company, and when such shares of Class A Common Stock are issued and delivered in accordance with the applicable underwriting or other agreement against payment therefor (in an amount not less than the par value thereof) or upon conversion or exercise of any security offered under the Registration Statement (the “Offered Security”), in accordance with the terms of such Offered Security or the instrument governing such Offered Security providing for such conversion or exercise as approved by the Board of Directors, for the consideration approved by the Board of Directors (which consideration is not less than the par value of the Class A Common Stock), such shares of Class A Common Stock will be validly issued, fully-paid and non-assessable.</w:t>
      </w:r>
    </w:p>
    <w:p>
      <w:pPr>
        <w:sectPr>
          <w:pgSz w:w="11900" w:h="16838" w:orient="portrait"/>
          <w:cols w:equalWidth="0" w:num="1">
            <w:col w:w="11420"/>
          </w:cols>
          <w:pgMar w:left="240" w:top="121" w:right="239" w:bottom="1440" w:gutter="0" w:footer="0" w:header="0"/>
        </w:sectPr>
      </w:pPr>
    </w:p>
    <w:bookmarkStart w:id="149" w:name="page150"/>
    <w:bookmarkEnd w:id="149"/>
    <w:p>
      <w:pPr>
        <w:ind w:right="20" w:firstLine="464"/>
        <w:spacing w:after="0" w:line="293" w:lineRule="auto"/>
        <w:tabs>
          <w:tab w:leader="none" w:pos="636" w:val="left"/>
        </w:tabs>
        <w:numPr>
          <w:ilvl w:val="0"/>
          <w:numId w:val="1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When the necessary corporate action on the part of the Company has been taken to authorize the issuance and sale of such shares of Class A Special Common Stock proposed to be sold by the Company, and when such shares of Class A Special Common Stock are issued and delivered in accordance with the applicable underwriting or other agreement against payment therefor (in an amount not less than the par value thereof) or upon conversion or exercise of an Offered Security, in accordance with the terms of such Offered Security or the instrument governing such Offered Security providing for such conversion or exercise as approved by the Board of Directors, for the consideration approved by the Board of Directors (which consideration is not less than the par value of the Class A Special Common Stock), such shares of Class A Special Common Stock will be validly issued, fully-paid and non-assessable.</w:t>
      </w:r>
    </w:p>
    <w:p>
      <w:pPr>
        <w:spacing w:after="0" w:line="164" w:lineRule="exact"/>
        <w:rPr>
          <w:rFonts w:ascii="Arial" w:cs="Arial" w:eastAsia="Arial" w:hAnsi="Arial"/>
          <w:sz w:val="16"/>
          <w:szCs w:val="16"/>
          <w:color w:val="auto"/>
        </w:rPr>
      </w:pPr>
    </w:p>
    <w:p>
      <w:pPr>
        <w:ind w:right="20" w:firstLine="464"/>
        <w:spacing w:after="0" w:line="273" w:lineRule="auto"/>
        <w:tabs>
          <w:tab w:leader="none" w:pos="636" w:val="left"/>
        </w:tabs>
        <w:numPr>
          <w:ilvl w:val="0"/>
          <w:numId w:val="134"/>
        </w:numPr>
        <w:rPr>
          <w:rFonts w:ascii="Arial" w:cs="Arial" w:eastAsia="Arial" w:hAnsi="Arial"/>
          <w:sz w:val="17"/>
          <w:szCs w:val="17"/>
          <w:color w:val="auto"/>
        </w:rPr>
      </w:pPr>
      <w:r>
        <w:rPr>
          <w:rFonts w:ascii="Arial" w:cs="Arial" w:eastAsia="Arial" w:hAnsi="Arial"/>
          <w:sz w:val="17"/>
          <w:szCs w:val="17"/>
          <w:color w:val="auto"/>
        </w:rPr>
        <w:t>Upon designation of the relative rights, preferences and limitations of any series of Preferred Stock by the Board of Directors of the Company and proper filing with the Secretary of State of the Commonwealth of Pennsylvania of a Certificate of Designations relating to such series of Preferred Stock, all necessary corporate action on the part of the Company will have been taken to authorize the issuance and sale of such series of Preferred Stock proposed to be sold by the Company, and when such shares of Preferred Stock are issued and delivered in accordance with the applicable underwriting or other agreement against payment therefor or upon conversion in accordance with the terms of any other Security that has been duly authorized, issued, paid for and delivered, such shares of Preferred Stock will be validly issued, fully paid and non-assessable.</w:t>
      </w:r>
    </w:p>
    <w:p>
      <w:pPr>
        <w:spacing w:after="0" w:line="178" w:lineRule="exact"/>
        <w:rPr>
          <w:rFonts w:ascii="Arial" w:cs="Arial" w:eastAsia="Arial" w:hAnsi="Arial"/>
          <w:sz w:val="17"/>
          <w:szCs w:val="17"/>
          <w:color w:val="auto"/>
        </w:rPr>
      </w:pPr>
    </w:p>
    <w:p>
      <w:pPr>
        <w:ind w:firstLine="464"/>
        <w:spacing w:after="0" w:line="264" w:lineRule="auto"/>
        <w:tabs>
          <w:tab w:leader="none" w:pos="63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When Depositary Shares evidenced by Depositary Receipts are issued and delivered in accordance with the terms of a Deposit Agreement against the deposit of duly authorized, validly issued, fully paid and non-assessable shares of Preferred Stock, such Depositary Shares will entitle the holders thereof to the rights specified in the Deposit Agreement.</w:t>
      </w:r>
    </w:p>
    <w:p>
      <w:pPr>
        <w:spacing w:after="0" w:line="181" w:lineRule="exact"/>
        <w:rPr>
          <w:rFonts w:ascii="Arial" w:cs="Arial" w:eastAsia="Arial" w:hAnsi="Arial"/>
          <w:sz w:val="18"/>
          <w:szCs w:val="18"/>
          <w:color w:val="auto"/>
        </w:rPr>
      </w:pPr>
    </w:p>
    <w:p>
      <w:pPr>
        <w:ind w:left="640" w:hanging="176"/>
        <w:spacing w:after="0"/>
        <w:tabs>
          <w:tab w:leader="none" w:pos="6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w:t>
      </w:r>
    </w:p>
    <w:p>
      <w:pPr>
        <w:spacing w:after="0" w:line="225"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In connection with my opinions expressed above, I have assumed that, at or prior to the time of the delivery of any such Security, (i) the Board of Directors shall have duly established the terms of such Security; (ii) the Company is, and shall remain, validly subsisting as a corporation in good standing under the laws of the Commonwealth of Pennsylvania; (iii) the Registration Statement shall have become effective and such effectiveness shall not have been terminated or rescinded; (iv) the Indentures and the Debt Securities are each valid, binding and enforceable agreements of each party thereto (other than as expressly covered above in respect of the Company); and (v) there shall not have occurred any change in law affecting the validity or enforceability of such Security. I have also assumed that none of the terms of any Security to be established subsequent to the date hereof, nor the issuance and delivery of such Security, nor the compliance by the Company with the terms of such Security will violate any applicable law or public policy or will result in a violation of any provision of any instrument or agreement then binding upon the Company, or any restriction imposed by any court or governmental body having jurisdiction over the Company.</w:t>
      </w:r>
    </w:p>
    <w:p>
      <w:pPr>
        <w:spacing w:after="0" w:line="182" w:lineRule="exact"/>
        <w:rPr>
          <w:sz w:val="20"/>
          <w:szCs w:val="20"/>
          <w:color w:val="auto"/>
        </w:rPr>
      </w:pPr>
    </w:p>
    <w:p>
      <w:pPr>
        <w:ind w:right="940" w:firstLine="456"/>
        <w:spacing w:after="0" w:line="277" w:lineRule="auto"/>
        <w:rPr>
          <w:sz w:val="20"/>
          <w:szCs w:val="20"/>
          <w:color w:val="auto"/>
        </w:rPr>
      </w:pPr>
      <w:r>
        <w:rPr>
          <w:rFonts w:ascii="Arial" w:cs="Arial" w:eastAsia="Arial" w:hAnsi="Arial"/>
          <w:sz w:val="18"/>
          <w:szCs w:val="18"/>
          <w:color w:val="auto"/>
        </w:rPr>
        <w:t>I am a member of the Bar of the Commonwealth of Pennsylvania and the foregoing opinion is limited to the laws of the Commonwealth of Pennsylvania.</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 hereby consent to the filing of this opinion as an exhibit to the Registration Statement referred to above and further consent to the reference to my name under the caption “Legal Matters” in the prospectus, which is a part of the Registration Statement. In giving this consent, I do not admit that I am in the category of persons whose consent is required under Section 7 of the Securities Act.</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-10160</wp:posOffset>
            </wp:positionV>
            <wp:extent cx="9906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99060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Arthur R. Block</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6"/>
          <w:szCs w:val="16"/>
          <w:b w:val="1"/>
          <w:bCs w:val="1"/>
          <w:color w:val="auto"/>
        </w:rPr>
        <w:t>Exhibit 5.2</w:t>
      </w:r>
    </w:p>
    <w:p>
      <w:pPr>
        <w:sectPr>
          <w:pgSz w:w="11900" w:h="16838" w:orient="portrait"/>
          <w:cols w:equalWidth="0" w:num="1">
            <w:col w:w="11420"/>
          </w:cols>
          <w:pgMar w:left="240" w:top="121" w:right="239" w:bottom="1440" w:gutter="0" w:footer="0" w:header="0"/>
        </w:sectPr>
      </w:pPr>
    </w:p>
    <w:p>
      <w:pPr>
        <w:spacing w:after="0" w:line="279"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New York</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Menlo Park</w:t>
      </w:r>
    </w:p>
    <w:p>
      <w:pPr>
        <w:spacing w:after="0" w:line="9" w:lineRule="exact"/>
        <w:rPr>
          <w:sz w:val="20"/>
          <w:szCs w:val="20"/>
          <w:color w:val="auto"/>
        </w:rPr>
      </w:pPr>
    </w:p>
    <w:p>
      <w:pPr>
        <w:ind w:left="7220"/>
        <w:spacing w:after="0"/>
        <w:rPr>
          <w:sz w:val="20"/>
          <w:szCs w:val="20"/>
          <w:color w:val="auto"/>
        </w:rPr>
      </w:pPr>
      <w:r>
        <w:rPr>
          <w:rFonts w:ascii="Arial" w:cs="Arial" w:eastAsia="Arial" w:hAnsi="Arial"/>
          <w:sz w:val="16"/>
          <w:szCs w:val="16"/>
          <w:color w:val="auto"/>
        </w:rPr>
        <w:t>Washington DC</w:t>
      </w:r>
    </w:p>
    <w:p>
      <w:pPr>
        <w:spacing w:after="0" w:line="32"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São Paulo</w:t>
      </w:r>
    </w:p>
    <w:p>
      <w:pPr>
        <w:spacing w:after="0" w:line="9"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151765</wp:posOffset>
            </wp:positionV>
            <wp:extent cx="1329055" cy="2571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29055"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Paris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Madrid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Tokyo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Beijing</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Hong Kong</w:t>
      </w:r>
    </w:p>
    <w:p>
      <w:pPr>
        <w:spacing w:after="0" w:line="211" w:lineRule="exact"/>
        <w:rPr>
          <w:sz w:val="20"/>
          <w:szCs w:val="20"/>
          <w:color w:val="auto"/>
        </w:rPr>
      </w:pPr>
    </w:p>
    <w:p>
      <w:pPr>
        <w:sectPr>
          <w:pgSz w:w="11900" w:h="16838" w:orient="portrait"/>
          <w:cols w:equalWidth="0" w:num="2">
            <w:col w:w="8760" w:space="720"/>
            <w:col w:w="194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Davis Polk &amp; Wardwell LLP</w:t>
            </w:r>
          </w:p>
        </w:tc>
        <w:tc>
          <w:tcPr>
            <w:tcW w:w="1540" w:type="dxa"/>
            <w:vAlign w:val="bottom"/>
          </w:tcPr>
          <w:p>
            <w:pPr>
              <w:ind w:left="280"/>
              <w:spacing w:after="0"/>
              <w:rPr>
                <w:sz w:val="20"/>
                <w:szCs w:val="20"/>
                <w:color w:val="auto"/>
              </w:rPr>
            </w:pPr>
            <w:r>
              <w:rPr>
                <w:rFonts w:ascii="Arial" w:cs="Arial" w:eastAsia="Arial" w:hAnsi="Arial"/>
                <w:sz w:val="18"/>
                <w:szCs w:val="18"/>
                <w:color w:val="auto"/>
                <w:w w:val="92"/>
              </w:rPr>
              <w:t>650 752 2000 tel</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1600 El Camino Real</w:t>
            </w:r>
          </w:p>
        </w:tc>
        <w:tc>
          <w:tcPr>
            <w:tcW w:w="1540" w:type="dxa"/>
            <w:vAlign w:val="bottom"/>
          </w:tcPr>
          <w:p>
            <w:pPr>
              <w:ind w:left="280"/>
              <w:spacing w:after="0"/>
              <w:rPr>
                <w:sz w:val="20"/>
                <w:szCs w:val="20"/>
                <w:color w:val="auto"/>
              </w:rPr>
            </w:pPr>
            <w:r>
              <w:rPr>
                <w:rFonts w:ascii="Arial" w:cs="Arial" w:eastAsia="Arial" w:hAnsi="Arial"/>
                <w:sz w:val="18"/>
                <w:szCs w:val="18"/>
                <w:color w:val="auto"/>
                <w:w w:val="89"/>
              </w:rPr>
              <w:t>650 752 2111 fax</w:t>
            </w: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Menlo Park, CA 94025</w:t>
            </w:r>
          </w:p>
        </w:tc>
        <w:tc>
          <w:tcPr>
            <w:tcW w:w="1540" w:type="dxa"/>
            <w:vAlign w:val="bottom"/>
          </w:tcPr>
          <w:p>
            <w:pPr>
              <w:spacing w:after="0"/>
              <w:rPr>
                <w:sz w:val="20"/>
                <w:szCs w:val="20"/>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September 18,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 xml:space="preserve">Comcast Corporation, a Pennsylvania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is filing with the Securities and Exchange Commission a Registration Statement on Form S-3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xml:space="preserve">) for the purpose of registering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xml:space="preserve">), (i) shares of the Company’s Class A Common Stock, par value $0.01 per share (the </w:t>
      </w:r>
      <w:r>
        <w:rPr>
          <w:rFonts w:ascii="Arial" w:cs="Arial" w:eastAsia="Arial" w:hAnsi="Arial"/>
          <w:sz w:val="16"/>
          <w:szCs w:val="16"/>
          <w:b w:val="1"/>
          <w:bCs w:val="1"/>
          <w:color w:val="auto"/>
        </w:rPr>
        <w:t>“Class A Common Stock”</w:t>
      </w:r>
      <w:r>
        <w:rPr>
          <w:rFonts w:ascii="Arial" w:cs="Arial" w:eastAsia="Arial" w:hAnsi="Arial"/>
          <w:sz w:val="16"/>
          <w:szCs w:val="16"/>
          <w:color w:val="auto"/>
        </w:rPr>
        <w:t xml:space="preserve">); (ii) shares of the Company’s Class A Special Common Stock, par value $0.01 per share (the </w:t>
      </w:r>
      <w:r>
        <w:rPr>
          <w:rFonts w:ascii="Arial" w:cs="Arial" w:eastAsia="Arial" w:hAnsi="Arial"/>
          <w:sz w:val="16"/>
          <w:szCs w:val="16"/>
          <w:b w:val="1"/>
          <w:bCs w:val="1"/>
          <w:color w:val="auto"/>
        </w:rPr>
        <w:t>“Class A Special Common Stock”</w:t>
      </w:r>
      <w:r>
        <w:rPr>
          <w:rFonts w:ascii="Arial" w:cs="Arial" w:eastAsia="Arial" w:hAnsi="Arial"/>
          <w:sz w:val="16"/>
          <w:szCs w:val="16"/>
          <w:color w:val="auto"/>
        </w:rPr>
        <w:t>); (iii) shares of the Company’s preferred stock, without par value (the “</w:t>
      </w:r>
      <w:r>
        <w:rPr>
          <w:rFonts w:ascii="Arial" w:cs="Arial" w:eastAsia="Arial" w:hAnsi="Arial"/>
          <w:sz w:val="16"/>
          <w:szCs w:val="16"/>
          <w:b w:val="1"/>
          <w:bCs w:val="1"/>
          <w:color w:val="auto"/>
        </w:rPr>
        <w:t>Preferred</w:t>
      </w:r>
      <w:r>
        <w:rPr>
          <w:rFonts w:ascii="Arial" w:cs="Arial" w:eastAsia="Arial" w:hAnsi="Arial"/>
          <w:sz w:val="16"/>
          <w:szCs w:val="16"/>
          <w:color w:val="auto"/>
        </w:rPr>
        <w:t xml:space="preserve"> </w:t>
      </w:r>
      <w:r>
        <w:rPr>
          <w:rFonts w:ascii="Arial" w:cs="Arial" w:eastAsia="Arial" w:hAnsi="Arial"/>
          <w:sz w:val="16"/>
          <w:szCs w:val="16"/>
          <w:b w:val="1"/>
          <w:bCs w:val="1"/>
          <w:color w:val="auto"/>
        </w:rPr>
        <w:t>Stock</w:t>
      </w:r>
      <w:r>
        <w:rPr>
          <w:rFonts w:ascii="Arial" w:cs="Arial" w:eastAsia="Arial" w:hAnsi="Arial"/>
          <w:sz w:val="16"/>
          <w:szCs w:val="16"/>
          <w:color w:val="auto"/>
        </w:rPr>
        <w:t>”); (iv) the Company’s senior debt securities ( the</w:t>
      </w:r>
      <w:r>
        <w:rPr>
          <w:rFonts w:ascii="Arial" w:cs="Arial" w:eastAsia="Arial" w:hAnsi="Arial"/>
          <w:sz w:val="16"/>
          <w:szCs w:val="16"/>
          <w:b w:val="1"/>
          <w:bCs w:val="1"/>
          <w:color w:val="auto"/>
        </w:rPr>
        <w:t xml:space="preserve"> “Debt Securities”</w:t>
      </w:r>
      <w:r>
        <w:rPr>
          <w:rFonts w:ascii="Arial" w:cs="Arial" w:eastAsia="Arial" w:hAnsi="Arial"/>
          <w:sz w:val="16"/>
          <w:szCs w:val="16"/>
          <w:color w:val="auto"/>
        </w:rPr>
        <w:t>) which may be fully and unconditionally guaranteed by each of NBCUniversal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Media, LLC, Comcast Cable Communications, LLC, Comcast Cable Holdings, LLC, Comcast MO Group, Inc., and Comcast MO of Delaware, LLC (collectively, the </w:t>
      </w:r>
      <w:r>
        <w:rPr>
          <w:rFonts w:ascii="Arial" w:cs="Arial" w:eastAsia="Arial" w:hAnsi="Arial"/>
          <w:sz w:val="16"/>
          <w:szCs w:val="16"/>
          <w:b w:val="1"/>
          <w:bCs w:val="1"/>
          <w:color w:val="auto"/>
        </w:rPr>
        <w:t>“Guarantors”</w:t>
      </w:r>
      <w:r>
        <w:rPr>
          <w:rFonts w:ascii="Arial" w:cs="Arial" w:eastAsia="Arial" w:hAnsi="Arial"/>
          <w:sz w:val="16"/>
          <w:szCs w:val="16"/>
          <w:color w:val="auto"/>
        </w:rPr>
        <w:t xml:space="preserve">), and which may be issued pursuant to an Indenture (the </w:t>
      </w:r>
      <w:r>
        <w:rPr>
          <w:rFonts w:ascii="Arial" w:cs="Arial" w:eastAsia="Arial" w:hAnsi="Arial"/>
          <w:sz w:val="16"/>
          <w:szCs w:val="16"/>
          <w:b w:val="1"/>
          <w:bCs w:val="1"/>
          <w:color w:val="auto"/>
        </w:rPr>
        <w:t>“Indenture”</w:t>
      </w:r>
      <w:r>
        <w:rPr>
          <w:rFonts w:ascii="Arial" w:cs="Arial" w:eastAsia="Arial" w:hAnsi="Arial"/>
          <w:sz w:val="16"/>
          <w:szCs w:val="16"/>
          <w:color w:val="auto"/>
        </w:rPr>
        <w:t xml:space="preserve">) dated as of September 18, 2013, among the Company, the Guarantors and The Bank of New York Mellon, as Trustee; (v) warrants (the </w:t>
      </w:r>
      <w:r>
        <w:rPr>
          <w:rFonts w:ascii="Arial" w:cs="Arial" w:eastAsia="Arial" w:hAnsi="Arial"/>
          <w:sz w:val="16"/>
          <w:szCs w:val="16"/>
          <w:b w:val="1"/>
          <w:bCs w:val="1"/>
          <w:color w:val="auto"/>
        </w:rPr>
        <w:t>“Warrants”</w:t>
      </w:r>
      <w:r>
        <w:rPr>
          <w:rFonts w:ascii="Arial" w:cs="Arial" w:eastAsia="Arial" w:hAnsi="Arial"/>
          <w:sz w:val="16"/>
          <w:szCs w:val="16"/>
          <w:color w:val="auto"/>
        </w:rPr>
        <w:t xml:space="preserve">), which may be issued pursuant to a warrant agreement (the </w:t>
      </w:r>
      <w:r>
        <w:rPr>
          <w:rFonts w:ascii="Arial" w:cs="Arial" w:eastAsia="Arial" w:hAnsi="Arial"/>
          <w:sz w:val="16"/>
          <w:szCs w:val="16"/>
          <w:b w:val="1"/>
          <w:bCs w:val="1"/>
          <w:color w:val="auto"/>
        </w:rPr>
        <w:t>“Warrant Agreement”</w:t>
      </w:r>
      <w:r>
        <w:rPr>
          <w:rFonts w:ascii="Arial" w:cs="Arial" w:eastAsia="Arial" w:hAnsi="Arial"/>
          <w:sz w:val="16"/>
          <w:szCs w:val="16"/>
          <w:color w:val="auto"/>
        </w:rPr>
        <w:t>) between the Company and the warrant agent to be named therein; (vi) purchase contracts (the</w:t>
      </w:r>
      <w:r>
        <w:rPr>
          <w:rFonts w:ascii="Arial" w:cs="Arial" w:eastAsia="Arial" w:hAnsi="Arial"/>
          <w:sz w:val="16"/>
          <w:szCs w:val="16"/>
          <w:b w:val="1"/>
          <w:bCs w:val="1"/>
          <w:color w:val="auto"/>
        </w:rPr>
        <w:t xml:space="preserve"> “Purchase Contracts”</w:t>
      </w:r>
      <w:r>
        <w:rPr>
          <w:rFonts w:ascii="Arial" w:cs="Arial" w:eastAsia="Arial" w:hAnsi="Arial"/>
          <w:sz w:val="16"/>
          <w:szCs w:val="16"/>
          <w:color w:val="auto"/>
        </w:rPr>
        <w:t>) which may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 issued under one or more purchase contract agreements (each, a </w:t>
      </w:r>
      <w:r>
        <w:rPr>
          <w:rFonts w:ascii="Arial" w:cs="Arial" w:eastAsia="Arial" w:hAnsi="Arial"/>
          <w:sz w:val="16"/>
          <w:szCs w:val="16"/>
          <w:b w:val="1"/>
          <w:bCs w:val="1"/>
          <w:color w:val="auto"/>
        </w:rPr>
        <w:t>“Purchase Contract Agreement”</w:t>
      </w:r>
      <w:r>
        <w:rPr>
          <w:rFonts w:ascii="Arial" w:cs="Arial" w:eastAsia="Arial" w:hAnsi="Arial"/>
          <w:sz w:val="16"/>
          <w:szCs w:val="16"/>
          <w:color w:val="auto"/>
        </w:rPr>
        <w:t xml:space="preserve">) to be entered into between the Company and the purchase contract agent to be named therein (the </w:t>
      </w:r>
      <w:r>
        <w:rPr>
          <w:rFonts w:ascii="Arial" w:cs="Arial" w:eastAsia="Arial" w:hAnsi="Arial"/>
          <w:sz w:val="16"/>
          <w:szCs w:val="16"/>
          <w:b w:val="1"/>
          <w:bCs w:val="1"/>
          <w:color w:val="auto"/>
        </w:rPr>
        <w:t>“Purchase Contract Agent”</w:t>
      </w:r>
      <w:r>
        <w:rPr>
          <w:rFonts w:ascii="Arial" w:cs="Arial" w:eastAsia="Arial" w:hAnsi="Arial"/>
          <w:sz w:val="16"/>
          <w:szCs w:val="16"/>
          <w:color w:val="auto"/>
        </w:rPr>
        <w:t xml:space="preserve">) requiring the holders thereof to purchase or sell (A) the Company’s securities or securities of an entity unaffiliated or affiliated with the Company, a basket of such securities, an index or indices of such securities or any combination of the above, (B) currencies or composite currencies or (C) commodities; (vii) units (the </w:t>
      </w:r>
      <w:r>
        <w:rPr>
          <w:rFonts w:ascii="Arial" w:cs="Arial" w:eastAsia="Arial" w:hAnsi="Arial"/>
          <w:sz w:val="16"/>
          <w:szCs w:val="16"/>
          <w:b w:val="1"/>
          <w:bCs w:val="1"/>
          <w:color w:val="auto"/>
        </w:rPr>
        <w:t>“Units”</w:t>
      </w:r>
      <w:r>
        <w:rPr>
          <w:rFonts w:ascii="Arial" w:cs="Arial" w:eastAsia="Arial" w:hAnsi="Arial"/>
          <w:sz w:val="16"/>
          <w:szCs w:val="16"/>
          <w:color w:val="auto"/>
        </w:rPr>
        <w:t xml:space="preserve">) consisting of Debt Securities, Warrants, Purchase Contracts, Preferred Stock, Class A Common Stock or Class A Special Common Stock or any combination of the foregoing to be issued under one or more unit agreements to be entered into among the Company, a bank or trust company, as unit agent (the </w:t>
      </w:r>
      <w:r>
        <w:rPr>
          <w:rFonts w:ascii="Arial" w:cs="Arial" w:eastAsia="Arial" w:hAnsi="Arial"/>
          <w:sz w:val="16"/>
          <w:szCs w:val="16"/>
          <w:b w:val="1"/>
          <w:bCs w:val="1"/>
          <w:color w:val="auto"/>
        </w:rPr>
        <w:t>“Unit Agent”</w:t>
      </w:r>
      <w:r>
        <w:rPr>
          <w:rFonts w:ascii="Arial" w:cs="Arial" w:eastAsia="Arial" w:hAnsi="Arial"/>
          <w:sz w:val="16"/>
          <w:szCs w:val="16"/>
          <w:color w:val="auto"/>
        </w:rPr>
        <w:t xml:space="preserve">), and the holders from time to time of the Units (each such unit agreement, a </w:t>
      </w:r>
      <w:r>
        <w:rPr>
          <w:rFonts w:ascii="Arial" w:cs="Arial" w:eastAsia="Arial" w:hAnsi="Arial"/>
          <w:sz w:val="16"/>
          <w:szCs w:val="16"/>
          <w:b w:val="1"/>
          <w:bCs w:val="1"/>
          <w:color w:val="auto"/>
        </w:rPr>
        <w:t>“Unit Agreement”</w:t>
      </w:r>
      <w:r>
        <w:rPr>
          <w:rFonts w:ascii="Arial" w:cs="Arial" w:eastAsia="Arial" w:hAnsi="Arial"/>
          <w:sz w:val="16"/>
          <w:szCs w:val="16"/>
          <w:color w:val="auto"/>
        </w:rPr>
        <w:t xml:space="preserve">); (viii) guarantees (the </w:t>
      </w:r>
      <w:r>
        <w:rPr>
          <w:rFonts w:ascii="Arial" w:cs="Arial" w:eastAsia="Arial" w:hAnsi="Arial"/>
          <w:sz w:val="16"/>
          <w:szCs w:val="16"/>
          <w:b w:val="1"/>
          <w:bCs w:val="1"/>
          <w:color w:val="auto"/>
        </w:rPr>
        <w:t>“Guarantees”</w:t>
      </w:r>
      <w:r>
        <w:rPr>
          <w:rFonts w:ascii="Arial" w:cs="Arial" w:eastAsia="Arial" w:hAnsi="Arial"/>
          <w:sz w:val="16"/>
          <w:szCs w:val="16"/>
          <w:color w:val="auto"/>
        </w:rPr>
        <w:t xml:space="preserve">) of the Debt Securities by the Guarantors, to be issued under the Indenture; and (ix) guarantees (the </w:t>
      </w:r>
      <w:r>
        <w:rPr>
          <w:rFonts w:ascii="Arial" w:cs="Arial" w:eastAsia="Arial" w:hAnsi="Arial"/>
          <w:sz w:val="16"/>
          <w:szCs w:val="16"/>
          <w:b w:val="1"/>
          <w:bCs w:val="1"/>
          <w:color w:val="auto"/>
        </w:rPr>
        <w:t>“Additional Guarantees”</w:t>
      </w:r>
      <w:r>
        <w:rPr>
          <w:rFonts w:ascii="Arial" w:cs="Arial" w:eastAsia="Arial" w:hAnsi="Arial"/>
          <w:sz w:val="16"/>
          <w:szCs w:val="16"/>
          <w:color w:val="auto"/>
        </w:rPr>
        <w:t xml:space="preserve">) of Warrants, Purchase Contracts and Units or any combination of the foregoing by the Guarantors to be issued under one or more guarantee agreements (each, a </w:t>
      </w:r>
      <w:r>
        <w:rPr>
          <w:rFonts w:ascii="Arial" w:cs="Arial" w:eastAsia="Arial" w:hAnsi="Arial"/>
          <w:sz w:val="16"/>
          <w:szCs w:val="16"/>
          <w:b w:val="1"/>
          <w:bCs w:val="1"/>
          <w:color w:val="auto"/>
        </w:rPr>
        <w:t>“Guarantee Agreement”</w:t>
      </w:r>
      <w:r>
        <w:rPr>
          <w:rFonts w:ascii="Arial" w:cs="Arial" w:eastAsia="Arial" w:hAnsi="Arial"/>
          <w:sz w:val="16"/>
          <w:szCs w:val="16"/>
          <w:color w:val="auto"/>
        </w:rPr>
        <w:t xml:space="preserve"> to be entered into by the Guarantors). The Debt Securities, Preferred Stock, Class A Common Stock, Class A Special Common Stock, Warrants, Purchase Contracts, Units, Guarantees and Additional Guarantees are herein collectively referred to as the </w:t>
      </w:r>
      <w:r>
        <w:rPr>
          <w:rFonts w:ascii="Arial" w:cs="Arial" w:eastAsia="Arial" w:hAnsi="Arial"/>
          <w:sz w:val="16"/>
          <w:szCs w:val="16"/>
          <w:b w:val="1"/>
          <w:bCs w:val="1"/>
          <w:color w:val="auto"/>
        </w:rPr>
        <w:t>“Securities.”</w:t>
      </w:r>
      <w:r>
        <w:rPr>
          <w:rFonts w:ascii="Arial" w:cs="Arial" w:eastAsia="Arial" w:hAnsi="Arial"/>
          <w:sz w:val="16"/>
          <w:szCs w:val="16"/>
          <w:color w:val="auto"/>
        </w:rPr>
        <w:t xml:space="preserve"> The Debt Securities and the Preferred Stock may be convertible and/or exchangeable for Securities or other securities or rights. The Company may offer Depositary Shares (the </w:t>
      </w:r>
      <w:r>
        <w:rPr>
          <w:rFonts w:ascii="Arial" w:cs="Arial" w:eastAsia="Arial" w:hAnsi="Arial"/>
          <w:sz w:val="16"/>
          <w:szCs w:val="16"/>
          <w:b w:val="1"/>
          <w:bCs w:val="1"/>
          <w:color w:val="auto"/>
        </w:rPr>
        <w:t>“Depositary Shares”</w:t>
      </w:r>
      <w:r>
        <w:rPr>
          <w:rFonts w:ascii="Arial" w:cs="Arial" w:eastAsia="Arial" w:hAnsi="Arial"/>
          <w:sz w:val="16"/>
          <w:szCs w:val="16"/>
          <w:color w:val="auto"/>
        </w:rPr>
        <w:t>) representing interests in Preferred Stock deposited with a Depositary and evidenced by Depositary Receipts, and such Depositary Shares are also covered by the Registration Statement.</w:t>
      </w:r>
    </w:p>
    <w:p>
      <w:pPr>
        <w:spacing w:after="0" w:line="16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w:t>
      </w:r>
    </w:p>
    <w:p>
      <w:pPr>
        <w:ind w:right="160" w:firstLine="8"/>
        <w:spacing w:after="0" w:line="255" w:lineRule="auto"/>
        <w:tabs>
          <w:tab w:leader="none" w:pos="25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all natural persons executing documents had and have the legal capacity to do so, (vi) all statements in certificates of public officials and officers of the Company and the Guarantors that we reviewed were and are accurate and (vii) all representations made by the Company and the Guarantors as to matters of fact in the documents that we reviewed were and are accurate.</w:t>
      </w:r>
    </w:p>
    <w:p>
      <w:pPr>
        <w:sectPr>
          <w:pgSz w:w="11900" w:h="16838" w:orient="portrait"/>
          <w:cols w:equalWidth="0" w:num="1">
            <w:col w:w="11420"/>
          </w:cols>
          <w:pgMar w:left="240" w:top="121" w:right="239" w:bottom="1440" w:gutter="0" w:footer="0" w:header="0"/>
          <w:type w:val="continuous"/>
        </w:sectPr>
      </w:pPr>
    </w:p>
    <w:bookmarkStart w:id="151" w:name="page152"/>
    <w:bookmarkEnd w:id="1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Based upon the foregoing, and subject to the additional assumptions and qualifications set forth below, we advise you that, in our opinion:</w:t>
      </w:r>
    </w:p>
    <w:p>
      <w:pPr>
        <w:spacing w:after="0" w:line="117" w:lineRule="exact"/>
        <w:rPr>
          <w:sz w:val="20"/>
          <w:szCs w:val="20"/>
          <w:color w:val="auto"/>
        </w:rPr>
      </w:pPr>
    </w:p>
    <w:p>
      <w:pPr>
        <w:ind w:right="60" w:firstLine="443"/>
        <w:spacing w:after="0" w:line="291" w:lineRule="auto"/>
        <w:tabs>
          <w:tab w:leader="none" w:pos="618"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Assuming the Indenture has been duly authorized, executed and delivered by the Trustee and the Company, and when any supplemental indenture to be entered into in connection with the issuance of any Debt Securities has been duly authorized, executed and delivered by the Trustee, the Company and the Guarantors; the specific terms of a particular series of Debt Securities and the related Guarantees have been duly authorized and established in accordance with the Indenture; and such Debt Securities and the related Guarantees have been duly authorized, executed, authenticated, issued and delivered in accordance with the Indenture and the applicable underwriting or other agreement against payment therefor, such Debt Securities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59" w:lineRule="exact"/>
        <w:rPr>
          <w:rFonts w:ascii="Arial" w:cs="Arial" w:eastAsia="Arial" w:hAnsi="Arial"/>
          <w:sz w:val="16"/>
          <w:szCs w:val="16"/>
          <w:color w:val="auto"/>
        </w:rPr>
      </w:pPr>
    </w:p>
    <w:p>
      <w:pPr>
        <w:ind w:firstLine="443"/>
        <w:spacing w:after="0" w:line="254" w:lineRule="auto"/>
        <w:tabs>
          <w:tab w:leader="none" w:pos="61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Assuming the Indenture has been duly authorized, executed and delivered by the Trustee and the Company, and when any supplemental indenture to be entered into in connection with the issuance of any Debt Securities has been duly authorized, executed and delivered by the Trustee, the Company and, if applicable, the Guarantors; the specific terms of a particular series of Debt Securities and the related Guarantees have been duly authorized and established in accordance with the Indenture; and such Debt Securities have been duly authorized, executed, authenticated, issued and delivered in accordance with the Indenture and the applicable underwriting or other agreement against payment therefor, the Guarantees relating to such Debt Securities will constitute valid and binding obligations of the applicable Guarantors, enforceable in accordance with their terms, subject to applicable bankruptcy, insolvency and similar laws affecting creditors’ rights generally, concepts of reasonableness and equitable principles of general applicability.</w:t>
      </w:r>
    </w:p>
    <w:p>
      <w:pPr>
        <w:spacing w:after="0" w:line="84" w:lineRule="exact"/>
        <w:rPr>
          <w:rFonts w:ascii="Arial" w:cs="Arial" w:eastAsia="Arial" w:hAnsi="Arial"/>
          <w:sz w:val="18"/>
          <w:szCs w:val="18"/>
          <w:color w:val="auto"/>
        </w:rPr>
      </w:pPr>
    </w:p>
    <w:p>
      <w:pPr>
        <w:ind w:right="100" w:firstLine="443"/>
        <w:spacing w:after="0" w:line="273" w:lineRule="auto"/>
        <w:tabs>
          <w:tab w:leader="none" w:pos="618" w:val="left"/>
        </w:tabs>
        <w:numPr>
          <w:ilvl w:val="0"/>
          <w:numId w:val="136"/>
        </w:numPr>
        <w:rPr>
          <w:rFonts w:ascii="Arial" w:cs="Arial" w:eastAsia="Arial" w:hAnsi="Arial"/>
          <w:sz w:val="17"/>
          <w:szCs w:val="17"/>
          <w:color w:val="auto"/>
        </w:rPr>
      </w:pPr>
      <w:r>
        <w:rPr>
          <w:rFonts w:ascii="Arial" w:cs="Arial" w:eastAsia="Arial" w:hAnsi="Arial"/>
          <w:sz w:val="17"/>
          <w:szCs w:val="17"/>
          <w:color w:val="auto"/>
        </w:rPr>
        <w:t>When the Warrant Agreement to be entered into in connection with the issuance of any Warrants has been duly authorized, executed and delivered by the Warrant Agent and the Company; the specific terms of the Warrants have been duly authorized and established in accordance with the Warrant Agreement; and such Warrants have been duly authorized, executed, issued and delivered in accordance with the Warrant Agreement and the applicable underwriting or other agreement against payment therefor, such Warrants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70" w:lineRule="exact"/>
        <w:rPr>
          <w:rFonts w:ascii="Arial" w:cs="Arial" w:eastAsia="Arial" w:hAnsi="Arial"/>
          <w:sz w:val="17"/>
          <w:szCs w:val="17"/>
          <w:color w:val="auto"/>
        </w:rPr>
      </w:pPr>
    </w:p>
    <w:p>
      <w:pPr>
        <w:ind w:right="20" w:firstLine="443"/>
        <w:spacing w:after="0" w:line="293" w:lineRule="auto"/>
        <w:tabs>
          <w:tab w:leader="none" w:pos="618" w:val="left"/>
        </w:tabs>
        <w:numPr>
          <w:ilvl w:val="0"/>
          <w:numId w:val="136"/>
        </w:numPr>
        <w:rPr>
          <w:rFonts w:ascii="Arial" w:cs="Arial" w:eastAsia="Arial" w:hAnsi="Arial"/>
          <w:sz w:val="16"/>
          <w:szCs w:val="16"/>
          <w:color w:val="auto"/>
        </w:rPr>
      </w:pPr>
      <w:r>
        <w:rPr>
          <w:rFonts w:ascii="Arial" w:cs="Arial" w:eastAsia="Arial" w:hAnsi="Arial"/>
          <w:sz w:val="16"/>
          <w:szCs w:val="16"/>
          <w:color w:val="auto"/>
        </w:rPr>
        <w:t>When the Guarantee Agreement to be entered into in connection with the issuance of any Additional Guarantees has been duly authorized, executed and delivered by the Guarantors and any agent party thereto; the Additional Guarantees have been duly authorized and established in accordance with the Guarantee Agreement; and such Additional Guarantees have been duly authorized, executed, issued and delivered in accordance with the Guarantee Agreement and the applicable underwriting or other agreement against payment therefor, such Additional Guarantees will constitute valid and binding obligations of the applicable Guarantors, enforceable in accordance with their terms, subject to applicable bankruptcy, insolvency and similar laws affecting creditors’ rights generally, concepts of reasonableness and equitable principles of general applicability.</w:t>
      </w:r>
    </w:p>
    <w:p>
      <w:pPr>
        <w:spacing w:after="0" w:line="56" w:lineRule="exact"/>
        <w:rPr>
          <w:rFonts w:ascii="Arial" w:cs="Arial" w:eastAsia="Arial" w:hAnsi="Arial"/>
          <w:sz w:val="16"/>
          <w:szCs w:val="16"/>
          <w:color w:val="auto"/>
        </w:rPr>
      </w:pPr>
    </w:p>
    <w:p>
      <w:pPr>
        <w:ind w:right="20" w:firstLine="443"/>
        <w:spacing w:after="0" w:line="255" w:lineRule="auto"/>
        <w:tabs>
          <w:tab w:leader="none" w:pos="61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When the Purchase Contract Agreement to be entered into in connection with the issuance of any Purchase Contracts has been duly authorized, executed and delivered by the Purchase Contract Agent and the Company; the specific terms of the Purchase Contracts have been duly authorized and established in accordance with the Purchase Contract Agreement; and such Purchase Contracts have been duly authorized, executed, issued and delivered in accordance with the Purchase Contract Agreement and the applicable underwriting or other agreement against payment therefor, such Purchase Contracts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81" w:lineRule="exact"/>
        <w:rPr>
          <w:rFonts w:ascii="Arial" w:cs="Arial" w:eastAsia="Arial" w:hAnsi="Arial"/>
          <w:sz w:val="18"/>
          <w:szCs w:val="18"/>
          <w:color w:val="auto"/>
        </w:rPr>
      </w:pPr>
    </w:p>
    <w:p>
      <w:pPr>
        <w:ind w:right="80" w:firstLine="443"/>
        <w:spacing w:after="0" w:line="264" w:lineRule="auto"/>
        <w:tabs>
          <w:tab w:leader="none" w:pos="61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When the Unit Agreement to be entered into in connection with the issuance of any Units has been duly authorized, executed and delivered by the Unit Agent and the Company; the specific terms of the Units have been duly authorized and established in accordance with the Unit Agreement; and such Units have been</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700" w:top="274" w:right="239" w:bottom="1440" w:gutter="0" w:footer="0" w:header="0"/>
        </w:sectPr>
      </w:pPr>
    </w:p>
    <w:bookmarkStart w:id="152" w:name="page153"/>
    <w:bookmarkEnd w:id="152"/>
    <w:p>
      <w:pPr>
        <w:ind w:left="460"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duly authorized, executed, issued and delivered in accordance with the Unit Agreement and the applicable underwriting or other agreement against payment therefor, such Units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18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connection with the opinions expressed above, we have assumed that, at or prior to the time of the delivery of any such Security, (i) the Board of Directors or, in the case of a limited liability company, the managing member, shall have duly established the terms of such Security and duly authorized the issuance and sale of such Security and such authorization shall not have been modified or rescinded; (ii) the Company is, and shall remain, and each of the Guarantors shall remain, validly existing as a corporation in good standing under the laws of the Commonwealth of Pennsylvania or the State of Delaware, as applicable; (iii) the Registration Statement shall have become effective pursuant to Rule 462(e) and such effectiveness shall not have been terminated or rescinded; (iv) the Indenture, the Debt Securities and the Guarantees are each valid, binding and enforceable agreements of each party thereto (other than as expressly covered above in respect of the Company and each Guarantor); and (v) there shall not have occurred any change in law affecting the validity or enforceability of such Security. We have also assumed that the execution, delivery and performance by the Company or any Guarantor of any Security whose terms are established subsequent to the date hereof (a) are within their corporate powers, (b) do not contravene, or constitute a default under, the certificate of incorporation or bylaws or other constitutive documents of the Company or any Guarantor,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the Company or any Guarantor.</w:t>
      </w:r>
    </w:p>
    <w:p>
      <w:pPr>
        <w:spacing w:after="0" w:line="16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 are members of the Bars of the States of New York and California and the foregoing opinion is limited to the laws and the published cases of the State of New York and the General Corporation Law of the State of Delaware.</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referred to above and further consent to the reference to our name under the caption “Legal Matters” in the prospectus, which is a part of the Registration Statement. In giving this consent, we do not admit that we are in the category of persons whose consent is required under Section 7 of the Securities Act.</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u w:val="single" w:color="auto"/>
          <w:color w:val="auto"/>
        </w:rPr>
        <w:t>/s/ Davis Polk &amp; Wardwell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153" w:name="page154"/>
    <w:bookmarkEnd w:id="153"/>
    <w:p>
      <w:pPr>
        <w:spacing w:after="0" w:line="15" w:lineRule="exact"/>
        <w:rPr>
          <w:sz w:val="20"/>
          <w:szCs w:val="20"/>
          <w:color w:val="auto"/>
        </w:rPr>
      </w:pPr>
    </w:p>
    <w:p>
      <w:pPr>
        <w:spacing w:after="0"/>
        <w:rPr>
          <w:sz w:val="20"/>
          <w:szCs w:val="20"/>
          <w:color w:val="auto"/>
        </w:rPr>
      </w:pPr>
      <w:r>
        <w:rPr>
          <w:rFonts w:ascii="Arial" w:cs="Arial" w:eastAsia="Arial" w:hAnsi="Arial"/>
          <w:sz w:val="24"/>
          <w:szCs w:val="24"/>
          <w:color w:val="auto"/>
        </w:rPr>
        <w:t>Comcast Corporation</w:t>
      </w:r>
    </w:p>
    <w:p>
      <w:pPr>
        <w:spacing w:after="0" w:line="8" w:lineRule="exact"/>
        <w:rPr>
          <w:sz w:val="20"/>
          <w:szCs w:val="20"/>
          <w:color w:val="auto"/>
        </w:rPr>
      </w:pPr>
    </w:p>
    <w:p>
      <w:pPr>
        <w:ind w:right="360"/>
        <w:spacing w:after="0" w:line="260" w:lineRule="auto"/>
        <w:rPr>
          <w:sz w:val="20"/>
          <w:szCs w:val="20"/>
          <w:color w:val="auto"/>
        </w:rPr>
      </w:pPr>
      <w:r>
        <w:rPr>
          <w:rFonts w:ascii="Arial" w:cs="Arial" w:eastAsia="Arial" w:hAnsi="Arial"/>
          <w:sz w:val="24"/>
          <w:szCs w:val="24"/>
          <w:color w:val="auto"/>
        </w:rPr>
        <w:t>Statement Regarding Computation of Ratio of Earnings to Fixed Charges and Ratio of Earnings to Combined Fixed Charges and Preferred Dividends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Exhibit 12.2</w:t>
      </w:r>
    </w:p>
    <w:p>
      <w:pPr>
        <w:spacing w:after="0" w:line="872" w:lineRule="exact"/>
        <w:rPr>
          <w:sz w:val="20"/>
          <w:szCs w:val="20"/>
          <w:color w:val="auto"/>
        </w:rPr>
      </w:pPr>
    </w:p>
    <w:p>
      <w:pPr>
        <w:sectPr>
          <w:pgSz w:w="11900" w:h="16838" w:orient="portrait"/>
          <w:cols w:equalWidth="0" w:num="2">
            <w:col w:w="9620" w:space="720"/>
            <w:col w:w="1080"/>
          </w:cols>
          <w:pgMar w:left="240" w:top="121" w:right="239" w:bottom="1440" w:gutter="0" w:footer="0" w:header="0"/>
        </w:sectPr>
      </w:pPr>
    </w:p>
    <w:tbl>
      <w:tblPr>
        <w:tblLayout w:type="fixed"/>
        <w:tblInd w:w="0" w:type="dxa"/>
        <w:tblCellMar>
          <w:top w:w="0" w:type="dxa"/>
          <w:left w:w="0" w:type="dxa"/>
          <w:bottom w:w="0" w:type="dxa"/>
          <w:right w:w="0" w:type="dxa"/>
        </w:tblCellMar>
      </w:tblPr>
      <w:tr>
        <w:trPr>
          <w:trHeight w:val="161"/>
        </w:trPr>
        <w:tc>
          <w:tcPr>
            <w:tcW w:w="10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4"/>
                <w:szCs w:val="14"/>
                <w:b w:val="1"/>
                <w:bCs w:val="1"/>
                <w:color w:val="auto"/>
              </w:rPr>
              <w:t>For the</w:t>
            </w:r>
          </w:p>
        </w:tc>
        <w:tc>
          <w:tcPr>
            <w:tcW w:w="0" w:type="dxa"/>
            <w:vAlign w:val="bottom"/>
          </w:tcPr>
          <w:p>
            <w:pPr>
              <w:spacing w:after="0"/>
              <w:rPr>
                <w:sz w:val="1"/>
                <w:szCs w:val="1"/>
                <w:color w:val="auto"/>
              </w:rPr>
            </w:pPr>
          </w:p>
        </w:tc>
      </w:tr>
      <w:tr>
        <w:trPr>
          <w:trHeight w:val="149"/>
        </w:trPr>
        <w:tc>
          <w:tcPr>
            <w:tcW w:w="10400" w:type="dxa"/>
            <w:vAlign w:val="bottom"/>
          </w:tcPr>
          <w:p>
            <w:pPr>
              <w:spacing w:after="0"/>
              <w:rPr>
                <w:sz w:val="12"/>
                <w:szCs w:val="12"/>
                <w:color w:val="auto"/>
              </w:rPr>
            </w:pPr>
          </w:p>
        </w:tc>
        <w:tc>
          <w:tcPr>
            <w:tcW w:w="10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49"/>
        </w:trPr>
        <w:tc>
          <w:tcPr>
            <w:tcW w:w="10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49"/>
        </w:trPr>
        <w:tc>
          <w:tcPr>
            <w:tcW w:w="10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5"/>
        </w:trPr>
        <w:tc>
          <w:tcPr>
            <w:tcW w:w="10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9"/>
        </w:trPr>
        <w:tc>
          <w:tcPr>
            <w:tcW w:w="10400" w:type="dxa"/>
            <w:vAlign w:val="bottom"/>
          </w:tcPr>
          <w:p>
            <w:pPr>
              <w:spacing w:after="0" w:line="200" w:lineRule="exact"/>
              <w:rPr>
                <w:sz w:val="20"/>
                <w:szCs w:val="20"/>
                <w:color w:val="auto"/>
              </w:rPr>
            </w:pPr>
            <w:r>
              <w:rPr>
                <w:rFonts w:ascii="Arial" w:cs="Arial" w:eastAsia="Arial" w:hAnsi="Arial"/>
                <w:sz w:val="18"/>
                <w:szCs w:val="18"/>
                <w:b w:val="1"/>
                <w:bCs w:val="1"/>
                <w:color w:val="auto"/>
              </w:rPr>
              <w:t>Computation of Earnings:</w:t>
            </w:r>
            <w:r>
              <w:rPr>
                <w:rFonts w:ascii="Arial" w:cs="Arial" w:eastAsia="Arial" w:hAnsi="Arial"/>
                <w:sz w:val="22"/>
                <w:szCs w:val="22"/>
                <w:b w:val="1"/>
                <w:bCs w:val="1"/>
                <w:color w:val="auto"/>
                <w:vertAlign w:val="superscript"/>
              </w:rPr>
              <w:t>(1)</w:t>
            </w: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0" w:type="dxa"/>
            <w:vAlign w:val="bottom"/>
          </w:tcPr>
          <w:p>
            <w:pPr>
              <w:spacing w:after="0" w:line="202" w:lineRule="exact"/>
              <w:rPr>
                <w:sz w:val="20"/>
                <w:szCs w:val="20"/>
                <w:color w:val="auto"/>
              </w:rPr>
            </w:pPr>
            <w:r>
              <w:rPr>
                <w:rFonts w:ascii="Arial" w:cs="Arial" w:eastAsia="Arial" w:hAnsi="Arial"/>
                <w:sz w:val="18"/>
                <w:szCs w:val="18"/>
                <w:color w:val="auto"/>
              </w:rPr>
              <w:t>Pretax income from continuing operations before adjustment for noncontrolling interests in consolidated subsidiaries or income or</w:t>
            </w:r>
          </w:p>
        </w:tc>
        <w:tc>
          <w:tcPr>
            <w:tcW w:w="3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tcPr>
          <w:p>
            <w:pPr>
              <w:jc w:val="right"/>
              <w:ind w:right="17"/>
              <w:spacing w:after="0"/>
              <w:rPr>
                <w:sz w:val="20"/>
                <w:szCs w:val="20"/>
                <w:color w:val="auto"/>
              </w:rPr>
            </w:pPr>
            <w:r>
              <w:rPr>
                <w:rFonts w:ascii="Arial" w:cs="Arial" w:eastAsia="Arial" w:hAnsi="Arial"/>
                <w:sz w:val="18"/>
                <w:szCs w:val="18"/>
                <w:b w:val="1"/>
                <w:bCs w:val="1"/>
                <w:color w:val="auto"/>
              </w:rPr>
              <w:t>5,328</w:t>
            </w:r>
          </w:p>
        </w:tc>
        <w:tc>
          <w:tcPr>
            <w:tcW w:w="0" w:type="dxa"/>
            <w:vAlign w:val="bottom"/>
          </w:tcPr>
          <w:p>
            <w:pPr>
              <w:spacing w:after="0"/>
              <w:rPr>
                <w:sz w:val="1"/>
                <w:szCs w:val="1"/>
                <w:color w:val="auto"/>
              </w:rPr>
            </w:pPr>
          </w:p>
        </w:tc>
      </w:tr>
      <w:tr>
        <w:trPr>
          <w:trHeight w:val="181"/>
        </w:trPr>
        <w:tc>
          <w:tcPr>
            <w:tcW w:w="10400" w:type="dxa"/>
            <w:vAlign w:val="bottom"/>
          </w:tcPr>
          <w:p>
            <w:pPr>
              <w:spacing w:after="0" w:line="181" w:lineRule="exact"/>
              <w:rPr>
                <w:sz w:val="20"/>
                <w:szCs w:val="20"/>
                <w:color w:val="auto"/>
              </w:rPr>
            </w:pPr>
            <w:r>
              <w:rPr>
                <w:rFonts w:ascii="Arial" w:cs="Arial" w:eastAsia="Arial" w:hAnsi="Arial"/>
                <w:sz w:val="18"/>
                <w:szCs w:val="18"/>
                <w:color w:val="auto"/>
              </w:rPr>
              <w:t>loss from equity investees</w:t>
            </w:r>
          </w:p>
        </w:tc>
        <w:tc>
          <w:tcPr>
            <w:tcW w:w="32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400" w:type="dxa"/>
            <w:vAlign w:val="bottom"/>
          </w:tcPr>
          <w:p>
            <w:pPr>
              <w:spacing w:after="0" w:line="202" w:lineRule="exact"/>
              <w:rPr>
                <w:sz w:val="20"/>
                <w:szCs w:val="20"/>
                <w:color w:val="auto"/>
              </w:rPr>
            </w:pPr>
            <w:r>
              <w:rPr>
                <w:rFonts w:ascii="Arial" w:cs="Arial" w:eastAsia="Arial" w:hAnsi="Arial"/>
                <w:sz w:val="18"/>
                <w:szCs w:val="18"/>
                <w:color w:val="auto"/>
              </w:rPr>
              <w:t>Fixed charges</w:t>
            </w:r>
          </w:p>
        </w:tc>
        <w:tc>
          <w:tcPr>
            <w:tcW w:w="320" w:type="dxa"/>
            <w:vAlign w:val="bottom"/>
          </w:tcPr>
          <w:p>
            <w:pPr>
              <w:spacing w:after="0"/>
              <w:rPr>
                <w:sz w:val="17"/>
                <w:szCs w:val="17"/>
                <w:color w:val="auto"/>
              </w:rPr>
            </w:pPr>
          </w:p>
        </w:tc>
        <w:tc>
          <w:tcPr>
            <w:tcW w:w="700" w:type="dxa"/>
            <w:vAlign w:val="bottom"/>
          </w:tcPr>
          <w:p>
            <w:pPr>
              <w:jc w:val="right"/>
              <w:ind w:right="17"/>
              <w:spacing w:after="0" w:line="202" w:lineRule="exact"/>
              <w:rPr>
                <w:sz w:val="20"/>
                <w:szCs w:val="20"/>
                <w:color w:val="auto"/>
              </w:rPr>
            </w:pPr>
            <w:r>
              <w:rPr>
                <w:rFonts w:ascii="Arial" w:cs="Arial" w:eastAsia="Arial" w:hAnsi="Arial"/>
                <w:sz w:val="18"/>
                <w:szCs w:val="18"/>
                <w:b w:val="1"/>
                <w:bCs w:val="1"/>
                <w:color w:val="auto"/>
              </w:rPr>
              <w:t>1,440</w:t>
            </w:r>
          </w:p>
        </w:tc>
        <w:tc>
          <w:tcPr>
            <w:tcW w:w="0" w:type="dxa"/>
            <w:vAlign w:val="bottom"/>
          </w:tcPr>
          <w:p>
            <w:pPr>
              <w:spacing w:after="0"/>
              <w:rPr>
                <w:sz w:val="1"/>
                <w:szCs w:val="1"/>
                <w:color w:val="auto"/>
              </w:rPr>
            </w:pPr>
          </w:p>
        </w:tc>
      </w:tr>
      <w:tr>
        <w:trPr>
          <w:trHeight w:val="203"/>
        </w:trPr>
        <w:tc>
          <w:tcPr>
            <w:tcW w:w="10400" w:type="dxa"/>
            <w:vAlign w:val="bottom"/>
          </w:tcPr>
          <w:p>
            <w:pPr>
              <w:spacing w:after="0" w:line="202" w:lineRule="exact"/>
              <w:rPr>
                <w:sz w:val="20"/>
                <w:szCs w:val="20"/>
                <w:color w:val="auto"/>
              </w:rPr>
            </w:pPr>
            <w:r>
              <w:rPr>
                <w:rFonts w:ascii="Arial" w:cs="Arial" w:eastAsia="Arial" w:hAnsi="Arial"/>
                <w:sz w:val="18"/>
                <w:szCs w:val="18"/>
                <w:color w:val="auto"/>
              </w:rPr>
              <w:t>Distributed income of equity investees</w:t>
            </w:r>
          </w:p>
        </w:tc>
        <w:tc>
          <w:tcPr>
            <w:tcW w:w="320" w:type="dxa"/>
            <w:vAlign w:val="bottom"/>
          </w:tcPr>
          <w:p>
            <w:pPr>
              <w:spacing w:after="0"/>
              <w:rPr>
                <w:sz w:val="17"/>
                <w:szCs w:val="17"/>
                <w:color w:val="auto"/>
              </w:rPr>
            </w:pPr>
          </w:p>
        </w:tc>
        <w:tc>
          <w:tcPr>
            <w:tcW w:w="700" w:type="dxa"/>
            <w:vAlign w:val="bottom"/>
          </w:tcPr>
          <w:p>
            <w:pPr>
              <w:jc w:val="right"/>
              <w:ind w:right="17"/>
              <w:spacing w:after="0" w:line="202" w:lineRule="exact"/>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21"/>
        </w:trPr>
        <w:tc>
          <w:tcPr>
            <w:tcW w:w="10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Preference security dividend requirements of consolidated subsidiaries</w:t>
            </w: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196"/>
        </w:trPr>
        <w:tc>
          <w:tcPr>
            <w:tcW w:w="104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Total Earnings</w:t>
            </w:r>
          </w:p>
        </w:tc>
        <w:tc>
          <w:tcPr>
            <w:tcW w:w="32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7"/>
              <w:spacing w:after="0" w:line="196" w:lineRule="exact"/>
              <w:rPr>
                <w:sz w:val="20"/>
                <w:szCs w:val="20"/>
                <w:color w:val="auto"/>
              </w:rPr>
            </w:pPr>
            <w:r>
              <w:rPr>
                <w:rFonts w:ascii="Arial" w:cs="Arial" w:eastAsia="Arial" w:hAnsi="Arial"/>
                <w:sz w:val="18"/>
                <w:szCs w:val="18"/>
                <w:b w:val="1"/>
                <w:bCs w:val="1"/>
                <w:color w:val="auto"/>
              </w:rPr>
              <w:t>6,740</w:t>
            </w:r>
          </w:p>
        </w:tc>
        <w:tc>
          <w:tcPr>
            <w:tcW w:w="0" w:type="dxa"/>
            <w:vAlign w:val="bottom"/>
          </w:tcPr>
          <w:p>
            <w:pPr>
              <w:spacing w:after="0"/>
              <w:rPr>
                <w:sz w:val="1"/>
                <w:szCs w:val="1"/>
                <w:color w:val="auto"/>
              </w:rPr>
            </w:pPr>
          </w:p>
        </w:tc>
      </w:tr>
      <w:tr>
        <w:trPr>
          <w:trHeight w:val="199"/>
        </w:trPr>
        <w:tc>
          <w:tcPr>
            <w:tcW w:w="10400" w:type="dxa"/>
            <w:vAlign w:val="bottom"/>
          </w:tcPr>
          <w:p>
            <w:pPr>
              <w:spacing w:after="0" w:line="200" w:lineRule="exact"/>
              <w:rPr>
                <w:sz w:val="20"/>
                <w:szCs w:val="20"/>
                <w:color w:val="auto"/>
              </w:rPr>
            </w:pPr>
            <w:r>
              <w:rPr>
                <w:rFonts w:ascii="Arial" w:cs="Arial" w:eastAsia="Arial" w:hAnsi="Arial"/>
                <w:sz w:val="18"/>
                <w:szCs w:val="18"/>
                <w:b w:val="1"/>
                <w:bCs w:val="1"/>
                <w:color w:val="auto"/>
              </w:rPr>
              <w:t>Computation of Fixed charges:</w:t>
            </w:r>
            <w:r>
              <w:rPr>
                <w:rFonts w:ascii="Arial" w:cs="Arial" w:eastAsia="Arial" w:hAnsi="Arial"/>
                <w:sz w:val="22"/>
                <w:szCs w:val="22"/>
                <w:b w:val="1"/>
                <w:bCs w:val="1"/>
                <w:color w:val="auto"/>
                <w:vertAlign w:val="superscript"/>
              </w:rPr>
              <w:t>(1)</w:t>
            </w:r>
          </w:p>
        </w:tc>
        <w:tc>
          <w:tcPr>
            <w:tcW w:w="3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tcPr>
          <w:p>
            <w:pPr>
              <w:jc w:val="right"/>
              <w:ind w:right="17"/>
              <w:spacing w:after="0"/>
              <w:rPr>
                <w:sz w:val="20"/>
                <w:szCs w:val="20"/>
                <w:color w:val="auto"/>
              </w:rPr>
            </w:pPr>
            <w:r>
              <w:rPr>
                <w:rFonts w:ascii="Arial" w:cs="Arial" w:eastAsia="Arial" w:hAnsi="Arial"/>
                <w:sz w:val="18"/>
                <w:szCs w:val="18"/>
                <w:b w:val="1"/>
                <w:bCs w:val="1"/>
                <w:color w:val="auto"/>
              </w:rPr>
              <w:t>1,280</w:t>
            </w:r>
          </w:p>
        </w:tc>
        <w:tc>
          <w:tcPr>
            <w:tcW w:w="0" w:type="dxa"/>
            <w:vAlign w:val="bottom"/>
          </w:tcPr>
          <w:p>
            <w:pPr>
              <w:spacing w:after="0"/>
              <w:rPr>
                <w:sz w:val="1"/>
                <w:szCs w:val="1"/>
                <w:color w:val="auto"/>
              </w:rPr>
            </w:pPr>
          </w:p>
        </w:tc>
      </w:tr>
      <w:tr>
        <w:trPr>
          <w:trHeight w:val="181"/>
        </w:trPr>
        <w:tc>
          <w:tcPr>
            <w:tcW w:w="10400" w:type="dxa"/>
            <w:vAlign w:val="bottom"/>
          </w:tcPr>
          <w:p>
            <w:pPr>
              <w:spacing w:after="0" w:line="181" w:lineRule="exact"/>
              <w:rPr>
                <w:sz w:val="20"/>
                <w:szCs w:val="20"/>
                <w:color w:val="auto"/>
              </w:rPr>
            </w:pPr>
            <w:r>
              <w:rPr>
                <w:rFonts w:ascii="Arial" w:cs="Arial" w:eastAsia="Arial" w:hAnsi="Arial"/>
                <w:sz w:val="18"/>
                <w:szCs w:val="18"/>
                <w:color w:val="auto"/>
              </w:rPr>
              <w:t>Interest expensed and capitalized</w:t>
            </w:r>
          </w:p>
        </w:tc>
        <w:tc>
          <w:tcPr>
            <w:tcW w:w="32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400" w:type="dxa"/>
            <w:vAlign w:val="bottom"/>
          </w:tcPr>
          <w:p>
            <w:pPr>
              <w:spacing w:after="0" w:line="202" w:lineRule="exact"/>
              <w:rPr>
                <w:sz w:val="20"/>
                <w:szCs w:val="20"/>
                <w:color w:val="auto"/>
              </w:rPr>
            </w:pPr>
            <w:r>
              <w:rPr>
                <w:rFonts w:ascii="Arial" w:cs="Arial" w:eastAsia="Arial" w:hAnsi="Arial"/>
                <w:sz w:val="18"/>
                <w:szCs w:val="18"/>
                <w:color w:val="auto"/>
              </w:rPr>
              <w:t>Amortized premiums, discounts and capitalized expenses related to indebtedness</w:t>
            </w:r>
          </w:p>
        </w:tc>
        <w:tc>
          <w:tcPr>
            <w:tcW w:w="320" w:type="dxa"/>
            <w:vAlign w:val="bottom"/>
          </w:tcPr>
          <w:p>
            <w:pPr>
              <w:spacing w:after="0"/>
              <w:rPr>
                <w:sz w:val="17"/>
                <w:szCs w:val="17"/>
                <w:color w:val="auto"/>
              </w:rPr>
            </w:pPr>
          </w:p>
        </w:tc>
        <w:tc>
          <w:tcPr>
            <w:tcW w:w="700" w:type="dxa"/>
            <w:vAlign w:val="bottom"/>
          </w:tcPr>
          <w:p>
            <w:pPr>
              <w:jc w:val="right"/>
              <w:ind w:right="17"/>
              <w:spacing w:after="0" w:line="202" w:lineRule="exact"/>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03"/>
        </w:trPr>
        <w:tc>
          <w:tcPr>
            <w:tcW w:w="10400" w:type="dxa"/>
            <w:vAlign w:val="bottom"/>
          </w:tcPr>
          <w:p>
            <w:pPr>
              <w:spacing w:after="0" w:line="202" w:lineRule="exact"/>
              <w:rPr>
                <w:sz w:val="20"/>
                <w:szCs w:val="20"/>
                <w:color w:val="auto"/>
              </w:rPr>
            </w:pPr>
            <w:r>
              <w:rPr>
                <w:rFonts w:ascii="Arial" w:cs="Arial" w:eastAsia="Arial" w:hAnsi="Arial"/>
                <w:sz w:val="18"/>
                <w:szCs w:val="18"/>
                <w:color w:val="auto"/>
              </w:rPr>
              <w:t>Less: preferred dividends in interest expense</w:t>
            </w:r>
          </w:p>
        </w:tc>
        <w:tc>
          <w:tcPr>
            <w:tcW w:w="3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(53)</w:t>
            </w:r>
          </w:p>
        </w:tc>
        <w:tc>
          <w:tcPr>
            <w:tcW w:w="0" w:type="dxa"/>
            <w:vAlign w:val="bottom"/>
          </w:tcPr>
          <w:p>
            <w:pPr>
              <w:spacing w:after="0"/>
              <w:rPr>
                <w:sz w:val="1"/>
                <w:szCs w:val="1"/>
                <w:color w:val="auto"/>
              </w:rPr>
            </w:pPr>
          </w:p>
        </w:tc>
      </w:tr>
      <w:tr>
        <w:trPr>
          <w:trHeight w:val="203"/>
        </w:trPr>
        <w:tc>
          <w:tcPr>
            <w:tcW w:w="10400" w:type="dxa"/>
            <w:vAlign w:val="bottom"/>
          </w:tcPr>
          <w:p>
            <w:pPr>
              <w:spacing w:after="0" w:line="202" w:lineRule="exact"/>
              <w:rPr>
                <w:sz w:val="20"/>
                <w:szCs w:val="20"/>
                <w:color w:val="auto"/>
              </w:rPr>
            </w:pPr>
            <w:r>
              <w:rPr>
                <w:rFonts w:ascii="Arial" w:cs="Arial" w:eastAsia="Arial" w:hAnsi="Arial"/>
                <w:sz w:val="18"/>
                <w:szCs w:val="18"/>
                <w:color w:val="auto"/>
              </w:rPr>
              <w:t>Portion of rents representative of an interest factor</w:t>
            </w:r>
          </w:p>
        </w:tc>
        <w:tc>
          <w:tcPr>
            <w:tcW w:w="320" w:type="dxa"/>
            <w:vAlign w:val="bottom"/>
          </w:tcPr>
          <w:p>
            <w:pPr>
              <w:spacing w:after="0"/>
              <w:rPr>
                <w:sz w:val="17"/>
                <w:szCs w:val="17"/>
                <w:color w:val="auto"/>
              </w:rPr>
            </w:pPr>
          </w:p>
        </w:tc>
        <w:tc>
          <w:tcPr>
            <w:tcW w:w="700" w:type="dxa"/>
            <w:vAlign w:val="bottom"/>
          </w:tcPr>
          <w:p>
            <w:pPr>
              <w:jc w:val="right"/>
              <w:ind w:right="17"/>
              <w:spacing w:after="0" w:line="202" w:lineRule="exact"/>
              <w:rPr>
                <w:sz w:val="20"/>
                <w:szCs w:val="20"/>
                <w:color w:val="auto"/>
              </w:rPr>
            </w:pPr>
            <w:r>
              <w:rPr>
                <w:rFonts w:ascii="Arial" w:cs="Arial" w:eastAsia="Arial" w:hAnsi="Arial"/>
                <w:sz w:val="18"/>
                <w:szCs w:val="18"/>
                <w:b w:val="1"/>
                <w:bCs w:val="1"/>
                <w:color w:val="auto"/>
              </w:rPr>
              <w:t>104</w:t>
            </w:r>
          </w:p>
        </w:tc>
        <w:tc>
          <w:tcPr>
            <w:tcW w:w="0" w:type="dxa"/>
            <w:vAlign w:val="bottom"/>
          </w:tcPr>
          <w:p>
            <w:pPr>
              <w:spacing w:after="0"/>
              <w:rPr>
                <w:sz w:val="1"/>
                <w:szCs w:val="1"/>
                <w:color w:val="auto"/>
              </w:rPr>
            </w:pPr>
          </w:p>
        </w:tc>
      </w:tr>
      <w:tr>
        <w:trPr>
          <w:trHeight w:val="221"/>
        </w:trPr>
        <w:tc>
          <w:tcPr>
            <w:tcW w:w="10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Preference security dividend requirements of consolidated subsidiaries</w:t>
            </w: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196"/>
        </w:trPr>
        <w:tc>
          <w:tcPr>
            <w:tcW w:w="104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Total Fixed Charges</w:t>
            </w:r>
          </w:p>
        </w:tc>
        <w:tc>
          <w:tcPr>
            <w:tcW w:w="32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7"/>
              <w:spacing w:after="0" w:line="196" w:lineRule="exact"/>
              <w:rPr>
                <w:sz w:val="20"/>
                <w:szCs w:val="20"/>
                <w:color w:val="auto"/>
              </w:rPr>
            </w:pPr>
            <w:r>
              <w:rPr>
                <w:rFonts w:ascii="Arial" w:cs="Arial" w:eastAsia="Arial" w:hAnsi="Arial"/>
                <w:sz w:val="18"/>
                <w:szCs w:val="18"/>
                <w:b w:val="1"/>
                <w:bCs w:val="1"/>
                <w:color w:val="auto"/>
              </w:rPr>
              <w:t>1,440</w:t>
            </w:r>
          </w:p>
        </w:tc>
        <w:tc>
          <w:tcPr>
            <w:tcW w:w="0" w:type="dxa"/>
            <w:vAlign w:val="bottom"/>
          </w:tcPr>
          <w:p>
            <w:pPr>
              <w:spacing w:after="0"/>
              <w:rPr>
                <w:sz w:val="1"/>
                <w:szCs w:val="1"/>
                <w:color w:val="auto"/>
              </w:rPr>
            </w:pPr>
          </w:p>
        </w:tc>
      </w:tr>
      <w:tr>
        <w:trPr>
          <w:trHeight w:val="196"/>
        </w:trPr>
        <w:tc>
          <w:tcPr>
            <w:tcW w:w="10400" w:type="dxa"/>
            <w:vAlign w:val="bottom"/>
            <w:tcBorders>
              <w:bottom w:val="single" w:sz="8" w:color="0551D3"/>
            </w:tcBorders>
          </w:tcPr>
          <w:p>
            <w:pPr>
              <w:spacing w:after="0" w:line="197" w:lineRule="exact"/>
              <w:rPr>
                <w:sz w:val="20"/>
                <w:szCs w:val="20"/>
                <w:color w:val="auto"/>
              </w:rPr>
            </w:pPr>
            <w:r>
              <w:rPr>
                <w:rFonts w:ascii="Arial" w:cs="Arial" w:eastAsia="Arial" w:hAnsi="Arial"/>
                <w:sz w:val="18"/>
                <w:szCs w:val="18"/>
                <w:b w:val="1"/>
                <w:bCs w:val="1"/>
                <w:color w:val="auto"/>
              </w:rPr>
              <w:t>Ratio of earnings to fixed charges</w:t>
            </w:r>
            <w:r>
              <w:rPr>
                <w:rFonts w:ascii="Arial" w:cs="Arial" w:eastAsia="Arial" w:hAnsi="Arial"/>
                <w:sz w:val="22"/>
                <w:szCs w:val="22"/>
                <w:b w:val="1"/>
                <w:bCs w:val="1"/>
                <w:color w:val="auto"/>
                <w:vertAlign w:val="superscript"/>
              </w:rPr>
              <w:t>(1)</w:t>
            </w:r>
          </w:p>
        </w:tc>
        <w:tc>
          <w:tcPr>
            <w:tcW w:w="320" w:type="dxa"/>
            <w:vAlign w:val="bottom"/>
            <w:tcBorders>
              <w:bottom w:val="single" w:sz="8" w:color="0551D3"/>
            </w:tcBorders>
          </w:tcPr>
          <w:p>
            <w:pPr>
              <w:spacing w:after="0"/>
              <w:rPr>
                <w:sz w:val="17"/>
                <w:szCs w:val="17"/>
                <w:color w:val="auto"/>
              </w:rPr>
            </w:pPr>
          </w:p>
        </w:tc>
        <w:tc>
          <w:tcPr>
            <w:tcW w:w="700" w:type="dxa"/>
            <w:vAlign w:val="bottom"/>
            <w:tcBorders>
              <w:bottom w:val="single" w:sz="8" w:color="0551D3"/>
            </w:tcBorders>
          </w:tcPr>
          <w:p>
            <w:pPr>
              <w:jc w:val="right"/>
              <w:ind w:right="17"/>
              <w:spacing w:after="0" w:line="196" w:lineRule="exact"/>
              <w:rPr>
                <w:sz w:val="20"/>
                <w:szCs w:val="20"/>
                <w:color w:val="auto"/>
              </w:rPr>
            </w:pPr>
            <w:r>
              <w:rPr>
                <w:rFonts w:ascii="Arial" w:cs="Arial" w:eastAsia="Arial" w:hAnsi="Arial"/>
                <w:sz w:val="18"/>
                <w:szCs w:val="18"/>
                <w:b w:val="1"/>
                <w:bCs w:val="1"/>
                <w:color w:val="auto"/>
              </w:rPr>
              <w:t>4.68x</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00" w:hanging="292"/>
        <w:spacing w:after="0" w:line="224" w:lineRule="auto"/>
        <w:tabs>
          <w:tab w:leader="none" w:pos="30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For purposes of calculating the ratio of earnings to fixed charges, earnings is the amount resulting from (1) adding (a) pretax income from continuing operations before adjustment for noncontrolling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 Interest associated with our uncertain tax positions is a component of income tax expense.</w:t>
      </w:r>
    </w:p>
    <w:p>
      <w:pPr>
        <w:sectPr>
          <w:pgSz w:w="11900" w:h="16838" w:orient="portrait"/>
          <w:cols w:equalWidth="0" w:num="1">
            <w:col w:w="11420"/>
          </w:cols>
          <w:pgMar w:left="240" w:top="121" w:right="239" w:bottom="1440" w:gutter="0" w:footer="0" w:header="0"/>
          <w:type w:val="continuous"/>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consent to the incorporation by reference in this Registration Statement on Form S-3 of our report dated February 20, 2013, except for Note 22, as to which the date is September 18, 2013, relating to the consolidated financial statements of Comcast Corporation, appearing in the Current Report on Form 8-K filed on September 18, 2013, and our reports, dated February 20, 2013, on the financial statement schedule of Comcast Corporation and the effectiveness of Comcast Corporation’s internal control over financial reporting, appearing in the Annual Report on Form 10-K of Comcast Corporation for the year ended December 31, 2012, and to the reference to us under the heading “Experts” in the Prospectus, which is part of this Registration Statement.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18, 2013</w:t>
      </w:r>
    </w:p>
    <w:p>
      <w:pPr>
        <w:sectPr>
          <w:pgSz w:w="11900" w:h="16838" w:orient="portrait"/>
          <w:cols w:equalWidth="0" w:num="1">
            <w:col w:w="11420"/>
          </w:cols>
          <w:pgMar w:left="240" w:top="121"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consent to the incorporation by reference in this Registration Statement on Form S-3 of our reports dated February 20, 2013, relating to the consolidated financial statements and financial statement schedule of NBC Universal, Inc. and subsidiaries (predecessor) and NBCUniversal Media, LLC (successor) (which report on the consolidated financial statements expresses an unqualified opinion and includes an explanatory paragraph referring to General Electric Company’s transaction with Comcast Corporation on January 28, 2011) appearing in the Annual Report on Form 10-K of NBCUniversal Media, LLC and subsidiaries for the period from January 1, 2011 to January 28, 2011 (predecessor period), for the period from January 29, 2011 to December 31, 2011, and for the year ended December 31, 2012 (successor period), and to the reference to us under the heading “Experts” in the Prospectus, which is part of this Registration Statement.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18, 2013</w:t>
      </w:r>
    </w:p>
    <w:p>
      <w:pPr>
        <w:sectPr>
          <w:pgSz w:w="11900" w:h="16838" w:orient="portrait"/>
          <w:cols w:equalWidth="0" w:num="1">
            <w:col w:w="11420"/>
          </w:cols>
          <w:pgMar w:left="240" w:top="121"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consent to the incorporation by reference in this Registration Statement on Form S-3 of Comcast Corporation of our report dated February 28, 2011 except for Notes 1 &amp; 8 as to which the date is May 13, 2011, and except for the Consolidated Statement of Comprehensive Income and Note 19 as to which the date is February 22, 2012, with respect to the consolidated statements of income, comprehensive income, cash flows, and changes in equity of NBC Universal, Inc. and consolidated subsidiaries for the year ended December, 2010 (predecessor), appearing in the 2012 Annual Report on Form 10-K of NBCUniversal Media, LLC.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18, 2013</w:t>
      </w:r>
    </w:p>
    <w:p>
      <w:pPr>
        <w:sectPr>
          <w:pgSz w:w="11900" w:h="16838" w:orient="portrait"/>
          <w:cols w:equalWidth="0" w:num="1">
            <w:col w:w="11420"/>
          </w:cols>
          <w:pgMar w:left="240" w:top="121"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143510</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ind w:left="3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184785</wp:posOffset>
            </wp:positionV>
            <wp:extent cx="151765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3760"/>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203835</wp:posOffset>
            </wp:positionV>
            <wp:extent cx="151765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center"/>
        <w:ind w:left="460" w:right="1660"/>
        <w:spacing w:after="0" w:line="243" w:lineRule="auto"/>
        <w:rPr>
          <w:sz w:val="20"/>
          <w:szCs w:val="20"/>
          <w:color w:val="auto"/>
        </w:rPr>
      </w:pPr>
      <w:r>
        <w:rPr>
          <w:rFonts w:ascii="Arial" w:cs="Arial" w:eastAsia="Arial" w:hAnsi="Arial"/>
          <w:sz w:val="22"/>
          <w:szCs w:val="22"/>
          <w:b w:val="1"/>
          <w:bCs w:val="1"/>
          <w:color w:val="auto"/>
        </w:rPr>
        <w:t>STATEMENT OF ELIGIBILITY UNDER THE TRUST INDENTURE ACT OF 1939 OF A CORPORATION DESIGNATED TO ACT AS TRUSTEE</w:t>
      </w:r>
    </w:p>
    <w:p>
      <w:pPr>
        <w:spacing w:after="0" w:line="123"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CHECK IF AN APPLICATION TO DETERMINE</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ELIGIBILITY OF A TRUSTEE PURSUANT TO</w:t>
      </w:r>
    </w:p>
    <w:p>
      <w:pPr>
        <w:jc w:val="center"/>
        <w:ind w:right="1200"/>
        <w:spacing w:after="0"/>
        <w:tabs>
          <w:tab w:leader="none" w:pos="200" w:val="left"/>
        </w:tabs>
        <w:rPr>
          <w:sz w:val="20"/>
          <w:szCs w:val="20"/>
          <w:color w:val="auto"/>
        </w:rPr>
      </w:pPr>
      <w:r>
        <w:rPr>
          <w:rFonts w:ascii="Arial" w:cs="Arial" w:eastAsia="Arial" w:hAnsi="Arial"/>
          <w:sz w:val="22"/>
          <w:szCs w:val="22"/>
          <w:b w:val="1"/>
          <w:bCs w:val="1"/>
          <w:color w:val="auto"/>
        </w:rPr>
        <w:t>SECTION 305(b)(2) |</w:t>
      </w:r>
      <w:r>
        <w:rPr>
          <w:sz w:val="20"/>
          <w:szCs w:val="20"/>
          <w:color w:val="auto"/>
        </w:rPr>
        <w:tab/>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175895</wp:posOffset>
            </wp:positionV>
            <wp:extent cx="151765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0"/>
          <w:szCs w:val="20"/>
          <w:color w:val="auto"/>
        </w:rPr>
      </w:pPr>
    </w:p>
    <w:p>
      <w:pPr>
        <w:jc w:val="center"/>
        <w:ind w:right="1200"/>
        <w:spacing w:after="0"/>
        <w:rPr>
          <w:sz w:val="20"/>
          <w:szCs w:val="20"/>
          <w:color w:val="auto"/>
        </w:rPr>
      </w:pPr>
      <w:r>
        <w:rPr>
          <w:rFonts w:ascii="Arial" w:cs="Arial" w:eastAsia="Arial" w:hAnsi="Arial"/>
          <w:sz w:val="43"/>
          <w:szCs w:val="43"/>
          <w:b w:val="1"/>
          <w:bCs w:val="1"/>
          <w:color w:val="auto"/>
        </w:rPr>
        <w:t>THE BANK OF NEW YORK MELLON</w:t>
      </w:r>
    </w:p>
    <w:p>
      <w:pPr>
        <w:spacing w:after="0" w:line="54"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191135</wp:posOffset>
            </wp:positionV>
            <wp:extent cx="151765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460" w:type="dxa"/>
        <w:tblCellMar>
          <w:top w:w="0" w:type="dxa"/>
          <w:left w:w="0" w:type="dxa"/>
          <w:bottom w:w="0" w:type="dxa"/>
          <w:right w:w="0" w:type="dxa"/>
        </w:tblCellMar>
      </w:tblPr>
      <w:tr>
        <w:trPr>
          <w:trHeight w:val="218"/>
        </w:trPr>
        <w:tc>
          <w:tcPr>
            <w:tcW w:w="2540" w:type="dxa"/>
            <w:vAlign w:val="bottom"/>
          </w:tcPr>
          <w:p>
            <w:pPr>
              <w:jc w:val="center"/>
              <w:ind w:right="3"/>
              <w:spacing w:after="0"/>
              <w:rPr>
                <w:sz w:val="20"/>
                <w:szCs w:val="20"/>
                <w:color w:val="auto"/>
              </w:rPr>
            </w:pPr>
            <w:r>
              <w:rPr>
                <w:rFonts w:ascii="Arial" w:cs="Arial" w:eastAsia="Arial" w:hAnsi="Arial"/>
                <w:sz w:val="18"/>
                <w:szCs w:val="18"/>
                <w:b w:val="1"/>
                <w:bCs w:val="1"/>
                <w:color w:val="auto"/>
                <w:w w:val="90"/>
              </w:rPr>
              <w:t>New York</w:t>
            </w:r>
          </w:p>
        </w:tc>
        <w:tc>
          <w:tcPr>
            <w:tcW w:w="4960" w:type="dxa"/>
            <w:vAlign w:val="bottom"/>
            <w:gridSpan w:val="3"/>
          </w:tcPr>
          <w:p>
            <w:pPr>
              <w:jc w:val="center"/>
              <w:ind w:left="3856"/>
              <w:spacing w:after="0"/>
              <w:rPr>
                <w:sz w:val="20"/>
                <w:szCs w:val="20"/>
                <w:color w:val="auto"/>
              </w:rPr>
            </w:pPr>
            <w:r>
              <w:rPr>
                <w:rFonts w:ascii="Arial" w:cs="Arial" w:eastAsia="Arial" w:hAnsi="Arial"/>
                <w:sz w:val="18"/>
                <w:szCs w:val="18"/>
                <w:b w:val="1"/>
                <w:bCs w:val="1"/>
                <w:color w:val="auto"/>
                <w:w w:val="89"/>
              </w:rPr>
              <w:t>13-5160382</w:t>
            </w:r>
          </w:p>
        </w:tc>
      </w:tr>
      <w:tr>
        <w:trPr>
          <w:trHeight w:val="149"/>
        </w:trPr>
        <w:tc>
          <w:tcPr>
            <w:tcW w:w="2540" w:type="dxa"/>
            <w:vAlign w:val="bottom"/>
          </w:tcPr>
          <w:p>
            <w:pPr>
              <w:jc w:val="center"/>
              <w:ind w:right="3"/>
              <w:spacing w:after="0" w:line="149" w:lineRule="exact"/>
              <w:rPr>
                <w:sz w:val="20"/>
                <w:szCs w:val="20"/>
                <w:color w:val="auto"/>
              </w:rPr>
            </w:pPr>
            <w:r>
              <w:rPr>
                <w:rFonts w:ascii="Arial" w:cs="Arial" w:eastAsia="Arial" w:hAnsi="Arial"/>
                <w:sz w:val="14"/>
                <w:szCs w:val="14"/>
                <w:b w:val="1"/>
                <w:bCs w:val="1"/>
                <w:color w:val="auto"/>
                <w:w w:val="87"/>
              </w:rPr>
              <w:t>(Jurisdiction of incorporation</w:t>
            </w:r>
          </w:p>
        </w:tc>
        <w:tc>
          <w:tcPr>
            <w:tcW w:w="3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60" w:type="dxa"/>
            <w:vAlign w:val="bottom"/>
          </w:tcPr>
          <w:p>
            <w:pPr>
              <w:jc w:val="center"/>
              <w:ind w:left="1172"/>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2540" w:type="dxa"/>
            <w:vAlign w:val="bottom"/>
          </w:tcPr>
          <w:p>
            <w:pPr>
              <w:jc w:val="center"/>
              <w:ind w:right="3"/>
              <w:spacing w:after="0"/>
              <w:rPr>
                <w:sz w:val="20"/>
                <w:szCs w:val="20"/>
                <w:color w:val="auto"/>
              </w:rPr>
            </w:pPr>
            <w:r>
              <w:rPr>
                <w:rFonts w:ascii="Arial" w:cs="Arial" w:eastAsia="Arial" w:hAnsi="Arial"/>
                <w:sz w:val="14"/>
                <w:szCs w:val="14"/>
                <w:b w:val="1"/>
                <w:bCs w:val="1"/>
                <w:color w:val="auto"/>
                <w:w w:val="87"/>
              </w:rPr>
              <w:t>if not a U.S. national bank)</w:t>
            </w:r>
          </w:p>
        </w:tc>
        <w:tc>
          <w:tcPr>
            <w:tcW w:w="3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260" w:type="dxa"/>
            <w:vAlign w:val="bottom"/>
          </w:tcPr>
          <w:p>
            <w:pPr>
              <w:jc w:val="center"/>
              <w:ind w:left="1172"/>
              <w:spacing w:after="0"/>
              <w:rPr>
                <w:sz w:val="20"/>
                <w:szCs w:val="20"/>
                <w:color w:val="auto"/>
              </w:rPr>
            </w:pPr>
            <w:r>
              <w:rPr>
                <w:rFonts w:ascii="Arial" w:cs="Arial" w:eastAsia="Arial" w:hAnsi="Arial"/>
                <w:sz w:val="14"/>
                <w:szCs w:val="14"/>
                <w:b w:val="1"/>
                <w:bCs w:val="1"/>
                <w:color w:val="auto"/>
                <w:w w:val="87"/>
              </w:rPr>
              <w:t>identification no.)</w:t>
            </w:r>
          </w:p>
        </w:tc>
      </w:tr>
      <w:tr>
        <w:trPr>
          <w:trHeight w:val="420"/>
        </w:trPr>
        <w:tc>
          <w:tcPr>
            <w:tcW w:w="2540" w:type="dxa"/>
            <w:vAlign w:val="bottom"/>
          </w:tcPr>
          <w:p>
            <w:pPr>
              <w:jc w:val="center"/>
              <w:ind w:right="3"/>
              <w:spacing w:after="0"/>
              <w:rPr>
                <w:sz w:val="20"/>
                <w:szCs w:val="20"/>
                <w:color w:val="auto"/>
              </w:rPr>
            </w:pPr>
            <w:r>
              <w:rPr>
                <w:rFonts w:ascii="Arial" w:cs="Arial" w:eastAsia="Arial" w:hAnsi="Arial"/>
                <w:sz w:val="18"/>
                <w:szCs w:val="18"/>
                <w:b w:val="1"/>
                <w:bCs w:val="1"/>
                <w:color w:val="auto"/>
                <w:w w:val="91"/>
              </w:rPr>
              <w:t>One Wall Street, New York, N.Y.</w:t>
            </w:r>
          </w:p>
        </w:tc>
        <w:tc>
          <w:tcPr>
            <w:tcW w:w="4960" w:type="dxa"/>
            <w:vAlign w:val="bottom"/>
            <w:gridSpan w:val="3"/>
          </w:tcPr>
          <w:p>
            <w:pPr>
              <w:jc w:val="center"/>
              <w:ind w:left="3876"/>
              <w:spacing w:after="0"/>
              <w:rPr>
                <w:sz w:val="20"/>
                <w:szCs w:val="20"/>
                <w:color w:val="auto"/>
              </w:rPr>
            </w:pPr>
            <w:r>
              <w:rPr>
                <w:rFonts w:ascii="Arial" w:cs="Arial" w:eastAsia="Arial" w:hAnsi="Arial"/>
                <w:sz w:val="18"/>
                <w:szCs w:val="18"/>
                <w:b w:val="1"/>
                <w:bCs w:val="1"/>
                <w:color w:val="auto"/>
                <w:w w:val="87"/>
              </w:rPr>
              <w:t>10286</w:t>
            </w:r>
          </w:p>
        </w:tc>
      </w:tr>
      <w:tr>
        <w:trPr>
          <w:trHeight w:val="174"/>
        </w:trPr>
        <w:tc>
          <w:tcPr>
            <w:tcW w:w="2540" w:type="dxa"/>
            <w:vAlign w:val="bottom"/>
          </w:tcPr>
          <w:p>
            <w:pPr>
              <w:jc w:val="center"/>
              <w:ind w:right="3"/>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3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260" w:type="dxa"/>
            <w:vAlign w:val="bottom"/>
          </w:tcPr>
          <w:p>
            <w:pPr>
              <w:jc w:val="center"/>
              <w:ind w:left="1172"/>
              <w:spacing w:after="0"/>
              <w:rPr>
                <w:sz w:val="20"/>
                <w:szCs w:val="20"/>
                <w:color w:val="auto"/>
              </w:rPr>
            </w:pPr>
            <w:r>
              <w:rPr>
                <w:rFonts w:ascii="Arial" w:cs="Arial" w:eastAsia="Arial" w:hAnsi="Arial"/>
                <w:sz w:val="14"/>
                <w:szCs w:val="14"/>
                <w:b w:val="1"/>
                <w:bCs w:val="1"/>
                <w:color w:val="auto"/>
                <w:w w:val="86"/>
              </w:rPr>
              <w:t>(Zip code)</w:t>
            </w:r>
          </w:p>
        </w:tc>
      </w:tr>
      <w:tr>
        <w:trPr>
          <w:trHeight w:val="271"/>
        </w:trPr>
        <w:tc>
          <w:tcPr>
            <w:tcW w:w="2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2260" w:type="dxa"/>
            <w:vAlign w:val="bottom"/>
          </w:tcPr>
          <w:p>
            <w:pPr>
              <w:spacing w:after="0"/>
              <w:rPr>
                <w:sz w:val="23"/>
                <w:szCs w:val="23"/>
                <w:color w:val="auto"/>
              </w:rPr>
            </w:pPr>
          </w:p>
        </w:tc>
      </w:tr>
      <w:tr>
        <w:trPr>
          <w:trHeight w:val="359"/>
        </w:trPr>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40" w:type="dxa"/>
            <w:vAlign w:val="bottom"/>
            <w:gridSpan w:val="2"/>
          </w:tcPr>
          <w:p>
            <w:pPr>
              <w:jc w:val="center"/>
              <w:ind w:right="2172"/>
              <w:spacing w:after="0"/>
              <w:rPr>
                <w:sz w:val="20"/>
                <w:szCs w:val="20"/>
                <w:color w:val="auto"/>
              </w:rPr>
            </w:pPr>
            <w:r>
              <w:rPr>
                <w:rFonts w:ascii="Arial" w:cs="Arial" w:eastAsia="Arial" w:hAnsi="Arial"/>
                <w:sz w:val="18"/>
                <w:szCs w:val="18"/>
                <w:b w:val="1"/>
                <w:bCs w:val="1"/>
                <w:color w:val="auto"/>
                <w:w w:val="89"/>
              </w:rPr>
              <w:t>Comcast Corporation</w:t>
            </w:r>
          </w:p>
        </w:tc>
      </w:tr>
      <w:tr>
        <w:trPr>
          <w:trHeight w:val="174"/>
        </w:trPr>
        <w:tc>
          <w:tcPr>
            <w:tcW w:w="2540" w:type="dxa"/>
            <w:vAlign w:val="bottom"/>
          </w:tcPr>
          <w:p>
            <w:pPr>
              <w:spacing w:after="0"/>
              <w:rPr>
                <w:sz w:val="15"/>
                <w:szCs w:val="15"/>
                <w:color w:val="auto"/>
              </w:rPr>
            </w:pPr>
          </w:p>
        </w:tc>
        <w:tc>
          <w:tcPr>
            <w:tcW w:w="4960" w:type="dxa"/>
            <w:vAlign w:val="bottom"/>
            <w:gridSpan w:val="3"/>
          </w:tcPr>
          <w:p>
            <w:pPr>
              <w:jc w:val="center"/>
              <w:ind w:right="1872"/>
              <w:spacing w:after="0"/>
              <w:rPr>
                <w:sz w:val="20"/>
                <w:szCs w:val="20"/>
                <w:color w:val="auto"/>
              </w:rPr>
            </w:pPr>
            <w:r>
              <w:rPr>
                <w:rFonts w:ascii="Arial" w:cs="Arial" w:eastAsia="Arial" w:hAnsi="Arial"/>
                <w:sz w:val="14"/>
                <w:szCs w:val="14"/>
                <w:b w:val="1"/>
                <w:bCs w:val="1"/>
                <w:color w:val="auto"/>
                <w:w w:val="86"/>
              </w:rPr>
              <w:t>(Exact name of obligor as specified in its charter)</w:t>
            </w:r>
          </w:p>
        </w:tc>
      </w:tr>
      <w:tr>
        <w:trPr>
          <w:trHeight w:val="271"/>
        </w:trPr>
        <w:tc>
          <w:tcPr>
            <w:tcW w:w="2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2260" w:type="dxa"/>
            <w:vAlign w:val="bottom"/>
          </w:tcPr>
          <w:p>
            <w:pPr>
              <w:spacing w:after="0"/>
              <w:rPr>
                <w:sz w:val="23"/>
                <w:szCs w:val="23"/>
                <w:color w:val="auto"/>
              </w:rPr>
            </w:pPr>
          </w:p>
        </w:tc>
      </w:tr>
      <w:tr>
        <w:trPr>
          <w:trHeight w:val="426"/>
        </w:trPr>
        <w:tc>
          <w:tcPr>
            <w:tcW w:w="2540" w:type="dxa"/>
            <w:vAlign w:val="bottom"/>
          </w:tcPr>
          <w:p>
            <w:pPr>
              <w:jc w:val="center"/>
              <w:ind w:right="3"/>
              <w:spacing w:after="0"/>
              <w:rPr>
                <w:sz w:val="20"/>
                <w:szCs w:val="20"/>
                <w:color w:val="auto"/>
              </w:rPr>
            </w:pPr>
            <w:r>
              <w:rPr>
                <w:rFonts w:ascii="Arial" w:cs="Arial" w:eastAsia="Arial" w:hAnsi="Arial"/>
                <w:sz w:val="18"/>
                <w:szCs w:val="18"/>
                <w:b w:val="1"/>
                <w:bCs w:val="1"/>
                <w:color w:val="auto"/>
                <w:w w:val="85"/>
              </w:rPr>
              <w:t>Pennsylvania</w:t>
            </w:r>
          </w:p>
        </w:tc>
        <w:tc>
          <w:tcPr>
            <w:tcW w:w="4960" w:type="dxa"/>
            <w:vAlign w:val="bottom"/>
            <w:gridSpan w:val="3"/>
          </w:tcPr>
          <w:p>
            <w:pPr>
              <w:jc w:val="center"/>
              <w:ind w:left="3856"/>
              <w:spacing w:after="0"/>
              <w:rPr>
                <w:sz w:val="20"/>
                <w:szCs w:val="20"/>
                <w:color w:val="auto"/>
              </w:rPr>
            </w:pPr>
            <w:r>
              <w:rPr>
                <w:rFonts w:ascii="Arial" w:cs="Arial" w:eastAsia="Arial" w:hAnsi="Arial"/>
                <w:sz w:val="18"/>
                <w:szCs w:val="18"/>
                <w:b w:val="1"/>
                <w:bCs w:val="1"/>
                <w:color w:val="auto"/>
                <w:w w:val="89"/>
              </w:rPr>
              <w:t>27-0000798</w:t>
            </w:r>
          </w:p>
        </w:tc>
      </w:tr>
      <w:tr>
        <w:trPr>
          <w:trHeight w:val="149"/>
        </w:trPr>
        <w:tc>
          <w:tcPr>
            <w:tcW w:w="2540" w:type="dxa"/>
            <w:vAlign w:val="bottom"/>
          </w:tcPr>
          <w:p>
            <w:pPr>
              <w:jc w:val="center"/>
              <w:ind w:right="3"/>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60" w:type="dxa"/>
            <w:vAlign w:val="bottom"/>
          </w:tcPr>
          <w:p>
            <w:pPr>
              <w:jc w:val="center"/>
              <w:ind w:left="1172"/>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3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260" w:type="dxa"/>
            <w:vAlign w:val="bottom"/>
          </w:tcPr>
          <w:p>
            <w:pPr>
              <w:jc w:val="center"/>
              <w:ind w:left="1172"/>
              <w:spacing w:after="0"/>
              <w:rPr>
                <w:sz w:val="20"/>
                <w:szCs w:val="20"/>
                <w:color w:val="auto"/>
              </w:rPr>
            </w:pPr>
            <w:r>
              <w:rPr>
                <w:rFonts w:ascii="Arial" w:cs="Arial" w:eastAsia="Arial" w:hAnsi="Arial"/>
                <w:sz w:val="14"/>
                <w:szCs w:val="14"/>
                <w:b w:val="1"/>
                <w:bCs w:val="1"/>
                <w:color w:val="auto"/>
                <w:w w:val="87"/>
              </w:rPr>
              <w:t>identification no.)</w:t>
            </w:r>
          </w:p>
        </w:tc>
      </w:tr>
      <w:tr>
        <w:trPr>
          <w:trHeight w:val="418"/>
        </w:trPr>
        <w:tc>
          <w:tcPr>
            <w:tcW w:w="2540" w:type="dxa"/>
            <w:vAlign w:val="bottom"/>
          </w:tcPr>
          <w:p>
            <w:pPr>
              <w:jc w:val="center"/>
              <w:ind w:right="3"/>
              <w:spacing w:after="0"/>
              <w:rPr>
                <w:sz w:val="20"/>
                <w:szCs w:val="20"/>
                <w:color w:val="auto"/>
              </w:rPr>
            </w:pPr>
            <w:r>
              <w:rPr>
                <w:rFonts w:ascii="Arial" w:cs="Arial" w:eastAsia="Arial" w:hAnsi="Arial"/>
                <w:sz w:val="18"/>
                <w:szCs w:val="18"/>
                <w:b w:val="1"/>
                <w:bCs w:val="1"/>
                <w:color w:val="auto"/>
                <w:w w:val="88"/>
              </w:rPr>
              <w:t>One Comcast Center</w:t>
            </w:r>
          </w:p>
        </w:tc>
        <w:tc>
          <w:tcPr>
            <w:tcW w:w="3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31"/>
        </w:trPr>
        <w:tc>
          <w:tcPr>
            <w:tcW w:w="2540" w:type="dxa"/>
            <w:vAlign w:val="bottom"/>
          </w:tcPr>
          <w:p>
            <w:pPr>
              <w:jc w:val="center"/>
              <w:ind w:right="3"/>
              <w:spacing w:after="0"/>
              <w:rPr>
                <w:sz w:val="20"/>
                <w:szCs w:val="20"/>
                <w:color w:val="auto"/>
              </w:rPr>
            </w:pPr>
            <w:r>
              <w:rPr>
                <w:rFonts w:ascii="Arial" w:cs="Arial" w:eastAsia="Arial" w:hAnsi="Arial"/>
                <w:sz w:val="18"/>
                <w:szCs w:val="18"/>
                <w:b w:val="1"/>
                <w:bCs w:val="1"/>
                <w:color w:val="auto"/>
                <w:w w:val="87"/>
              </w:rPr>
              <w:t>Philadelphia, Pennsylvania</w:t>
            </w:r>
          </w:p>
        </w:tc>
        <w:tc>
          <w:tcPr>
            <w:tcW w:w="4960" w:type="dxa"/>
            <w:vAlign w:val="bottom"/>
            <w:gridSpan w:val="3"/>
          </w:tcPr>
          <w:p>
            <w:pPr>
              <w:jc w:val="center"/>
              <w:ind w:left="3856"/>
              <w:spacing w:after="0"/>
              <w:rPr>
                <w:sz w:val="20"/>
                <w:szCs w:val="20"/>
                <w:color w:val="auto"/>
              </w:rPr>
            </w:pPr>
            <w:r>
              <w:rPr>
                <w:rFonts w:ascii="Arial" w:cs="Arial" w:eastAsia="Arial" w:hAnsi="Arial"/>
                <w:sz w:val="18"/>
                <w:szCs w:val="18"/>
                <w:b w:val="1"/>
                <w:bCs w:val="1"/>
                <w:color w:val="auto"/>
                <w:w w:val="89"/>
              </w:rPr>
              <w:t>19103-2838</w:t>
            </w:r>
          </w:p>
        </w:tc>
      </w:tr>
      <w:tr>
        <w:trPr>
          <w:trHeight w:val="174"/>
        </w:trPr>
        <w:tc>
          <w:tcPr>
            <w:tcW w:w="2540" w:type="dxa"/>
            <w:vAlign w:val="bottom"/>
          </w:tcPr>
          <w:p>
            <w:pPr>
              <w:jc w:val="center"/>
              <w:ind w:right="3"/>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3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260" w:type="dxa"/>
            <w:vAlign w:val="bottom"/>
          </w:tcPr>
          <w:p>
            <w:pPr>
              <w:jc w:val="center"/>
              <w:ind w:left="1172"/>
              <w:spacing w:after="0"/>
              <w:rPr>
                <w:sz w:val="20"/>
                <w:szCs w:val="20"/>
                <w:color w:val="auto"/>
              </w:rPr>
            </w:pPr>
            <w:r>
              <w:rPr>
                <w:rFonts w:ascii="Arial" w:cs="Arial" w:eastAsia="Arial" w:hAnsi="Arial"/>
                <w:sz w:val="14"/>
                <w:szCs w:val="14"/>
                <w:b w:val="1"/>
                <w:bCs w:val="1"/>
                <w:color w:val="auto"/>
                <w:w w:val="86"/>
              </w:rPr>
              <w:t>(Zip code)</w:t>
            </w:r>
          </w:p>
        </w:tc>
      </w:tr>
      <w:tr>
        <w:trPr>
          <w:trHeight w:val="284"/>
        </w:trPr>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260" w:type="dxa"/>
            <w:vAlign w:val="bottom"/>
          </w:tcPr>
          <w:p>
            <w:pPr>
              <w:spacing w:after="0"/>
              <w:rPr>
                <w:sz w:val="24"/>
                <w:szCs w:val="24"/>
                <w:color w:val="auto"/>
              </w:rPr>
            </w:pPr>
          </w:p>
        </w:tc>
      </w:tr>
    </w:tbl>
    <w:p>
      <w:pPr>
        <w:sectPr>
          <w:pgSz w:w="11900" w:h="16838" w:orient="portrait"/>
          <w:cols w:equalWidth="0" w:num="1">
            <w:col w:w="10220"/>
          </w:cols>
          <w:pgMar w:left="1440" w:top="125" w:right="239" w:bottom="1440" w:gutter="0" w:footer="0" w:header="0"/>
        </w:sectPr>
      </w:pPr>
    </w:p>
    <w:bookmarkStart w:id="158" w:name="page159"/>
    <w:bookmarkEnd w:id="15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580" w:type="dxa"/>
        <w:tblCellMar>
          <w:top w:w="0" w:type="dxa"/>
          <w:left w:w="0" w:type="dxa"/>
          <w:bottom w:w="0" w:type="dxa"/>
          <w:right w:w="0" w:type="dxa"/>
        </w:tblCellMar>
      </w:tblPr>
      <w:tr>
        <w:trPr>
          <w:trHeight w:val="218"/>
        </w:trPr>
        <w:tc>
          <w:tcPr>
            <w:tcW w:w="2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40" w:type="dxa"/>
            <w:vAlign w:val="bottom"/>
            <w:gridSpan w:val="2"/>
          </w:tcPr>
          <w:p>
            <w:pPr>
              <w:jc w:val="center"/>
              <w:ind w:right="2192"/>
              <w:spacing w:after="0"/>
              <w:rPr>
                <w:sz w:val="20"/>
                <w:szCs w:val="20"/>
                <w:color w:val="auto"/>
              </w:rPr>
            </w:pPr>
            <w:r>
              <w:rPr>
                <w:rFonts w:ascii="Arial" w:cs="Arial" w:eastAsia="Arial" w:hAnsi="Arial"/>
                <w:sz w:val="18"/>
                <w:szCs w:val="18"/>
                <w:b w:val="1"/>
                <w:bCs w:val="1"/>
                <w:color w:val="auto"/>
                <w:w w:val="93"/>
              </w:rPr>
              <w:t>NBCUniversal Media, LLC</w:t>
            </w:r>
          </w:p>
        </w:tc>
      </w:tr>
      <w:tr>
        <w:trPr>
          <w:trHeight w:val="174"/>
        </w:trPr>
        <w:tc>
          <w:tcPr>
            <w:tcW w:w="2360" w:type="dxa"/>
            <w:vAlign w:val="bottom"/>
          </w:tcPr>
          <w:p>
            <w:pPr>
              <w:spacing w:after="0"/>
              <w:rPr>
                <w:sz w:val="15"/>
                <w:szCs w:val="15"/>
                <w:color w:val="auto"/>
              </w:rPr>
            </w:pPr>
          </w:p>
        </w:tc>
        <w:tc>
          <w:tcPr>
            <w:tcW w:w="5020" w:type="dxa"/>
            <w:vAlign w:val="bottom"/>
            <w:gridSpan w:val="3"/>
          </w:tcPr>
          <w:p>
            <w:pPr>
              <w:jc w:val="center"/>
              <w:ind w:right="1812"/>
              <w:spacing w:after="0"/>
              <w:rPr>
                <w:sz w:val="20"/>
                <w:szCs w:val="20"/>
                <w:color w:val="auto"/>
              </w:rPr>
            </w:pPr>
            <w:r>
              <w:rPr>
                <w:rFonts w:ascii="Arial" w:cs="Arial" w:eastAsia="Arial" w:hAnsi="Arial"/>
                <w:sz w:val="14"/>
                <w:szCs w:val="14"/>
                <w:b w:val="1"/>
                <w:bCs w:val="1"/>
                <w:color w:val="auto"/>
                <w:w w:val="86"/>
              </w:rPr>
              <w:t>(Exact name of obligor as specified in its charter)</w:t>
            </w:r>
          </w:p>
        </w:tc>
      </w:tr>
      <w:tr>
        <w:trPr>
          <w:trHeight w:val="271"/>
        </w:trPr>
        <w:tc>
          <w:tcPr>
            <w:tcW w:w="2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2260" w:type="dxa"/>
            <w:vAlign w:val="bottom"/>
          </w:tcPr>
          <w:p>
            <w:pPr>
              <w:spacing w:after="0"/>
              <w:rPr>
                <w:sz w:val="23"/>
                <w:szCs w:val="23"/>
                <w:color w:val="auto"/>
              </w:rPr>
            </w:pPr>
          </w:p>
        </w:tc>
      </w:tr>
      <w:tr>
        <w:trPr>
          <w:trHeight w:val="426"/>
        </w:trPr>
        <w:tc>
          <w:tcPr>
            <w:tcW w:w="2360" w:type="dxa"/>
            <w:vAlign w:val="bottom"/>
          </w:tcPr>
          <w:p>
            <w:pPr>
              <w:jc w:val="center"/>
              <w:ind w:right="62"/>
              <w:spacing w:after="0"/>
              <w:rPr>
                <w:sz w:val="20"/>
                <w:szCs w:val="20"/>
                <w:color w:val="auto"/>
              </w:rPr>
            </w:pPr>
            <w:r>
              <w:rPr>
                <w:rFonts w:ascii="Arial" w:cs="Arial" w:eastAsia="Arial" w:hAnsi="Arial"/>
                <w:sz w:val="18"/>
                <w:szCs w:val="18"/>
                <w:b w:val="1"/>
                <w:bCs w:val="1"/>
                <w:color w:val="auto"/>
                <w:w w:val="88"/>
              </w:rPr>
              <w:t>Delaware</w:t>
            </w:r>
          </w:p>
        </w:tc>
        <w:tc>
          <w:tcPr>
            <w:tcW w:w="5020" w:type="dxa"/>
            <w:vAlign w:val="bottom"/>
            <w:gridSpan w:val="3"/>
          </w:tcPr>
          <w:p>
            <w:pPr>
              <w:jc w:val="center"/>
              <w:ind w:left="3918"/>
              <w:spacing w:after="0"/>
              <w:rPr>
                <w:sz w:val="20"/>
                <w:szCs w:val="20"/>
                <w:color w:val="auto"/>
              </w:rPr>
            </w:pPr>
            <w:r>
              <w:rPr>
                <w:rFonts w:ascii="Arial" w:cs="Arial" w:eastAsia="Arial" w:hAnsi="Arial"/>
                <w:sz w:val="18"/>
                <w:szCs w:val="18"/>
                <w:b w:val="1"/>
                <w:bCs w:val="1"/>
                <w:color w:val="auto"/>
                <w:w w:val="89"/>
              </w:rPr>
              <w:t>14-1682529</w:t>
            </w:r>
          </w:p>
        </w:tc>
      </w:tr>
      <w:tr>
        <w:trPr>
          <w:trHeight w:val="149"/>
        </w:trPr>
        <w:tc>
          <w:tcPr>
            <w:tcW w:w="23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60" w:type="dxa"/>
            <w:vAlign w:val="bottom"/>
          </w:tcPr>
          <w:p>
            <w:pPr>
              <w:jc w:val="center"/>
              <w:ind w:left="1172"/>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2360" w:type="dxa"/>
            <w:vAlign w:val="bottom"/>
          </w:tcPr>
          <w:p>
            <w:pPr>
              <w:jc w:val="center"/>
              <w:ind w:right="42"/>
              <w:spacing w:after="0"/>
              <w:rPr>
                <w:sz w:val="20"/>
                <w:szCs w:val="20"/>
                <w:color w:val="auto"/>
              </w:rPr>
            </w:pPr>
            <w:r>
              <w:rPr>
                <w:rFonts w:ascii="Arial" w:cs="Arial" w:eastAsia="Arial" w:hAnsi="Arial"/>
                <w:sz w:val="14"/>
                <w:szCs w:val="14"/>
                <w:b w:val="1"/>
                <w:bCs w:val="1"/>
                <w:color w:val="auto"/>
                <w:w w:val="88"/>
              </w:rPr>
              <w:t>incorporation or organization)</w:t>
            </w:r>
          </w:p>
        </w:tc>
        <w:tc>
          <w:tcPr>
            <w:tcW w:w="3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260" w:type="dxa"/>
            <w:vAlign w:val="bottom"/>
          </w:tcPr>
          <w:p>
            <w:pPr>
              <w:jc w:val="center"/>
              <w:ind w:left="1172"/>
              <w:spacing w:after="0"/>
              <w:rPr>
                <w:sz w:val="20"/>
                <w:szCs w:val="20"/>
                <w:color w:val="auto"/>
              </w:rPr>
            </w:pPr>
            <w:r>
              <w:rPr>
                <w:rFonts w:ascii="Arial" w:cs="Arial" w:eastAsia="Arial" w:hAnsi="Arial"/>
                <w:sz w:val="14"/>
                <w:szCs w:val="14"/>
                <w:b w:val="1"/>
                <w:bCs w:val="1"/>
                <w:color w:val="auto"/>
                <w:w w:val="87"/>
              </w:rPr>
              <w:t>identification no.)</w:t>
            </w:r>
          </w:p>
        </w:tc>
      </w:tr>
      <w:tr>
        <w:trPr>
          <w:trHeight w:val="418"/>
        </w:trPr>
        <w:tc>
          <w:tcPr>
            <w:tcW w:w="2360" w:type="dxa"/>
            <w:vAlign w:val="bottom"/>
          </w:tcPr>
          <w:p>
            <w:pPr>
              <w:jc w:val="center"/>
              <w:ind w:right="62"/>
              <w:spacing w:after="0"/>
              <w:rPr>
                <w:sz w:val="20"/>
                <w:szCs w:val="20"/>
                <w:color w:val="auto"/>
              </w:rPr>
            </w:pPr>
            <w:r>
              <w:rPr>
                <w:rFonts w:ascii="Arial" w:cs="Arial" w:eastAsia="Arial" w:hAnsi="Arial"/>
                <w:sz w:val="18"/>
                <w:szCs w:val="18"/>
                <w:b w:val="1"/>
                <w:bCs w:val="1"/>
                <w:color w:val="auto"/>
                <w:w w:val="88"/>
              </w:rPr>
              <w:t>30 Rockefeller Plaza</w:t>
            </w:r>
          </w:p>
        </w:tc>
        <w:tc>
          <w:tcPr>
            <w:tcW w:w="3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31"/>
        </w:trPr>
        <w:tc>
          <w:tcPr>
            <w:tcW w:w="2360" w:type="dxa"/>
            <w:vAlign w:val="bottom"/>
          </w:tcPr>
          <w:p>
            <w:pPr>
              <w:jc w:val="center"/>
              <w:ind w:right="62"/>
              <w:spacing w:after="0"/>
              <w:rPr>
                <w:sz w:val="20"/>
                <w:szCs w:val="20"/>
                <w:color w:val="auto"/>
              </w:rPr>
            </w:pPr>
            <w:r>
              <w:rPr>
                <w:rFonts w:ascii="Arial" w:cs="Arial" w:eastAsia="Arial" w:hAnsi="Arial"/>
                <w:sz w:val="18"/>
                <w:szCs w:val="18"/>
                <w:b w:val="1"/>
                <w:bCs w:val="1"/>
                <w:color w:val="auto"/>
                <w:w w:val="90"/>
              </w:rPr>
              <w:t>New York, New York</w:t>
            </w:r>
          </w:p>
        </w:tc>
        <w:tc>
          <w:tcPr>
            <w:tcW w:w="5020" w:type="dxa"/>
            <w:vAlign w:val="bottom"/>
            <w:gridSpan w:val="3"/>
          </w:tcPr>
          <w:p>
            <w:pPr>
              <w:jc w:val="center"/>
              <w:ind w:left="3938"/>
              <w:spacing w:after="0"/>
              <w:rPr>
                <w:sz w:val="20"/>
                <w:szCs w:val="20"/>
                <w:color w:val="auto"/>
              </w:rPr>
            </w:pPr>
            <w:r>
              <w:rPr>
                <w:rFonts w:ascii="Arial" w:cs="Arial" w:eastAsia="Arial" w:hAnsi="Arial"/>
                <w:sz w:val="18"/>
                <w:szCs w:val="18"/>
                <w:b w:val="1"/>
                <w:bCs w:val="1"/>
                <w:color w:val="auto"/>
                <w:w w:val="87"/>
              </w:rPr>
              <w:t>10112-0015</w:t>
            </w:r>
          </w:p>
        </w:tc>
      </w:tr>
      <w:tr>
        <w:trPr>
          <w:trHeight w:val="174"/>
        </w:trPr>
        <w:tc>
          <w:tcPr>
            <w:tcW w:w="2360" w:type="dxa"/>
            <w:vAlign w:val="bottom"/>
          </w:tcPr>
          <w:p>
            <w:pPr>
              <w:jc w:val="center"/>
              <w:ind w:right="6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3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260" w:type="dxa"/>
            <w:vAlign w:val="bottom"/>
          </w:tcPr>
          <w:p>
            <w:pPr>
              <w:jc w:val="center"/>
              <w:ind w:left="1172"/>
              <w:spacing w:after="0"/>
              <w:rPr>
                <w:sz w:val="20"/>
                <w:szCs w:val="20"/>
                <w:color w:val="auto"/>
              </w:rPr>
            </w:pPr>
            <w:r>
              <w:rPr>
                <w:rFonts w:ascii="Arial" w:cs="Arial" w:eastAsia="Arial" w:hAnsi="Arial"/>
                <w:sz w:val="14"/>
                <w:szCs w:val="14"/>
                <w:b w:val="1"/>
                <w:bCs w:val="1"/>
                <w:color w:val="auto"/>
                <w:w w:val="86"/>
              </w:rPr>
              <w:t>(Zip code)</w:t>
            </w:r>
          </w:p>
        </w:tc>
      </w:tr>
      <w:tr>
        <w:trPr>
          <w:trHeight w:val="284"/>
        </w:trPr>
        <w:tc>
          <w:tcPr>
            <w:tcW w:w="2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260" w:type="dxa"/>
            <w:vAlign w:val="bottom"/>
          </w:tcPr>
          <w:p>
            <w:pPr>
              <w:spacing w:after="0"/>
              <w:rPr>
                <w:sz w:val="24"/>
                <w:szCs w:val="24"/>
                <w:color w:val="auto"/>
              </w:rPr>
            </w:pPr>
          </w:p>
        </w:tc>
      </w:tr>
      <w:tr>
        <w:trPr>
          <w:trHeight w:val="359"/>
        </w:trPr>
        <w:tc>
          <w:tcPr>
            <w:tcW w:w="2360" w:type="dxa"/>
            <w:vAlign w:val="bottom"/>
          </w:tcPr>
          <w:p>
            <w:pPr>
              <w:spacing w:after="0"/>
              <w:rPr>
                <w:sz w:val="24"/>
                <w:szCs w:val="24"/>
                <w:color w:val="auto"/>
              </w:rPr>
            </w:pPr>
          </w:p>
        </w:tc>
        <w:tc>
          <w:tcPr>
            <w:tcW w:w="5020" w:type="dxa"/>
            <w:vAlign w:val="bottom"/>
            <w:gridSpan w:val="3"/>
          </w:tcPr>
          <w:p>
            <w:pPr>
              <w:jc w:val="center"/>
              <w:ind w:right="1812"/>
              <w:spacing w:after="0"/>
              <w:rPr>
                <w:sz w:val="20"/>
                <w:szCs w:val="20"/>
                <w:color w:val="auto"/>
              </w:rPr>
            </w:pPr>
            <w:r>
              <w:rPr>
                <w:rFonts w:ascii="Arial" w:cs="Arial" w:eastAsia="Arial" w:hAnsi="Arial"/>
                <w:sz w:val="18"/>
                <w:szCs w:val="18"/>
                <w:b w:val="1"/>
                <w:bCs w:val="1"/>
                <w:color w:val="auto"/>
                <w:w w:val="88"/>
              </w:rPr>
              <w:t>Comcast Cable Communications, LLC</w:t>
            </w:r>
          </w:p>
        </w:tc>
      </w:tr>
      <w:tr>
        <w:trPr>
          <w:trHeight w:val="174"/>
        </w:trPr>
        <w:tc>
          <w:tcPr>
            <w:tcW w:w="2360" w:type="dxa"/>
            <w:vAlign w:val="bottom"/>
          </w:tcPr>
          <w:p>
            <w:pPr>
              <w:spacing w:after="0"/>
              <w:rPr>
                <w:sz w:val="15"/>
                <w:szCs w:val="15"/>
                <w:color w:val="auto"/>
              </w:rPr>
            </w:pPr>
          </w:p>
        </w:tc>
        <w:tc>
          <w:tcPr>
            <w:tcW w:w="5020" w:type="dxa"/>
            <w:vAlign w:val="bottom"/>
            <w:gridSpan w:val="3"/>
          </w:tcPr>
          <w:p>
            <w:pPr>
              <w:jc w:val="center"/>
              <w:ind w:right="1812"/>
              <w:spacing w:after="0"/>
              <w:rPr>
                <w:sz w:val="20"/>
                <w:szCs w:val="20"/>
                <w:color w:val="auto"/>
              </w:rPr>
            </w:pPr>
            <w:r>
              <w:rPr>
                <w:rFonts w:ascii="Arial" w:cs="Arial" w:eastAsia="Arial" w:hAnsi="Arial"/>
                <w:sz w:val="14"/>
                <w:szCs w:val="14"/>
                <w:b w:val="1"/>
                <w:bCs w:val="1"/>
                <w:color w:val="auto"/>
                <w:w w:val="86"/>
              </w:rPr>
              <w:t>(Exact name of obligor as specified in its charter)</w:t>
            </w:r>
          </w:p>
        </w:tc>
      </w:tr>
      <w:tr>
        <w:trPr>
          <w:trHeight w:val="271"/>
        </w:trPr>
        <w:tc>
          <w:tcPr>
            <w:tcW w:w="2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2260" w:type="dxa"/>
            <w:vAlign w:val="bottom"/>
          </w:tcPr>
          <w:p>
            <w:pPr>
              <w:spacing w:after="0"/>
              <w:rPr>
                <w:sz w:val="23"/>
                <w:szCs w:val="23"/>
                <w:color w:val="auto"/>
              </w:rPr>
            </w:pPr>
          </w:p>
        </w:tc>
      </w:tr>
      <w:tr>
        <w:trPr>
          <w:trHeight w:val="426"/>
        </w:trPr>
        <w:tc>
          <w:tcPr>
            <w:tcW w:w="2360" w:type="dxa"/>
            <w:vAlign w:val="bottom"/>
          </w:tcPr>
          <w:p>
            <w:pPr>
              <w:jc w:val="center"/>
              <w:ind w:right="62"/>
              <w:spacing w:after="0"/>
              <w:rPr>
                <w:sz w:val="20"/>
                <w:szCs w:val="20"/>
                <w:color w:val="auto"/>
              </w:rPr>
            </w:pPr>
            <w:r>
              <w:rPr>
                <w:rFonts w:ascii="Arial" w:cs="Arial" w:eastAsia="Arial" w:hAnsi="Arial"/>
                <w:sz w:val="18"/>
                <w:szCs w:val="18"/>
                <w:b w:val="1"/>
                <w:bCs w:val="1"/>
                <w:color w:val="auto"/>
                <w:w w:val="88"/>
              </w:rPr>
              <w:t>Delaware</w:t>
            </w:r>
          </w:p>
        </w:tc>
        <w:tc>
          <w:tcPr>
            <w:tcW w:w="5020" w:type="dxa"/>
            <w:vAlign w:val="bottom"/>
            <w:gridSpan w:val="3"/>
          </w:tcPr>
          <w:p>
            <w:pPr>
              <w:jc w:val="center"/>
              <w:ind w:left="3918"/>
              <w:spacing w:after="0"/>
              <w:rPr>
                <w:sz w:val="20"/>
                <w:szCs w:val="20"/>
                <w:color w:val="auto"/>
              </w:rPr>
            </w:pPr>
            <w:r>
              <w:rPr>
                <w:rFonts w:ascii="Arial" w:cs="Arial" w:eastAsia="Arial" w:hAnsi="Arial"/>
                <w:sz w:val="18"/>
                <w:szCs w:val="18"/>
                <w:b w:val="1"/>
                <w:bCs w:val="1"/>
                <w:color w:val="auto"/>
                <w:w w:val="89"/>
              </w:rPr>
              <w:t>23-2175755</w:t>
            </w:r>
          </w:p>
        </w:tc>
      </w:tr>
      <w:tr>
        <w:trPr>
          <w:trHeight w:val="149"/>
        </w:trPr>
        <w:tc>
          <w:tcPr>
            <w:tcW w:w="23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60" w:type="dxa"/>
            <w:vAlign w:val="bottom"/>
          </w:tcPr>
          <w:p>
            <w:pPr>
              <w:jc w:val="center"/>
              <w:ind w:left="1172"/>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2360" w:type="dxa"/>
            <w:vAlign w:val="bottom"/>
          </w:tcPr>
          <w:p>
            <w:pPr>
              <w:jc w:val="center"/>
              <w:ind w:right="42"/>
              <w:spacing w:after="0"/>
              <w:rPr>
                <w:sz w:val="20"/>
                <w:szCs w:val="20"/>
                <w:color w:val="auto"/>
              </w:rPr>
            </w:pPr>
            <w:r>
              <w:rPr>
                <w:rFonts w:ascii="Arial" w:cs="Arial" w:eastAsia="Arial" w:hAnsi="Arial"/>
                <w:sz w:val="14"/>
                <w:szCs w:val="14"/>
                <w:b w:val="1"/>
                <w:bCs w:val="1"/>
                <w:color w:val="auto"/>
                <w:w w:val="88"/>
              </w:rPr>
              <w:t>incorporation or organization)</w:t>
            </w:r>
          </w:p>
        </w:tc>
        <w:tc>
          <w:tcPr>
            <w:tcW w:w="3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260" w:type="dxa"/>
            <w:vAlign w:val="bottom"/>
          </w:tcPr>
          <w:p>
            <w:pPr>
              <w:jc w:val="center"/>
              <w:ind w:left="1172"/>
              <w:spacing w:after="0"/>
              <w:rPr>
                <w:sz w:val="20"/>
                <w:szCs w:val="20"/>
                <w:color w:val="auto"/>
              </w:rPr>
            </w:pPr>
            <w:r>
              <w:rPr>
                <w:rFonts w:ascii="Arial" w:cs="Arial" w:eastAsia="Arial" w:hAnsi="Arial"/>
                <w:sz w:val="14"/>
                <w:szCs w:val="14"/>
                <w:b w:val="1"/>
                <w:bCs w:val="1"/>
                <w:color w:val="auto"/>
                <w:w w:val="87"/>
              </w:rPr>
              <w:t>identification no.)</w:t>
            </w:r>
          </w:p>
        </w:tc>
      </w:tr>
      <w:tr>
        <w:trPr>
          <w:trHeight w:val="418"/>
        </w:trPr>
        <w:tc>
          <w:tcPr>
            <w:tcW w:w="2360" w:type="dxa"/>
            <w:vAlign w:val="bottom"/>
          </w:tcPr>
          <w:p>
            <w:pPr>
              <w:jc w:val="center"/>
              <w:ind w:right="62"/>
              <w:spacing w:after="0"/>
              <w:rPr>
                <w:sz w:val="20"/>
                <w:szCs w:val="20"/>
                <w:color w:val="auto"/>
              </w:rPr>
            </w:pPr>
            <w:r>
              <w:rPr>
                <w:rFonts w:ascii="Arial" w:cs="Arial" w:eastAsia="Arial" w:hAnsi="Arial"/>
                <w:sz w:val="18"/>
                <w:szCs w:val="18"/>
                <w:b w:val="1"/>
                <w:bCs w:val="1"/>
                <w:color w:val="auto"/>
                <w:w w:val="88"/>
              </w:rPr>
              <w:t>One Comcast Center</w:t>
            </w:r>
          </w:p>
        </w:tc>
        <w:tc>
          <w:tcPr>
            <w:tcW w:w="3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31"/>
        </w:trPr>
        <w:tc>
          <w:tcPr>
            <w:tcW w:w="2360" w:type="dxa"/>
            <w:vAlign w:val="bottom"/>
          </w:tcPr>
          <w:p>
            <w:pPr>
              <w:jc w:val="center"/>
              <w:ind w:right="62"/>
              <w:spacing w:after="0"/>
              <w:rPr>
                <w:sz w:val="20"/>
                <w:szCs w:val="20"/>
                <w:color w:val="auto"/>
              </w:rPr>
            </w:pPr>
            <w:r>
              <w:rPr>
                <w:rFonts w:ascii="Arial" w:cs="Arial" w:eastAsia="Arial" w:hAnsi="Arial"/>
                <w:sz w:val="18"/>
                <w:szCs w:val="18"/>
                <w:b w:val="1"/>
                <w:bCs w:val="1"/>
                <w:color w:val="auto"/>
                <w:w w:val="87"/>
              </w:rPr>
              <w:t>Philadelphia, Pennsylvania</w:t>
            </w:r>
          </w:p>
        </w:tc>
        <w:tc>
          <w:tcPr>
            <w:tcW w:w="5020" w:type="dxa"/>
            <w:vAlign w:val="bottom"/>
            <w:gridSpan w:val="3"/>
          </w:tcPr>
          <w:p>
            <w:pPr>
              <w:jc w:val="center"/>
              <w:ind w:left="3918"/>
              <w:spacing w:after="0"/>
              <w:rPr>
                <w:sz w:val="20"/>
                <w:szCs w:val="20"/>
                <w:color w:val="auto"/>
              </w:rPr>
            </w:pPr>
            <w:r>
              <w:rPr>
                <w:rFonts w:ascii="Arial" w:cs="Arial" w:eastAsia="Arial" w:hAnsi="Arial"/>
                <w:sz w:val="18"/>
                <w:szCs w:val="18"/>
                <w:b w:val="1"/>
                <w:bCs w:val="1"/>
                <w:color w:val="auto"/>
                <w:w w:val="89"/>
              </w:rPr>
              <w:t>19103-2838</w:t>
            </w:r>
          </w:p>
        </w:tc>
      </w:tr>
      <w:tr>
        <w:trPr>
          <w:trHeight w:val="174"/>
        </w:trPr>
        <w:tc>
          <w:tcPr>
            <w:tcW w:w="2360" w:type="dxa"/>
            <w:vAlign w:val="bottom"/>
          </w:tcPr>
          <w:p>
            <w:pPr>
              <w:jc w:val="center"/>
              <w:ind w:right="6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3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260" w:type="dxa"/>
            <w:vAlign w:val="bottom"/>
          </w:tcPr>
          <w:p>
            <w:pPr>
              <w:jc w:val="center"/>
              <w:ind w:left="1172"/>
              <w:spacing w:after="0"/>
              <w:rPr>
                <w:sz w:val="20"/>
                <w:szCs w:val="20"/>
                <w:color w:val="auto"/>
              </w:rPr>
            </w:pPr>
            <w:r>
              <w:rPr>
                <w:rFonts w:ascii="Arial" w:cs="Arial" w:eastAsia="Arial" w:hAnsi="Arial"/>
                <w:sz w:val="14"/>
                <w:szCs w:val="14"/>
                <w:b w:val="1"/>
                <w:bCs w:val="1"/>
                <w:color w:val="auto"/>
                <w:w w:val="86"/>
              </w:rPr>
              <w:t>(Zip code)</w:t>
            </w:r>
          </w:p>
        </w:tc>
      </w:tr>
      <w:tr>
        <w:trPr>
          <w:trHeight w:val="271"/>
        </w:trPr>
        <w:tc>
          <w:tcPr>
            <w:tcW w:w="2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2260" w:type="dxa"/>
            <w:vAlign w:val="bottom"/>
          </w:tcPr>
          <w:p>
            <w:pPr>
              <w:spacing w:after="0"/>
              <w:rPr>
                <w:sz w:val="23"/>
                <w:szCs w:val="23"/>
                <w:color w:val="auto"/>
              </w:rPr>
            </w:pPr>
          </w:p>
        </w:tc>
      </w:tr>
      <w:tr>
        <w:trPr>
          <w:trHeight w:val="359"/>
        </w:trPr>
        <w:tc>
          <w:tcPr>
            <w:tcW w:w="2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40" w:type="dxa"/>
            <w:vAlign w:val="bottom"/>
            <w:gridSpan w:val="2"/>
          </w:tcPr>
          <w:p>
            <w:pPr>
              <w:jc w:val="center"/>
              <w:ind w:right="2192"/>
              <w:spacing w:after="0"/>
              <w:rPr>
                <w:sz w:val="20"/>
                <w:szCs w:val="20"/>
                <w:color w:val="auto"/>
              </w:rPr>
            </w:pPr>
            <w:r>
              <w:rPr>
                <w:rFonts w:ascii="Arial" w:cs="Arial" w:eastAsia="Arial" w:hAnsi="Arial"/>
                <w:sz w:val="18"/>
                <w:szCs w:val="18"/>
                <w:b w:val="1"/>
                <w:bCs w:val="1"/>
                <w:color w:val="auto"/>
                <w:w w:val="89"/>
              </w:rPr>
              <w:t>Comcast Cable Holdings, LLC</w:t>
            </w:r>
          </w:p>
        </w:tc>
      </w:tr>
      <w:tr>
        <w:trPr>
          <w:trHeight w:val="174"/>
        </w:trPr>
        <w:tc>
          <w:tcPr>
            <w:tcW w:w="2360" w:type="dxa"/>
            <w:vAlign w:val="bottom"/>
          </w:tcPr>
          <w:p>
            <w:pPr>
              <w:spacing w:after="0"/>
              <w:rPr>
                <w:sz w:val="15"/>
                <w:szCs w:val="15"/>
                <w:color w:val="auto"/>
              </w:rPr>
            </w:pPr>
          </w:p>
        </w:tc>
        <w:tc>
          <w:tcPr>
            <w:tcW w:w="5020" w:type="dxa"/>
            <w:vAlign w:val="bottom"/>
            <w:gridSpan w:val="3"/>
          </w:tcPr>
          <w:p>
            <w:pPr>
              <w:jc w:val="center"/>
              <w:ind w:right="1812"/>
              <w:spacing w:after="0"/>
              <w:rPr>
                <w:sz w:val="20"/>
                <w:szCs w:val="20"/>
                <w:color w:val="auto"/>
              </w:rPr>
            </w:pPr>
            <w:r>
              <w:rPr>
                <w:rFonts w:ascii="Arial" w:cs="Arial" w:eastAsia="Arial" w:hAnsi="Arial"/>
                <w:sz w:val="14"/>
                <w:szCs w:val="14"/>
                <w:b w:val="1"/>
                <w:bCs w:val="1"/>
                <w:color w:val="auto"/>
                <w:w w:val="86"/>
              </w:rPr>
              <w:t>(Exact name of obligor as specified in its charter)</w:t>
            </w:r>
          </w:p>
        </w:tc>
      </w:tr>
      <w:tr>
        <w:trPr>
          <w:trHeight w:val="284"/>
        </w:trPr>
        <w:tc>
          <w:tcPr>
            <w:tcW w:w="2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260" w:type="dxa"/>
            <w:vAlign w:val="bottom"/>
          </w:tcPr>
          <w:p>
            <w:pPr>
              <w:spacing w:after="0"/>
              <w:rPr>
                <w:sz w:val="24"/>
                <w:szCs w:val="24"/>
                <w:color w:val="auto"/>
              </w:rPr>
            </w:pPr>
          </w:p>
        </w:tc>
      </w:tr>
      <w:tr>
        <w:trPr>
          <w:trHeight w:val="426"/>
        </w:trPr>
        <w:tc>
          <w:tcPr>
            <w:tcW w:w="2360" w:type="dxa"/>
            <w:vAlign w:val="bottom"/>
          </w:tcPr>
          <w:p>
            <w:pPr>
              <w:jc w:val="center"/>
              <w:ind w:right="62"/>
              <w:spacing w:after="0"/>
              <w:rPr>
                <w:sz w:val="20"/>
                <w:szCs w:val="20"/>
                <w:color w:val="auto"/>
              </w:rPr>
            </w:pPr>
            <w:r>
              <w:rPr>
                <w:rFonts w:ascii="Arial" w:cs="Arial" w:eastAsia="Arial" w:hAnsi="Arial"/>
                <w:sz w:val="18"/>
                <w:szCs w:val="18"/>
                <w:b w:val="1"/>
                <w:bCs w:val="1"/>
                <w:color w:val="auto"/>
                <w:w w:val="88"/>
              </w:rPr>
              <w:t>Delaware</w:t>
            </w:r>
          </w:p>
        </w:tc>
        <w:tc>
          <w:tcPr>
            <w:tcW w:w="5020" w:type="dxa"/>
            <w:vAlign w:val="bottom"/>
            <w:gridSpan w:val="3"/>
          </w:tcPr>
          <w:p>
            <w:pPr>
              <w:jc w:val="center"/>
              <w:ind w:left="3918"/>
              <w:spacing w:after="0"/>
              <w:rPr>
                <w:sz w:val="20"/>
                <w:szCs w:val="20"/>
                <w:color w:val="auto"/>
              </w:rPr>
            </w:pPr>
            <w:r>
              <w:rPr>
                <w:rFonts w:ascii="Arial" w:cs="Arial" w:eastAsia="Arial" w:hAnsi="Arial"/>
                <w:sz w:val="18"/>
                <w:szCs w:val="18"/>
                <w:b w:val="1"/>
                <w:bCs w:val="1"/>
                <w:color w:val="auto"/>
                <w:w w:val="89"/>
              </w:rPr>
              <w:t>84-1260157</w:t>
            </w:r>
          </w:p>
        </w:tc>
      </w:tr>
      <w:tr>
        <w:trPr>
          <w:trHeight w:val="149"/>
        </w:trPr>
        <w:tc>
          <w:tcPr>
            <w:tcW w:w="23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60" w:type="dxa"/>
            <w:vAlign w:val="bottom"/>
          </w:tcPr>
          <w:p>
            <w:pPr>
              <w:jc w:val="center"/>
              <w:ind w:left="1172"/>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2360" w:type="dxa"/>
            <w:vAlign w:val="bottom"/>
          </w:tcPr>
          <w:p>
            <w:pPr>
              <w:jc w:val="center"/>
              <w:ind w:right="42"/>
              <w:spacing w:after="0"/>
              <w:rPr>
                <w:sz w:val="20"/>
                <w:szCs w:val="20"/>
                <w:color w:val="auto"/>
              </w:rPr>
            </w:pPr>
            <w:r>
              <w:rPr>
                <w:rFonts w:ascii="Arial" w:cs="Arial" w:eastAsia="Arial" w:hAnsi="Arial"/>
                <w:sz w:val="14"/>
                <w:szCs w:val="14"/>
                <w:b w:val="1"/>
                <w:bCs w:val="1"/>
                <w:color w:val="auto"/>
                <w:w w:val="88"/>
              </w:rPr>
              <w:t>incorporation or organization)</w:t>
            </w:r>
          </w:p>
        </w:tc>
        <w:tc>
          <w:tcPr>
            <w:tcW w:w="3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260" w:type="dxa"/>
            <w:vAlign w:val="bottom"/>
          </w:tcPr>
          <w:p>
            <w:pPr>
              <w:jc w:val="center"/>
              <w:ind w:left="1172"/>
              <w:spacing w:after="0"/>
              <w:rPr>
                <w:sz w:val="20"/>
                <w:szCs w:val="20"/>
                <w:color w:val="auto"/>
              </w:rPr>
            </w:pPr>
            <w:r>
              <w:rPr>
                <w:rFonts w:ascii="Arial" w:cs="Arial" w:eastAsia="Arial" w:hAnsi="Arial"/>
                <w:sz w:val="14"/>
                <w:szCs w:val="14"/>
                <w:b w:val="1"/>
                <w:bCs w:val="1"/>
                <w:color w:val="auto"/>
                <w:w w:val="87"/>
              </w:rPr>
              <w:t>identification no.)</w:t>
            </w:r>
          </w:p>
        </w:tc>
      </w:tr>
      <w:tr>
        <w:trPr>
          <w:trHeight w:val="418"/>
        </w:trPr>
        <w:tc>
          <w:tcPr>
            <w:tcW w:w="2360" w:type="dxa"/>
            <w:vAlign w:val="bottom"/>
          </w:tcPr>
          <w:p>
            <w:pPr>
              <w:jc w:val="center"/>
              <w:ind w:right="62"/>
              <w:spacing w:after="0"/>
              <w:rPr>
                <w:sz w:val="20"/>
                <w:szCs w:val="20"/>
                <w:color w:val="auto"/>
              </w:rPr>
            </w:pPr>
            <w:r>
              <w:rPr>
                <w:rFonts w:ascii="Arial" w:cs="Arial" w:eastAsia="Arial" w:hAnsi="Arial"/>
                <w:sz w:val="18"/>
                <w:szCs w:val="18"/>
                <w:b w:val="1"/>
                <w:bCs w:val="1"/>
                <w:color w:val="auto"/>
                <w:w w:val="88"/>
              </w:rPr>
              <w:t>One Comcast Center</w:t>
            </w:r>
          </w:p>
        </w:tc>
        <w:tc>
          <w:tcPr>
            <w:tcW w:w="3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31"/>
        </w:trPr>
        <w:tc>
          <w:tcPr>
            <w:tcW w:w="2360" w:type="dxa"/>
            <w:vAlign w:val="bottom"/>
          </w:tcPr>
          <w:p>
            <w:pPr>
              <w:jc w:val="center"/>
              <w:ind w:right="62"/>
              <w:spacing w:after="0"/>
              <w:rPr>
                <w:sz w:val="20"/>
                <w:szCs w:val="20"/>
                <w:color w:val="auto"/>
              </w:rPr>
            </w:pPr>
            <w:r>
              <w:rPr>
                <w:rFonts w:ascii="Arial" w:cs="Arial" w:eastAsia="Arial" w:hAnsi="Arial"/>
                <w:sz w:val="18"/>
                <w:szCs w:val="18"/>
                <w:b w:val="1"/>
                <w:bCs w:val="1"/>
                <w:color w:val="auto"/>
                <w:w w:val="87"/>
              </w:rPr>
              <w:t>Philadelphia, Pennsylvania</w:t>
            </w:r>
          </w:p>
        </w:tc>
        <w:tc>
          <w:tcPr>
            <w:tcW w:w="5020" w:type="dxa"/>
            <w:vAlign w:val="bottom"/>
            <w:gridSpan w:val="3"/>
          </w:tcPr>
          <w:p>
            <w:pPr>
              <w:jc w:val="center"/>
              <w:ind w:left="3918"/>
              <w:spacing w:after="0"/>
              <w:rPr>
                <w:sz w:val="20"/>
                <w:szCs w:val="20"/>
                <w:color w:val="auto"/>
              </w:rPr>
            </w:pPr>
            <w:r>
              <w:rPr>
                <w:rFonts w:ascii="Arial" w:cs="Arial" w:eastAsia="Arial" w:hAnsi="Arial"/>
                <w:sz w:val="18"/>
                <w:szCs w:val="18"/>
                <w:b w:val="1"/>
                <w:bCs w:val="1"/>
                <w:color w:val="auto"/>
                <w:w w:val="89"/>
              </w:rPr>
              <w:t>19103-2838</w:t>
            </w:r>
          </w:p>
        </w:tc>
      </w:tr>
      <w:tr>
        <w:trPr>
          <w:trHeight w:val="174"/>
        </w:trPr>
        <w:tc>
          <w:tcPr>
            <w:tcW w:w="2360" w:type="dxa"/>
            <w:vAlign w:val="bottom"/>
          </w:tcPr>
          <w:p>
            <w:pPr>
              <w:jc w:val="center"/>
              <w:ind w:right="6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3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260" w:type="dxa"/>
            <w:vAlign w:val="bottom"/>
          </w:tcPr>
          <w:p>
            <w:pPr>
              <w:jc w:val="center"/>
              <w:ind w:left="1172"/>
              <w:spacing w:after="0"/>
              <w:rPr>
                <w:sz w:val="20"/>
                <w:szCs w:val="20"/>
                <w:color w:val="auto"/>
              </w:rPr>
            </w:pPr>
            <w:r>
              <w:rPr>
                <w:rFonts w:ascii="Arial" w:cs="Arial" w:eastAsia="Arial" w:hAnsi="Arial"/>
                <w:sz w:val="14"/>
                <w:szCs w:val="14"/>
                <w:b w:val="1"/>
                <w:bCs w:val="1"/>
                <w:color w:val="auto"/>
                <w:w w:val="86"/>
              </w:rPr>
              <w:t>(Zip code)</w:t>
            </w:r>
          </w:p>
        </w:tc>
      </w:tr>
      <w:tr>
        <w:trPr>
          <w:trHeight w:val="350"/>
        </w:trPr>
        <w:tc>
          <w:tcPr>
            <w:tcW w:w="2360" w:type="dxa"/>
            <w:vAlign w:val="bottom"/>
          </w:tcPr>
          <w:p>
            <w:pPr>
              <w:spacing w:after="0"/>
              <w:rPr>
                <w:sz w:val="24"/>
                <w:szCs w:val="24"/>
                <w:color w:val="auto"/>
              </w:rPr>
            </w:pPr>
          </w:p>
        </w:tc>
        <w:tc>
          <w:tcPr>
            <w:tcW w:w="2760" w:type="dxa"/>
            <w:vAlign w:val="bottom"/>
            <w:gridSpan w:val="2"/>
          </w:tcPr>
          <w:p>
            <w:pPr>
              <w:jc w:val="center"/>
              <w:ind w:left="298"/>
              <w:spacing w:after="0"/>
              <w:rPr>
                <w:sz w:val="20"/>
                <w:szCs w:val="20"/>
                <w:color w:val="auto"/>
              </w:rPr>
            </w:pPr>
            <w:r>
              <w:rPr>
                <w:rFonts w:ascii="Arial" w:cs="Arial" w:eastAsia="Arial" w:hAnsi="Arial"/>
                <w:sz w:val="18"/>
                <w:szCs w:val="18"/>
                <w:color w:val="auto"/>
                <w:w w:val="93"/>
              </w:rPr>
              <w:t>- 2 -</w:t>
            </w:r>
          </w:p>
        </w:tc>
        <w:tc>
          <w:tcPr>
            <w:tcW w:w="2260" w:type="dxa"/>
            <w:vAlign w:val="bottom"/>
          </w:tcPr>
          <w:p>
            <w:pPr>
              <w:spacing w:after="0"/>
              <w:rPr>
                <w:sz w:val="24"/>
                <w:szCs w:val="24"/>
                <w:color w:val="auto"/>
              </w:rPr>
            </w:pPr>
          </w:p>
        </w:tc>
      </w:tr>
    </w:tbl>
    <w:p>
      <w:pPr>
        <w:sectPr>
          <w:pgSz w:w="11900" w:h="16838" w:orient="portrait"/>
          <w:cols w:equalWidth="0" w:num="1">
            <w:col w:w="9019"/>
          </w:cols>
          <w:pgMar w:left="1440" w:top="274" w:right="1440" w:bottom="1440" w:gutter="0" w:footer="0" w:header="0"/>
        </w:sectPr>
      </w:pPr>
    </w:p>
    <w:bookmarkStart w:id="159" w:name="page160"/>
    <w:bookmarkEnd w:id="15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580" w:type="dxa"/>
        <w:tblCellMar>
          <w:top w:w="0" w:type="dxa"/>
          <w:left w:w="0" w:type="dxa"/>
          <w:bottom w:w="0" w:type="dxa"/>
          <w:right w:w="0" w:type="dxa"/>
        </w:tblCellMar>
      </w:tblPr>
      <w:tr>
        <w:trPr>
          <w:trHeight w:val="218"/>
        </w:trPr>
        <w:tc>
          <w:tcPr>
            <w:tcW w:w="2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40" w:type="dxa"/>
            <w:vAlign w:val="bottom"/>
            <w:gridSpan w:val="2"/>
          </w:tcPr>
          <w:p>
            <w:pPr>
              <w:jc w:val="center"/>
              <w:ind w:right="2172"/>
              <w:spacing w:after="0"/>
              <w:rPr>
                <w:sz w:val="20"/>
                <w:szCs w:val="20"/>
                <w:color w:val="auto"/>
              </w:rPr>
            </w:pPr>
            <w:r>
              <w:rPr>
                <w:rFonts w:ascii="Arial" w:cs="Arial" w:eastAsia="Arial" w:hAnsi="Arial"/>
                <w:sz w:val="18"/>
                <w:szCs w:val="18"/>
                <w:b w:val="1"/>
                <w:bCs w:val="1"/>
                <w:color w:val="auto"/>
                <w:w w:val="91"/>
              </w:rPr>
              <w:t>Comcast MO Group, Inc.</w:t>
            </w:r>
          </w:p>
        </w:tc>
      </w:tr>
      <w:tr>
        <w:trPr>
          <w:trHeight w:val="174"/>
        </w:trPr>
        <w:tc>
          <w:tcPr>
            <w:tcW w:w="2380" w:type="dxa"/>
            <w:vAlign w:val="bottom"/>
          </w:tcPr>
          <w:p>
            <w:pPr>
              <w:spacing w:after="0"/>
              <w:rPr>
                <w:sz w:val="15"/>
                <w:szCs w:val="15"/>
                <w:color w:val="auto"/>
              </w:rPr>
            </w:pPr>
          </w:p>
        </w:tc>
        <w:tc>
          <w:tcPr>
            <w:tcW w:w="5000" w:type="dxa"/>
            <w:vAlign w:val="bottom"/>
            <w:gridSpan w:val="3"/>
          </w:tcPr>
          <w:p>
            <w:pPr>
              <w:jc w:val="center"/>
              <w:ind w:right="1832"/>
              <w:spacing w:after="0"/>
              <w:rPr>
                <w:sz w:val="20"/>
                <w:szCs w:val="20"/>
                <w:color w:val="auto"/>
              </w:rPr>
            </w:pPr>
            <w:r>
              <w:rPr>
                <w:rFonts w:ascii="Arial" w:cs="Arial" w:eastAsia="Arial" w:hAnsi="Arial"/>
                <w:sz w:val="14"/>
                <w:szCs w:val="14"/>
                <w:b w:val="1"/>
                <w:bCs w:val="1"/>
                <w:color w:val="auto"/>
                <w:w w:val="86"/>
              </w:rPr>
              <w:t>(Exact name of obligor as specified in its charter)</w:t>
            </w:r>
          </w:p>
        </w:tc>
      </w:tr>
      <w:tr>
        <w:trPr>
          <w:trHeight w:val="271"/>
        </w:trPr>
        <w:tc>
          <w:tcPr>
            <w:tcW w:w="2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2260" w:type="dxa"/>
            <w:vAlign w:val="bottom"/>
          </w:tcPr>
          <w:p>
            <w:pPr>
              <w:spacing w:after="0"/>
              <w:rPr>
                <w:sz w:val="23"/>
                <w:szCs w:val="23"/>
                <w:color w:val="auto"/>
              </w:rPr>
            </w:pPr>
          </w:p>
        </w:tc>
      </w:tr>
      <w:tr>
        <w:trPr>
          <w:trHeight w:val="426"/>
        </w:trPr>
        <w:tc>
          <w:tcPr>
            <w:tcW w:w="2380" w:type="dxa"/>
            <w:vAlign w:val="bottom"/>
          </w:tcPr>
          <w:p>
            <w:pPr>
              <w:jc w:val="center"/>
              <w:ind w:right="82"/>
              <w:spacing w:after="0"/>
              <w:rPr>
                <w:sz w:val="20"/>
                <w:szCs w:val="20"/>
                <w:color w:val="auto"/>
              </w:rPr>
            </w:pPr>
            <w:r>
              <w:rPr>
                <w:rFonts w:ascii="Arial" w:cs="Arial" w:eastAsia="Arial" w:hAnsi="Arial"/>
                <w:sz w:val="18"/>
                <w:szCs w:val="18"/>
                <w:b w:val="1"/>
                <w:bCs w:val="1"/>
                <w:color w:val="auto"/>
                <w:w w:val="88"/>
              </w:rPr>
              <w:t>Delaware</w:t>
            </w:r>
          </w:p>
        </w:tc>
        <w:tc>
          <w:tcPr>
            <w:tcW w:w="5000" w:type="dxa"/>
            <w:vAlign w:val="bottom"/>
            <w:gridSpan w:val="3"/>
          </w:tcPr>
          <w:p>
            <w:pPr>
              <w:jc w:val="center"/>
              <w:ind w:left="3898"/>
              <w:spacing w:after="0"/>
              <w:rPr>
                <w:sz w:val="20"/>
                <w:szCs w:val="20"/>
                <w:color w:val="auto"/>
              </w:rPr>
            </w:pPr>
            <w:r>
              <w:rPr>
                <w:rFonts w:ascii="Arial" w:cs="Arial" w:eastAsia="Arial" w:hAnsi="Arial"/>
                <w:sz w:val="18"/>
                <w:szCs w:val="18"/>
                <w:b w:val="1"/>
                <w:bCs w:val="1"/>
                <w:color w:val="auto"/>
                <w:w w:val="89"/>
              </w:rPr>
              <w:t>91-2047743</w:t>
            </w:r>
          </w:p>
        </w:tc>
      </w:tr>
      <w:tr>
        <w:trPr>
          <w:trHeight w:val="149"/>
        </w:trPr>
        <w:tc>
          <w:tcPr>
            <w:tcW w:w="238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60" w:type="dxa"/>
            <w:vAlign w:val="bottom"/>
          </w:tcPr>
          <w:p>
            <w:pPr>
              <w:jc w:val="center"/>
              <w:ind w:left="1172"/>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2380" w:type="dxa"/>
            <w:vAlign w:val="bottom"/>
          </w:tcPr>
          <w:p>
            <w:pPr>
              <w:jc w:val="center"/>
              <w:ind w:right="62"/>
              <w:spacing w:after="0"/>
              <w:rPr>
                <w:sz w:val="20"/>
                <w:szCs w:val="20"/>
                <w:color w:val="auto"/>
              </w:rPr>
            </w:pPr>
            <w:r>
              <w:rPr>
                <w:rFonts w:ascii="Arial" w:cs="Arial" w:eastAsia="Arial" w:hAnsi="Arial"/>
                <w:sz w:val="14"/>
                <w:szCs w:val="14"/>
                <w:b w:val="1"/>
                <w:bCs w:val="1"/>
                <w:color w:val="auto"/>
                <w:w w:val="88"/>
              </w:rPr>
              <w:t>incorporation or organization)</w:t>
            </w:r>
          </w:p>
        </w:tc>
        <w:tc>
          <w:tcPr>
            <w:tcW w:w="3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260" w:type="dxa"/>
            <w:vAlign w:val="bottom"/>
          </w:tcPr>
          <w:p>
            <w:pPr>
              <w:jc w:val="center"/>
              <w:ind w:left="1172"/>
              <w:spacing w:after="0"/>
              <w:rPr>
                <w:sz w:val="20"/>
                <w:szCs w:val="20"/>
                <w:color w:val="auto"/>
              </w:rPr>
            </w:pPr>
            <w:r>
              <w:rPr>
                <w:rFonts w:ascii="Arial" w:cs="Arial" w:eastAsia="Arial" w:hAnsi="Arial"/>
                <w:sz w:val="14"/>
                <w:szCs w:val="14"/>
                <w:b w:val="1"/>
                <w:bCs w:val="1"/>
                <w:color w:val="auto"/>
                <w:w w:val="87"/>
              </w:rPr>
              <w:t>identification no.)</w:t>
            </w:r>
          </w:p>
        </w:tc>
      </w:tr>
      <w:tr>
        <w:trPr>
          <w:trHeight w:val="418"/>
        </w:trPr>
        <w:tc>
          <w:tcPr>
            <w:tcW w:w="2380" w:type="dxa"/>
            <w:vAlign w:val="bottom"/>
          </w:tcPr>
          <w:p>
            <w:pPr>
              <w:jc w:val="center"/>
              <w:ind w:right="82"/>
              <w:spacing w:after="0"/>
              <w:rPr>
                <w:sz w:val="20"/>
                <w:szCs w:val="20"/>
                <w:color w:val="auto"/>
              </w:rPr>
            </w:pPr>
            <w:r>
              <w:rPr>
                <w:rFonts w:ascii="Arial" w:cs="Arial" w:eastAsia="Arial" w:hAnsi="Arial"/>
                <w:sz w:val="18"/>
                <w:szCs w:val="18"/>
                <w:b w:val="1"/>
                <w:bCs w:val="1"/>
                <w:color w:val="auto"/>
                <w:w w:val="88"/>
              </w:rPr>
              <w:t>One Comcast Center</w:t>
            </w:r>
          </w:p>
        </w:tc>
        <w:tc>
          <w:tcPr>
            <w:tcW w:w="3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31"/>
        </w:trPr>
        <w:tc>
          <w:tcPr>
            <w:tcW w:w="2380" w:type="dxa"/>
            <w:vAlign w:val="bottom"/>
          </w:tcPr>
          <w:p>
            <w:pPr>
              <w:jc w:val="center"/>
              <w:ind w:right="82"/>
              <w:spacing w:after="0"/>
              <w:rPr>
                <w:sz w:val="20"/>
                <w:szCs w:val="20"/>
                <w:color w:val="auto"/>
              </w:rPr>
            </w:pPr>
            <w:r>
              <w:rPr>
                <w:rFonts w:ascii="Arial" w:cs="Arial" w:eastAsia="Arial" w:hAnsi="Arial"/>
                <w:sz w:val="18"/>
                <w:szCs w:val="18"/>
                <w:b w:val="1"/>
                <w:bCs w:val="1"/>
                <w:color w:val="auto"/>
                <w:w w:val="87"/>
              </w:rPr>
              <w:t>Philadelphia, Pennsylvania</w:t>
            </w:r>
          </w:p>
        </w:tc>
        <w:tc>
          <w:tcPr>
            <w:tcW w:w="5000" w:type="dxa"/>
            <w:vAlign w:val="bottom"/>
            <w:gridSpan w:val="3"/>
          </w:tcPr>
          <w:p>
            <w:pPr>
              <w:jc w:val="center"/>
              <w:ind w:left="3898"/>
              <w:spacing w:after="0"/>
              <w:rPr>
                <w:sz w:val="20"/>
                <w:szCs w:val="20"/>
                <w:color w:val="auto"/>
              </w:rPr>
            </w:pPr>
            <w:r>
              <w:rPr>
                <w:rFonts w:ascii="Arial" w:cs="Arial" w:eastAsia="Arial" w:hAnsi="Arial"/>
                <w:sz w:val="18"/>
                <w:szCs w:val="18"/>
                <w:b w:val="1"/>
                <w:bCs w:val="1"/>
                <w:color w:val="auto"/>
                <w:w w:val="89"/>
              </w:rPr>
              <w:t>19103-2838</w:t>
            </w:r>
          </w:p>
        </w:tc>
      </w:tr>
      <w:tr>
        <w:trPr>
          <w:trHeight w:val="174"/>
        </w:trPr>
        <w:tc>
          <w:tcPr>
            <w:tcW w:w="2380" w:type="dxa"/>
            <w:vAlign w:val="bottom"/>
          </w:tcPr>
          <w:p>
            <w:pPr>
              <w:jc w:val="center"/>
              <w:ind w:right="8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3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260" w:type="dxa"/>
            <w:vAlign w:val="bottom"/>
          </w:tcPr>
          <w:p>
            <w:pPr>
              <w:jc w:val="center"/>
              <w:ind w:left="1172"/>
              <w:spacing w:after="0"/>
              <w:rPr>
                <w:sz w:val="20"/>
                <w:szCs w:val="20"/>
                <w:color w:val="auto"/>
              </w:rPr>
            </w:pPr>
            <w:r>
              <w:rPr>
                <w:rFonts w:ascii="Arial" w:cs="Arial" w:eastAsia="Arial" w:hAnsi="Arial"/>
                <w:sz w:val="14"/>
                <w:szCs w:val="14"/>
                <w:b w:val="1"/>
                <w:bCs w:val="1"/>
                <w:color w:val="auto"/>
                <w:w w:val="86"/>
              </w:rPr>
              <w:t>(Zip code)</w:t>
            </w:r>
          </w:p>
        </w:tc>
      </w:tr>
      <w:tr>
        <w:trPr>
          <w:trHeight w:val="284"/>
        </w:trPr>
        <w:tc>
          <w:tcPr>
            <w:tcW w:w="2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260" w:type="dxa"/>
            <w:vAlign w:val="bottom"/>
          </w:tcPr>
          <w:p>
            <w:pPr>
              <w:spacing w:after="0"/>
              <w:rPr>
                <w:sz w:val="24"/>
                <w:szCs w:val="24"/>
                <w:color w:val="auto"/>
              </w:rPr>
            </w:pPr>
          </w:p>
        </w:tc>
      </w:tr>
      <w:tr>
        <w:trPr>
          <w:trHeight w:val="359"/>
        </w:trPr>
        <w:tc>
          <w:tcPr>
            <w:tcW w:w="2380" w:type="dxa"/>
            <w:vAlign w:val="bottom"/>
          </w:tcPr>
          <w:p>
            <w:pPr>
              <w:spacing w:after="0"/>
              <w:rPr>
                <w:sz w:val="24"/>
                <w:szCs w:val="24"/>
                <w:color w:val="auto"/>
              </w:rPr>
            </w:pPr>
          </w:p>
        </w:tc>
        <w:tc>
          <w:tcPr>
            <w:tcW w:w="5000" w:type="dxa"/>
            <w:vAlign w:val="bottom"/>
            <w:gridSpan w:val="3"/>
          </w:tcPr>
          <w:p>
            <w:pPr>
              <w:jc w:val="center"/>
              <w:ind w:right="1832"/>
              <w:spacing w:after="0"/>
              <w:rPr>
                <w:sz w:val="20"/>
                <w:szCs w:val="20"/>
                <w:color w:val="auto"/>
              </w:rPr>
            </w:pPr>
            <w:r>
              <w:rPr>
                <w:rFonts w:ascii="Arial" w:cs="Arial" w:eastAsia="Arial" w:hAnsi="Arial"/>
                <w:sz w:val="18"/>
                <w:szCs w:val="18"/>
                <w:b w:val="1"/>
                <w:bCs w:val="1"/>
                <w:color w:val="auto"/>
                <w:w w:val="91"/>
              </w:rPr>
              <w:t>Comcast MO of Delaware, LLC</w:t>
            </w:r>
          </w:p>
        </w:tc>
      </w:tr>
      <w:tr>
        <w:trPr>
          <w:trHeight w:val="174"/>
        </w:trPr>
        <w:tc>
          <w:tcPr>
            <w:tcW w:w="2380" w:type="dxa"/>
            <w:vAlign w:val="bottom"/>
          </w:tcPr>
          <w:p>
            <w:pPr>
              <w:spacing w:after="0"/>
              <w:rPr>
                <w:sz w:val="15"/>
                <w:szCs w:val="15"/>
                <w:color w:val="auto"/>
              </w:rPr>
            </w:pPr>
          </w:p>
        </w:tc>
        <w:tc>
          <w:tcPr>
            <w:tcW w:w="5000" w:type="dxa"/>
            <w:vAlign w:val="bottom"/>
            <w:gridSpan w:val="3"/>
          </w:tcPr>
          <w:p>
            <w:pPr>
              <w:jc w:val="center"/>
              <w:ind w:right="1832"/>
              <w:spacing w:after="0"/>
              <w:rPr>
                <w:sz w:val="20"/>
                <w:szCs w:val="20"/>
                <w:color w:val="auto"/>
              </w:rPr>
            </w:pPr>
            <w:r>
              <w:rPr>
                <w:rFonts w:ascii="Arial" w:cs="Arial" w:eastAsia="Arial" w:hAnsi="Arial"/>
                <w:sz w:val="14"/>
                <w:szCs w:val="14"/>
                <w:b w:val="1"/>
                <w:bCs w:val="1"/>
                <w:color w:val="auto"/>
                <w:w w:val="86"/>
              </w:rPr>
              <w:t>(Exact name of obligor as specified in its charter)</w:t>
            </w:r>
          </w:p>
        </w:tc>
      </w:tr>
      <w:tr>
        <w:trPr>
          <w:trHeight w:val="271"/>
        </w:trPr>
        <w:tc>
          <w:tcPr>
            <w:tcW w:w="2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2260" w:type="dxa"/>
            <w:vAlign w:val="bottom"/>
          </w:tcPr>
          <w:p>
            <w:pPr>
              <w:spacing w:after="0"/>
              <w:rPr>
                <w:sz w:val="23"/>
                <w:szCs w:val="23"/>
                <w:color w:val="auto"/>
              </w:rPr>
            </w:pPr>
          </w:p>
        </w:tc>
      </w:tr>
      <w:tr>
        <w:trPr>
          <w:trHeight w:val="426"/>
        </w:trPr>
        <w:tc>
          <w:tcPr>
            <w:tcW w:w="2380" w:type="dxa"/>
            <w:vAlign w:val="bottom"/>
          </w:tcPr>
          <w:p>
            <w:pPr>
              <w:jc w:val="center"/>
              <w:ind w:right="82"/>
              <w:spacing w:after="0"/>
              <w:rPr>
                <w:sz w:val="20"/>
                <w:szCs w:val="20"/>
                <w:color w:val="auto"/>
              </w:rPr>
            </w:pPr>
            <w:r>
              <w:rPr>
                <w:rFonts w:ascii="Arial" w:cs="Arial" w:eastAsia="Arial" w:hAnsi="Arial"/>
                <w:sz w:val="18"/>
                <w:szCs w:val="18"/>
                <w:b w:val="1"/>
                <w:bCs w:val="1"/>
                <w:color w:val="auto"/>
                <w:w w:val="88"/>
              </w:rPr>
              <w:t>Delaware</w:t>
            </w:r>
          </w:p>
        </w:tc>
        <w:tc>
          <w:tcPr>
            <w:tcW w:w="5000" w:type="dxa"/>
            <w:vAlign w:val="bottom"/>
            <w:gridSpan w:val="3"/>
          </w:tcPr>
          <w:p>
            <w:pPr>
              <w:jc w:val="center"/>
              <w:ind w:left="3898"/>
              <w:spacing w:after="0"/>
              <w:rPr>
                <w:sz w:val="20"/>
                <w:szCs w:val="20"/>
                <w:color w:val="auto"/>
              </w:rPr>
            </w:pPr>
            <w:r>
              <w:rPr>
                <w:rFonts w:ascii="Arial" w:cs="Arial" w:eastAsia="Arial" w:hAnsi="Arial"/>
                <w:sz w:val="18"/>
                <w:szCs w:val="18"/>
                <w:b w:val="1"/>
                <w:bCs w:val="1"/>
                <w:color w:val="auto"/>
                <w:w w:val="89"/>
              </w:rPr>
              <w:t>84-1372033</w:t>
            </w:r>
          </w:p>
        </w:tc>
      </w:tr>
      <w:tr>
        <w:trPr>
          <w:trHeight w:val="149"/>
        </w:trPr>
        <w:tc>
          <w:tcPr>
            <w:tcW w:w="238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60" w:type="dxa"/>
            <w:vAlign w:val="bottom"/>
          </w:tcPr>
          <w:p>
            <w:pPr>
              <w:jc w:val="center"/>
              <w:ind w:left="1172"/>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2380" w:type="dxa"/>
            <w:vAlign w:val="bottom"/>
          </w:tcPr>
          <w:p>
            <w:pPr>
              <w:jc w:val="center"/>
              <w:ind w:right="62"/>
              <w:spacing w:after="0"/>
              <w:rPr>
                <w:sz w:val="20"/>
                <w:szCs w:val="20"/>
                <w:color w:val="auto"/>
              </w:rPr>
            </w:pPr>
            <w:r>
              <w:rPr>
                <w:rFonts w:ascii="Arial" w:cs="Arial" w:eastAsia="Arial" w:hAnsi="Arial"/>
                <w:sz w:val="14"/>
                <w:szCs w:val="14"/>
                <w:b w:val="1"/>
                <w:bCs w:val="1"/>
                <w:color w:val="auto"/>
                <w:w w:val="88"/>
              </w:rPr>
              <w:t>incorporation or organization)</w:t>
            </w:r>
          </w:p>
        </w:tc>
        <w:tc>
          <w:tcPr>
            <w:tcW w:w="3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260" w:type="dxa"/>
            <w:vAlign w:val="bottom"/>
          </w:tcPr>
          <w:p>
            <w:pPr>
              <w:jc w:val="center"/>
              <w:ind w:left="1172"/>
              <w:spacing w:after="0"/>
              <w:rPr>
                <w:sz w:val="20"/>
                <w:szCs w:val="20"/>
                <w:color w:val="auto"/>
              </w:rPr>
            </w:pPr>
            <w:r>
              <w:rPr>
                <w:rFonts w:ascii="Arial" w:cs="Arial" w:eastAsia="Arial" w:hAnsi="Arial"/>
                <w:sz w:val="14"/>
                <w:szCs w:val="14"/>
                <w:b w:val="1"/>
                <w:bCs w:val="1"/>
                <w:color w:val="auto"/>
                <w:w w:val="87"/>
              </w:rPr>
              <w:t>identification no.)</w:t>
            </w:r>
          </w:p>
        </w:tc>
      </w:tr>
      <w:tr>
        <w:trPr>
          <w:trHeight w:val="418"/>
        </w:trPr>
        <w:tc>
          <w:tcPr>
            <w:tcW w:w="2380" w:type="dxa"/>
            <w:vAlign w:val="bottom"/>
          </w:tcPr>
          <w:p>
            <w:pPr>
              <w:jc w:val="center"/>
              <w:ind w:right="82"/>
              <w:spacing w:after="0"/>
              <w:rPr>
                <w:sz w:val="20"/>
                <w:szCs w:val="20"/>
                <w:color w:val="auto"/>
              </w:rPr>
            </w:pPr>
            <w:r>
              <w:rPr>
                <w:rFonts w:ascii="Arial" w:cs="Arial" w:eastAsia="Arial" w:hAnsi="Arial"/>
                <w:sz w:val="18"/>
                <w:szCs w:val="18"/>
                <w:b w:val="1"/>
                <w:bCs w:val="1"/>
                <w:color w:val="auto"/>
                <w:w w:val="88"/>
              </w:rPr>
              <w:t>One Comcast Center</w:t>
            </w:r>
          </w:p>
        </w:tc>
        <w:tc>
          <w:tcPr>
            <w:tcW w:w="3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31"/>
        </w:trPr>
        <w:tc>
          <w:tcPr>
            <w:tcW w:w="2380" w:type="dxa"/>
            <w:vAlign w:val="bottom"/>
          </w:tcPr>
          <w:p>
            <w:pPr>
              <w:jc w:val="center"/>
              <w:ind w:right="82"/>
              <w:spacing w:after="0"/>
              <w:rPr>
                <w:sz w:val="20"/>
                <w:szCs w:val="20"/>
                <w:color w:val="auto"/>
              </w:rPr>
            </w:pPr>
            <w:r>
              <w:rPr>
                <w:rFonts w:ascii="Arial" w:cs="Arial" w:eastAsia="Arial" w:hAnsi="Arial"/>
                <w:sz w:val="18"/>
                <w:szCs w:val="18"/>
                <w:b w:val="1"/>
                <w:bCs w:val="1"/>
                <w:color w:val="auto"/>
                <w:w w:val="87"/>
              </w:rPr>
              <w:t>Philadelphia, Pennsylvania</w:t>
            </w:r>
          </w:p>
        </w:tc>
        <w:tc>
          <w:tcPr>
            <w:tcW w:w="5000" w:type="dxa"/>
            <w:vAlign w:val="bottom"/>
            <w:gridSpan w:val="3"/>
          </w:tcPr>
          <w:p>
            <w:pPr>
              <w:jc w:val="center"/>
              <w:ind w:left="3898"/>
              <w:spacing w:after="0"/>
              <w:rPr>
                <w:sz w:val="20"/>
                <w:szCs w:val="20"/>
                <w:color w:val="auto"/>
              </w:rPr>
            </w:pPr>
            <w:r>
              <w:rPr>
                <w:rFonts w:ascii="Arial" w:cs="Arial" w:eastAsia="Arial" w:hAnsi="Arial"/>
                <w:sz w:val="18"/>
                <w:szCs w:val="18"/>
                <w:b w:val="1"/>
                <w:bCs w:val="1"/>
                <w:color w:val="auto"/>
                <w:w w:val="89"/>
              </w:rPr>
              <w:t>19103-2838</w:t>
            </w:r>
          </w:p>
        </w:tc>
      </w:tr>
      <w:tr>
        <w:trPr>
          <w:trHeight w:val="174"/>
        </w:trPr>
        <w:tc>
          <w:tcPr>
            <w:tcW w:w="2380" w:type="dxa"/>
            <w:vAlign w:val="bottom"/>
          </w:tcPr>
          <w:p>
            <w:pPr>
              <w:jc w:val="center"/>
              <w:ind w:right="8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3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260" w:type="dxa"/>
            <w:vAlign w:val="bottom"/>
          </w:tcPr>
          <w:p>
            <w:pPr>
              <w:jc w:val="center"/>
              <w:ind w:left="1172"/>
              <w:spacing w:after="0"/>
              <w:rPr>
                <w:sz w:val="20"/>
                <w:szCs w:val="20"/>
                <w:color w:val="auto"/>
              </w:rPr>
            </w:pPr>
            <w:r>
              <w:rPr>
                <w:rFonts w:ascii="Arial" w:cs="Arial" w:eastAsia="Arial" w:hAnsi="Arial"/>
                <w:sz w:val="14"/>
                <w:szCs w:val="14"/>
                <w:b w:val="1"/>
                <w:bCs w:val="1"/>
                <w:color w:val="auto"/>
                <w:w w:val="86"/>
              </w:rPr>
              <w:t>(Zip code)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172085</wp:posOffset>
            </wp:positionV>
            <wp:extent cx="151765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Debt Securities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Guarantees of Senior 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70485</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104775</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9019"/>
          </w:cols>
          <w:pgMar w:left="1440" w:top="274" w:right="1440" w:bottom="1440" w:gutter="0" w:footer="0" w:header="0"/>
        </w:sectPr>
      </w:pPr>
    </w:p>
    <w:bookmarkStart w:id="160" w:name="page161"/>
    <w:bookmarkEnd w:id="160"/>
    <w:p>
      <w:pPr>
        <w:ind w:left="452" w:hanging="452"/>
        <w:spacing w:after="0"/>
        <w:tabs>
          <w:tab w:leader="none" w:pos="452"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information. Furnish the following information as to the Trustee:</w:t>
      </w:r>
    </w:p>
    <w:p>
      <w:pPr>
        <w:spacing w:after="0" w:line="90" w:lineRule="exact"/>
        <w:rPr>
          <w:rFonts w:ascii="Arial" w:cs="Arial" w:eastAsia="Arial" w:hAnsi="Arial"/>
          <w:sz w:val="18"/>
          <w:szCs w:val="18"/>
          <w:b w:val="1"/>
          <w:bCs w:val="1"/>
          <w:color w:val="auto"/>
        </w:rPr>
      </w:pPr>
    </w:p>
    <w:p>
      <w:pPr>
        <w:ind w:left="892" w:hanging="446"/>
        <w:spacing w:after="0"/>
        <w:tabs>
          <w:tab w:leader="none" w:pos="892" w:val="left"/>
        </w:tabs>
        <w:numPr>
          <w:ilvl w:val="1"/>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Name and address of each examining or supervising authority to which it is subject.</w:t>
      </w:r>
    </w:p>
    <w:p>
      <w:pPr>
        <w:spacing w:after="0" w:line="215" w:lineRule="exact"/>
        <w:rPr>
          <w:sz w:val="20"/>
          <w:szCs w:val="20"/>
          <w:color w:val="auto"/>
        </w:rPr>
      </w:pPr>
    </w:p>
    <w:tbl>
      <w:tblPr>
        <w:tblLayout w:type="fixed"/>
        <w:tblInd w:w="452"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560" w:type="dxa"/>
            <w:vAlign w:val="bottom"/>
            <w:gridSpan w:val="2"/>
          </w:tcPr>
          <w:p>
            <w:pPr>
              <w:ind w:left="2500"/>
              <w:spacing w:after="0"/>
              <w:rPr>
                <w:sz w:val="20"/>
                <w:szCs w:val="20"/>
                <w:color w:val="auto"/>
              </w:rPr>
            </w:pPr>
            <w:r>
              <w:rPr>
                <w:rFonts w:ascii="Arial" w:cs="Arial" w:eastAsia="Arial" w:hAnsi="Arial"/>
                <w:sz w:val="14"/>
                <w:szCs w:val="14"/>
                <w:color w:val="auto"/>
              </w:rPr>
              <w:t>Name</w:t>
            </w:r>
          </w:p>
        </w:tc>
        <w:tc>
          <w:tcPr>
            <w:tcW w:w="4920" w:type="dxa"/>
            <w:vAlign w:val="bottom"/>
          </w:tcPr>
          <w:p>
            <w:pPr>
              <w:ind w:left="2240"/>
              <w:spacing w:after="0"/>
              <w:rPr>
                <w:sz w:val="20"/>
                <w:szCs w:val="20"/>
                <w:color w:val="auto"/>
              </w:rPr>
            </w:pPr>
            <w:r>
              <w:rPr>
                <w:rFonts w:ascii="Arial" w:cs="Arial" w:eastAsia="Arial" w:hAnsi="Arial"/>
                <w:sz w:val="14"/>
                <w:szCs w:val="14"/>
                <w:color w:val="auto"/>
              </w:rPr>
              <w:t>Address</w:t>
            </w:r>
          </w:p>
        </w:tc>
      </w:tr>
      <w:tr>
        <w:trPr>
          <w:trHeight w:val="201"/>
        </w:trPr>
        <w:tc>
          <w:tcPr>
            <w:tcW w:w="20" w:type="dxa"/>
            <w:vAlign w:val="bottom"/>
          </w:tcPr>
          <w:p>
            <w:pPr>
              <w:spacing w:after="0"/>
              <w:rPr>
                <w:sz w:val="17"/>
                <w:szCs w:val="17"/>
                <w:color w:val="auto"/>
              </w:rPr>
            </w:pPr>
          </w:p>
        </w:tc>
        <w:tc>
          <w:tcPr>
            <w:tcW w:w="53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Superintendent of Banks of the State of New York</w:t>
            </w:r>
          </w:p>
        </w:tc>
        <w:tc>
          <w:tcPr>
            <w:tcW w:w="220" w:type="dxa"/>
            <w:vAlign w:val="bottom"/>
          </w:tcPr>
          <w:p>
            <w:pPr>
              <w:spacing w:after="0"/>
              <w:rPr>
                <w:sz w:val="17"/>
                <w:szCs w:val="17"/>
                <w:color w:val="auto"/>
              </w:rPr>
            </w:pPr>
          </w:p>
        </w:tc>
        <w:tc>
          <w:tcPr>
            <w:tcW w:w="4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5"/>
              </w:rPr>
              <w:t>One State Street, New York, N.Y. 10004-1417, and Albany, N.Y.</w:t>
            </w:r>
          </w:p>
        </w:tc>
      </w:tr>
      <w:tr>
        <w:trPr>
          <w:trHeight w:val="222"/>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12223</w:t>
            </w:r>
          </w:p>
        </w:tc>
      </w:tr>
      <w:tr>
        <w:trPr>
          <w:trHeight w:val="324"/>
        </w:trPr>
        <w:tc>
          <w:tcPr>
            <w:tcW w:w="5580" w:type="dxa"/>
            <w:vAlign w:val="bottom"/>
            <w:gridSpan w:val="3"/>
          </w:tcPr>
          <w:p>
            <w:pPr>
              <w:spacing w:after="0"/>
              <w:rPr>
                <w:sz w:val="20"/>
                <w:szCs w:val="20"/>
                <w:color w:val="auto"/>
              </w:rPr>
            </w:pPr>
            <w:r>
              <w:rPr>
                <w:rFonts w:ascii="Arial" w:cs="Arial" w:eastAsia="Arial" w:hAnsi="Arial"/>
                <w:sz w:val="18"/>
                <w:szCs w:val="18"/>
                <w:color w:val="auto"/>
              </w:rPr>
              <w:t>Federal Reserve Bank of New York</w:t>
            </w:r>
          </w:p>
        </w:tc>
        <w:tc>
          <w:tcPr>
            <w:tcW w:w="4920" w:type="dxa"/>
            <w:vAlign w:val="bottom"/>
          </w:tcPr>
          <w:p>
            <w:pPr>
              <w:spacing w:after="0"/>
              <w:rPr>
                <w:sz w:val="20"/>
                <w:szCs w:val="20"/>
                <w:color w:val="auto"/>
              </w:rPr>
            </w:pPr>
            <w:r>
              <w:rPr>
                <w:rFonts w:ascii="Arial" w:cs="Arial" w:eastAsia="Arial" w:hAnsi="Arial"/>
                <w:sz w:val="18"/>
                <w:szCs w:val="18"/>
                <w:color w:val="auto"/>
              </w:rPr>
              <w:t>33 Liberty Street, New York, N.Y. 10045</w:t>
            </w:r>
          </w:p>
        </w:tc>
      </w:tr>
      <w:tr>
        <w:trPr>
          <w:trHeight w:val="324"/>
        </w:trPr>
        <w:tc>
          <w:tcPr>
            <w:tcW w:w="5580" w:type="dxa"/>
            <w:vAlign w:val="bottom"/>
            <w:gridSpan w:val="3"/>
          </w:tcPr>
          <w:p>
            <w:pPr>
              <w:spacing w:after="0"/>
              <w:rPr>
                <w:sz w:val="20"/>
                <w:szCs w:val="20"/>
                <w:color w:val="auto"/>
              </w:rPr>
            </w:pPr>
            <w:r>
              <w:rPr>
                <w:rFonts w:ascii="Arial" w:cs="Arial" w:eastAsia="Arial" w:hAnsi="Arial"/>
                <w:sz w:val="18"/>
                <w:szCs w:val="18"/>
                <w:color w:val="auto"/>
              </w:rPr>
              <w:t>Federal Deposit Insurance Corporation</w:t>
            </w:r>
          </w:p>
        </w:tc>
        <w:tc>
          <w:tcPr>
            <w:tcW w:w="4920" w:type="dxa"/>
            <w:vAlign w:val="bottom"/>
          </w:tcPr>
          <w:p>
            <w:pPr>
              <w:spacing w:after="0"/>
              <w:rPr>
                <w:sz w:val="20"/>
                <w:szCs w:val="20"/>
                <w:color w:val="auto"/>
              </w:rPr>
            </w:pPr>
            <w:r>
              <w:rPr>
                <w:rFonts w:ascii="Arial" w:cs="Arial" w:eastAsia="Arial" w:hAnsi="Arial"/>
                <w:sz w:val="18"/>
                <w:szCs w:val="18"/>
                <w:color w:val="auto"/>
              </w:rPr>
              <w:t>Washington, D.C. 20429</w:t>
            </w:r>
          </w:p>
        </w:tc>
      </w:tr>
      <w:tr>
        <w:trPr>
          <w:trHeight w:val="324"/>
        </w:trPr>
        <w:tc>
          <w:tcPr>
            <w:tcW w:w="5580" w:type="dxa"/>
            <w:vAlign w:val="bottom"/>
            <w:gridSpan w:val="3"/>
          </w:tcPr>
          <w:p>
            <w:pPr>
              <w:spacing w:after="0"/>
              <w:rPr>
                <w:sz w:val="20"/>
                <w:szCs w:val="20"/>
                <w:color w:val="auto"/>
              </w:rPr>
            </w:pPr>
            <w:r>
              <w:rPr>
                <w:rFonts w:ascii="Arial" w:cs="Arial" w:eastAsia="Arial" w:hAnsi="Arial"/>
                <w:sz w:val="18"/>
                <w:szCs w:val="18"/>
                <w:color w:val="auto"/>
              </w:rPr>
              <w:t>New York Clearing House Association</w:t>
            </w:r>
          </w:p>
        </w:tc>
        <w:tc>
          <w:tcPr>
            <w:tcW w:w="4920" w:type="dxa"/>
            <w:vAlign w:val="bottom"/>
          </w:tcPr>
          <w:p>
            <w:pPr>
              <w:spacing w:after="0"/>
              <w:rPr>
                <w:sz w:val="20"/>
                <w:szCs w:val="20"/>
                <w:color w:val="auto"/>
              </w:rPr>
            </w:pPr>
            <w:r>
              <w:rPr>
                <w:rFonts w:ascii="Arial" w:cs="Arial" w:eastAsia="Arial" w:hAnsi="Arial"/>
                <w:sz w:val="18"/>
                <w:szCs w:val="18"/>
                <w:color w:val="auto"/>
              </w:rPr>
              <w:t>New York, N.Y. 10005</w:t>
            </w:r>
          </w:p>
        </w:tc>
      </w:tr>
    </w:tbl>
    <w:p>
      <w:pPr>
        <w:spacing w:after="0" w:line="69" w:lineRule="exact"/>
        <w:rPr>
          <w:sz w:val="20"/>
          <w:szCs w:val="20"/>
          <w:color w:val="auto"/>
        </w:rPr>
      </w:pPr>
    </w:p>
    <w:p>
      <w:pPr>
        <w:ind w:left="892" w:hanging="446"/>
        <w:spacing w:after="0"/>
        <w:tabs>
          <w:tab w:leader="none" w:pos="892" w:val="left"/>
        </w:tabs>
        <w:numPr>
          <w:ilvl w:val="1"/>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Whether it is authorized to exercise corporate trust powers.</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Yes.</w:t>
      </w:r>
    </w:p>
    <w:p>
      <w:pPr>
        <w:spacing w:after="0" w:line="84" w:lineRule="exact"/>
        <w:rPr>
          <w:rFonts w:ascii="Arial" w:cs="Arial" w:eastAsia="Arial" w:hAnsi="Arial"/>
          <w:sz w:val="18"/>
          <w:szCs w:val="18"/>
          <w:b w:val="1"/>
          <w:bCs w:val="1"/>
          <w:color w:val="auto"/>
        </w:rPr>
      </w:pPr>
    </w:p>
    <w:p>
      <w:pPr>
        <w:ind w:left="452" w:hanging="452"/>
        <w:spacing w:after="0"/>
        <w:tabs>
          <w:tab w:leader="none" w:pos="452"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Affiliations with Obligor.</w:t>
      </w:r>
    </w:p>
    <w:p>
      <w:pPr>
        <w:spacing w:after="0" w:line="90" w:lineRule="exact"/>
        <w:rPr>
          <w:rFonts w:ascii="Arial" w:cs="Arial" w:eastAsia="Arial" w:hAnsi="Arial"/>
          <w:sz w:val="18"/>
          <w:szCs w:val="18"/>
          <w:b w:val="1"/>
          <w:bCs w:val="1"/>
          <w:color w:val="auto"/>
        </w:rPr>
      </w:pPr>
    </w:p>
    <w:p>
      <w:pPr>
        <w:ind w:left="452" w:right="5540"/>
        <w:spacing w:after="0" w:line="369"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If the obligor is an affiliate of the trustee, describe each such affiliation. </w:t>
      </w:r>
      <w:r>
        <w:rPr>
          <w:rFonts w:ascii="Arial" w:cs="Arial" w:eastAsia="Arial" w:hAnsi="Arial"/>
          <w:sz w:val="18"/>
          <w:szCs w:val="18"/>
          <w:color w:val="auto"/>
        </w:rPr>
        <w:t>None.</w:t>
      </w:r>
    </w:p>
    <w:p>
      <w:pPr>
        <w:spacing w:after="0" w:line="160" w:lineRule="exact"/>
        <w:rPr>
          <w:sz w:val="20"/>
          <w:szCs w:val="20"/>
          <w:color w:val="auto"/>
        </w:rPr>
      </w:pPr>
    </w:p>
    <w:p>
      <w:pPr>
        <w:ind w:left="452" w:hanging="452"/>
        <w:spacing w:after="0"/>
        <w:tabs>
          <w:tab w:leader="none" w:pos="452"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List of Exhibits.</w:t>
      </w:r>
    </w:p>
    <w:p>
      <w:pPr>
        <w:spacing w:after="0" w:line="90" w:lineRule="exact"/>
        <w:rPr>
          <w:rFonts w:ascii="Arial" w:cs="Arial" w:eastAsia="Arial" w:hAnsi="Arial"/>
          <w:sz w:val="18"/>
          <w:szCs w:val="18"/>
          <w:b w:val="1"/>
          <w:bCs w:val="1"/>
          <w:color w:val="auto"/>
        </w:rPr>
      </w:pPr>
    </w:p>
    <w:p>
      <w:pPr>
        <w:ind w:left="452"/>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Exhibits identified in parentheses below, on file with the Commission, are incorporated herein by reference as an exhibit hereto, pursuant to Rule 7a-29 under the Trust Indenture Act of 1939 (the “Act”) and 17 C.F.R. 229.10(d).</w:t>
      </w:r>
    </w:p>
    <w:p>
      <w:pPr>
        <w:spacing w:after="0" w:line="44" w:lineRule="exact"/>
        <w:rPr>
          <w:rFonts w:ascii="Arial" w:cs="Arial" w:eastAsia="Arial" w:hAnsi="Arial"/>
          <w:sz w:val="18"/>
          <w:szCs w:val="18"/>
          <w:b w:val="1"/>
          <w:bCs w:val="1"/>
          <w:color w:val="auto"/>
        </w:rPr>
      </w:pPr>
    </w:p>
    <w:p>
      <w:pPr>
        <w:ind w:left="892" w:right="40" w:hanging="446"/>
        <w:spacing w:after="0" w:line="294" w:lineRule="auto"/>
        <w:tabs>
          <w:tab w:leader="none" w:pos="892" w:val="left"/>
        </w:tabs>
        <w:numPr>
          <w:ilvl w:val="1"/>
          <w:numId w:val="141"/>
        </w:numPr>
        <w:rPr>
          <w:rFonts w:ascii="Arial" w:cs="Arial" w:eastAsia="Arial" w:hAnsi="Arial"/>
          <w:sz w:val="16"/>
          <w:szCs w:val="16"/>
          <w:color w:val="auto"/>
        </w:rPr>
      </w:pPr>
      <w:r>
        <w:rPr>
          <w:rFonts w:ascii="Arial" w:cs="Arial" w:eastAsia="Arial" w:hAnsi="Arial"/>
          <w:sz w:val="16"/>
          <w:szCs w:val="16"/>
          <w:color w:val="auto"/>
        </w:rPr>
        <w:t>A copy of the Organization Certificate of The Bank of New York Mellon (formerly known as The Bank of New York, itself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Exhibit 1 to Form T-1 filed with Registration Statement No. 33-29637, Exhibit 1 to Form T-1 filed with Registration Statement No. 333-121195 and Exhibit 1 to Form T-1 filed with Registration Statement No. 333-152735).</w:t>
      </w:r>
    </w:p>
    <w:p>
      <w:pPr>
        <w:spacing w:after="0" w:line="102" w:lineRule="exact"/>
        <w:rPr>
          <w:rFonts w:ascii="Arial" w:cs="Arial" w:eastAsia="Arial" w:hAnsi="Arial"/>
          <w:sz w:val="16"/>
          <w:szCs w:val="16"/>
          <w:color w:val="auto"/>
        </w:rPr>
      </w:pPr>
    </w:p>
    <w:p>
      <w:pPr>
        <w:ind w:left="5672" w:hanging="112"/>
        <w:spacing w:after="0"/>
        <w:tabs>
          <w:tab w:leader="none" w:pos="5672" w:val="left"/>
        </w:tabs>
        <w:numPr>
          <w:ilvl w:val="2"/>
          <w:numId w:val="141"/>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312"/>
          </w:cols>
          <w:pgMar w:left="248" w:top="274" w:right="339" w:bottom="1440" w:gutter="0" w:footer="0" w:header="0"/>
        </w:sectPr>
      </w:pPr>
    </w:p>
    <w:bookmarkStart w:id="161" w:name="page162"/>
    <w:bookmarkEnd w:id="161"/>
    <w:p>
      <w:pPr>
        <w:ind w:left="446" w:hanging="446"/>
        <w:spacing w:after="0"/>
        <w:tabs>
          <w:tab w:leader="none" w:pos="446" w:val="left"/>
        </w:tabs>
        <w:numPr>
          <w:ilvl w:val="0"/>
          <w:numId w:val="1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copy of the existing By-laws of the Trustee (Exhibit 4 to Form T-1 filed with Registration Statement No. 333-188382).</w:t>
      </w:r>
    </w:p>
    <w:p>
      <w:pPr>
        <w:spacing w:after="0" w:line="90" w:lineRule="exact"/>
        <w:rPr>
          <w:sz w:val="20"/>
          <w:szCs w:val="20"/>
          <w:color w:val="auto"/>
        </w:rPr>
      </w:pPr>
    </w:p>
    <w:p>
      <w:pPr>
        <w:ind w:left="446" w:hanging="446"/>
        <w:spacing w:after="0"/>
        <w:tabs>
          <w:tab w:leader="none" w:pos="446"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consent of the Trustee required by Section 321(b) of the Act (Exhibit 6 to Form T-1 filed with Registration Statement No. 333-188382).</w:t>
      </w:r>
    </w:p>
    <w:p>
      <w:pPr>
        <w:spacing w:after="0" w:line="113" w:lineRule="exact"/>
        <w:rPr>
          <w:rFonts w:ascii="Arial" w:cs="Arial" w:eastAsia="Arial" w:hAnsi="Arial"/>
          <w:sz w:val="16"/>
          <w:szCs w:val="16"/>
          <w:color w:val="auto"/>
        </w:rPr>
      </w:pPr>
    </w:p>
    <w:p>
      <w:pPr>
        <w:ind w:left="446" w:hanging="446"/>
        <w:spacing w:after="0"/>
        <w:tabs>
          <w:tab w:leader="none" w:pos="446"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 copy of the latest report of condition of the Trustee published pursuant to law or to the requirements of its supervising or examining authority.</w:t>
      </w:r>
    </w:p>
    <w:p>
      <w:pPr>
        <w:spacing w:after="0" w:line="180" w:lineRule="exact"/>
        <w:rPr>
          <w:rFonts w:ascii="Arial" w:cs="Arial" w:eastAsia="Arial" w:hAnsi="Arial"/>
          <w:sz w:val="16"/>
          <w:szCs w:val="16"/>
          <w:color w:val="auto"/>
        </w:rPr>
      </w:pPr>
    </w:p>
    <w:p>
      <w:pPr>
        <w:ind w:left="5226" w:hanging="112"/>
        <w:spacing w:after="0"/>
        <w:tabs>
          <w:tab w:leader="none" w:pos="5226" w:val="left"/>
        </w:tabs>
        <w:numPr>
          <w:ilvl w:val="1"/>
          <w:numId w:val="143"/>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566"/>
          </w:cols>
          <w:pgMar w:left="694" w:top="280" w:right="639" w:bottom="1440" w:gutter="0" w:footer="0" w:header="0"/>
        </w:sectPr>
      </w:pPr>
    </w:p>
    <w:bookmarkStart w:id="162" w:name="page163"/>
    <w:bookmarkEnd w:id="162"/>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requirements of the Act, the Trustee, The Bank of New York Mellon, a corporation organized and existing under the laws of the State of New York, has duly caused this statement of eligibility to be signed on its behalf by the undersigned, thereunto duly authorized, all in The City of New York, and State of New York, on the 11th day of September, 2013.</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BANK OF NEW YORK MELLON</w:t>
      </w:r>
    </w:p>
    <w:p>
      <w:pPr>
        <w:spacing w:after="0" w:line="225" w:lineRule="exact"/>
        <w:rPr>
          <w:sz w:val="20"/>
          <w:szCs w:val="20"/>
          <w:color w:val="auto"/>
        </w:rPr>
      </w:pPr>
    </w:p>
    <w:p>
      <w:pPr>
        <w:ind w:left="6860"/>
        <w:spacing w:after="0"/>
        <w:tabs>
          <w:tab w:leader="none" w:pos="774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Laurence J.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Laurence J. O’Brien</w:t>
      </w:r>
    </w:p>
    <w:p>
      <w:pPr>
        <w:spacing w:after="0" w:line="15" w:lineRule="exact"/>
        <w:rPr>
          <w:sz w:val="20"/>
          <w:szCs w:val="20"/>
          <w:color w:val="auto"/>
        </w:rPr>
      </w:pPr>
    </w:p>
    <w:p>
      <w:pPr>
        <w:ind w:left="724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340"/>
          </w:cols>
          <w:pgMar w:left="240" w:top="280" w:right="31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Consolidated Report of Condition of</w:t>
      </w:r>
    </w:p>
    <w:p>
      <w:pPr>
        <w:spacing w:after="0" w:line="171"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THE BANK OF NEW YORK MELLON</w:t>
      </w:r>
    </w:p>
    <w:p>
      <w:pPr>
        <w:spacing w:after="0" w:line="17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of One Wall Street, New York, N.Y. 10286</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Foreign and Domestic Subsidiaries,</w:t>
      </w:r>
    </w:p>
    <w:p>
      <w:pPr>
        <w:spacing w:after="0" w:line="9"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a member of the Federal Reserve System, at the close of business June 30, 2013, published in accordance with a call made by the Federal Reserve Bank of this District pursuant to the provisions of the Federal Reserve Act.</w:t>
      </w:r>
    </w:p>
    <w:p>
      <w:pPr>
        <w:spacing w:after="0" w:line="17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200" w:type="dxa"/>
            <w:vAlign w:val="bottom"/>
          </w:tcPr>
          <w:p>
            <w:pPr>
              <w:jc w:val="right"/>
              <w:ind w:right="13"/>
              <w:spacing w:after="0"/>
              <w:rPr>
                <w:sz w:val="20"/>
                <w:szCs w:val="20"/>
                <w:color w:val="auto"/>
              </w:rPr>
            </w:pPr>
            <w:r>
              <w:rPr>
                <w:rFonts w:ascii="Arial" w:cs="Arial" w:eastAsia="Arial" w:hAnsi="Arial"/>
                <w:sz w:val="14"/>
                <w:szCs w:val="14"/>
                <w:color w:val="auto"/>
              </w:rPr>
              <w:t>Dollar amounts in thousands</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Cash and balances due from depository institutions:</w:t>
            </w:r>
          </w:p>
        </w:tc>
        <w:tc>
          <w:tcPr>
            <w:tcW w:w="2200" w:type="dxa"/>
            <w:vAlign w:val="bottom"/>
          </w:tcPr>
          <w:p>
            <w:pPr>
              <w:spacing w:after="0"/>
              <w:rPr>
                <w:sz w:val="18"/>
                <w:szCs w:val="18"/>
                <w:color w:val="auto"/>
              </w:rPr>
            </w:pPr>
          </w:p>
        </w:tc>
      </w:tr>
      <w:tr>
        <w:trPr>
          <w:trHeight w:val="216"/>
        </w:trPr>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Noninterest-bearing balances and currency and coin</w:t>
            </w:r>
          </w:p>
        </w:tc>
        <w:tc>
          <w:tcPr>
            <w:tcW w:w="2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5,547,000</w:t>
            </w:r>
          </w:p>
        </w:tc>
      </w:tr>
      <w:tr>
        <w:trPr>
          <w:trHeight w:val="216"/>
        </w:trPr>
        <w:tc>
          <w:tcPr>
            <w:tcW w:w="5560" w:type="dxa"/>
            <w:vAlign w:val="bottom"/>
          </w:tcPr>
          <w:p>
            <w:pPr>
              <w:ind w:left="440"/>
              <w:spacing w:after="0"/>
              <w:rPr>
                <w:sz w:val="20"/>
                <w:szCs w:val="20"/>
                <w:color w:val="auto"/>
              </w:rPr>
            </w:pPr>
            <w:r>
              <w:rPr>
                <w:rFonts w:ascii="Arial" w:cs="Arial" w:eastAsia="Arial" w:hAnsi="Arial"/>
                <w:sz w:val="18"/>
                <w:szCs w:val="18"/>
                <w:color w:val="auto"/>
              </w:rPr>
              <w:t>Interest-bearing balances</w:t>
            </w:r>
          </w:p>
        </w:tc>
        <w:tc>
          <w:tcPr>
            <w:tcW w:w="2200" w:type="dxa"/>
            <w:vAlign w:val="bottom"/>
          </w:tcPr>
          <w:p>
            <w:pPr>
              <w:jc w:val="right"/>
              <w:ind w:right="13"/>
              <w:spacing w:after="0"/>
              <w:rPr>
                <w:sz w:val="20"/>
                <w:szCs w:val="20"/>
                <w:color w:val="auto"/>
              </w:rPr>
            </w:pPr>
            <w:r>
              <w:rPr>
                <w:rFonts w:ascii="Arial" w:cs="Arial" w:eastAsia="Arial" w:hAnsi="Arial"/>
                <w:sz w:val="18"/>
                <w:szCs w:val="18"/>
                <w:color w:val="auto"/>
              </w:rPr>
              <w:t>109,455,000</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2200" w:type="dxa"/>
            <w:vAlign w:val="bottom"/>
            <w:shd w:val="clear" w:color="auto" w:fill="CCEEFF"/>
          </w:tcPr>
          <w:p>
            <w:pPr>
              <w:spacing w:after="0"/>
              <w:rPr>
                <w:sz w:val="18"/>
                <w:szCs w:val="18"/>
                <w:color w:val="auto"/>
              </w:rPr>
            </w:pPr>
          </w:p>
        </w:tc>
      </w:tr>
      <w:tr>
        <w:trPr>
          <w:trHeight w:val="216"/>
        </w:trPr>
        <w:tc>
          <w:tcPr>
            <w:tcW w:w="5560" w:type="dxa"/>
            <w:vAlign w:val="bottom"/>
          </w:tcPr>
          <w:p>
            <w:pPr>
              <w:ind w:left="440"/>
              <w:spacing w:after="0"/>
              <w:rPr>
                <w:sz w:val="20"/>
                <w:szCs w:val="20"/>
                <w:color w:val="auto"/>
              </w:rPr>
            </w:pPr>
            <w:r>
              <w:rPr>
                <w:rFonts w:ascii="Arial" w:cs="Arial" w:eastAsia="Arial" w:hAnsi="Arial"/>
                <w:sz w:val="18"/>
                <w:szCs w:val="18"/>
                <w:color w:val="auto"/>
              </w:rPr>
              <w:t>Held-to-maturity securities</w:t>
            </w:r>
          </w:p>
        </w:tc>
        <w:tc>
          <w:tcPr>
            <w:tcW w:w="2200" w:type="dxa"/>
            <w:vAlign w:val="bottom"/>
          </w:tcPr>
          <w:p>
            <w:pPr>
              <w:jc w:val="right"/>
              <w:ind w:right="13"/>
              <w:spacing w:after="0"/>
              <w:rPr>
                <w:sz w:val="20"/>
                <w:szCs w:val="20"/>
                <w:color w:val="auto"/>
              </w:rPr>
            </w:pPr>
            <w:r>
              <w:rPr>
                <w:rFonts w:ascii="Arial" w:cs="Arial" w:eastAsia="Arial" w:hAnsi="Arial"/>
                <w:sz w:val="18"/>
                <w:szCs w:val="18"/>
                <w:color w:val="auto"/>
              </w:rPr>
              <w:t>13,784,000</w:t>
            </w:r>
          </w:p>
        </w:tc>
      </w:tr>
      <w:tr>
        <w:trPr>
          <w:trHeight w:val="216"/>
        </w:trPr>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Available-for-sale securities</w:t>
            </w:r>
          </w:p>
        </w:tc>
        <w:tc>
          <w:tcPr>
            <w:tcW w:w="2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87,504,000</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w w:val="95"/>
              </w:rPr>
              <w:t>Federal funds sold and securities purchased under agreements to resell:</w:t>
            </w:r>
          </w:p>
        </w:tc>
        <w:tc>
          <w:tcPr>
            <w:tcW w:w="2200" w:type="dxa"/>
            <w:vAlign w:val="bottom"/>
          </w:tcPr>
          <w:p>
            <w:pPr>
              <w:spacing w:after="0"/>
              <w:rPr>
                <w:sz w:val="18"/>
                <w:szCs w:val="18"/>
                <w:color w:val="auto"/>
              </w:rPr>
            </w:pPr>
          </w:p>
        </w:tc>
      </w:tr>
      <w:tr>
        <w:trPr>
          <w:trHeight w:val="216"/>
        </w:trPr>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Federal funds sold in domestic offices</w:t>
            </w:r>
          </w:p>
        </w:tc>
        <w:tc>
          <w:tcPr>
            <w:tcW w:w="2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119,000</w:t>
            </w:r>
          </w:p>
        </w:tc>
      </w:tr>
      <w:tr>
        <w:trPr>
          <w:trHeight w:val="208"/>
        </w:trPr>
        <w:tc>
          <w:tcPr>
            <w:tcW w:w="5560" w:type="dxa"/>
            <w:vAlign w:val="bottom"/>
          </w:tcPr>
          <w:p>
            <w:pPr>
              <w:ind w:left="440"/>
              <w:spacing w:after="0"/>
              <w:rPr>
                <w:sz w:val="20"/>
                <w:szCs w:val="20"/>
                <w:color w:val="auto"/>
              </w:rPr>
            </w:pPr>
            <w:r>
              <w:rPr>
                <w:rFonts w:ascii="Arial" w:cs="Arial" w:eastAsia="Arial" w:hAnsi="Arial"/>
                <w:sz w:val="18"/>
                <w:szCs w:val="18"/>
                <w:color w:val="auto"/>
              </w:rPr>
              <w:t>Securities purchased under agreements to</w:t>
            </w:r>
          </w:p>
        </w:tc>
        <w:tc>
          <w:tcPr>
            <w:tcW w:w="2200" w:type="dxa"/>
            <w:vAlign w:val="bottom"/>
          </w:tcPr>
          <w:p>
            <w:pPr>
              <w:spacing w:after="0"/>
              <w:rPr>
                <w:sz w:val="18"/>
                <w:szCs w:val="18"/>
                <w:color w:val="auto"/>
              </w:rPr>
            </w:pPr>
          </w:p>
        </w:tc>
      </w:tr>
      <w:tr>
        <w:trPr>
          <w:trHeight w:val="236"/>
        </w:trPr>
        <w:tc>
          <w:tcPr>
            <w:tcW w:w="5560" w:type="dxa"/>
            <w:vAlign w:val="bottom"/>
          </w:tcPr>
          <w:p>
            <w:pPr>
              <w:ind w:left="440"/>
              <w:spacing w:after="0"/>
              <w:rPr>
                <w:sz w:val="20"/>
                <w:szCs w:val="20"/>
                <w:color w:val="auto"/>
              </w:rPr>
            </w:pPr>
            <w:r>
              <w:rPr>
                <w:rFonts w:ascii="Arial" w:cs="Arial" w:eastAsia="Arial" w:hAnsi="Arial"/>
                <w:sz w:val="18"/>
                <w:szCs w:val="18"/>
                <w:color w:val="auto"/>
              </w:rPr>
              <w:t>resell</w:t>
            </w:r>
          </w:p>
        </w:tc>
        <w:tc>
          <w:tcPr>
            <w:tcW w:w="2200" w:type="dxa"/>
            <w:vAlign w:val="bottom"/>
          </w:tcPr>
          <w:p>
            <w:pPr>
              <w:jc w:val="right"/>
              <w:ind w:right="13"/>
              <w:spacing w:after="0"/>
              <w:rPr>
                <w:sz w:val="20"/>
                <w:szCs w:val="20"/>
                <w:color w:val="auto"/>
              </w:rPr>
            </w:pPr>
            <w:r>
              <w:rPr>
                <w:rFonts w:ascii="Arial" w:cs="Arial" w:eastAsia="Arial" w:hAnsi="Arial"/>
                <w:sz w:val="18"/>
                <w:szCs w:val="18"/>
                <w:color w:val="auto"/>
              </w:rPr>
              <w:t>3,072,000</w:t>
            </w:r>
          </w:p>
        </w:tc>
      </w:tr>
      <w:tr>
        <w:trPr>
          <w:trHeight w:val="218"/>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Loans and lease financing receivables:</w:t>
            </w:r>
          </w:p>
        </w:tc>
        <w:tc>
          <w:tcPr>
            <w:tcW w:w="2200" w:type="dxa"/>
            <w:vAlign w:val="bottom"/>
            <w:shd w:val="clear" w:color="auto" w:fill="CCEEFF"/>
          </w:tcPr>
          <w:p>
            <w:pPr>
              <w:spacing w:after="0"/>
              <w:rPr>
                <w:sz w:val="18"/>
                <w:szCs w:val="18"/>
                <w:color w:val="auto"/>
              </w:rPr>
            </w:pPr>
          </w:p>
        </w:tc>
      </w:tr>
      <w:tr>
        <w:trPr>
          <w:trHeight w:val="216"/>
        </w:trPr>
        <w:tc>
          <w:tcPr>
            <w:tcW w:w="5560" w:type="dxa"/>
            <w:vAlign w:val="bottom"/>
          </w:tcPr>
          <w:p>
            <w:pPr>
              <w:ind w:left="440"/>
              <w:spacing w:after="0"/>
              <w:rPr>
                <w:sz w:val="20"/>
                <w:szCs w:val="20"/>
                <w:color w:val="auto"/>
              </w:rPr>
            </w:pPr>
            <w:r>
              <w:rPr>
                <w:rFonts w:ascii="Arial" w:cs="Arial" w:eastAsia="Arial" w:hAnsi="Arial"/>
                <w:sz w:val="18"/>
                <w:szCs w:val="18"/>
                <w:color w:val="auto"/>
              </w:rPr>
              <w:t>Loans and leases held for sale</w:t>
            </w:r>
          </w:p>
        </w:tc>
        <w:tc>
          <w:tcPr>
            <w:tcW w:w="2200" w:type="dxa"/>
            <w:vAlign w:val="bottom"/>
          </w:tcPr>
          <w:p>
            <w:pPr>
              <w:jc w:val="right"/>
              <w:ind w:right="13"/>
              <w:spacing w:after="0"/>
              <w:rPr>
                <w:sz w:val="20"/>
                <w:szCs w:val="20"/>
                <w:color w:val="auto"/>
              </w:rPr>
            </w:pPr>
            <w:r>
              <w:rPr>
                <w:rFonts w:ascii="Arial" w:cs="Arial" w:eastAsia="Arial" w:hAnsi="Arial"/>
                <w:sz w:val="18"/>
                <w:szCs w:val="18"/>
                <w:color w:val="auto"/>
              </w:rPr>
              <w:t>0</w:t>
            </w:r>
          </w:p>
        </w:tc>
      </w:tr>
      <w:tr>
        <w:trPr>
          <w:trHeight w:val="216"/>
        </w:trPr>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Loans and leases, net of unearned income</w:t>
            </w:r>
          </w:p>
        </w:tc>
        <w:tc>
          <w:tcPr>
            <w:tcW w:w="2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31,852,000</w:t>
            </w:r>
          </w:p>
        </w:tc>
      </w:tr>
      <w:tr>
        <w:trPr>
          <w:trHeight w:val="216"/>
        </w:trPr>
        <w:tc>
          <w:tcPr>
            <w:tcW w:w="5560" w:type="dxa"/>
            <w:vAlign w:val="bottom"/>
          </w:tcPr>
          <w:p>
            <w:pPr>
              <w:ind w:left="440"/>
              <w:spacing w:after="0"/>
              <w:rPr>
                <w:sz w:val="20"/>
                <w:szCs w:val="20"/>
                <w:color w:val="auto"/>
              </w:rPr>
            </w:pPr>
            <w:r>
              <w:rPr>
                <w:rFonts w:ascii="Arial" w:cs="Arial" w:eastAsia="Arial" w:hAnsi="Arial"/>
                <w:sz w:val="18"/>
                <w:szCs w:val="18"/>
                <w:color w:val="auto"/>
              </w:rPr>
              <w:t>LESS: Allowance for loan and lease losses</w:t>
            </w:r>
          </w:p>
        </w:tc>
        <w:tc>
          <w:tcPr>
            <w:tcW w:w="2200" w:type="dxa"/>
            <w:vAlign w:val="bottom"/>
          </w:tcPr>
          <w:p>
            <w:pPr>
              <w:jc w:val="right"/>
              <w:ind w:right="13"/>
              <w:spacing w:after="0"/>
              <w:rPr>
                <w:sz w:val="20"/>
                <w:szCs w:val="20"/>
                <w:color w:val="auto"/>
              </w:rPr>
            </w:pPr>
            <w:r>
              <w:rPr>
                <w:rFonts w:ascii="Arial" w:cs="Arial" w:eastAsia="Arial" w:hAnsi="Arial"/>
                <w:sz w:val="18"/>
                <w:szCs w:val="18"/>
                <w:color w:val="auto"/>
              </w:rPr>
              <w:t>199,000</w:t>
            </w:r>
          </w:p>
        </w:tc>
      </w:tr>
      <w:tr>
        <w:trPr>
          <w:trHeight w:val="216"/>
        </w:trPr>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Loans and leases, net of unearned income and allowance</w:t>
            </w:r>
          </w:p>
        </w:tc>
        <w:tc>
          <w:tcPr>
            <w:tcW w:w="2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31,653,000</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Trading assets</w:t>
            </w:r>
          </w:p>
        </w:tc>
        <w:tc>
          <w:tcPr>
            <w:tcW w:w="2200" w:type="dxa"/>
            <w:vAlign w:val="bottom"/>
          </w:tcPr>
          <w:p>
            <w:pPr>
              <w:jc w:val="right"/>
              <w:ind w:right="13"/>
              <w:spacing w:after="0"/>
              <w:rPr>
                <w:sz w:val="20"/>
                <w:szCs w:val="20"/>
                <w:color w:val="auto"/>
              </w:rPr>
            </w:pPr>
            <w:r>
              <w:rPr>
                <w:rFonts w:ascii="Arial" w:cs="Arial" w:eastAsia="Arial" w:hAnsi="Arial"/>
                <w:sz w:val="18"/>
                <w:szCs w:val="18"/>
                <w:color w:val="auto"/>
              </w:rPr>
              <w:t>5,889,000</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2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1,150,000</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Other real estate owned</w:t>
            </w:r>
          </w:p>
        </w:tc>
        <w:tc>
          <w:tcPr>
            <w:tcW w:w="2200" w:type="dxa"/>
            <w:vAlign w:val="bottom"/>
          </w:tcPr>
          <w:p>
            <w:pPr>
              <w:jc w:val="right"/>
              <w:ind w:right="13"/>
              <w:spacing w:after="0"/>
              <w:rPr>
                <w:sz w:val="20"/>
                <w:szCs w:val="20"/>
                <w:color w:val="auto"/>
              </w:rPr>
            </w:pPr>
            <w:r>
              <w:rPr>
                <w:rFonts w:ascii="Arial" w:cs="Arial" w:eastAsia="Arial" w:hAnsi="Arial"/>
                <w:sz w:val="18"/>
                <w:szCs w:val="18"/>
                <w:color w:val="auto"/>
              </w:rPr>
              <w:t>3,000</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w w:val="98"/>
              </w:rPr>
              <w:t>Investments in unconsolidated subsidiaries and associated companies</w:t>
            </w:r>
          </w:p>
        </w:tc>
        <w:tc>
          <w:tcPr>
            <w:tcW w:w="2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1,047,000</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Direct and indirect investments in real estate ventures</w:t>
            </w:r>
          </w:p>
        </w:tc>
        <w:tc>
          <w:tcPr>
            <w:tcW w:w="2200" w:type="dxa"/>
            <w:vAlign w:val="bottom"/>
          </w:tcPr>
          <w:p>
            <w:pPr>
              <w:jc w:val="right"/>
              <w:ind w:right="13"/>
              <w:spacing w:after="0"/>
              <w:rPr>
                <w:sz w:val="20"/>
                <w:szCs w:val="20"/>
                <w:color w:val="auto"/>
              </w:rPr>
            </w:pPr>
            <w:r>
              <w:rPr>
                <w:rFonts w:ascii="Arial" w:cs="Arial" w:eastAsia="Arial" w:hAnsi="Arial"/>
                <w:sz w:val="18"/>
                <w:szCs w:val="18"/>
                <w:color w:val="auto"/>
              </w:rPr>
              <w:t>0</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200" w:type="dxa"/>
            <w:vAlign w:val="bottom"/>
            <w:shd w:val="clear" w:color="auto" w:fill="CCEEFF"/>
          </w:tcPr>
          <w:p>
            <w:pPr>
              <w:spacing w:after="0"/>
              <w:rPr>
                <w:sz w:val="18"/>
                <w:szCs w:val="18"/>
                <w:color w:val="auto"/>
              </w:rPr>
            </w:pPr>
          </w:p>
        </w:tc>
      </w:tr>
      <w:tr>
        <w:trPr>
          <w:trHeight w:val="216"/>
        </w:trPr>
        <w:tc>
          <w:tcPr>
            <w:tcW w:w="5560" w:type="dxa"/>
            <w:vAlign w:val="bottom"/>
          </w:tcPr>
          <w:p>
            <w:pPr>
              <w:ind w:left="440"/>
              <w:spacing w:after="0"/>
              <w:rPr>
                <w:sz w:val="20"/>
                <w:szCs w:val="20"/>
                <w:color w:val="auto"/>
              </w:rPr>
            </w:pPr>
            <w:r>
              <w:rPr>
                <w:rFonts w:ascii="Arial" w:cs="Arial" w:eastAsia="Arial" w:hAnsi="Arial"/>
                <w:sz w:val="18"/>
                <w:szCs w:val="18"/>
                <w:color w:val="auto"/>
              </w:rPr>
              <w:t>Goodwill</w:t>
            </w:r>
          </w:p>
        </w:tc>
        <w:tc>
          <w:tcPr>
            <w:tcW w:w="2200" w:type="dxa"/>
            <w:vAlign w:val="bottom"/>
          </w:tcPr>
          <w:p>
            <w:pPr>
              <w:jc w:val="right"/>
              <w:ind w:right="13"/>
              <w:spacing w:after="0"/>
              <w:rPr>
                <w:sz w:val="20"/>
                <w:szCs w:val="20"/>
                <w:color w:val="auto"/>
              </w:rPr>
            </w:pPr>
            <w:r>
              <w:rPr>
                <w:rFonts w:ascii="Arial" w:cs="Arial" w:eastAsia="Arial" w:hAnsi="Arial"/>
                <w:sz w:val="18"/>
                <w:szCs w:val="18"/>
                <w:color w:val="auto"/>
              </w:rPr>
              <w:t>6,412,000</w:t>
            </w:r>
          </w:p>
        </w:tc>
      </w:tr>
      <w:tr>
        <w:trPr>
          <w:trHeight w:val="216"/>
        </w:trPr>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intangible assets</w:t>
            </w:r>
          </w:p>
        </w:tc>
        <w:tc>
          <w:tcPr>
            <w:tcW w:w="2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1,356,000</w:t>
            </w:r>
          </w:p>
        </w:tc>
      </w:tr>
    </w:tbl>
    <w:p>
      <w:pPr>
        <w:sectPr>
          <w:pgSz w:w="11900" w:h="16838" w:orient="portrait"/>
          <w:cols w:equalWidth="0" w:num="1">
            <w:col w:w="11420"/>
          </w:cols>
          <w:pgMar w:left="240" w:top="274" w:right="239" w:bottom="1440" w:gutter="0" w:footer="0" w:header="0"/>
        </w:sectPr>
      </w:pPr>
    </w:p>
    <w:bookmarkStart w:id="164" w:name="page165"/>
    <w:bookmarkEnd w:id="16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300" w:type="dxa"/>
            <w:vAlign w:val="bottom"/>
            <w:gridSpan w:val="3"/>
          </w:tcPr>
          <w:p>
            <w:pPr>
              <w:ind w:left="640"/>
              <w:spacing w:after="0"/>
              <w:rPr>
                <w:sz w:val="20"/>
                <w:szCs w:val="20"/>
                <w:color w:val="auto"/>
              </w:rPr>
            </w:pPr>
            <w:r>
              <w:rPr>
                <w:rFonts w:ascii="Arial" w:cs="Arial" w:eastAsia="Arial" w:hAnsi="Arial"/>
                <w:sz w:val="14"/>
                <w:szCs w:val="14"/>
                <w:color w:val="auto"/>
                <w:w w:val="92"/>
              </w:rPr>
              <w:t>Dollar amounts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64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281,339,000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6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Deposits:</w:t>
            </w:r>
          </w:p>
        </w:tc>
        <w:tc>
          <w:tcPr>
            <w:tcW w:w="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 domestic offices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119,068,000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Noninterest-bearing</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74,829,000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Interest-bearing</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44,239,000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In foreign offices, Edge and Agreement subsidiaries, and IBFs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117,772,000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Noninterest-bearing</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7,818,000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Interest-bearing</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109,954,000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Federal funds purchased and securities sold under agreements to</w:t>
            </w:r>
          </w:p>
        </w:tc>
        <w:tc>
          <w:tcPr>
            <w:tcW w:w="6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w:t>
            </w:r>
          </w:p>
        </w:tc>
        <w:tc>
          <w:tcPr>
            <w:tcW w:w="6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Federal funds purchased in domestic offices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2,780,000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Securities sold under agreements to repurchase</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Trading liabilities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6,337,000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borrowed money:</w:t>
            </w:r>
          </w:p>
        </w:tc>
        <w:tc>
          <w:tcPr>
            <w:tcW w:w="6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(includes mortgage indebtedness and obligations under</w:t>
            </w:r>
          </w:p>
        </w:tc>
        <w:tc>
          <w:tcPr>
            <w:tcW w:w="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ind w:left="620"/>
              <w:spacing w:after="0"/>
              <w:rPr>
                <w:sz w:val="20"/>
                <w:szCs w:val="20"/>
                <w:color w:val="auto"/>
              </w:rPr>
            </w:pPr>
            <w:r>
              <w:rPr>
                <w:rFonts w:ascii="Arial" w:cs="Arial" w:eastAsia="Arial" w:hAnsi="Arial"/>
                <w:sz w:val="18"/>
                <w:szCs w:val="18"/>
                <w:color w:val="auto"/>
              </w:rPr>
              <w:t>capitalized leases)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3,227,000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6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Not applicable</w:t>
            </w:r>
          </w:p>
        </w:tc>
        <w:tc>
          <w:tcPr>
            <w:tcW w:w="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and debentures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Other liabilities</w:t>
            </w:r>
          </w:p>
        </w:tc>
        <w:tc>
          <w:tcPr>
            <w:tcW w:w="64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7,206,000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262,489,000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EQUITY CAPITAL</w:t>
            </w:r>
          </w:p>
        </w:tc>
        <w:tc>
          <w:tcPr>
            <w:tcW w:w="64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6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Perpetual preferred stock and related surplus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Common stock</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1,135,000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9,820,000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Retained earnings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8,704,000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Other equity capital components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bank equity capital</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Noncontrolling (minority) interests in consolidated subsidiaries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equity capital</w:t>
            </w:r>
          </w:p>
        </w:tc>
        <w:tc>
          <w:tcPr>
            <w:tcW w:w="64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60" w:type="dxa"/>
            <w:vAlign w:val="bottom"/>
            <w:gridSpan w:val="2"/>
          </w:tcPr>
          <w:p>
            <w:pPr>
              <w:spacing w:after="0"/>
              <w:rPr>
                <w:sz w:val="20"/>
                <w:szCs w:val="20"/>
                <w:color w:val="auto"/>
              </w:rPr>
            </w:pPr>
            <w:r>
              <w:rPr>
                <w:rFonts w:ascii="Arial" w:cs="Arial" w:eastAsia="Arial" w:hAnsi="Arial"/>
                <w:sz w:val="18"/>
                <w:szCs w:val="18"/>
                <w:color w:val="auto"/>
              </w:rPr>
              <w:t>Total liabilities and equity capital</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281,339,000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76" w:right="1440" w:bottom="1440" w:gutter="0" w:footer="0" w:header="0"/>
        </w:sectPr>
      </w:pPr>
    </w:p>
    <w:bookmarkStart w:id="165" w:name="page166"/>
    <w:bookmarkEnd w:id="165"/>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Thomas P. Gibbons, Chief Financial Officer of the above-named bank do hereby declare that this Report of Condition is true and correct to the best of my knowledge and belief.</w:t>
      </w:r>
    </w:p>
    <w:p>
      <w:pPr>
        <w:spacing w:after="0" w:line="132"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Thomas P. Gibbons,</w:t>
      </w:r>
    </w:p>
    <w:p>
      <w:pPr>
        <w:spacing w:after="0" w:line="15"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Gerald L. Hassell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-125730</wp:posOffset>
            </wp:positionV>
            <wp:extent cx="102870" cy="514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02870" cy="514350"/>
                    </a:xfrm>
                    <a:prstGeom prst="rect">
                      <a:avLst/>
                    </a:prstGeom>
                    <a:noFill/>
                  </pic:spPr>
                </pic:pic>
              </a:graphicData>
            </a:graphic>
          </wp:anchor>
        </w:drawing>
      </w:r>
    </w:p>
    <w:p>
      <w:pPr>
        <w:spacing w:after="0"/>
        <w:tabs>
          <w:tab w:leader="none" w:pos="3920" w:val="left"/>
        </w:tabs>
        <w:rPr>
          <w:sz w:val="20"/>
          <w:szCs w:val="20"/>
          <w:color w:val="auto"/>
        </w:rPr>
      </w:pPr>
      <w:r>
        <w:rPr>
          <w:rFonts w:ascii="Arial" w:cs="Arial" w:eastAsia="Arial" w:hAnsi="Arial"/>
          <w:sz w:val="18"/>
          <w:szCs w:val="18"/>
          <w:color w:val="auto"/>
        </w:rPr>
        <w:t>Catherine A. Rein</w:t>
      </w:r>
      <w:r>
        <w:rPr>
          <w:sz w:val="20"/>
          <w:szCs w:val="20"/>
          <w:color w:val="auto"/>
        </w:rPr>
        <w:tab/>
      </w:r>
      <w:r>
        <w:rPr>
          <w:rFonts w:ascii="Arial" w:cs="Arial" w:eastAsia="Arial" w:hAnsi="Arial"/>
          <w:sz w:val="16"/>
          <w:szCs w:val="16"/>
          <w:color w:val="auto"/>
        </w:rPr>
        <w:t>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J. Kowalski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abstractNum>
  <w:abstractNum w:abstractNumId="1">
    <w:nsid w:val="168E121F"/>
    <w:multiLevelType w:val="hybridMultilevel"/>
    <w:lvl w:ilvl="0">
      <w:lvlJc w:val="left"/>
      <w:lvlText w:val="•"/>
      <w:numFmt w:val="bullet"/>
      <w:start w:val="1"/>
    </w:lvl>
  </w:abstractNum>
  <w:abstractNum w:abstractNumId="2">
    <w:nsid w:val="1EBA5D23"/>
    <w:multiLevelType w:val="hybridMultilevel"/>
    <w:lvl w:ilvl="0">
      <w:lvlJc w:val="left"/>
      <w:lvlText w:val="•"/>
      <w:numFmt w:val="bullet"/>
      <w:start w:val="1"/>
    </w:lvl>
  </w:abstractNum>
  <w:abstractNum w:abstractNumId="3">
    <w:nsid w:val="661E3F1E"/>
    <w:multiLevelType w:val="hybridMultilevel"/>
    <w:lvl w:ilvl="0">
      <w:lvlJc w:val="left"/>
      <w:lvlText w:val="•"/>
      <w:numFmt w:val="bullet"/>
      <w:start w:val="1"/>
    </w:lvl>
  </w:abstractNum>
  <w:abstractNum w:abstractNumId="4">
    <w:nsid w:val="5DC79EA8"/>
    <w:multiLevelType w:val="hybridMultilevel"/>
    <w:lvl w:ilvl="0">
      <w:lvlJc w:val="left"/>
      <w:lvlText w:val="(%1)"/>
      <w:numFmt w:val="lowerLetter"/>
      <w:start w:val="3"/>
    </w:lvl>
  </w:abstractNum>
  <w:abstractNum w:abstractNumId="5">
    <w:nsid w:val="540A471C"/>
    <w:multiLevelType w:val="hybridMultilevel"/>
    <w:lvl w:ilvl="0">
      <w:lvlJc w:val="left"/>
      <w:lvlText w:val="•"/>
      <w:numFmt w:val="bullet"/>
      <w:start w:val="1"/>
    </w:lvl>
  </w:abstractNum>
  <w:abstractNum w:abstractNumId="6">
    <w:nsid w:val="7BD3EE7B"/>
    <w:multiLevelType w:val="hybridMultilevel"/>
    <w:lvl w:ilvl="0">
      <w:lvlJc w:val="left"/>
      <w:lvlText w:val="•"/>
      <w:numFmt w:val="bullet"/>
      <w:start w:val="1"/>
    </w:lvl>
  </w:abstractNum>
  <w:abstractNum w:abstractNumId="7">
    <w:nsid w:val="51D9C564"/>
    <w:multiLevelType w:val="hybridMultilevel"/>
    <w:lvl w:ilvl="0">
      <w:lvlJc w:val="left"/>
      <w:lvlText w:val="(%1)"/>
      <w:numFmt w:val="lowerLetter"/>
      <w:start w:val="1"/>
    </w:lvl>
  </w:abstractNum>
  <w:abstractNum w:abstractNumId="8">
    <w:nsid w:val="613EFDC5"/>
    <w:multiLevelType w:val="hybridMultilevel"/>
    <w:lvl w:ilvl="0">
      <w:lvlJc w:val="left"/>
      <w:lvlText w:val="(%1)"/>
      <w:numFmt w:val="lowerLetter"/>
      <w:start w:val="1"/>
    </w:lvl>
  </w:abstractNum>
  <w:abstractNum w:abstractNumId="9">
    <w:nsid w:val="BF72B14"/>
    <w:multiLevelType w:val="hybridMultilevel"/>
    <w:lvl w:ilvl="0">
      <w:lvlJc w:val="left"/>
      <w:lvlText w:val="(%1)"/>
      <w:numFmt w:val="lowerLetter"/>
      <w:start w:val="1"/>
    </w:lvl>
  </w:abstractNum>
  <w:abstractNum w:abstractNumId="10">
    <w:nsid w:val="11447B73"/>
    <w:multiLevelType w:val="hybridMultilevel"/>
    <w:lvl w:ilvl="0">
      <w:lvlJc w:val="left"/>
      <w:lvlText w:val="(%1)"/>
      <w:numFmt w:val="lowerLetter"/>
      <w:start w:val="3"/>
    </w:lvl>
  </w:abstractNum>
  <w:abstractNum w:abstractNumId="11">
    <w:nsid w:val="42963E5A"/>
    <w:multiLevelType w:val="hybridMultilevel"/>
    <w:lvl w:ilvl="0">
      <w:lvlJc w:val="left"/>
      <w:lvlText w:val="%1"/>
      <w:numFmt w:val="lowerLetter"/>
      <w:start w:val="1"/>
    </w:lvl>
    <w:lvl w:ilvl="1">
      <w:lvlJc w:val="left"/>
      <w:lvlText w:val="(%2)"/>
      <w:numFmt w:val="lowerLetter"/>
      <w:start w:val="13"/>
    </w:lvl>
  </w:abstractNum>
  <w:abstractNum w:abstractNumId="12">
    <w:nsid w:val="A0382C5"/>
    <w:multiLevelType w:val="hybridMultilevel"/>
    <w:lvl w:ilvl="0">
      <w:lvlJc w:val="left"/>
      <w:lvlText w:val="(%1)"/>
      <w:numFmt w:val="lowerLetter"/>
      <w:start w:val="61"/>
    </w:lvl>
    <w:lvl w:ilvl="1">
      <w:lvlJc w:val="left"/>
      <w:lvlText w:val="(%2)"/>
      <w:numFmt w:val="lowerLetter"/>
      <w:start w:val="19"/>
    </w:lvl>
  </w:abstractNum>
  <w:abstractNum w:abstractNumId="13">
    <w:nsid w:val="8F2B15E"/>
    <w:multiLevelType w:val="hybridMultilevel"/>
    <w:lvl w:ilvl="0">
      <w:lvlJc w:val="left"/>
      <w:lvlText w:val="•"/>
      <w:numFmt w:val="bullet"/>
      <w:start w:val="1"/>
    </w:lvl>
  </w:abstractNum>
  <w:abstractNum w:abstractNumId="14">
    <w:nsid w:val="1A32234B"/>
    <w:multiLevelType w:val="hybridMultilevel"/>
    <w:lvl w:ilvl="0">
      <w:lvlJc w:val="left"/>
      <w:lvlText w:val="•"/>
      <w:numFmt w:val="bullet"/>
      <w:start w:val="1"/>
    </w:lvl>
  </w:abstractNum>
  <w:abstractNum w:abstractNumId="15">
    <w:nsid w:val="3B0FD379"/>
    <w:multiLevelType w:val="hybridMultilevel"/>
    <w:lvl w:ilvl="0">
      <w:lvlJc w:val="left"/>
      <w:lvlText w:val="•"/>
      <w:numFmt w:val="bullet"/>
      <w:start w:val="1"/>
    </w:lvl>
  </w:abstractNum>
  <w:abstractNum w:abstractNumId="16">
    <w:nsid w:val="68EB2F63"/>
    <w:multiLevelType w:val="hybridMultilevel"/>
    <w:lvl w:ilvl="0">
      <w:lvlJc w:val="left"/>
      <w:lvlText w:val="•"/>
      <w:numFmt w:val="bullet"/>
      <w:start w:val="1"/>
    </w:lvl>
  </w:abstractNum>
  <w:abstractNum w:abstractNumId="17">
    <w:nsid w:val="4962813B"/>
    <w:multiLevelType w:val="hybridMultilevel"/>
    <w:lvl w:ilvl="0">
      <w:lvlJc w:val="left"/>
      <w:lvlText w:val="•"/>
      <w:numFmt w:val="bullet"/>
      <w:start w:val="1"/>
    </w:lvl>
  </w:abstractNum>
  <w:abstractNum w:abstractNumId="18">
    <w:nsid w:val="60B6DF70"/>
    <w:multiLevelType w:val="hybridMultilevel"/>
    <w:lvl w:ilvl="0">
      <w:lvlJc w:val="left"/>
      <w:lvlText w:val="•"/>
      <w:numFmt w:val="bullet"/>
      <w:start w:val="1"/>
    </w:lvl>
  </w:abstractNum>
  <w:abstractNum w:abstractNumId="19">
    <w:nsid w:val="6A5EE64"/>
    <w:multiLevelType w:val="hybridMultilevel"/>
    <w:lvl w:ilvl="0">
      <w:lvlJc w:val="left"/>
      <w:lvlText w:val="(%1)"/>
      <w:numFmt w:val="lowerLetter"/>
      <w:start w:val="1"/>
    </w:lvl>
  </w:abstractNum>
  <w:abstractNum w:abstractNumId="20">
    <w:nsid w:val="14330624"/>
    <w:multiLevelType w:val="hybridMultilevel"/>
    <w:lvl w:ilvl="0">
      <w:lvlJc w:val="left"/>
      <w:lvlText w:val="•"/>
      <w:numFmt w:val="bullet"/>
      <w:start w:val="1"/>
    </w:lvl>
    <w:lvl w:ilvl="1">
      <w:lvlJc w:val="left"/>
      <w:lvlText w:val="•"/>
      <w:numFmt w:val="bullet"/>
      <w:start w:val="1"/>
    </w:lvl>
  </w:abstractNum>
  <w:abstractNum w:abstractNumId="21">
    <w:nsid w:val="7FFFCA11"/>
    <w:multiLevelType w:val="hybridMultilevel"/>
    <w:lvl w:ilvl="0">
      <w:lvlJc w:val="left"/>
      <w:lvlText w:val="•"/>
      <w:numFmt w:val="bullet"/>
      <w:start w:val="1"/>
    </w:lvl>
  </w:abstractNum>
  <w:abstractNum w:abstractNumId="22">
    <w:nsid w:val="1A27709E"/>
    <w:multiLevelType w:val="hybridMultilevel"/>
    <w:lvl w:ilvl="0">
      <w:lvlJc w:val="left"/>
      <w:lvlText w:val="•"/>
      <w:numFmt w:val="bullet"/>
      <w:start w:val="1"/>
    </w:lvl>
    <w:lvl w:ilvl="1">
      <w:lvlJc w:val="left"/>
      <w:lvlText w:val="•"/>
      <w:numFmt w:val="bullet"/>
      <w:start w:val="1"/>
    </w:lvl>
  </w:abstractNum>
  <w:abstractNum w:abstractNumId="23">
    <w:nsid w:val="71EA1109"/>
    <w:multiLevelType w:val="hybridMultilevel"/>
    <w:lvl w:ilvl="0">
      <w:lvlJc w:val="left"/>
      <w:lvlText w:val="•"/>
      <w:numFmt w:val="bullet"/>
      <w:start w:val="1"/>
    </w:lvl>
  </w:abstractNum>
  <w:abstractNum w:abstractNumId="24">
    <w:nsid w:val="100F59DC"/>
    <w:multiLevelType w:val="hybridMultilevel"/>
    <w:lvl w:ilvl="0">
      <w:lvlJc w:val="left"/>
      <w:lvlText w:val="•"/>
      <w:numFmt w:val="bullet"/>
      <w:start w:val="1"/>
    </w:lvl>
  </w:abstractNum>
  <w:abstractNum w:abstractNumId="25">
    <w:nsid w:val="7FB7E0AA"/>
    <w:multiLevelType w:val="hybridMultilevel"/>
    <w:lvl w:ilvl="0">
      <w:lvlJc w:val="left"/>
      <w:lvlText w:val="•"/>
      <w:numFmt w:val="bullet"/>
      <w:start w:val="1"/>
    </w:lvl>
  </w:abstractNum>
  <w:abstractNum w:abstractNumId="26">
    <w:nsid w:val="6EB5BD4"/>
    <w:multiLevelType w:val="hybridMultilevel"/>
    <w:lvl w:ilvl="0">
      <w:lvlJc w:val="left"/>
      <w:lvlText w:val="•"/>
      <w:numFmt w:val="bullet"/>
      <w:start w:val="1"/>
    </w:lvl>
  </w:abstractNum>
  <w:abstractNum w:abstractNumId="27">
    <w:nsid w:val="6F6DD9AC"/>
    <w:multiLevelType w:val="hybridMultilevel"/>
    <w:lvl w:ilvl="0">
      <w:lvlJc w:val="left"/>
      <w:lvlText w:val="•"/>
      <w:numFmt w:val="bullet"/>
      <w:start w:val="1"/>
    </w:lvl>
  </w:abstractNum>
  <w:abstractNum w:abstractNumId="28">
    <w:nsid w:val="94211F2"/>
    <w:multiLevelType w:val="hybridMultilevel"/>
    <w:lvl w:ilvl="0">
      <w:lvlJc w:val="left"/>
      <w:lvlText w:val="•"/>
      <w:numFmt w:val="bullet"/>
      <w:start w:val="1"/>
    </w:lvl>
  </w:abstractNum>
  <w:abstractNum w:abstractNumId="29">
    <w:nsid w:val="885E1B"/>
    <w:multiLevelType w:val="hybridMultilevel"/>
    <w:lvl w:ilvl="0">
      <w:lvlJc w:val="left"/>
      <w:lvlText w:val="•"/>
      <w:numFmt w:val="bullet"/>
      <w:start w:val="1"/>
    </w:lvl>
  </w:abstractNum>
  <w:abstractNum w:abstractNumId="30">
    <w:nsid w:val="76272110"/>
    <w:multiLevelType w:val="hybridMultilevel"/>
    <w:lvl w:ilvl="0">
      <w:lvlJc w:val="left"/>
      <w:lvlText w:val="$"/>
      <w:numFmt w:val="bullet"/>
      <w:start w:val="1"/>
    </w:lvl>
  </w:abstractNum>
  <w:abstractNum w:abstractNumId="31">
    <w:nsid w:val="4C04A8AF"/>
    <w:multiLevelType w:val="hybridMultilevel"/>
    <w:lvl w:ilvl="0">
      <w:lvlJc w:val="left"/>
      <w:lvlText w:val="*"/>
      <w:numFmt w:val="bullet"/>
      <w:start w:val="1"/>
    </w:lvl>
  </w:abstractNum>
  <w:abstractNum w:abstractNumId="32">
    <w:nsid w:val="1716703B"/>
    <w:multiLevelType w:val="hybridMultilevel"/>
    <w:lvl w:ilvl="0">
      <w:lvlJc w:val="left"/>
      <w:lvlText w:val="**"/>
      <w:numFmt w:val="bullet"/>
      <w:start w:val="1"/>
    </w:lvl>
  </w:abstractNum>
  <w:abstractNum w:abstractNumId="33">
    <w:nsid w:val="14E17E3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4">
    <w:nsid w:val="3222E7CD"/>
    <w:multiLevelType w:val="hybridMultilevel"/>
    <w:lvl w:ilvl="0">
      <w:lvlJc w:val="left"/>
      <w:lvlText w:val="(%1)"/>
      <w:numFmt w:val="decimal"/>
      <w:start w:val="2"/>
    </w:lvl>
    <w:lvl w:ilvl="1">
      <w:lvlJc w:val="left"/>
      <w:lvlText w:val="(%2)"/>
      <w:numFmt w:val="lowerRoman"/>
      <w:start w:val="1"/>
    </w:lvl>
  </w:abstractNum>
  <w:abstractNum w:abstractNumId="35">
    <w:nsid w:val="74DE0EE3"/>
    <w:multiLevelType w:val="hybridMultilevel"/>
    <w:lvl w:ilvl="0">
      <w:lvlJc w:val="left"/>
      <w:lvlText w:val="(%1)"/>
      <w:numFmt w:val="decimal"/>
      <w:start w:val="5"/>
    </w:lvl>
  </w:abstractNum>
  <w:abstractNum w:abstractNumId="36">
    <w:nsid w:val="68EBC550"/>
    <w:multiLevelType w:val="hybridMultilevel"/>
    <w:lvl w:ilvl="0">
      <w:lvlJc w:val="left"/>
      <w:lvlText w:val="%1"/>
      <w:numFmt w:val="lowerLetter"/>
      <w:start w:val="1"/>
    </w:lvl>
    <w:lvl w:ilvl="1">
      <w:lvlJc w:val="left"/>
      <w:lvlText w:val="(%2)"/>
      <w:numFmt w:val="lowerRoman"/>
      <w:start w:val="1"/>
    </w:lvl>
  </w:abstractNum>
  <w:abstractNum w:abstractNumId="37">
    <w:nsid w:val="2DF6D648"/>
    <w:multiLevelType w:val="hybridMultilevel"/>
    <w:lvl w:ilvl="0">
      <w:lvlJc w:val="left"/>
      <w:lvlText w:val="(%1)"/>
      <w:numFmt w:val="lowerLetter"/>
      <w:start w:val="2"/>
    </w:lvl>
    <w:lvl w:ilvl="1">
      <w:lvlJc w:val="left"/>
      <w:lvlText w:val="%2"/>
      <w:numFmt w:val="lowerRoman"/>
      <w:start w:val="1"/>
    </w:lvl>
  </w:abstractNum>
  <w:abstractNum w:abstractNumId="38">
    <w:nsid w:val="46B7D447"/>
    <w:multiLevelType w:val="hybridMultilevel"/>
    <w:lvl w:ilvl="0">
      <w:lvlJc w:val="left"/>
      <w:lvlText w:val="*"/>
      <w:numFmt w:val="bullet"/>
      <w:start w:val="1"/>
    </w:lvl>
  </w:abstractNum>
  <w:abstractNum w:abstractNumId="39">
    <w:nsid w:val="4A2AC315"/>
    <w:multiLevelType w:val="hybridMultilevel"/>
    <w:lvl w:ilvl="0">
      <w:lvlJc w:val="left"/>
      <w:lvlText w:val="**"/>
      <w:numFmt w:val="bullet"/>
      <w:start w:val="1"/>
    </w:lvl>
  </w:abstractNum>
  <w:abstractNum w:abstractNumId="40">
    <w:nsid w:val="39EE015C"/>
    <w:multiLevelType w:val="hybridMultilevel"/>
    <w:lvl w:ilvl="0">
      <w:lvlJc w:val="left"/>
      <w:lvlText w:val="["/>
      <w:numFmt w:val="bullet"/>
      <w:start w:val="1"/>
    </w:lvl>
  </w:abstractNum>
  <w:abstractNum w:abstractNumId="41">
    <w:nsid w:val="57FC4FBB"/>
    <w:multiLevelType w:val="hybridMultilevel"/>
    <w:lvl w:ilvl="0">
      <w:lvlJc w:val="left"/>
      <w:lvlText w:val="%1."/>
      <w:numFmt w:val="decimal"/>
      <w:start w:val="3"/>
    </w:lvl>
  </w:abstractNum>
  <w:abstractNum w:abstractNumId="42">
    <w:nsid w:val="CC1016F"/>
    <w:multiLevelType w:val="hybridMultilevel"/>
    <w:lvl w:ilvl="0">
      <w:lvlJc w:val="left"/>
      <w:lvlText w:val="%1."/>
      <w:numFmt w:val="decimal"/>
      <w:start w:val="1"/>
    </w:lvl>
    <w:lvl w:ilvl="1">
      <w:lvlJc w:val="left"/>
      <w:lvlText w:val="(%2)"/>
      <w:numFmt w:val="lowerLetter"/>
      <w:start w:val="1"/>
    </w:lvl>
  </w:abstractNum>
  <w:abstractNum w:abstractNumId="43">
    <w:nsid w:val="43F18422"/>
    <w:multiLevelType w:val="hybridMultilevel"/>
    <w:lvl w:ilvl="0">
      <w:lvlJc w:val="left"/>
      <w:lvlText w:val="%1"/>
      <w:numFmt w:val="decimal"/>
      <w:start w:val="1"/>
    </w:lvl>
    <w:lvl w:ilvl="1">
      <w:lvlJc w:val="left"/>
      <w:lvlText w:val="(%2)"/>
      <w:numFmt w:val="lowerLetter"/>
      <w:start w:val="6"/>
    </w:lvl>
  </w:abstractNum>
  <w:abstractNum w:abstractNumId="44">
    <w:nsid w:val="60EF0119"/>
    <w:multiLevelType w:val="hybridMultilevel"/>
    <w:lvl w:ilvl="0">
      <w:lvlJc w:val="left"/>
      <w:lvlText w:val="%1."/>
      <w:numFmt w:val="decimal"/>
      <w:start w:val="2"/>
    </w:lvl>
    <w:lvl w:ilvl="1">
      <w:lvlJc w:val="left"/>
      <w:lvlText w:val="%2"/>
      <w:numFmt w:val="lowerLetter"/>
      <w:start w:val="1"/>
    </w:lvl>
  </w:abstractNum>
  <w:abstractNum w:abstractNumId="45">
    <w:nsid w:val="26F324BA"/>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46">
    <w:nsid w:val="7F01579B"/>
    <w:multiLevelType w:val="hybridMultilevel"/>
    <w:lvl w:ilvl="0">
      <w:lvlJc w:val="left"/>
      <w:lvlText w:val="(%1)"/>
      <w:numFmt w:val="lowerRoman"/>
      <w:start w:val="2"/>
    </w:lvl>
  </w:abstractNum>
  <w:abstractNum w:abstractNumId="47">
    <w:nsid w:val="49DA307D"/>
    <w:multiLevelType w:val="hybridMultilevel"/>
    <w:lvl w:ilvl="0">
      <w:lvlJc w:val="left"/>
      <w:lvlText w:val="(%1)"/>
      <w:numFmt w:val="lowerRoman"/>
      <w:start w:val="9"/>
    </w:lvl>
  </w:abstractNum>
  <w:abstractNum w:abstractNumId="48">
    <w:nsid w:val="7055A5F5"/>
    <w:multiLevelType w:val="hybridMultilevel"/>
    <w:lvl w:ilvl="0">
      <w:lvlJc w:val="left"/>
      <w:lvlText w:val="1"/>
      <w:numFmt w:val="bullet"/>
      <w:start w:val="1"/>
    </w:lvl>
  </w:abstractNum>
  <w:abstractNum w:abstractNumId="49">
    <w:nsid w:val="5FB8370B"/>
    <w:multiLevelType w:val="hybridMultilevel"/>
    <w:lvl w:ilvl="0">
      <w:lvlJc w:val="left"/>
      <w:lvlText w:val="(%1)"/>
      <w:numFmt w:val="lowerRoman"/>
      <w:start w:val="12"/>
    </w:lvl>
  </w:abstractNum>
  <w:abstractNum w:abstractNumId="50">
    <w:nsid w:val="50801EE1"/>
    <w:multiLevelType w:val="hybridMultilevel"/>
    <w:lvl w:ilvl="0">
      <w:lvlJc w:val="left"/>
      <w:lvlText w:val="(%1)"/>
      <w:numFmt w:val="lowerLetter"/>
      <w:start w:val="4"/>
    </w:lvl>
    <w:lvl w:ilvl="1">
      <w:lvlJc w:val="left"/>
      <w:lvlText w:val="(%2)"/>
      <w:numFmt w:val="upperLetter"/>
      <w:start w:val="1"/>
    </w:lvl>
    <w:lvl w:ilvl="2">
      <w:lvlJc w:val="left"/>
      <w:lvlText w:val="(%3)"/>
      <w:numFmt w:val="lowerRoman"/>
      <w:start w:val="1"/>
    </w:lvl>
  </w:abstractNum>
  <w:abstractNum w:abstractNumId="51">
    <w:nsid w:val="488AC1A"/>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4"/>
    </w:lvl>
  </w:abstractNum>
  <w:abstractNum w:abstractNumId="52">
    <w:nsid w:val="5FB8011C"/>
    <w:multiLevelType w:val="hybridMultilevel"/>
    <w:lvl w:ilvl="0">
      <w:lvlJc w:val="left"/>
      <w:lvlText w:val="(%1)"/>
      <w:numFmt w:val="upperLetter"/>
      <w:start w:val="2"/>
    </w:lvl>
    <w:lvl w:ilvl="1">
      <w:lvlJc w:val="left"/>
      <w:lvlText w:val="(%2)"/>
      <w:numFmt w:val="lowerRoman"/>
      <w:start w:val="6"/>
    </w:lvl>
  </w:abstractNum>
  <w:abstractNum w:abstractNumId="53">
    <w:nsid w:val="6AA78F7F"/>
    <w:multiLevelType w:val="hybridMultilevel"/>
    <w:lvl w:ilvl="0">
      <w:lvlJc w:val="left"/>
      <w:lvlText w:val="(%1)"/>
      <w:numFmt w:val="lowerLetter"/>
      <w:start w:val="5"/>
    </w:lvl>
    <w:lvl w:ilvl="1">
      <w:lvlJc w:val="left"/>
      <w:lvlText w:val="(%2)"/>
      <w:numFmt w:val="lowerRoman"/>
      <w:start w:val="1"/>
    </w:lvl>
  </w:abstractNum>
  <w:abstractNum w:abstractNumId="54">
    <w:nsid w:val="7672BD23"/>
    <w:multiLevelType w:val="hybridMultilevel"/>
    <w:lvl w:ilvl="0">
      <w:lvlJc w:val="left"/>
      <w:lvlText w:val="%1"/>
      <w:numFmt w:val="decimal"/>
      <w:start w:val="1"/>
    </w:lvl>
    <w:lvl w:ilvl="1">
      <w:lvlJc w:val="left"/>
      <w:lvlText w:val="(%2)"/>
      <w:numFmt w:val="lowerLetter"/>
      <w:start w:val="6"/>
    </w:lvl>
  </w:abstractNum>
  <w:abstractNum w:abstractNumId="55">
    <w:nsid w:val="6FC75AF8"/>
    <w:multiLevelType w:val="hybridMultilevel"/>
    <w:lvl w:ilvl="0">
      <w:lvlJc w:val="left"/>
      <w:lvlText w:val="%1."/>
      <w:numFmt w:val="decimal"/>
      <w:start w:val="5"/>
    </w:lvl>
    <w:lvl w:ilvl="1">
      <w:lvlJc w:val="left"/>
      <w:lvlText w:val="(%2)"/>
      <w:numFmt w:val="lowerLetter"/>
      <w:start w:val="1"/>
    </w:lvl>
  </w:abstractNum>
  <w:abstractNum w:abstractNumId="56">
    <w:nsid w:val="6A5F7029"/>
    <w:multiLevelType w:val="hybridMultilevel"/>
    <w:lvl w:ilvl="0">
      <w:lvlJc w:val="left"/>
      <w:lvlText w:val="(%1)"/>
      <w:numFmt w:val="lowerLetter"/>
      <w:start w:val="4"/>
    </w:lvl>
  </w:abstractNum>
  <w:abstractNum w:abstractNumId="57">
    <w:nsid w:val="7D5E18F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8">
    <w:nsid w:val="5F3534A4"/>
    <w:multiLevelType w:val="hybridMultilevel"/>
    <w:lvl w:ilvl="0">
      <w:lvlJc w:val="left"/>
      <w:lvlText w:val="%1."/>
      <w:numFmt w:val="decimal"/>
      <w:start w:val="8"/>
    </w:lvl>
  </w:abstractNum>
  <w:abstractNum w:abstractNumId="59">
    <w:nsid w:val="73A1821B"/>
    <w:multiLevelType w:val="hybridMultilevel"/>
    <w:lvl w:ilvl="0">
      <w:lvlJc w:val="left"/>
      <w:lvlText w:val="%1."/>
      <w:numFmt w:val="decimal"/>
      <w:start w:val="9"/>
    </w:lvl>
  </w:abstractNum>
  <w:abstractNum w:abstractNumId="60">
    <w:nsid w:val="7DE67713"/>
    <w:multiLevelType w:val="hybridMultilevel"/>
    <w:lvl w:ilvl="0">
      <w:lvlJc w:val="left"/>
      <w:lvlText w:val="(%1)"/>
      <w:numFmt w:val="lowerLetter"/>
      <w:start w:val="1"/>
    </w:lvl>
  </w:abstractNum>
  <w:abstractNum w:abstractNumId="61">
    <w:nsid w:val="555C55B5"/>
    <w:multiLevelType w:val="hybridMultilevel"/>
    <w:lvl w:ilvl="0">
      <w:lvlJc w:val="left"/>
      <w:lvlText w:val="(%1)"/>
      <w:numFmt w:val="lowerLetter"/>
      <w:start w:val="1"/>
    </w:lvl>
  </w:abstractNum>
  <w:abstractNum w:abstractNumId="62">
    <w:nsid w:val="3FA62ACA"/>
    <w:multiLevelType w:val="hybridMultilevel"/>
    <w:lvl w:ilvl="0">
      <w:lvlJc w:val="left"/>
      <w:lvlText w:val="(%1)"/>
      <w:numFmt w:val="lowerLetter"/>
      <w:start w:val="2"/>
    </w:lvl>
  </w:abstractNum>
  <w:abstractNum w:abstractNumId="63">
    <w:nsid w:val="14FCE74E"/>
    <w:multiLevelType w:val="hybridMultilevel"/>
    <w:lvl w:ilvl="0">
      <w:lvlJc w:val="left"/>
      <w:lvlText w:val="(%1)"/>
      <w:numFmt w:val="lowerLetter"/>
      <w:start w:val="13"/>
    </w:lvl>
  </w:abstractNum>
  <w:abstractNum w:abstractNumId="64">
    <w:nsid w:val="6A3DD3E8"/>
    <w:multiLevelType w:val="hybridMultilevel"/>
    <w:lvl w:ilvl="0">
      <w:lvlJc w:val="left"/>
      <w:lvlText w:val="(%1)"/>
      <w:numFmt w:val="lowerRoman"/>
      <w:start w:val="1"/>
    </w:lvl>
  </w:abstractNum>
  <w:abstractNum w:abstractNumId="65">
    <w:nsid w:val="71C91298"/>
    <w:multiLevelType w:val="hybridMultilevel"/>
    <w:lvl w:ilvl="0">
      <w:lvlJc w:val="left"/>
      <w:lvlText w:val="(%1)"/>
      <w:numFmt w:val="lowerLetter"/>
      <w:start w:val="1"/>
    </w:lvl>
    <w:lvl w:ilvl="1">
      <w:lvlJc w:val="left"/>
      <w:lvlText w:val="(%2)"/>
      <w:numFmt w:val="lowerLetter"/>
      <w:start w:val="9"/>
    </w:lvl>
  </w:abstractNum>
  <w:abstractNum w:abstractNumId="66">
    <w:nsid w:val="9DAF632"/>
    <w:multiLevelType w:val="hybridMultilevel"/>
    <w:lvl w:ilvl="0">
      <w:lvlJc w:val="left"/>
      <w:lvlText w:val="1"/>
      <w:numFmt w:val="bullet"/>
      <w:start w:val="1"/>
    </w:lvl>
  </w:abstractNum>
  <w:abstractNum w:abstractNumId="67">
    <w:nsid w:val="53299938"/>
    <w:multiLevelType w:val="hybridMultilevel"/>
    <w:lvl w:ilvl="0">
      <w:lvlJc w:val="left"/>
      <w:lvlText w:val="(%1)"/>
      <w:numFmt w:val="lowerRoman"/>
      <w:start w:val="2"/>
    </w:lvl>
  </w:abstractNum>
  <w:abstractNum w:abstractNumId="68">
    <w:nsid w:val="1FBFE8E0"/>
    <w:multiLevelType w:val="hybridMultilevel"/>
    <w:lvl w:ilvl="0">
      <w:lvlJc w:val="left"/>
      <w:lvlText w:val="(%1)"/>
      <w:numFmt w:val="lowerRoman"/>
      <w:start w:val="1"/>
    </w:lvl>
  </w:abstractNum>
  <w:abstractNum w:abstractNumId="69">
    <w:nsid w:val="5092CA79"/>
    <w:multiLevelType w:val="hybridMultilevel"/>
    <w:lvl w:ilvl="0">
      <w:lvlJc w:val="left"/>
      <w:lvlText w:val="(%1)"/>
      <w:numFmt w:val="lowerLetter"/>
      <w:start w:val="2"/>
    </w:lvl>
  </w:abstractNum>
  <w:abstractNum w:abstractNumId="70">
    <w:nsid w:val="1D545C4D"/>
    <w:multiLevelType w:val="hybridMultilevel"/>
    <w:lvl w:ilvl="0">
      <w:lvlJc w:val="left"/>
      <w:lvlText w:val="(%1)"/>
      <w:numFmt w:val="lowerLetter"/>
      <w:start w:val="2"/>
    </w:lvl>
  </w:abstractNum>
  <w:abstractNum w:abstractNumId="71">
    <w:nsid w:val="59ADEA3D"/>
    <w:multiLevelType w:val="hybridMultilevel"/>
    <w:lvl w:ilvl="0">
      <w:lvlJc w:val="left"/>
      <w:lvlText w:val="(%1)"/>
      <w:numFmt w:val="lowerLetter"/>
      <w:start w:val="2"/>
    </w:lvl>
  </w:abstractNum>
  <w:abstractNum w:abstractNumId="72">
    <w:nsid w:val="288F1A34"/>
    <w:multiLevelType w:val="hybridMultilevel"/>
    <w:lvl w:ilvl="0">
      <w:lvlJc w:val="left"/>
      <w:lvlText w:val="(%1)"/>
      <w:numFmt w:val="lowerLetter"/>
      <w:start w:val="1"/>
    </w:lvl>
  </w:abstractNum>
  <w:abstractNum w:abstractNumId="73">
    <w:nsid w:val="2A155DBC"/>
    <w:multiLevelType w:val="hybridMultilevel"/>
    <w:lvl w:ilvl="0">
      <w:lvlJc w:val="left"/>
      <w:lvlText w:val="(%1)"/>
      <w:numFmt w:val="lowerLetter"/>
      <w:start w:val="1"/>
    </w:lvl>
    <w:lvl w:ilvl="1">
      <w:lvlJc w:val="left"/>
      <w:lvlText w:val="(%2)"/>
      <w:numFmt w:val="lowerRoman"/>
      <w:start w:val="1"/>
    </w:lvl>
  </w:abstractNum>
  <w:abstractNum w:abstractNumId="74">
    <w:nsid w:val="1D9F6E5F"/>
    <w:multiLevelType w:val="hybridMultilevel"/>
    <w:lvl w:ilvl="0">
      <w:lvlJc w:val="left"/>
      <w:lvlText w:val="(%1)"/>
      <w:numFmt w:val="lowerLetter"/>
      <w:start w:val="1"/>
    </w:lvl>
    <w:lvl w:ilvl="1">
      <w:lvlJc w:val="left"/>
      <w:lvlText w:val="(%2)"/>
      <w:numFmt w:val="lowerRoman"/>
      <w:start w:val="1"/>
    </w:lvl>
  </w:abstractNum>
  <w:abstractNum w:abstractNumId="75">
    <w:nsid w:val="97E1B4E"/>
    <w:multiLevelType w:val="hybridMultilevel"/>
    <w:lvl w:ilvl="0">
      <w:lvlJc w:val="left"/>
      <w:lvlText w:val="(%1)"/>
      <w:numFmt w:val="decimal"/>
      <w:start w:val="1"/>
    </w:lvl>
  </w:abstractNum>
  <w:abstractNum w:abstractNumId="76">
    <w:nsid w:val="51088277"/>
    <w:multiLevelType w:val="hybridMultilevel"/>
    <w:lvl w:ilvl="0">
      <w:lvlJc w:val="left"/>
      <w:lvlText w:val="(%1)"/>
      <w:numFmt w:val="decimal"/>
      <w:start w:val="1"/>
    </w:lvl>
  </w:abstractNum>
  <w:abstractNum w:abstractNumId="77">
    <w:nsid w:val="1CA0C5FA"/>
    <w:multiLevelType w:val="hybridMultilevel"/>
    <w:lvl w:ilvl="0">
      <w:lvlJc w:val="left"/>
      <w:lvlText w:val="(%1)"/>
      <w:numFmt w:val="lowerRoman"/>
      <w:start w:val="1"/>
    </w:lvl>
  </w:abstractNum>
  <w:abstractNum w:abstractNumId="78">
    <w:nsid w:val="53584BCB"/>
    <w:multiLevelType w:val="hybridMultilevel"/>
    <w:lvl w:ilvl="0">
      <w:lvlJc w:val="left"/>
      <w:lvlText w:val="(%1)"/>
      <w:numFmt w:val="decimal"/>
      <w:start w:val="1"/>
    </w:lvl>
  </w:abstractNum>
  <w:abstractNum w:abstractNumId="79">
    <w:nsid w:val="415E286C"/>
    <w:multiLevelType w:val="hybridMultilevel"/>
    <w:lvl w:ilvl="0">
      <w:lvlJc w:val="left"/>
      <w:lvlText w:val="(%1)"/>
      <w:numFmt w:val="decimal"/>
      <w:start w:val="1"/>
    </w:lvl>
  </w:abstractNum>
  <w:abstractNum w:abstractNumId="80">
    <w:nsid w:val="7C58FD05"/>
    <w:multiLevelType w:val="hybridMultilevel"/>
    <w:lvl w:ilvl="0">
      <w:lvlJc w:val="left"/>
      <w:lvlText w:val="(%1)"/>
      <w:numFmt w:val="decimal"/>
      <w:start w:val="3"/>
    </w:lvl>
  </w:abstractNum>
  <w:abstractNum w:abstractNumId="81">
    <w:nsid w:val="23D86AAC"/>
    <w:multiLevelType w:val="hybridMultilevel"/>
    <w:lvl w:ilvl="0">
      <w:lvlJc w:val="left"/>
      <w:lvlText w:val="(%1)"/>
      <w:numFmt w:val="decimal"/>
      <w:start w:val="14"/>
    </w:lvl>
  </w:abstractNum>
  <w:abstractNum w:abstractNumId="82">
    <w:nsid w:val="45E6D486"/>
    <w:multiLevelType w:val="hybridMultilevel"/>
    <w:lvl w:ilvl="0">
      <w:lvlJc w:val="left"/>
      <w:lvlText w:val="(%1)"/>
      <w:numFmt w:val="lowerLetter"/>
      <w:start w:val="1"/>
    </w:lvl>
  </w:abstractNum>
  <w:abstractNum w:abstractNumId="83">
    <w:nsid w:val="5C10FE21"/>
    <w:multiLevelType w:val="hybridMultilevel"/>
    <w:lvl w:ilvl="0">
      <w:lvlJc w:val="left"/>
      <w:lvlText w:val="(%1)"/>
      <w:numFmt w:val="lowerLetter"/>
      <w:start w:val="1"/>
    </w:lvl>
  </w:abstractNum>
  <w:abstractNum w:abstractNumId="84">
    <w:nsid w:val="E7FFA2B"/>
    <w:multiLevelType w:val="hybridMultilevel"/>
    <w:lvl w:ilvl="0">
      <w:lvlJc w:val="left"/>
      <w:lvlText w:val="(%1)"/>
      <w:numFmt w:val="lowerLetter"/>
      <w:start w:val="2"/>
    </w:lvl>
  </w:abstractNum>
  <w:abstractNum w:abstractNumId="85">
    <w:nsid w:val="3C5991AA"/>
    <w:multiLevelType w:val="hybridMultilevel"/>
    <w:lvl w:ilvl="0">
      <w:lvlJc w:val="left"/>
      <w:lvlText w:val="(%1)"/>
      <w:numFmt w:val="lowerLetter"/>
      <w:start w:val="2"/>
    </w:lvl>
  </w:abstractNum>
  <w:abstractNum w:abstractNumId="86">
    <w:nsid w:val="4BD8591A"/>
    <w:multiLevelType w:val="hybridMultilevel"/>
    <w:lvl w:ilvl="0">
      <w:lvlJc w:val="left"/>
      <w:lvlText w:val="(%1)"/>
      <w:numFmt w:val="lowerLetter"/>
      <w:start w:val="1"/>
    </w:lvl>
  </w:abstractNum>
  <w:abstractNum w:abstractNumId="87">
    <w:nsid w:val="78DF6A55"/>
    <w:multiLevelType w:val="hybridMultilevel"/>
    <w:lvl w:ilvl="0">
      <w:lvlJc w:val="left"/>
      <w:lvlText w:val="(%1)"/>
      <w:numFmt w:val="lowerLetter"/>
      <w:start w:val="3"/>
    </w:lvl>
  </w:abstractNum>
  <w:abstractNum w:abstractNumId="88">
    <w:nsid w:val="39B7AAA2"/>
    <w:multiLevelType w:val="hybridMultilevel"/>
    <w:lvl w:ilvl="0">
      <w:lvlJc w:val="left"/>
      <w:lvlText w:val="(%1)"/>
      <w:numFmt w:val="lowerLetter"/>
      <w:start w:val="12"/>
    </w:lvl>
  </w:abstractNum>
  <w:abstractNum w:abstractNumId="89">
    <w:nsid w:val="2B0D8DBE"/>
    <w:multiLevelType w:val="hybridMultilevel"/>
    <w:lvl w:ilvl="0">
      <w:lvlJc w:val="left"/>
      <w:lvlText w:val="(%1)"/>
      <w:numFmt w:val="lowerLetter"/>
      <w:start w:val="1"/>
    </w:lvl>
  </w:abstractNum>
  <w:abstractNum w:abstractNumId="90">
    <w:nsid w:val="6C80EC70"/>
    <w:multiLevelType w:val="hybridMultilevel"/>
    <w:lvl w:ilvl="0">
      <w:lvlJc w:val="left"/>
      <w:lvlText w:val="(%1)"/>
      <w:numFmt w:val="lowerLetter"/>
      <w:start w:val="2"/>
    </w:lvl>
  </w:abstractNum>
  <w:abstractNum w:abstractNumId="91">
    <w:nsid w:val="379E21B5"/>
    <w:multiLevelType w:val="hybridMultilevel"/>
    <w:lvl w:ilvl="0">
      <w:lvlJc w:val="left"/>
      <w:lvlText w:val="(%1)"/>
      <w:numFmt w:val="lowerLetter"/>
      <w:start w:val="1"/>
    </w:lvl>
  </w:abstractNum>
  <w:abstractNum w:abstractNumId="92">
    <w:nsid w:val="69E373"/>
    <w:multiLevelType w:val="hybridMultilevel"/>
    <w:lvl w:ilvl="0">
      <w:lvlJc w:val="left"/>
      <w:lvlText w:val="(%1)"/>
      <w:numFmt w:val="lowerLetter"/>
      <w:start w:val="2"/>
    </w:lvl>
    <w:lvl w:ilvl="1">
      <w:lvlJc w:val="left"/>
      <w:lvlText w:val="(%2)"/>
      <w:numFmt w:val="lowerRoman"/>
      <w:start w:val="1"/>
    </w:lvl>
  </w:abstractNum>
  <w:abstractNum w:abstractNumId="93">
    <w:nsid w:val="2C27173B"/>
    <w:multiLevelType w:val="hybridMultilevel"/>
    <w:lvl w:ilvl="0">
      <w:lvlJc w:val="left"/>
      <w:lvlText w:val="(%1)"/>
      <w:numFmt w:val="lowerLetter"/>
      <w:start w:val="3"/>
    </w:lvl>
  </w:abstractNum>
  <w:abstractNum w:abstractNumId="94">
    <w:nsid w:val="4C9B0904"/>
    <w:multiLevelType w:val="hybridMultilevel"/>
    <w:lvl w:ilvl="0">
      <w:lvlJc w:val="left"/>
      <w:lvlText w:val="(%1)"/>
      <w:numFmt w:val="lowerLetter"/>
      <w:start w:val="4"/>
    </w:lvl>
  </w:abstractNum>
  <w:abstractNum w:abstractNumId="95">
    <w:nsid w:val="6AA7B75C"/>
    <w:multiLevelType w:val="hybridMultilevel"/>
    <w:lvl w:ilvl="0">
      <w:lvlJc w:val="left"/>
      <w:lvlText w:val="(%1)"/>
      <w:numFmt w:val="lowerLetter"/>
      <w:start w:val="1"/>
    </w:lvl>
  </w:abstractNum>
  <w:abstractNum w:abstractNumId="96">
    <w:nsid w:val="1DF029D3"/>
    <w:multiLevelType w:val="hybridMultilevel"/>
    <w:lvl w:ilvl="0">
      <w:lvlJc w:val="left"/>
      <w:lvlText w:val="(%1)"/>
      <w:numFmt w:val="lowerLetter"/>
      <w:start w:val="1"/>
    </w:lvl>
    <w:lvl w:ilvl="1">
      <w:lvlJc w:val="left"/>
      <w:lvlText w:val="(%2)"/>
      <w:numFmt w:val="lowerRoman"/>
      <w:start w:val="1"/>
    </w:lvl>
  </w:abstractNum>
  <w:abstractNum w:abstractNumId="97">
    <w:nsid w:val="5675FF36"/>
    <w:multiLevelType w:val="hybridMultilevel"/>
    <w:lvl w:ilvl="0">
      <w:lvlJc w:val="left"/>
      <w:lvlText w:val="(%1)"/>
      <w:numFmt w:val="lowerRoman"/>
      <w:start w:val="7"/>
    </w:lvl>
  </w:abstractNum>
  <w:abstractNum w:abstractNumId="98">
    <w:nsid w:val="3DD15094"/>
    <w:multiLevelType w:val="hybridMultilevel"/>
    <w:lvl w:ilvl="0">
      <w:lvlJc w:val="left"/>
      <w:lvlText w:val="(%1)"/>
      <w:numFmt w:val="lowerLetter"/>
      <w:start w:val="1"/>
    </w:lvl>
  </w:abstractNum>
  <w:abstractNum w:abstractNumId="99">
    <w:nsid w:val="3DB012B3"/>
    <w:multiLevelType w:val="hybridMultilevel"/>
    <w:lvl w:ilvl="0">
      <w:lvlJc w:val="left"/>
      <w:lvlText w:val="(%1)"/>
      <w:numFmt w:val="lowerRoman"/>
      <w:start w:val="2"/>
    </w:lvl>
  </w:abstractNum>
  <w:abstractNum w:abstractNumId="100">
    <w:nsid w:val="2708C9AF"/>
    <w:multiLevelType w:val="hybridMultilevel"/>
    <w:lvl w:ilvl="0">
      <w:lvlJc w:val="left"/>
      <w:lvlText w:val="%1"/>
      <w:numFmt w:val="lowerLetter"/>
      <w:start w:val="1"/>
    </w:lvl>
    <w:lvl w:ilvl="1">
      <w:lvlJc w:val="left"/>
      <w:lvlText w:val="(%2)"/>
      <w:numFmt w:val="lowerRoman"/>
      <w:start w:val="4"/>
    </w:lvl>
  </w:abstractNum>
  <w:abstractNum w:abstractNumId="101">
    <w:nsid w:val="5B25ACE2"/>
    <w:multiLevelType w:val="hybridMultilevel"/>
    <w:lvl w:ilvl="0">
      <w:lvlJc w:val="left"/>
      <w:lvlText w:val="(%1)"/>
      <w:numFmt w:val="lowerLetter"/>
      <w:start w:val="2"/>
    </w:lvl>
    <w:lvl w:ilvl="1">
      <w:lvlJc w:val="left"/>
      <w:lvlText w:val="(%2)"/>
      <w:numFmt w:val="lowerRoman"/>
      <w:start w:val="1"/>
    </w:lvl>
  </w:abstractNum>
  <w:abstractNum w:abstractNumId="102">
    <w:nsid w:val="175DFCF0"/>
    <w:multiLevelType w:val="hybridMultilevel"/>
    <w:lvl w:ilvl="0">
      <w:lvlJc w:val="left"/>
      <w:lvlText w:val="(%1)"/>
      <w:numFmt w:val="lowerLetter"/>
      <w:start w:val="1"/>
    </w:lvl>
  </w:abstractNum>
  <w:abstractNum w:abstractNumId="103">
    <w:nsid w:val="4F97E3E4"/>
    <w:multiLevelType w:val="hybridMultilevel"/>
    <w:lvl w:ilvl="0">
      <w:lvlJc w:val="left"/>
      <w:lvlText w:val="(%1)"/>
      <w:numFmt w:val="lowerLetter"/>
      <w:start w:val="3"/>
    </w:lvl>
  </w:abstractNum>
  <w:abstractNum w:abstractNumId="104">
    <w:nsid w:val="53B0A9E"/>
    <w:multiLevelType w:val="hybridMultilevel"/>
    <w:lvl w:ilvl="0">
      <w:lvlJc w:val="left"/>
      <w:lvlText w:val="(%1)"/>
      <w:numFmt w:val="lowerRoman"/>
      <w:start w:val="1"/>
    </w:lvl>
  </w:abstractNum>
  <w:abstractNum w:abstractNumId="105">
    <w:nsid w:val="34FD6B4F"/>
    <w:multiLevelType w:val="hybridMultilevel"/>
    <w:lvl w:ilvl="0">
      <w:lvlJc w:val="left"/>
      <w:lvlText w:val="(%1)"/>
      <w:numFmt w:val="lowerLetter"/>
      <w:start w:val="1"/>
    </w:lvl>
  </w:abstractNum>
  <w:abstractNum w:abstractNumId="106">
    <w:nsid w:val="5915FF32"/>
    <w:multiLevelType w:val="hybridMultilevel"/>
    <w:lvl w:ilvl="0">
      <w:lvlJc w:val="left"/>
      <w:lvlText w:val="(%1)"/>
      <w:numFmt w:val="lowerLetter"/>
      <w:start w:val="7"/>
    </w:lvl>
  </w:abstractNum>
  <w:abstractNum w:abstractNumId="107">
    <w:nsid w:val="56438D15"/>
    <w:multiLevelType w:val="hybridMultilevel"/>
    <w:lvl w:ilvl="0">
      <w:lvlJc w:val="left"/>
      <w:lvlText w:val="(%1)"/>
      <w:numFmt w:val="lowerLetter"/>
      <w:start w:val="1"/>
    </w:lvl>
  </w:abstractNum>
  <w:abstractNum w:abstractNumId="108">
    <w:nsid w:val="519E3149"/>
    <w:multiLevelType w:val="hybridMultilevel"/>
    <w:lvl w:ilvl="0">
      <w:lvlJc w:val="left"/>
      <w:lvlText w:val="(%1)"/>
      <w:numFmt w:val="lowerLetter"/>
      <w:start w:val="1"/>
    </w:lvl>
  </w:abstractNum>
  <w:abstractNum w:abstractNumId="109">
    <w:nsid w:val="2C6E4AFD"/>
    <w:multiLevelType w:val="hybridMultilevel"/>
    <w:lvl w:ilvl="0">
      <w:lvlJc w:val="left"/>
      <w:lvlText w:val="(%1)"/>
      <w:numFmt w:val="lowerLetter"/>
      <w:start w:val="1"/>
    </w:lvl>
  </w:abstractNum>
  <w:abstractNum w:abstractNumId="110">
    <w:nsid w:val="17A1B582"/>
    <w:multiLevelType w:val="hybridMultilevel"/>
    <w:lvl w:ilvl="0">
      <w:lvlJc w:val="left"/>
      <w:lvlText w:val="%1."/>
      <w:numFmt w:val="decimal"/>
      <w:start w:val="1"/>
    </w:lvl>
  </w:abstractNum>
  <w:abstractNum w:abstractNumId="111">
    <w:nsid w:val="4DF72E4E"/>
    <w:multiLevelType w:val="hybridMultilevel"/>
    <w:lvl w:ilvl="0">
      <w:lvlJc w:val="left"/>
      <w:lvlText w:val="%1."/>
      <w:numFmt w:val="decimal"/>
      <w:start w:val="2"/>
    </w:lvl>
  </w:abstractNum>
  <w:abstractNum w:abstractNumId="112">
    <w:nsid w:val="5046B5A9"/>
    <w:multiLevelType w:val="hybridMultilevel"/>
    <w:lvl w:ilvl="0">
      <w:lvlJc w:val="left"/>
      <w:lvlText w:val="%1."/>
      <w:numFmt w:val="decimal"/>
      <w:start w:val="3"/>
    </w:lvl>
  </w:abstractNum>
  <w:abstractNum w:abstractNumId="113">
    <w:nsid w:val="5D888A08"/>
    <w:multiLevelType w:val="hybridMultilevel"/>
    <w:lvl w:ilvl="0">
      <w:lvlJc w:val="left"/>
      <w:lvlText w:val="%1."/>
      <w:numFmt w:val="decimal"/>
      <w:start w:val="4"/>
    </w:lvl>
  </w:abstractNum>
  <w:abstractNum w:abstractNumId="114">
    <w:nsid w:val="2A082C70"/>
    <w:multiLevelType w:val="hybridMultilevel"/>
    <w:lvl w:ilvl="0">
      <w:lvlJc w:val="left"/>
      <w:lvlText w:val="%1."/>
      <w:numFmt w:val="decimal"/>
      <w:start w:val="5"/>
    </w:lvl>
  </w:abstractNum>
  <w:abstractNum w:abstractNumId="115">
    <w:nsid w:val="5EC6AFD4"/>
    <w:multiLevelType w:val="hybridMultilevel"/>
    <w:lvl w:ilvl="0">
      <w:lvlJc w:val="left"/>
      <w:lvlText w:val="%1."/>
      <w:numFmt w:val="decimal"/>
      <w:start w:val="7"/>
    </w:lvl>
  </w:abstractNum>
  <w:abstractNum w:abstractNumId="116">
    <w:nsid w:val="19E21BB2"/>
    <w:multiLevelType w:val="hybridMultilevel"/>
    <w:lvl w:ilvl="0">
      <w:lvlJc w:val="left"/>
      <w:lvlText w:val="%1."/>
      <w:numFmt w:val="decimal"/>
      <w:start w:val="8"/>
    </w:lvl>
  </w:abstractNum>
  <w:abstractNum w:abstractNumId="117">
    <w:nsid w:val="75E0858A"/>
    <w:multiLevelType w:val="hybridMultilevel"/>
    <w:lvl w:ilvl="0">
      <w:lvlJc w:val="left"/>
      <w:lvlText w:val="%1."/>
      <w:numFmt w:val="decimal"/>
      <w:start w:val="9"/>
    </w:lvl>
  </w:abstractNum>
  <w:abstractNum w:abstractNumId="118">
    <w:nsid w:val="57A61A29"/>
    <w:multiLevelType w:val="hybridMultilevel"/>
    <w:lvl w:ilvl="0">
      <w:lvlJc w:val="left"/>
      <w:lvlText w:val="%1."/>
      <w:numFmt w:val="decimal"/>
      <w:start w:val="10"/>
    </w:lvl>
  </w:abstractNum>
  <w:abstractNum w:abstractNumId="119">
    <w:nsid w:val="5399C654"/>
    <w:multiLevelType w:val="hybridMultilevel"/>
    <w:lvl w:ilvl="0">
      <w:lvlJc w:val="left"/>
      <w:lvlText w:val="%1."/>
      <w:numFmt w:val="decimal"/>
      <w:start w:val="11"/>
    </w:lvl>
  </w:abstractNum>
  <w:abstractNum w:abstractNumId="120">
    <w:nsid w:val="20EE1348"/>
    <w:multiLevelType w:val="hybridMultilevel"/>
    <w:lvl w:ilvl="0">
      <w:lvlJc w:val="left"/>
      <w:lvlText w:val="%1."/>
      <w:numFmt w:val="decimal"/>
      <w:start w:val="12"/>
    </w:lvl>
  </w:abstractNum>
  <w:abstractNum w:abstractNumId="121">
    <w:nsid w:val="4427069A"/>
    <w:multiLevelType w:val="hybridMultilevel"/>
    <w:lvl w:ilvl="0">
      <w:lvlJc w:val="left"/>
      <w:lvlText w:val="%1."/>
      <w:numFmt w:val="decimal"/>
      <w:start w:val="13"/>
    </w:lvl>
  </w:abstractNum>
  <w:abstractNum w:abstractNumId="122">
    <w:nsid w:val="B37E80A"/>
    <w:multiLevelType w:val="hybridMultilevel"/>
    <w:lvl w:ilvl="0">
      <w:lvlJc w:val="left"/>
      <w:lvlText w:val="(%1)"/>
      <w:numFmt w:val="lowerRoman"/>
      <w:start w:val="1"/>
    </w:lvl>
  </w:abstractNum>
  <w:abstractNum w:abstractNumId="123">
    <w:nsid w:val="2157F6BC"/>
    <w:multiLevelType w:val="hybridMultilevel"/>
    <w:lvl w:ilvl="0">
      <w:lvlJc w:val="left"/>
      <w:lvlText w:val="%1."/>
      <w:numFmt w:val="decimal"/>
      <w:start w:val="14"/>
    </w:lvl>
  </w:abstractNum>
  <w:abstractNum w:abstractNumId="124">
    <w:nsid w:val="704E1DD5"/>
    <w:multiLevelType w:val="hybridMultilevel"/>
    <w:lvl w:ilvl="0">
      <w:lvlJc w:val="left"/>
      <w:lvlText w:val="%1."/>
      <w:numFmt w:val="decimal"/>
      <w:start w:val="15"/>
    </w:lvl>
  </w:abstractNum>
  <w:abstractNum w:abstractNumId="125">
    <w:nsid w:val="57D2F10E"/>
    <w:multiLevelType w:val="hybridMultilevel"/>
    <w:lvl w:ilvl="0">
      <w:lvlJc w:val="left"/>
      <w:lvlText w:val="%1."/>
      <w:numFmt w:val="decimal"/>
      <w:start w:val="16"/>
    </w:lvl>
  </w:abstractNum>
  <w:abstractNum w:abstractNumId="126">
    <w:nsid w:val="BFFAE18"/>
    <w:multiLevelType w:val="hybridMultilevel"/>
    <w:lvl w:ilvl="0">
      <w:lvlJc w:val="left"/>
      <w:lvlText w:val="%1."/>
      <w:numFmt w:val="decimal"/>
      <w:start w:val="17"/>
    </w:lvl>
  </w:abstractNum>
  <w:abstractNum w:abstractNumId="127">
    <w:nsid w:val="E3E47A8"/>
    <w:multiLevelType w:val="hybridMultilevel"/>
    <w:lvl w:ilvl="0">
      <w:lvlJc w:val="left"/>
      <w:lvlText w:val="%1."/>
      <w:numFmt w:val="decimal"/>
      <w:start w:val="18"/>
    </w:lvl>
  </w:abstractNum>
  <w:abstractNum w:abstractNumId="128">
    <w:nsid w:val="2E48F044"/>
    <w:multiLevelType w:val="hybridMultilevel"/>
    <w:lvl w:ilvl="0">
      <w:lvlJc w:val="left"/>
      <w:lvlText w:val="%1."/>
      <w:numFmt w:val="decimal"/>
      <w:start w:val="19"/>
    </w:lvl>
  </w:abstractNum>
  <w:abstractNum w:abstractNumId="129">
    <w:nsid w:val="49D0FEAC"/>
    <w:multiLevelType w:val="hybridMultilevel"/>
    <w:lvl w:ilvl="0">
      <w:lvlJc w:val="left"/>
      <w:lvlText w:val="%1."/>
      <w:numFmt w:val="decimal"/>
      <w:start w:val="20"/>
    </w:lvl>
  </w:abstractNum>
  <w:abstractNum w:abstractNumId="130">
    <w:nsid w:val="4BEE5A5B"/>
    <w:multiLevelType w:val="hybridMultilevel"/>
    <w:lvl w:ilvl="0">
      <w:lvlJc w:val="left"/>
      <w:lvlText w:val="(%1)"/>
      <w:numFmt w:val="lowerRoman"/>
      <w:start w:val="4"/>
    </w:lvl>
  </w:abstractNum>
  <w:abstractNum w:abstractNumId="131">
    <w:nsid w:val="5551B9F3"/>
    <w:multiLevelType w:val="hybridMultilevel"/>
    <w:lvl w:ilvl="0">
      <w:lvlJc w:val="left"/>
      <w:lvlText w:val="(%1)"/>
      <w:numFmt w:val="lowerRoman"/>
      <w:start w:val="8"/>
    </w:lvl>
  </w:abstractNum>
  <w:abstractNum w:abstractNumId="132">
    <w:nsid w:val="24F6AB8E"/>
    <w:multiLevelType w:val="hybridMultilevel"/>
    <w:lvl w:ilvl="0">
      <w:lvlJc w:val="left"/>
      <w:lvlText w:val="%1."/>
      <w:numFmt w:val="decimal"/>
      <w:start w:val="1"/>
    </w:lvl>
  </w:abstractNum>
  <w:abstractNum w:abstractNumId="133">
    <w:nsid w:val="634C574C"/>
    <w:multiLevelType w:val="hybridMultilevel"/>
    <w:lvl w:ilvl="0">
      <w:lvlJc w:val="left"/>
      <w:lvlText w:val="%1."/>
      <w:numFmt w:val="decimal"/>
      <w:start w:val="2"/>
    </w:lvl>
  </w:abstractNum>
  <w:abstractNum w:abstractNumId="134">
    <w:nsid w:val="24E99DD7"/>
    <w:multiLevelType w:val="hybridMultilevel"/>
    <w:lvl w:ilvl="0">
      <w:lvlJc w:val="left"/>
      <w:lvlText w:val="(%1)"/>
      <w:numFmt w:val="lowerRoman"/>
      <w:start w:val="5"/>
    </w:lvl>
  </w:abstractNum>
  <w:abstractNum w:abstractNumId="135">
    <w:nsid w:val="2A31B62D"/>
    <w:multiLevelType w:val="hybridMultilevel"/>
    <w:lvl w:ilvl="0">
      <w:lvlJc w:val="left"/>
      <w:lvlText w:val="%1."/>
      <w:numFmt w:val="decimal"/>
      <w:start w:val="1"/>
    </w:lvl>
  </w:abstractNum>
  <w:abstractNum w:abstractNumId="136">
    <w:nsid w:val="1849C29B"/>
    <w:multiLevelType w:val="hybridMultilevel"/>
    <w:lvl w:ilvl="0">
      <w:lvlJc w:val="left"/>
      <w:lvlText w:val="(%1)"/>
      <w:numFmt w:val="decimal"/>
      <w:start w:val="1"/>
    </w:lvl>
  </w:abstractNum>
  <w:abstractNum w:abstractNumId="137">
    <w:nsid w:val="7DFF9D09"/>
    <w:multiLevelType w:val="hybridMultilevel"/>
    <w:lvl w:ilvl="0">
      <w:lvlJc w:val="left"/>
      <w:lvlText w:val="%1."/>
      <w:numFmt w:val="decimal"/>
      <w:start w:val="1"/>
    </w:lvl>
    <w:lvl w:ilvl="1">
      <w:lvlJc w:val="left"/>
      <w:lvlText w:val="(%2)"/>
      <w:numFmt w:val="lowerLetter"/>
      <w:start w:val="1"/>
    </w:lvl>
  </w:abstractNum>
  <w:abstractNum w:abstractNumId="138">
    <w:nsid w:val="754342"/>
    <w:multiLevelType w:val="hybridMultilevel"/>
    <w:lvl w:ilvl="0">
      <w:lvlJc w:val="left"/>
      <w:lvlText w:val="%1"/>
      <w:numFmt w:val="decimal"/>
      <w:start w:val="1"/>
    </w:lvl>
    <w:lvl w:ilvl="1">
      <w:lvlJc w:val="left"/>
      <w:lvlText w:val="(%2)"/>
      <w:numFmt w:val="lowerLetter"/>
      <w:start w:val="2"/>
    </w:lvl>
  </w:abstractNum>
  <w:abstractNum w:abstractNumId="139">
    <w:nsid w:val="69E7F3E5"/>
    <w:multiLevelType w:val="hybridMultilevel"/>
    <w:lvl w:ilvl="0">
      <w:lvlJc w:val="left"/>
      <w:lvlText w:val="%1."/>
      <w:numFmt w:val="decimal"/>
      <w:start w:val="2"/>
    </w:lvl>
    <w:lvl w:ilvl="1">
      <w:lvlJc w:val="left"/>
      <w:lvlText w:val="%2"/>
      <w:numFmt w:val="lowerLetter"/>
      <w:start w:val="1"/>
    </w:lvl>
  </w:abstractNum>
  <w:abstractNum w:abstractNumId="140">
    <w:nsid w:val="2A6DE806"/>
    <w:multiLevelType w:val="hybridMultilevel"/>
    <w:lvl w:ilvl="0">
      <w:lvlJc w:val="left"/>
      <w:lvlText w:val="%1."/>
      <w:numFmt w:val="decimal"/>
      <w:start w:val="16"/>
    </w:lvl>
    <w:lvl w:ilvl="1">
      <w:lvlJc w:val="left"/>
      <w:lvlText w:val="%2."/>
      <w:numFmt w:val="decimal"/>
      <w:start w:val="1"/>
    </w:lvl>
    <w:lvl w:ilvl="2">
      <w:lvlJc w:val="left"/>
      <w:lvlText w:val="-"/>
      <w:numFmt w:val="bullet"/>
      <w:start w:val="1"/>
    </w:lvl>
  </w:abstractNum>
  <w:abstractNum w:abstractNumId="141">
    <w:nsid w:val="1816F8C4"/>
    <w:multiLevelType w:val="hybridMultilevel"/>
    <w:lvl w:ilvl="0">
      <w:lvlJc w:val="left"/>
      <w:lvlText w:val="%1."/>
      <w:numFmt w:val="decimal"/>
      <w:start w:val="4"/>
    </w:lvl>
  </w:abstractNum>
  <w:abstractNum w:abstractNumId="142">
    <w:nsid w:val="37DF2233"/>
    <w:multiLevelType w:val="hybridMultilevel"/>
    <w:lvl w:ilvl="0">
      <w:lvlJc w:val="left"/>
      <w:lvlText w:val="%1."/>
      <w:numFmt w:val="decimal"/>
      <w:start w:val="6"/>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2019-12-20T22:29:13Z</dcterms:created>
  <dcterms:modified xsi:type="dcterms:W3CDTF">2019-12-20T22:29:13Z</dcterms:modified>
</cp:coreProperties>
</file>