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20" w:type="dxa"/>
            <w:vAlign w:val="bottom"/>
          </w:tcPr>
          <w:p>
            <w:pPr>
              <w:spacing w:after="0"/>
              <w:rPr>
                <w:sz w:val="20"/>
                <w:szCs w:val="20"/>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18, 2025</w:t>
            </w:r>
          </w:p>
        </w:tc>
      </w:tr>
      <w:tr>
        <w:trPr>
          <w:trHeight w:val="450"/>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20" w:type="dxa"/>
            <w:vAlign w:val="bottom"/>
          </w:tcPr>
          <w:p>
            <w:pPr>
              <w:spacing w:after="0"/>
              <w:rPr>
                <w:sz w:val="12"/>
                <w:szCs w:val="12"/>
                <w:color w:val="auto"/>
              </w:rPr>
            </w:pPr>
          </w:p>
        </w:tc>
        <w:tc>
          <w:tcPr>
            <w:tcW w:w="7140" w:type="dxa"/>
            <w:vAlign w:val="bottom"/>
          </w:tcPr>
          <w:p>
            <w:pPr>
              <w:jc w:val="center"/>
              <w:ind w:right="226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714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our annual meeting of shareholders held on June 18, 2025 (the “annual meeting”), our shareholders approved an amendment to the Comcast-NBCUniversal 2011 Employee Stock Purchase Plan (the “Plan”) to increase the number of shares available for issuance from 24.2 million to 34.2 million. The amendment was approved on February 25, 2025 by the Compensation and Human Capital Committee of our Board of Directors, subject to shareholder approval at the annual meeting. The effective date of the Plan is June 18,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description is qualified in its entirety by reference to the full text of the Plan, which is attached as Exhibit 10.1 hereto.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on June 18, 2025, our shareholders approved, or did not approve, the following proposals.</w:t>
      </w:r>
    </w:p>
    <w:p>
      <w:pPr>
        <w:spacing w:after="0" w:line="225"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votes cast for and against (or withheld) and the number of abstentions and broker non-votes with respect to each such proposal, as described in detail in the Company’s definitive proxy statement dated April 25, 2025, are set forth below.</w:t>
      </w:r>
    </w:p>
    <w:p>
      <w:pPr>
        <w:spacing w:after="0" w:line="54"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director nominees named in the proxy statement were elected to serve as directors for one-year terms.</w:t>
      </w:r>
    </w:p>
    <w:p>
      <w:pPr>
        <w:spacing w:after="0" w:line="167" w:lineRule="exact"/>
        <w:rPr>
          <w:sz w:val="20"/>
          <w:szCs w:val="20"/>
          <w:color w:val="auto"/>
        </w:rPr>
      </w:pPr>
    </w:p>
    <w:tbl>
      <w:tblPr>
        <w:tblLayout w:type="fixed"/>
        <w:tblInd w:w="420" w:type="dxa"/>
        <w:tblCellMar>
          <w:top w:w="0" w:type="dxa"/>
          <w:left w:w="0" w:type="dxa"/>
          <w:bottom w:w="0" w:type="dxa"/>
          <w:right w:w="0" w:type="dxa"/>
        </w:tblCellMar>
      </w:tblPr>
      <w:tr>
        <w:trPr>
          <w:trHeight w:val="265"/>
        </w:trPr>
        <w:tc>
          <w:tcPr>
            <w:tcW w:w="2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5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4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64"/>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Kenneth J. Bacon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276,326,268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94,282,743</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Thomas J. Baltimore, Jr.</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293,214,056</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77,394,955</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Madeline S. Bell</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316,252,613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54,356,398</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Louise F. Brady</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366,037,685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4,571,326</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Edward D. Breen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351,324,467</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19,284,544</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Jeffrey A. Honickman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309,999,118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60,609,893</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Wonya Y. Lucas</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366,035,240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4,573,771</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Asuka Nakahara</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366,026,920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4,582,091</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C. Novak</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364,819,859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5,789,152</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Brian L. Roberts</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345,943,514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24,665,497</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22,704,817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appointment of Deloitte &amp; Touche LLP as our independent auditors for the 2025 fiscal year, as described in the proxy statement, was ratified.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2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379,440,116</w:t>
            </w:r>
          </w:p>
        </w:tc>
        <w:tc>
          <w:tcPr>
            <w:tcW w:w="26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13,593,917</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279,795</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increase in share authorization under the Plan, as described in the proxy statement, was approved.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23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368,706,077</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1,606,890</w:t>
            </w:r>
          </w:p>
        </w:tc>
        <w:tc>
          <w:tcPr>
            <w:tcW w:w="2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296,044</w:t>
            </w:r>
          </w:p>
        </w:tc>
        <w:tc>
          <w:tcPr>
            <w:tcW w:w="2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22,704,817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advisory vote on our executive compensation, as described in the proxy statement, was approved.</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64"/>
        </w:trPr>
        <w:tc>
          <w:tcPr>
            <w:tcW w:w="2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332,155,225</w:t>
            </w:r>
          </w:p>
        </w:tc>
        <w:tc>
          <w:tcPr>
            <w:tcW w:w="26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37,280,056</w:t>
            </w:r>
          </w:p>
        </w:tc>
        <w:tc>
          <w:tcPr>
            <w:tcW w:w="25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1,173,730</w:t>
            </w:r>
          </w:p>
        </w:tc>
        <w:tc>
          <w:tcPr>
            <w:tcW w:w="2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22,704,817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A shareholder proposal to consider “CEO pay ratio factor” in executive compensation, as described in the proxy statement, was not approved.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26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15,802,892</w:t>
            </w: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353,841,457</w:t>
            </w:r>
          </w:p>
        </w:tc>
        <w:tc>
          <w:tcPr>
            <w:tcW w:w="2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964,662</w:t>
            </w:r>
          </w:p>
        </w:tc>
        <w:tc>
          <w:tcPr>
            <w:tcW w:w="2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22,704,817</w:t>
            </w:r>
          </w:p>
        </w:tc>
        <w:tc>
          <w:tcPr>
            <w:tcW w:w="760" w:type="dxa"/>
            <w:vAlign w:val="bottom"/>
          </w:tcPr>
          <w:p>
            <w:pPr>
              <w:spacing w:after="0"/>
              <w:rPr>
                <w:sz w:val="22"/>
                <w:szCs w:val="22"/>
                <w:color w:val="auto"/>
              </w:rPr>
            </w:pPr>
          </w:p>
        </w:tc>
      </w:tr>
      <w:tr>
        <w:trPr>
          <w:trHeight w:val="1087"/>
        </w:trPr>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(6) A shareholder proposal to adopt a policy for an independent chair, as described in the proxy statement, was not approved.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35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98,559,891</w:t>
            </w:r>
          </w:p>
        </w:tc>
        <w:tc>
          <w:tcPr>
            <w:tcW w:w="35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270,904,585</w:t>
            </w: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1,144,535</w:t>
            </w:r>
          </w:p>
        </w:tc>
        <w:tc>
          <w:tcPr>
            <w:tcW w:w="3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22,704,817</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1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tc>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87"/>
              </w:rPr>
              <w:t>Number</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Comcast-NBCUniversal 2011 Employee Stock Purchase Plan</w:t>
            </w:r>
          </w:p>
        </w:tc>
        <w:tc>
          <w:tcPr>
            <w:tcW w:w="1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 as amended and restated,</w:t>
            </w:r>
          </w:p>
        </w:tc>
        <w:tc>
          <w:tcPr>
            <w:tcW w:w="1720" w:type="dxa"/>
            <w:vAlign w:val="bottom"/>
            <w:tcBorders>
              <w:bottom w:val="single" w:sz="8" w:color="0000FF"/>
            </w:tcBorders>
          </w:tcPr>
          <w:p>
            <w:pPr>
              <w:ind w:left="40"/>
              <w:spacing w:after="0"/>
              <w:rPr>
                <w:sz w:val="20"/>
                <w:szCs w:val="20"/>
                <w:color w:val="auto"/>
              </w:rPr>
            </w:pPr>
            <w:r>
              <w:rPr>
                <w:rFonts w:ascii="Times New Roman" w:cs="Times New Roman" w:eastAsia="Times New Roman" w:hAnsi="Times New Roman"/>
                <w:sz w:val="18"/>
                <w:szCs w:val="18"/>
                <w:color w:val="0000FF"/>
                <w:w w:val="98"/>
              </w:rPr>
              <w:t>effective June 18, 2025</w:t>
            </w:r>
          </w:p>
        </w:tc>
        <w:tc>
          <w:tcPr>
            <w:tcW w:w="2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0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18"/>
        </w:trPr>
        <w:tc>
          <w:tcPr>
            <w:tcW w:w="3560" w:type="dxa"/>
            <w:vAlign w:val="bottom"/>
          </w:tcPr>
          <w:p>
            <w:pPr>
              <w:spacing w:after="0"/>
              <w:rPr>
                <w:sz w:val="18"/>
                <w:szCs w:val="18"/>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Wideman</w:t>
            </w:r>
          </w:p>
        </w:tc>
      </w:tr>
      <w:tr>
        <w:trPr>
          <w:trHeight w:val="180"/>
        </w:trPr>
        <w:tc>
          <w:tcPr>
            <w:tcW w:w="3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Senior Deputy General Counsel</w:t>
            </w:r>
          </w:p>
        </w:tc>
      </w:tr>
      <w:tr>
        <w:trPr>
          <w:trHeight w:val="243"/>
        </w:trPr>
        <w:tc>
          <w:tcPr>
            <w:tcW w:w="3560" w:type="dxa"/>
            <w:vAlign w:val="bottom"/>
          </w:tcPr>
          <w:p>
            <w:pPr>
              <w:spacing w:after="0"/>
              <w:rPr>
                <w:sz w:val="21"/>
                <w:szCs w:val="21"/>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ectPr>
          <w:pgSz w:w="11900" w:h="16838" w:orient="portrait"/>
          <w:cols w:equalWidth="0" w:num="1">
            <w:col w:w="11200"/>
          </w:cols>
          <w:pgMar w:left="320" w:top="94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COMCAST-NBCUNIVERSAL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2011 EMPLOYEE STOCK PURCHASE PLAN</w:t>
      </w:r>
    </w:p>
    <w:p>
      <w:pPr>
        <w:spacing w:after="0" w:line="23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The Comcast-NBCUniversal 2011 Employee Stock Purchase Plan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17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 bookkeeping account established by the Committee on behalf of a Participant to hold Payroll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Deductions.</w:t>
      </w:r>
    </w:p>
    <w:p>
      <w:pPr>
        <w:spacing w:after="0" w:line="195" w:lineRule="exact"/>
        <w:rPr>
          <w:rFonts w:ascii="Times New Roman" w:cs="Times New Roman" w:eastAsia="Times New Roman" w:hAnsi="Times New Roman"/>
          <w:sz w:val="21"/>
          <w:szCs w:val="21"/>
          <w:color w:val="auto"/>
        </w:rPr>
      </w:pPr>
    </w:p>
    <w:p>
      <w:pPr>
        <w:ind w:right="40" w:firstLine="656"/>
        <w:spacing w:after="0" w:line="253" w:lineRule="auto"/>
        <w:tabs>
          <w:tab w:leader="none" w:pos="129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right="940" w:firstLine="656"/>
        <w:spacing w:after="0" w:line="284" w:lineRule="auto"/>
        <w:tabs>
          <w:tab w:leader="none" w:pos="129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Brokerage Account</w:t>
      </w:r>
      <w:r>
        <w:rPr>
          <w:rFonts w:ascii="Times New Roman" w:cs="Times New Roman" w:eastAsia="Times New Roman" w:hAnsi="Times New Roman"/>
          <w:sz w:val="22"/>
          <w:szCs w:val="22"/>
          <w:color w:val="auto"/>
        </w:rPr>
        <w:t>” means the brokerage account established under the Plan by the Company for each Participant, to which Shares purchased under the Plan shall be credited.</w:t>
      </w:r>
    </w:p>
    <w:p>
      <w:pPr>
        <w:spacing w:after="0" w:line="143" w:lineRule="exact"/>
        <w:rPr>
          <w:rFonts w:ascii="Times New Roman" w:cs="Times New Roman" w:eastAsia="Times New Roman" w:hAnsi="Times New Roman"/>
          <w:sz w:val="22"/>
          <w:szCs w:val="22"/>
          <w:color w:val="auto"/>
        </w:rPr>
      </w:pPr>
    </w:p>
    <w:p>
      <w:pPr>
        <w:ind w:right="160" w:firstLine="656"/>
        <w:spacing w:after="0" w:line="253" w:lineRule="auto"/>
        <w:tabs>
          <w:tab w:leader="none" w:pos="129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Comcast Group</w:t>
      </w:r>
      <w:r>
        <w:rPr>
          <w:rFonts w:ascii="Times New Roman" w:cs="Times New Roman" w:eastAsia="Times New Roman" w:hAnsi="Times New Roman"/>
          <w:sz w:val="22"/>
          <w:szCs w:val="22"/>
          <w:color w:val="auto"/>
        </w:rPr>
        <w:t>” means the Company and any Affiliate of the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its delegate.</w:t>
      </w:r>
    </w:p>
    <w:p>
      <w:pPr>
        <w:sectPr>
          <w:pgSz w:w="11900" w:h="16838" w:orient="portrait"/>
          <w:cols w:equalWidth="0" w:num="1">
            <w:col w:w="11240"/>
          </w:cols>
          <w:pgMar w:left="320" w:top="1418" w:right="339" w:bottom="1440" w:gutter="0" w:footer="0" w:header="0"/>
        </w:sectPr>
      </w:pPr>
    </w:p>
    <w:bookmarkStart w:id="5" w:name="page6"/>
    <w:bookmarkEnd w:id="5"/>
    <w:p>
      <w:pPr>
        <w:ind w:left="-100" w:right="60" w:firstLine="656"/>
        <w:spacing w:after="0" w:line="271" w:lineRule="auto"/>
        <w:tabs>
          <w:tab w:leader="none" w:pos="11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57" w:lineRule="exact"/>
        <w:rPr>
          <w:rFonts w:ascii="Times New Roman" w:cs="Times New Roman" w:eastAsia="Times New Roman" w:hAnsi="Times New Roman"/>
          <w:sz w:val="22"/>
          <w:szCs w:val="22"/>
          <w:color w:val="auto"/>
        </w:rPr>
      </w:pPr>
    </w:p>
    <w:p>
      <w:pPr>
        <w:ind w:left="-100" w:right="40" w:firstLine="656"/>
        <w:spacing w:after="0" w:line="251" w:lineRule="auto"/>
        <w:tabs>
          <w:tab w:leader="none" w:pos="11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 an Eligible Employee’s wages as reported on Form W-2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94"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effective date referenced in Paragraph 15.</w:t>
      </w:r>
    </w:p>
    <w:p>
      <w:pPr>
        <w:spacing w:after="0" w:line="219" w:lineRule="exact"/>
        <w:rPr>
          <w:rFonts w:ascii="Times New Roman" w:cs="Times New Roman" w:eastAsia="Times New Roman" w:hAnsi="Times New Roman"/>
          <w:sz w:val="22"/>
          <w:szCs w:val="22"/>
          <w:color w:val="auto"/>
        </w:rPr>
      </w:pPr>
    </w:p>
    <w:p>
      <w:pPr>
        <w:ind w:left="-100" w:right="200" w:firstLine="656"/>
        <w:spacing w:after="0" w:line="271" w:lineRule="auto"/>
        <w:tabs>
          <w:tab w:leader="none" w:pos="11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means the written or electronic form acceptable to the Committee which an Eligible Employee shall use to make an election to purchase Shares through Payroll Deductions pursuant to the Plan.</w:t>
      </w:r>
    </w:p>
    <w:p>
      <w:pPr>
        <w:spacing w:after="0" w:line="157"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who is not an Ineligible Employee.</w:t>
      </w:r>
    </w:p>
    <w:p>
      <w:pPr>
        <w:spacing w:after="0" w:line="219" w:lineRule="exact"/>
        <w:rPr>
          <w:rFonts w:ascii="Times New Roman" w:cs="Times New Roman" w:eastAsia="Times New Roman" w:hAnsi="Times New Roman"/>
          <w:sz w:val="22"/>
          <w:szCs w:val="22"/>
          <w:color w:val="auto"/>
        </w:rPr>
      </w:pPr>
    </w:p>
    <w:p>
      <w:pPr>
        <w:ind w:left="1200" w:hanging="644"/>
        <w:spacing w:after="0"/>
        <w:tabs>
          <w:tab w:leader="none" w:pos="1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Employer</w:t>
      </w:r>
      <w:r>
        <w:rPr>
          <w:rFonts w:ascii="Times New Roman" w:cs="Times New Roman" w:eastAsia="Times New Roman" w:hAnsi="Times New Roman"/>
          <w:sz w:val="22"/>
          <w:szCs w:val="22"/>
          <w:color w:val="auto"/>
        </w:rPr>
        <w:t>” means NBCUniversal and any Subsidiary of NBCUniversal other than:</w:t>
      </w:r>
    </w:p>
    <w:p>
      <w:pPr>
        <w:spacing w:after="0" w:line="219" w:lineRule="exact"/>
        <w:rPr>
          <w:rFonts w:ascii="Times New Roman" w:cs="Times New Roman" w:eastAsia="Times New Roman" w:hAnsi="Times New Roman"/>
          <w:sz w:val="22"/>
          <w:szCs w:val="22"/>
          <w:color w:val="auto"/>
        </w:rPr>
      </w:pPr>
    </w:p>
    <w:p>
      <w:pPr>
        <w:ind w:left="-100" w:right="400" w:firstLine="1304"/>
        <w:spacing w:after="0" w:line="284" w:lineRule="auto"/>
        <w:tabs>
          <w:tab w:leader="none" w:pos="18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Subsidiary that is organized under the laws of a jurisdiction outside of the United States of America, other than a Subsidiary referenced pursuant to Section 2(r)(1)(iv); or</w:t>
      </w:r>
    </w:p>
    <w:p>
      <w:pPr>
        <w:spacing w:after="0" w:line="143" w:lineRule="exact"/>
        <w:rPr>
          <w:rFonts w:ascii="Times New Roman" w:cs="Times New Roman" w:eastAsia="Times New Roman" w:hAnsi="Times New Roman"/>
          <w:sz w:val="22"/>
          <w:szCs w:val="22"/>
          <w:color w:val="auto"/>
        </w:rPr>
      </w:pPr>
    </w:p>
    <w:p>
      <w:pPr>
        <w:ind w:left="-100" w:firstLine="1304"/>
        <w:spacing w:after="0" w:line="271" w:lineRule="auto"/>
        <w:tabs>
          <w:tab w:leader="none" w:pos="18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 Subsidiary that is a “Participating Company” as defined in the Comcast Corporation 2002 Employee Stock Purchase Plan.</w:t>
      </w:r>
    </w:p>
    <w:p>
      <w:pPr>
        <w:spacing w:after="0" w:line="157" w:lineRule="exact"/>
        <w:rPr>
          <w:rFonts w:ascii="Times New Roman" w:cs="Times New Roman" w:eastAsia="Times New Roman" w:hAnsi="Times New Roman"/>
          <w:sz w:val="22"/>
          <w:szCs w:val="22"/>
          <w:color w:val="auto"/>
        </w:rPr>
      </w:pPr>
    </w:p>
    <w:p>
      <w:pPr>
        <w:ind w:left="-100" w:right="60" w:firstLine="656"/>
        <w:spacing w:after="0" w:line="271" w:lineRule="auto"/>
        <w:tabs>
          <w:tab w:leader="none" w:pos="11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employee who is employed by a Participating Company and designated on the books and records of such Participating Company as an employee, provided that the term “Employee” shall not include:</w:t>
      </w:r>
    </w:p>
    <w:p>
      <w:pPr>
        <w:spacing w:after="0" w:line="171" w:lineRule="exact"/>
        <w:rPr>
          <w:rFonts w:ascii="Times New Roman" w:cs="Times New Roman" w:eastAsia="Times New Roman" w:hAnsi="Times New Roman"/>
          <w:sz w:val="22"/>
          <w:szCs w:val="22"/>
          <w:color w:val="auto"/>
        </w:rPr>
      </w:pPr>
    </w:p>
    <w:p>
      <w:pPr>
        <w:ind w:left="-100" w:right="200" w:firstLine="1304"/>
        <w:spacing w:after="0" w:line="271" w:lineRule="auto"/>
        <w:tabs>
          <w:tab w:leader="none" w:pos="18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covered by a collective bargaining agreement, unless such agreement specifically provides for participation hereunder;</w:t>
      </w:r>
    </w:p>
    <w:p>
      <w:pPr>
        <w:spacing w:after="0" w:line="157" w:lineRule="exact"/>
        <w:rPr>
          <w:rFonts w:ascii="Times New Roman" w:cs="Times New Roman" w:eastAsia="Times New Roman" w:hAnsi="Times New Roman"/>
          <w:sz w:val="22"/>
          <w:szCs w:val="22"/>
          <w:color w:val="auto"/>
        </w:rPr>
      </w:pPr>
    </w:p>
    <w:p>
      <w:pPr>
        <w:ind w:left="-100" w:right="140" w:firstLine="1304"/>
        <w:spacing w:after="0" w:line="257" w:lineRule="auto"/>
        <w:tabs>
          <w:tab w:leader="none" w:pos="18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Paragraph 2(r)(1)(iii), an individual who is not on a United States employee payroll of a Participating Company or an individual with respect to whom the Participating Company does not report such individual’s compensation as wages on Form W-2;</w:t>
      </w:r>
    </w:p>
    <w:p>
      <w:pPr>
        <w:spacing w:after="0" w:line="186" w:lineRule="exact"/>
        <w:rPr>
          <w:rFonts w:ascii="Times New Roman" w:cs="Times New Roman" w:eastAsia="Times New Roman" w:hAnsi="Times New Roman"/>
          <w:sz w:val="22"/>
          <w:szCs w:val="22"/>
          <w:color w:val="auto"/>
        </w:rPr>
      </w:pPr>
    </w:p>
    <w:p>
      <w:pPr>
        <w:ind w:left="-100" w:right="540" w:firstLine="1304"/>
        <w:spacing w:after="0" w:line="271" w:lineRule="auto"/>
        <w:tabs>
          <w:tab w:leader="none" w:pos="18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has entered into an agreement with a Participating Company which excludes such individual from participation in employee benefit plans of 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420" w:top="1422" w:right="419" w:bottom="1440" w:gutter="0" w:footer="0" w:header="0"/>
        </w:sectPr>
      </w:pPr>
    </w:p>
    <w:bookmarkStart w:id="6" w:name="page7"/>
    <w:bookmarkEnd w:id="6"/>
    <w:p>
      <w:pPr>
        <w:ind w:right="140"/>
        <w:spacing w:after="0" w:line="271" w:lineRule="auto"/>
        <w:rPr>
          <w:sz w:val="20"/>
          <w:szCs w:val="20"/>
          <w:color w:val="auto"/>
        </w:rPr>
      </w:pPr>
      <w:r>
        <w:rPr>
          <w:rFonts w:ascii="Times New Roman" w:cs="Times New Roman" w:eastAsia="Times New Roman" w:hAnsi="Times New Roman"/>
          <w:sz w:val="22"/>
          <w:szCs w:val="22"/>
          <w:color w:val="auto"/>
        </w:rPr>
        <w:t>Participating Company (whether or not such individual is treated or classified as an employee for certain specified purposes that do not include eligibility to participate in the Plan); and</w:t>
      </w:r>
    </w:p>
    <w:p>
      <w:pPr>
        <w:spacing w:after="0" w:line="158" w:lineRule="exact"/>
        <w:rPr>
          <w:sz w:val="20"/>
          <w:szCs w:val="20"/>
          <w:color w:val="auto"/>
        </w:rPr>
      </w:pPr>
    </w:p>
    <w:p>
      <w:pPr>
        <w:ind w:firstLine="1304"/>
        <w:spacing w:after="0" w:line="284" w:lineRule="auto"/>
        <w:tabs>
          <w:tab w:leader="none" w:pos="193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is not classified by the Participating Company as an employee, even if such individual is retroactively re-characterized as an employee by a third party or a Participating Company.</w:t>
      </w:r>
    </w:p>
    <w:p>
      <w:pPr>
        <w:spacing w:after="0" w:line="143" w:lineRule="exact"/>
        <w:rPr>
          <w:rFonts w:ascii="Times New Roman" w:cs="Times New Roman" w:eastAsia="Times New Roman" w:hAnsi="Times New Roman"/>
          <w:sz w:val="22"/>
          <w:szCs w:val="22"/>
          <w:color w:val="auto"/>
        </w:rPr>
      </w:pPr>
    </w:p>
    <w:p>
      <w:pPr>
        <w:ind w:right="20" w:firstLine="656"/>
        <w:spacing w:after="0" w:line="253" w:lineRule="auto"/>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78" w:lineRule="exact"/>
        <w:rPr>
          <w:rFonts w:ascii="Times New Roman" w:cs="Times New Roman" w:eastAsia="Times New Roman" w:hAnsi="Times New Roman"/>
          <w:sz w:val="22"/>
          <w:szCs w:val="22"/>
          <w:color w:val="auto"/>
        </w:rPr>
      </w:pPr>
    </w:p>
    <w:p>
      <w:pPr>
        <w:ind w:right="200" w:firstLine="656"/>
        <w:spacing w:after="0" w:line="271" w:lineRule="auto"/>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Five Percent Owner</w:t>
      </w:r>
      <w:r>
        <w:rPr>
          <w:rFonts w:ascii="Times New Roman" w:cs="Times New Roman" w:eastAsia="Times New Roman" w:hAnsi="Times New Roman"/>
          <w:sz w:val="22"/>
          <w:szCs w:val="22"/>
          <w:color w:val="auto"/>
        </w:rPr>
        <w:t>” means an Employee who, with respect to a Participating Company, is described in section 423(b)(3) of the Code.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Employee</w:t>
      </w:r>
      <w:r>
        <w:rPr>
          <w:rFonts w:ascii="Times New Roman" w:cs="Times New Roman" w:eastAsia="Times New Roman" w:hAnsi="Times New Roman"/>
          <w:sz w:val="22"/>
          <w:szCs w:val="22"/>
          <w:color w:val="auto"/>
        </w:rPr>
        <w:t>” means:</w:t>
      </w:r>
    </w:p>
    <w:p>
      <w:pPr>
        <w:spacing w:after="0" w:line="219" w:lineRule="exact"/>
        <w:rPr>
          <w:rFonts w:ascii="Times New Roman" w:cs="Times New Roman" w:eastAsia="Times New Roman" w:hAnsi="Times New Roman"/>
          <w:sz w:val="22"/>
          <w:szCs w:val="22"/>
          <w:color w:val="auto"/>
        </w:rPr>
      </w:pPr>
    </w:p>
    <w:p>
      <w:pPr>
        <w:ind w:right="140" w:firstLine="1304"/>
        <w:spacing w:after="0" w:line="271"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employee of any Participating Employer other than Universal Orlando, an Employee who, as of an Offering Commencement Date:</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Five Percent Owner;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continuously employed by the Comcast Group on a full-time basis for less than 90 days;</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continuously employed by the Comcast Group on a part-time basis for less than one year;</w:t>
      </w:r>
    </w:p>
    <w:p>
      <w:pPr>
        <w:spacing w:after="0" w:line="231" w:lineRule="exact"/>
        <w:rPr>
          <w:rFonts w:ascii="Times New Roman" w:cs="Times New Roman" w:eastAsia="Times New Roman" w:hAnsi="Times New Roman"/>
          <w:sz w:val="21"/>
          <w:szCs w:val="21"/>
          <w:color w:val="auto"/>
        </w:rPr>
      </w:pPr>
    </w:p>
    <w:p>
      <w:pPr>
        <w:jc w:val="both"/>
        <w:ind w:right="140" w:firstLine="1952"/>
        <w:spacing w:after="0" w:line="263" w:lineRule="auto"/>
        <w:tabs>
          <w:tab w:leader="none" w:pos="2570"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67" w:lineRule="exact"/>
        <w:rPr>
          <w:rFonts w:ascii="Times New Roman" w:cs="Times New Roman" w:eastAsia="Times New Roman" w:hAnsi="Times New Roman"/>
          <w:sz w:val="22"/>
          <w:szCs w:val="22"/>
          <w:color w:val="auto"/>
        </w:rPr>
      </w:pPr>
    </w:p>
    <w:p>
      <w:pPr>
        <w:ind w:right="160" w:firstLine="1952"/>
        <w:spacing w:after="0" w:line="257" w:lineRule="auto"/>
        <w:tabs>
          <w:tab w:leader="none" w:pos="2578"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173"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22"/>
          <w:szCs w:val="22"/>
          <w:color w:val="auto"/>
        </w:rPr>
        <w:t>For purposes of this Paragraph 2(r)(1), an employee is employed on a part-time basis if the Employee customarily works less than 20 hours per week. For purposes of this Paragraph 2(r), an Employee is employed on a full-time basis if the Employee customarily works 20 or more hours per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7" w:name="page8"/>
    <w:bookmarkEnd w:id="7"/>
    <w:p>
      <w:pPr>
        <w:ind w:left="1940" w:hanging="636"/>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employee of Universal Orlando, an employee who, as of an Offering Commencement Date:</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Five Percent Owner;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continuously employed by the Comcast Group on a full-time basis for less than 90 days;</w:t>
      </w:r>
    </w:p>
    <w:p>
      <w:pPr>
        <w:spacing w:after="0" w:line="244"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continuously employed by the Comcast Group on a part-time basis for less than one year;</w:t>
      </w:r>
    </w:p>
    <w:p>
      <w:pPr>
        <w:spacing w:after="0" w:line="231" w:lineRule="exact"/>
        <w:rPr>
          <w:rFonts w:ascii="Times New Roman" w:cs="Times New Roman" w:eastAsia="Times New Roman" w:hAnsi="Times New Roman"/>
          <w:sz w:val="21"/>
          <w:szCs w:val="21"/>
          <w:color w:val="auto"/>
        </w:rPr>
      </w:pPr>
    </w:p>
    <w:p>
      <w:pPr>
        <w:jc w:val="both"/>
        <w:ind w:right="100" w:firstLine="1952"/>
        <w:spacing w:after="0" w:line="257" w:lineRule="auto"/>
        <w:tabs>
          <w:tab w:leader="none" w:pos="257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72" w:lineRule="exact"/>
        <w:rPr>
          <w:rFonts w:ascii="Times New Roman" w:cs="Times New Roman" w:eastAsia="Times New Roman" w:hAnsi="Times New Roman"/>
          <w:sz w:val="22"/>
          <w:szCs w:val="22"/>
          <w:color w:val="auto"/>
        </w:rPr>
      </w:pPr>
    </w:p>
    <w:p>
      <w:pPr>
        <w:ind w:firstLine="1952"/>
        <w:spacing w:after="0" w:line="263" w:lineRule="auto"/>
        <w:tabs>
          <w:tab w:leader="none" w:pos="257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individual whose employment is classified by the Participating Company to which such individual is employed as an internship, or as “temporary,” “intermittent” or “seasonal,” all in accordance with uniformly applied personnel policies.</w:t>
      </w:r>
    </w:p>
    <w:p>
      <w:pPr>
        <w:spacing w:after="0" w:line="167"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22"/>
          <w:szCs w:val="22"/>
          <w:color w:val="auto"/>
        </w:rPr>
        <w:t>For purposes of this Paragraph 2(r)(2), an employee is employed on a part-time basis if Universal Orlando has classified the Employee as a “Casual Employee.” For purposes of this Paragraph 2(r)(2) an Employee is employed on a full-time basis if Universal Orlando has classified the Employee as a Regular Employee.</w:t>
      </w:r>
    </w:p>
    <w:p>
      <w:pPr>
        <w:spacing w:after="0" w:line="17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NBCUniversal</w:t>
      </w:r>
      <w:r>
        <w:rPr>
          <w:rFonts w:ascii="Times New Roman" w:cs="Times New Roman" w:eastAsia="Times New Roman" w:hAnsi="Times New Roman"/>
          <w:sz w:val="22"/>
          <w:szCs w:val="22"/>
          <w:color w:val="auto"/>
        </w:rPr>
        <w:t>” means NBCUniversal, LLC, a Delaware limited liability company.</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means an offering of Shares by the Company to Eligible Employees pursuant to the Plan.</w:t>
      </w:r>
    </w:p>
    <w:p>
      <w:pPr>
        <w:spacing w:after="0" w:line="219" w:lineRule="exact"/>
        <w:rPr>
          <w:rFonts w:ascii="Times New Roman" w:cs="Times New Roman" w:eastAsia="Times New Roman" w:hAnsi="Times New Roman"/>
          <w:sz w:val="22"/>
          <w:szCs w:val="22"/>
          <w:color w:val="auto"/>
        </w:rPr>
      </w:pPr>
    </w:p>
    <w:p>
      <w:pPr>
        <w:ind w:right="200" w:firstLine="656"/>
        <w:spacing w:after="0" w:line="271"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Commencement Date</w:t>
      </w:r>
      <w:r>
        <w:rPr>
          <w:rFonts w:ascii="Times New Roman" w:cs="Times New Roman" w:eastAsia="Times New Roman" w:hAnsi="Times New Roman"/>
          <w:sz w:val="22"/>
          <w:szCs w:val="22"/>
          <w:color w:val="auto"/>
        </w:rPr>
        <w:t>” means the first day of each January 1, April 1, July 1 and October 1 beginning on or after July 1, 2011 until the Plan Termination Date.</w:t>
      </w:r>
    </w:p>
    <w:p>
      <w:pPr>
        <w:spacing w:after="0" w:line="157" w:lineRule="exact"/>
        <w:rPr>
          <w:rFonts w:ascii="Times New Roman" w:cs="Times New Roman" w:eastAsia="Times New Roman" w:hAnsi="Times New Roman"/>
          <w:sz w:val="22"/>
          <w:szCs w:val="22"/>
          <w:color w:val="auto"/>
        </w:rPr>
      </w:pPr>
    </w:p>
    <w:p>
      <w:pPr>
        <w:ind w:right="500" w:firstLine="656"/>
        <w:spacing w:after="0" w:line="271"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means the period extending from an Offering Commencement Date through the following Offering Termination Date.</w:t>
      </w:r>
    </w:p>
    <w:p>
      <w:pPr>
        <w:spacing w:after="0" w:line="171" w:lineRule="exact"/>
        <w:rPr>
          <w:rFonts w:ascii="Times New Roman" w:cs="Times New Roman" w:eastAsia="Times New Roman" w:hAnsi="Times New Roman"/>
          <w:sz w:val="22"/>
          <w:szCs w:val="22"/>
          <w:color w:val="auto"/>
        </w:rPr>
      </w:pPr>
    </w:p>
    <w:p>
      <w:pPr>
        <w:ind w:right="360" w:firstLine="656"/>
        <w:spacing w:after="0" w:line="295" w:lineRule="auto"/>
        <w:tabs>
          <w:tab w:leader="none" w:pos="128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Offering Termination Date</w:t>
      </w:r>
      <w:r>
        <w:rPr>
          <w:rFonts w:ascii="Times New Roman" w:cs="Times New Roman" w:eastAsia="Times New Roman" w:hAnsi="Times New Roman"/>
          <w:sz w:val="21"/>
          <w:szCs w:val="21"/>
          <w:color w:val="auto"/>
        </w:rPr>
        <w:t>” means the last day of each March, June, September and December following an Offering Commencement Date, or such other Offering Termination Date established in connection with a Terminating Event.</w:t>
      </w:r>
    </w:p>
    <w:p>
      <w:pPr>
        <w:spacing w:after="0" w:line="135" w:lineRule="exact"/>
        <w:rPr>
          <w:rFonts w:ascii="Times New Roman" w:cs="Times New Roman" w:eastAsia="Times New Roman" w:hAnsi="Times New Roman"/>
          <w:sz w:val="21"/>
          <w:szCs w:val="21"/>
          <w:color w:val="auto"/>
        </w:rPr>
      </w:pPr>
    </w:p>
    <w:p>
      <w:pPr>
        <w:ind w:right="660" w:firstLine="656"/>
        <w:spacing w:after="0" w:line="271"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who has timely delivered an Election Form to the Committee in accordance with procedures established by the Committee.</w:t>
      </w:r>
    </w:p>
    <w:p>
      <w:pPr>
        <w:spacing w:after="0" w:line="157" w:lineRule="exact"/>
        <w:rPr>
          <w:rFonts w:ascii="Times New Roman" w:cs="Times New Roman" w:eastAsia="Times New Roman" w:hAnsi="Times New Roman"/>
          <w:sz w:val="22"/>
          <w:szCs w:val="22"/>
          <w:color w:val="auto"/>
        </w:rPr>
      </w:pPr>
    </w:p>
    <w:p>
      <w:pPr>
        <w:ind w:right="100" w:firstLine="656"/>
        <w:spacing w:after="0" w:line="263"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all Eligible Employers except such Eligible Employers as may be designated for exclusion by the Board or the Committee from time to time. Notwithstanding the foregoing, the Board or the Committee may delegate its authority to exclude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22" w:right="399" w:bottom="1440" w:gutter="0" w:footer="0" w:header="0"/>
        </w:sectPr>
      </w:pPr>
    </w:p>
    <w:bookmarkStart w:id="8" w:name="page9"/>
    <w:bookmarkEnd w:id="8"/>
    <w:p>
      <w:pPr>
        <w:ind w:right="120"/>
        <w:spacing w:after="0" w:line="271" w:lineRule="auto"/>
        <w:rPr>
          <w:sz w:val="20"/>
          <w:szCs w:val="20"/>
          <w:color w:val="auto"/>
        </w:rPr>
      </w:pPr>
      <w:r>
        <w:rPr>
          <w:rFonts w:ascii="Times New Roman" w:cs="Times New Roman" w:eastAsia="Times New Roman" w:hAnsi="Times New Roman"/>
          <w:sz w:val="22"/>
          <w:szCs w:val="22"/>
          <w:color w:val="auto"/>
        </w:rPr>
        <w:t>an Eligible Employer from being a Participating Company under this Paragraph 2(y) to an officer of the Company or committee of two or more officers of the Company.</w:t>
      </w:r>
    </w:p>
    <w:p>
      <w:pPr>
        <w:spacing w:after="0" w:line="158" w:lineRule="exact"/>
        <w:rPr>
          <w:sz w:val="20"/>
          <w:szCs w:val="20"/>
          <w:color w:val="auto"/>
        </w:rPr>
      </w:pPr>
    </w:p>
    <w:p>
      <w:pPr>
        <w:ind w:right="720" w:firstLine="656"/>
        <w:spacing w:after="0" w:line="284"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Payroll Deductions</w:t>
      </w:r>
      <w:r>
        <w:rPr>
          <w:rFonts w:ascii="Times New Roman" w:cs="Times New Roman" w:eastAsia="Times New Roman" w:hAnsi="Times New Roman"/>
          <w:sz w:val="22"/>
          <w:szCs w:val="22"/>
          <w:color w:val="auto"/>
        </w:rPr>
        <w:t>” means amounts withheld from a Participant’s Compensation pursuant to the Plan, as described in Paragraph 5.</w:t>
      </w:r>
    </w:p>
    <w:p>
      <w:pPr>
        <w:spacing w:after="0" w:line="144"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168" w:lineRule="exact"/>
        <w:rPr>
          <w:rFonts w:ascii="Times New Roman" w:cs="Times New Roman" w:eastAsia="Times New Roman" w:hAnsi="Times New Roman"/>
          <w:sz w:val="22"/>
          <w:szCs w:val="22"/>
          <w:color w:val="auto"/>
        </w:rPr>
      </w:pPr>
    </w:p>
    <w:p>
      <w:pPr>
        <w:ind w:right="100" w:firstLine="656"/>
        <w:spacing w:after="0" w:line="236" w:lineRule="auto"/>
        <w:tabs>
          <w:tab w:leader="none" w:pos="12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Comcast-NBCUniversal 2011 Employee Stock Purchase Plan, as set forth in this document, and as may be amended from time to time.</w:t>
      </w:r>
    </w:p>
    <w:p>
      <w:pPr>
        <w:spacing w:after="0" w:line="177"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Termination Date</w:t>
      </w:r>
      <w:r>
        <w:rPr>
          <w:rFonts w:ascii="Times New Roman" w:cs="Times New Roman" w:eastAsia="Times New Roman" w:hAnsi="Times New Roman"/>
          <w:sz w:val="22"/>
          <w:szCs w:val="22"/>
          <w:color w:val="auto"/>
        </w:rPr>
        <w:t>” means the earliest of:</w:t>
      </w:r>
    </w:p>
    <w:p>
      <w:pPr>
        <w:spacing w:after="0" w:line="233" w:lineRule="exact"/>
        <w:rPr>
          <w:rFonts w:ascii="Times New Roman" w:cs="Times New Roman" w:eastAsia="Times New Roman" w:hAnsi="Times New Roman"/>
          <w:sz w:val="22"/>
          <w:szCs w:val="22"/>
          <w:color w:val="auto"/>
        </w:rPr>
      </w:pPr>
    </w:p>
    <w:p>
      <w:pPr>
        <w:ind w:right="520" w:firstLine="1304"/>
        <w:spacing w:after="0" w:line="271"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Offering Termination Date for the Offering in which the maximum number of Shares specified in Paragraph 9 have been issued pursuant to the Plan; or</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the Board or the Committee chooses to terminate the Plan as provided in Paragraph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pacing w:after="0" w:line="168" w:lineRule="exact"/>
        <w:rPr>
          <w:rFonts w:ascii="Times New Roman" w:cs="Times New Roman" w:eastAsia="Times New Roman" w:hAnsi="Times New Roman"/>
          <w:sz w:val="22"/>
          <w:szCs w:val="22"/>
          <w:color w:val="auto"/>
        </w:rPr>
      </w:pPr>
    </w:p>
    <w:p>
      <w:pPr>
        <w:ind w:right="60" w:firstLine="656"/>
        <w:spacing w:after="0" w:line="220" w:lineRule="auto"/>
        <w:tabs>
          <w:tab w:leader="none" w:pos="12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7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shares of Comcast Corporation Class A Common Stock, par value $0.01.</w:t>
      </w:r>
    </w:p>
    <w:p>
      <w:pPr>
        <w:spacing w:after="0" w:line="206"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Affiliate of NBCUniversal that is controlled by NBCUniversal.</w:t>
      </w:r>
    </w:p>
    <w:p>
      <w:pPr>
        <w:spacing w:after="0" w:line="206" w:lineRule="exact"/>
        <w:rPr>
          <w:rFonts w:ascii="Times New Roman" w:cs="Times New Roman" w:eastAsia="Times New Roman" w:hAnsi="Times New Roman"/>
          <w:sz w:val="22"/>
          <w:szCs w:val="22"/>
          <w:color w:val="auto"/>
        </w:rPr>
      </w:pPr>
    </w:p>
    <w:p>
      <w:pPr>
        <w:ind w:right="160" w:firstLine="656"/>
        <w:spacing w:after="0" w:line="236" w:lineRule="auto"/>
        <w:tabs>
          <w:tab w:leader="none" w:pos="12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Successor-in-Interest</w:t>
      </w:r>
      <w:r>
        <w:rPr>
          <w:rFonts w:ascii="Times New Roman" w:cs="Times New Roman" w:eastAsia="Times New Roman" w:hAnsi="Times New Roman"/>
          <w:sz w:val="22"/>
          <w:szCs w:val="22"/>
          <w:color w:val="auto"/>
        </w:rPr>
        <w:t>” means the Participant’s executor or administrator, or such other person or entity to which the Participant’s rights under the Plan shall have passed by will or the laws of descent and distribution.</w:t>
      </w:r>
    </w:p>
    <w:p>
      <w:pPr>
        <w:spacing w:after="0" w:line="17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Terminating Event</w:t>
      </w:r>
      <w:r>
        <w:rPr>
          <w:rFonts w:ascii="Times New Roman" w:cs="Times New Roman" w:eastAsia="Times New Roman" w:hAnsi="Times New Roman"/>
          <w:sz w:val="22"/>
          <w:szCs w:val="22"/>
          <w:color w:val="auto"/>
        </w:rPr>
        <w:t>” means any of the following events:</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of the Company;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w:t>
      </w:r>
    </w:p>
    <w:p>
      <w:pPr>
        <w:spacing w:after="0" w:line="192" w:lineRule="exact"/>
        <w:rPr>
          <w:rFonts w:ascii="Times New Roman" w:cs="Times New Roman" w:eastAsia="Times New Roman" w:hAnsi="Times New Roman"/>
          <w:sz w:val="22"/>
          <w:szCs w:val="22"/>
          <w:color w:val="auto"/>
        </w:rPr>
      </w:pPr>
    </w:p>
    <w:p>
      <w:pPr>
        <w:ind w:right="140" w:firstLine="656"/>
        <w:spacing w:after="0" w:line="236" w:lineRule="auto"/>
        <w:tabs>
          <w:tab w:leader="none" w:pos="118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together with such Person’s Affiliates, provided that the term “Third Party” shall not include the Company or an Affiliate of the Company.</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Form</w:t>
      </w:r>
      <w:r>
        <w:rPr>
          <w:rFonts w:ascii="Times New Roman" w:cs="Times New Roman" w:eastAsia="Times New Roman" w:hAnsi="Times New Roman"/>
          <w:sz w:val="22"/>
          <w:szCs w:val="22"/>
          <w:color w:val="auto"/>
        </w:rPr>
        <w:t>” means the written or electronic form acceptable to the Committee which an Employee shall use to discontinue participation during an Offering Period pursuant to Paragraph 7(b).</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22" w:right="379" w:bottom="1440" w:gutter="0" w:footer="0" w:header="0"/>
        </w:sectPr>
      </w:pPr>
    </w:p>
    <w:bookmarkStart w:id="9" w:name="page10"/>
    <w:bookmarkEnd w:id="9"/>
    <w:p>
      <w:pPr>
        <w:ind w:left="1060" w:hanging="404"/>
        <w:spacing w:after="0"/>
        <w:tabs>
          <w:tab w:leader="none" w:pos="10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“Universal Orlando” means Universal City Development Partners, Ltd. and its subsidiaries.</w:t>
      </w:r>
    </w:p>
    <w:p>
      <w:pPr>
        <w:spacing w:after="0" w:line="22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and Participation</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20" w:firstLine="656"/>
        <w:spacing w:after="0" w:line="271" w:lineRule="auto"/>
        <w:tabs>
          <w:tab w:leader="none" w:pos="129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Except to the extent participation is restricted under Paragraph 3(b), each Eligible Employee shall be eligible to participate in the Plan.</w:t>
      </w:r>
    </w:p>
    <w:p>
      <w:pPr>
        <w:spacing w:after="0" w:line="171" w:lineRule="exact"/>
        <w:rPr>
          <w:rFonts w:ascii="Times New Roman" w:cs="Times New Roman" w:eastAsia="Times New Roman" w:hAnsi="Times New Roman"/>
          <w:sz w:val="22"/>
          <w:szCs w:val="22"/>
          <w:color w:val="auto"/>
        </w:rPr>
      </w:pPr>
    </w:p>
    <w:p>
      <w:pPr>
        <w:ind w:right="300" w:firstLine="656"/>
        <w:spacing w:after="0" w:line="271" w:lineRule="auto"/>
        <w:tabs>
          <w:tab w:leader="none" w:pos="129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Participation</w:t>
      </w:r>
      <w:r>
        <w:rPr>
          <w:rFonts w:ascii="Times New Roman" w:cs="Times New Roman" w:eastAsia="Times New Roman" w:hAnsi="Times New Roman"/>
          <w:sz w:val="22"/>
          <w:szCs w:val="22"/>
          <w:color w:val="auto"/>
        </w:rPr>
        <w:t>. Notwithstanding any provisions of the Plan to the contrary, no Employee shall be eligible to purchase Shares in an Offering to the extent that:</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purchase of Shares, such Employee would be a Five Percent owner; or</w:t>
      </w:r>
    </w:p>
    <w:p>
      <w:pPr>
        <w:spacing w:after="0" w:line="219" w:lineRule="exact"/>
        <w:rPr>
          <w:rFonts w:ascii="Times New Roman" w:cs="Times New Roman" w:eastAsia="Times New Roman" w:hAnsi="Times New Roman"/>
          <w:sz w:val="22"/>
          <w:szCs w:val="22"/>
          <w:color w:val="auto"/>
        </w:rPr>
      </w:pPr>
    </w:p>
    <w:p>
      <w:pPr>
        <w:ind w:firstLine="1304"/>
        <w:spacing w:after="0" w:line="267" w:lineRule="auto"/>
        <w:tabs>
          <w:tab w:leader="none" w:pos="1939"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purchase of Shares would permit such Employee’s rights to purchase stock under this Plan, after taking into account such Employee’s purchases under the Comcast Corporation 2002 Employee Stock Purchase Plan, if any, to accrue at a rate which exceeds $25,000 in fair market value (as determined on the same basis as if this Plan were subject to section 423(b)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(8) of the Code) for each calendar year in which such right to purchase Shares is outstanding.</w:t>
      </w:r>
    </w:p>
    <w:p>
      <w:pPr>
        <w:spacing w:after="0" w:line="195" w:lineRule="exact"/>
        <w:rPr>
          <w:rFonts w:ascii="Times New Roman" w:cs="Times New Roman" w:eastAsia="Times New Roman" w:hAnsi="Times New Roman"/>
          <w:sz w:val="21"/>
          <w:szCs w:val="21"/>
          <w:color w:val="auto"/>
        </w:rPr>
      </w:pPr>
    </w:p>
    <w:p>
      <w:pPr>
        <w:ind w:right="20" w:firstLine="656"/>
        <w:spacing w:after="0" w:line="251" w:lineRule="auto"/>
        <w:tabs>
          <w:tab w:leader="none" w:pos="129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Commencement of Participation</w:t>
      </w:r>
      <w:r>
        <w:rPr>
          <w:rFonts w:ascii="Times New Roman" w:cs="Times New Roman" w:eastAsia="Times New Roman" w:hAnsi="Times New Roman"/>
          <w:sz w:val="22"/>
          <w:szCs w:val="22"/>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Per Offering</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395" w:right="379" w:bottom="1440" w:gutter="0" w:footer="0" w:header="0"/>
        </w:sectPr>
      </w:pPr>
    </w:p>
    <w:bookmarkStart w:id="10" w:name="page11"/>
    <w:bookmarkEnd w:id="10"/>
    <w:p>
      <w:pPr>
        <w:spacing w:after="0" w:line="271" w:lineRule="auto"/>
        <w:rPr>
          <w:sz w:val="20"/>
          <w:szCs w:val="20"/>
          <w:color w:val="auto"/>
        </w:rPr>
      </w:pPr>
      <w:r>
        <w:rPr>
          <w:rFonts w:ascii="Times New Roman" w:cs="Times New Roman" w:eastAsia="Times New Roman" w:hAnsi="Times New Roman"/>
          <w:sz w:val="22"/>
          <w:szCs w:val="22"/>
          <w:color w:val="auto"/>
        </w:rPr>
        <w:t>practicable, and as it shall determine to be fair and equitable, and the unapplied Account balances shall be returned to Participants as soon as practicable following the Offering Termination Date.</w:t>
      </w:r>
    </w:p>
    <w:p>
      <w:pPr>
        <w:spacing w:after="0" w:line="15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Payroll Deductions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firstLine="656"/>
        <w:spacing w:after="0" w:line="265" w:lineRule="auto"/>
        <w:tabs>
          <w:tab w:leader="none" w:pos="129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Amount of Payroll Deductions</w:t>
      </w:r>
      <w:r>
        <w:rPr>
          <w:rFonts w:ascii="Times New Roman" w:cs="Times New Roman" w:eastAsia="Times New Roman" w:hAnsi="Times New Roman"/>
          <w:sz w:val="21"/>
          <w:szCs w:val="21"/>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$21,250, or, with respect to Participants whose compensation is denominated in currency other than United States dollars, if any, the equivalent amount as denominated in such local currency, as determined by the Committee.</w:t>
      </w:r>
    </w:p>
    <w:p>
      <w:pPr>
        <w:spacing w:after="0" w:line="168" w:lineRule="exact"/>
        <w:rPr>
          <w:rFonts w:ascii="Times New Roman" w:cs="Times New Roman" w:eastAsia="Times New Roman" w:hAnsi="Times New Roman"/>
          <w:sz w:val="21"/>
          <w:szCs w:val="21"/>
          <w:color w:val="auto"/>
        </w:rPr>
      </w:pPr>
    </w:p>
    <w:p>
      <w:pPr>
        <w:ind w:right="320" w:firstLine="656"/>
        <w:spacing w:after="0" w:line="271" w:lineRule="auto"/>
        <w:tabs>
          <w:tab w:leader="none" w:pos="12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Accounts</w:t>
      </w:r>
      <w:r>
        <w:rPr>
          <w:rFonts w:ascii="Times New Roman" w:cs="Times New Roman" w:eastAsia="Times New Roman" w:hAnsi="Times New Roman"/>
          <w:sz w:val="22"/>
          <w:szCs w:val="22"/>
          <w:color w:val="auto"/>
        </w:rPr>
        <w:t>. All Payroll Deductions with respect to a Participant pursuant to Paragraph 5(a) shall be credited to the Participant’s Account under the Plan.</w:t>
      </w:r>
    </w:p>
    <w:p>
      <w:pPr>
        <w:spacing w:after="0" w:line="157" w:lineRule="exact"/>
        <w:rPr>
          <w:rFonts w:ascii="Times New Roman" w:cs="Times New Roman" w:eastAsia="Times New Roman" w:hAnsi="Times New Roman"/>
          <w:sz w:val="22"/>
          <w:szCs w:val="22"/>
          <w:color w:val="auto"/>
        </w:rPr>
      </w:pPr>
    </w:p>
    <w:p>
      <w:pPr>
        <w:ind w:right="20" w:firstLine="656"/>
        <w:spacing w:after="0" w:line="250" w:lineRule="auto"/>
        <w:tabs>
          <w:tab w:leader="none" w:pos="129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Payroll Deductions</w:t>
      </w:r>
      <w:r>
        <w:rPr>
          <w:rFonts w:ascii="Times New Roman" w:cs="Times New Roman" w:eastAsia="Times New Roman" w:hAnsi="Times New Roman"/>
          <w:sz w:val="22"/>
          <w:szCs w:val="22"/>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Purchase of Shares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right="40" w:firstLine="656"/>
        <w:spacing w:after="0" w:line="268" w:lineRule="auto"/>
        <w:tabs>
          <w:tab w:leader="none" w:pos="129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On each Offering Termination Date, each Participant shall be deemed to have purchased a number of Shares equal to the quotient obtained by dividing the balance credited to the Participant’s Account as of the Offering Termination Date, by the Purchase Price. Shares deemed purchased by a Participant under the Plan (net of Shares withheld under Paragraph 11) shall be credited to the Participant’s Brokerage Account as soon as practicable following the Offering Termination Date.</w:t>
      </w:r>
    </w:p>
    <w:p>
      <w:pPr>
        <w:spacing w:after="0" w:line="163" w:lineRule="exact"/>
        <w:rPr>
          <w:rFonts w:ascii="Times New Roman" w:cs="Times New Roman" w:eastAsia="Times New Roman" w:hAnsi="Times New Roman"/>
          <w:sz w:val="21"/>
          <w:szCs w:val="21"/>
          <w:color w:val="auto"/>
        </w:rPr>
      </w:pPr>
    </w:p>
    <w:p>
      <w:pPr>
        <w:ind w:right="260" w:firstLine="656"/>
        <w:spacing w:after="0" w:line="256" w:lineRule="auto"/>
        <w:tabs>
          <w:tab w:leader="none" w:pos="12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Terminating Events</w:t>
      </w:r>
      <w:r>
        <w:rPr>
          <w:rFonts w:ascii="Times New Roman" w:cs="Times New Roman" w:eastAsia="Times New Roman" w:hAnsi="Times New Roman"/>
          <w:sz w:val="22"/>
          <w:szCs w:val="22"/>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1" w:name="page12"/>
    <w:bookmarkEnd w:id="11"/>
    <w:p>
      <w:pPr>
        <w:ind w:right="40" w:firstLine="656"/>
        <w:spacing w:after="0" w:line="257" w:lineRule="auto"/>
        <w:tabs>
          <w:tab w:leader="none" w:pos="12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Rights to Purchase Shares</w:t>
      </w:r>
      <w:r>
        <w:rPr>
          <w:rFonts w:ascii="Times New Roman" w:cs="Times New Roman" w:eastAsia="Times New Roman" w:hAnsi="Times New Roman"/>
          <w:sz w:val="22"/>
          <w:szCs w:val="22"/>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Participation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right="320" w:firstLine="656"/>
        <w:spacing w:after="0" w:line="271" w:lineRule="auto"/>
        <w:tabs>
          <w:tab w:leader="none" w:pos="156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Except as provided in Paragraph 7(c), no amounts shall be distributed from Participants’ Accounts during an Offering Period.</w:t>
      </w:r>
    </w:p>
    <w:p>
      <w:pPr>
        <w:spacing w:after="0" w:line="157" w:lineRule="exact"/>
        <w:rPr>
          <w:rFonts w:ascii="Times New Roman" w:cs="Times New Roman" w:eastAsia="Times New Roman" w:hAnsi="Times New Roman"/>
          <w:sz w:val="22"/>
          <w:szCs w:val="22"/>
          <w:color w:val="auto"/>
        </w:rPr>
      </w:pPr>
    </w:p>
    <w:p>
      <w:pPr>
        <w:ind w:right="20" w:firstLine="656"/>
        <w:spacing w:after="0" w:line="248" w:lineRule="auto"/>
        <w:tabs>
          <w:tab w:leader="none" w:pos="156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Participation</w:t>
      </w:r>
      <w:r>
        <w:rPr>
          <w:rFonts w:ascii="Times New Roman" w:cs="Times New Roman" w:eastAsia="Times New Roman" w:hAnsi="Times New Roman"/>
          <w:sz w:val="22"/>
          <w:szCs w:val="22"/>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82" w:lineRule="exact"/>
        <w:rPr>
          <w:rFonts w:ascii="Times New Roman" w:cs="Times New Roman" w:eastAsia="Times New Roman" w:hAnsi="Times New Roman"/>
          <w:sz w:val="22"/>
          <w:szCs w:val="22"/>
          <w:color w:val="auto"/>
        </w:rPr>
      </w:pPr>
    </w:p>
    <w:p>
      <w:pPr>
        <w:ind w:right="40" w:firstLine="656"/>
        <w:spacing w:after="0" w:line="257" w:lineRule="auto"/>
        <w:tabs>
          <w:tab w:leader="none" w:pos="129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8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No interest shall be paid or allowed with respect to Payroll Deductions paid into the Plan or credited to any Participant’s Account.</w:t>
      </w:r>
    </w:p>
    <w:p>
      <w:pPr>
        <w:spacing w:after="0" w:line="154"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firstLine="656"/>
        <w:spacing w:after="0" w:line="263" w:lineRule="auto"/>
        <w:tabs>
          <w:tab w:leader="none" w:pos="134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Shares; Adjustments</w:t>
      </w:r>
      <w:r>
        <w:rPr>
          <w:rFonts w:ascii="Times New Roman" w:cs="Times New Roman" w:eastAsia="Times New Roman" w:hAnsi="Times New Roman"/>
          <w:sz w:val="22"/>
          <w:szCs w:val="22"/>
          <w:color w:val="auto"/>
        </w:rPr>
        <w:t>. Subject to adjustment as provided in this Paragraph 9, not more than 34,200,000 Shares in the aggregate may be issued pursuant to the Plan pursuant to Offerings under the Plan, subject to adjustment in accordance with this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 w:name="page13"/>
    <w:bookmarkEnd w:id="12"/>
    <w:p>
      <w:pPr>
        <w:spacing w:after="0" w:line="262" w:lineRule="auto"/>
        <w:rPr>
          <w:sz w:val="20"/>
          <w:szCs w:val="20"/>
          <w:color w:val="auto"/>
        </w:rPr>
      </w:pPr>
      <w:r>
        <w:rPr>
          <w:rFonts w:ascii="Times New Roman" w:cs="Times New Roman" w:eastAsia="Times New Roman" w:hAnsi="Times New Roman"/>
          <w:sz w:val="21"/>
          <w:szCs w:val="21"/>
          <w:color w:val="auto"/>
        </w:rPr>
        <w:t>Paragraph 9.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72" w:lineRule="exact"/>
        <w:rPr>
          <w:sz w:val="20"/>
          <w:szCs w:val="20"/>
          <w:color w:val="auto"/>
        </w:rPr>
      </w:pPr>
    </w:p>
    <w:p>
      <w:pPr>
        <w:ind w:right="200" w:firstLine="656"/>
        <w:spacing w:after="0" w:line="271" w:lineRule="auto"/>
        <w:tabs>
          <w:tab w:leader="none" w:pos="129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Interest in Shares</w:t>
      </w:r>
      <w:r>
        <w:rPr>
          <w:rFonts w:ascii="Times New Roman" w:cs="Times New Roman" w:eastAsia="Times New Roman" w:hAnsi="Times New Roman"/>
          <w:sz w:val="22"/>
          <w:szCs w:val="22"/>
          <w:color w:val="auto"/>
        </w:rPr>
        <w:t>. A Participant shall have no interest in Shares offered under the Plan until Shares are credited to the Participant’s Brokerage Account.</w:t>
      </w:r>
    </w:p>
    <w:p>
      <w:pPr>
        <w:spacing w:after="0" w:line="157" w:lineRule="exact"/>
        <w:rPr>
          <w:rFonts w:ascii="Times New Roman" w:cs="Times New Roman" w:eastAsia="Times New Roman" w:hAnsi="Times New Roman"/>
          <w:sz w:val="22"/>
          <w:szCs w:val="22"/>
          <w:color w:val="auto"/>
        </w:rPr>
      </w:pPr>
    </w:p>
    <w:p>
      <w:pPr>
        <w:ind w:right="180" w:firstLine="656"/>
        <w:spacing w:after="0" w:line="271" w:lineRule="auto"/>
        <w:tabs>
          <w:tab w:leader="none" w:pos="129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Shares to Brokerage Account</w:t>
      </w:r>
      <w:r>
        <w:rPr>
          <w:rFonts w:ascii="Times New Roman" w:cs="Times New Roman" w:eastAsia="Times New Roman" w:hAnsi="Times New Roman"/>
          <w:sz w:val="22"/>
          <w:szCs w:val="22"/>
          <w:color w:val="auto"/>
        </w:rPr>
        <w:t>. Shares purchased under the Plan shall be credited to the Participant’s Brokerage Account as soon as practicable following the Offering Termination Date.</w:t>
      </w:r>
    </w:p>
    <w:p>
      <w:pPr>
        <w:spacing w:after="0" w:line="171" w:lineRule="exact"/>
        <w:rPr>
          <w:rFonts w:ascii="Times New Roman" w:cs="Times New Roman" w:eastAsia="Times New Roman" w:hAnsi="Times New Roman"/>
          <w:sz w:val="22"/>
          <w:szCs w:val="22"/>
          <w:color w:val="auto"/>
        </w:rPr>
      </w:pPr>
    </w:p>
    <w:p>
      <w:pPr>
        <w:ind w:right="40" w:firstLine="656"/>
        <w:spacing w:after="0" w:line="257" w:lineRule="auto"/>
        <w:tabs>
          <w:tab w:leader="none" w:pos="129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Purchase</w:t>
      </w:r>
      <w:r>
        <w:rPr>
          <w:rFonts w:ascii="Times New Roman" w:cs="Times New Roman" w:eastAsia="Times New Roman" w:hAnsi="Times New Roman"/>
          <w:sz w:val="22"/>
          <w:szCs w:val="22"/>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72" w:lineRule="exact"/>
        <w:rPr>
          <w:rFonts w:ascii="Times New Roman" w:cs="Times New Roman" w:eastAsia="Times New Roman" w:hAnsi="Times New Roman"/>
          <w:sz w:val="22"/>
          <w:szCs w:val="22"/>
          <w:color w:val="auto"/>
        </w:rPr>
      </w:pPr>
    </w:p>
    <w:p>
      <w:pPr>
        <w:ind w:firstLine="656"/>
        <w:spacing w:after="0" w:line="250" w:lineRule="auto"/>
        <w:tabs>
          <w:tab w:leader="none" w:pos="129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Shares</w:t>
      </w:r>
      <w:r>
        <w:rPr>
          <w:rFonts w:ascii="Times New Roman" w:cs="Times New Roman" w:eastAsia="Times New Roman" w:hAnsi="Times New Roman"/>
          <w:sz w:val="22"/>
          <w:szCs w:val="22"/>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8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22" w:right="399" w:bottom="1440" w:gutter="0" w:footer="0" w:header="0"/>
        </w:sectPr>
      </w:pPr>
    </w:p>
    <w:bookmarkStart w:id="13" w:name="page14"/>
    <w:bookmarkEnd w:id="13"/>
    <w:p>
      <w:pPr>
        <w:ind w:left="640" w:hanging="632"/>
        <w:spacing w:after="0"/>
        <w:tabs>
          <w:tab w:leader="none" w:pos="6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340" w:firstLine="270"/>
        <w:spacing w:after="0" w:line="253" w:lineRule="auto"/>
        <w:rPr>
          <w:sz w:val="20"/>
          <w:szCs w:val="20"/>
          <w:color w:val="auto"/>
        </w:rPr>
      </w:pPr>
      <w:r>
        <w:rPr>
          <w:rFonts w:ascii="Times New Roman" w:cs="Times New Roman" w:eastAsia="Times New Roman" w:hAnsi="Times New Roman"/>
          <w:sz w:val="22"/>
          <w:szCs w:val="22"/>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7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72"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and Contributions Not to Affect Employment</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Plan shall not confer upon any Eligible Employee any right to continue in the employ of the Participating Companies.</w:t>
      </w:r>
    </w:p>
    <w:p>
      <w:pPr>
        <w:spacing w:after="0" w:line="227"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7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18" w:right="359" w:bottom="1440" w:gutter="0" w:footer="0" w:header="0"/>
        </w:sectPr>
      </w:pPr>
    </w:p>
    <w:bookmarkStart w:id="14" w:name="page15"/>
    <w:bookmarkEnd w:id="14"/>
    <w:p>
      <w:pPr>
        <w:ind w:left="660" w:hanging="652"/>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The Plan was originally adopted on January 29, 2011. The first Offering Period under the Plan commenced on July 1, 2011. The Effective Date of this amendment and restatement of the Plan is June 18, 2025, subject to approval by the shareholders of the Company.</w:t>
      </w:r>
    </w:p>
    <w:p>
      <w:pPr>
        <w:spacing w:after="0" w:line="16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Government and Other Regulations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320" w:firstLine="656"/>
        <w:spacing w:after="0" w:line="271" w:lineRule="auto"/>
        <w:tabs>
          <w:tab w:leader="none" w:pos="129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purchase of Shares under the Plan shall be subject to all applicable laws, rules and regulations, and to such approvals by any governmental agencies as may be required.</w:t>
      </w:r>
    </w:p>
    <w:p>
      <w:pPr>
        <w:spacing w:after="0" w:line="157" w:lineRule="exact"/>
        <w:rPr>
          <w:rFonts w:ascii="Times New Roman" w:cs="Times New Roman" w:eastAsia="Times New Roman" w:hAnsi="Times New Roman"/>
          <w:sz w:val="22"/>
          <w:szCs w:val="22"/>
          <w:color w:val="auto"/>
        </w:rPr>
      </w:pPr>
    </w:p>
    <w:p>
      <w:pPr>
        <w:ind w:right="180" w:firstLine="656"/>
        <w:spacing w:after="0" w:line="256" w:lineRule="auto"/>
        <w:tabs>
          <w:tab w:leader="none" w:pos="129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w:t>
      </w:r>
      <w:r>
        <w:rPr>
          <w:rFonts w:ascii="Times New Roman" w:cs="Times New Roman" w:eastAsia="Times New Roman" w:hAnsi="Times New Roman"/>
          <w:sz w:val="22"/>
          <w:szCs w:val="22"/>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Non-Alienation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6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Any notice required or permitted hereunder shall be sufficiently given only if delivered personally, telecopied, or sent by first class mail, postage prepaid, and addressed: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1701 JFK Boulevard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215-286-7794</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 any other address provided pursuant to notice provided by the Committee.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If to the Participant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right="1280"/>
        <w:spacing w:after="0" w:line="271" w:lineRule="auto"/>
        <w:rPr>
          <w:sz w:val="20"/>
          <w:szCs w:val="20"/>
          <w:color w:val="auto"/>
        </w:rPr>
      </w:pPr>
      <w:r>
        <w:rPr>
          <w:rFonts w:ascii="Times New Roman" w:cs="Times New Roman" w:eastAsia="Times New Roman" w:hAnsi="Times New Roman"/>
          <w:sz w:val="22"/>
          <w:szCs w:val="22"/>
          <w:color w:val="auto"/>
        </w:rPr>
        <w:t>At the address on file with the Participating Company from time to time, or to such other address as either party may hereafter designate in writing (or via such other means of communication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18" w:right="37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22"/>
          <w:szCs w:val="22"/>
          <w:color w:val="auto"/>
        </w:rPr>
        <w:t>permitted by the Committee) by notice similarly given by one party to the other.</w:t>
      </w:r>
    </w:p>
    <w:p>
      <w:pPr>
        <w:spacing w:after="0" w:line="21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shall be binding upon and inure to the benefit of any successors or assigns of the Company.</w:t>
      </w:r>
    </w:p>
    <w:p>
      <w:pPr>
        <w:spacing w:after="0" w:line="22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5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election by any Eligible Employee to participate in this Plan constitutes his or her acceptance of the terms of the Plan and his or her agreement to be bound hereby.</w:t>
      </w:r>
    </w:p>
    <w:p>
      <w:pPr>
        <w:spacing w:after="0" w:line="140"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This Plan shall be construed in accordance with the laws of the Commonwealth of Pennsylvania, to the extent not preempted by applicable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sectPr>
      <w:pgSz w:w="11900" w:h="16838" w:orient="portrait"/>
      <w:cols w:equalWidth="0" w:num="1">
        <w:col w:w="11200"/>
      </w:cols>
      <w:pgMar w:left="320" w:top="14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lvl w:ilvl="1">
      <w:lvlJc w:val="left"/>
      <w:lvlText w:val="(%2)"/>
      <w:numFmt w:val="lowerLetter"/>
      <w:start w:val="1"/>
    </w:lvl>
  </w:abstractNum>
  <w:abstractNum w:abstractNumId="5">
    <w:nsid w:val="519B500D"/>
    <w:multiLevelType w:val="hybridMultilevel"/>
    <w:lvl w:ilvl="0">
      <w:lvlJc w:val="left"/>
      <w:lvlText w:val="(%1)"/>
      <w:numFmt w:val="lowerLetter"/>
      <w:start w:val="9"/>
    </w:lvl>
    <w:lvl w:ilvl="1">
      <w:lvlJc w:val="left"/>
      <w:lvlText w:val="(%2)"/>
      <w:numFmt w:val="decimal"/>
      <w:start w:val="1"/>
    </w:lvl>
  </w:abstractNum>
  <w:abstractNum w:abstractNumId="6">
    <w:nsid w:val="431BD7B7"/>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7">
    <w:nsid w:val="3F2DBA31"/>
    <w:multiLevelType w:val="hybridMultilevel"/>
    <w:lvl w:ilvl="0">
      <w:lvlJc w:val="left"/>
      <w:lvlText w:val="(%1)"/>
      <w:numFmt w:val="lowerLetter"/>
      <w:start w:val="16"/>
    </w:lvl>
    <w:lvl w:ilvl="1">
      <w:lvlJc w:val="left"/>
      <w:lvlText w:val="(%2)"/>
      <w:numFmt w:val="decimal"/>
      <w:start w:val="1"/>
    </w:lvl>
    <w:lvl w:ilvl="2">
      <w:lvlJc w:val="left"/>
      <w:lvlText w:val="%3."/>
      <w:numFmt w:val="lowerRoman"/>
      <w:start w:val="1"/>
    </w:lvl>
  </w:abstractNum>
  <w:abstractNum w:abstractNumId="8">
    <w:nsid w:val="7C83E458"/>
    <w:multiLevelType w:val="hybridMultilevel"/>
    <w:lvl w:ilvl="0">
      <w:lvlJc w:val="left"/>
      <w:lvlText w:val="(%1)"/>
      <w:numFmt w:val="decimal"/>
      <w:start w:val="2"/>
    </w:lvl>
    <w:lvl w:ilvl="1">
      <w:lvlJc w:val="left"/>
      <w:lvlText w:val="%2."/>
      <w:numFmt w:val="lowerRoman"/>
      <w:start w:val="1"/>
    </w:lvl>
  </w:abstractNum>
  <w:abstractNum w:abstractNumId="9">
    <w:nsid w:val="257130A3"/>
    <w:multiLevelType w:val="hybridMultilevel"/>
    <w:lvl w:ilvl="0">
      <w:lvlJc w:val="left"/>
      <w:lvlText w:val="(%1)"/>
      <w:numFmt w:val="lowerLetter"/>
      <w:start w:val="19"/>
    </w:lvl>
  </w:abstractNum>
  <w:abstractNum w:abstractNumId="10">
    <w:nsid w:val="62BBD95A"/>
    <w:multiLevelType w:val="hybridMultilevel"/>
    <w:lvl w:ilvl="0">
      <w:lvlJc w:val="left"/>
      <w:lvlText w:val="(%1)"/>
      <w:numFmt w:val="lowerLetter"/>
      <w:start w:val="26"/>
    </w:lvl>
  </w:abstractNum>
  <w:abstractNum w:abstractNumId="11">
    <w:nsid w:val="436C6125"/>
    <w:multiLevelType w:val="hybridMultilevel"/>
    <w:lvl w:ilvl="0">
      <w:lvlJc w:val="left"/>
      <w:lvlText w:val="(%1)"/>
      <w:numFmt w:val="lowerLetter"/>
      <w:start w:val="27"/>
    </w:lvl>
    <w:lvl w:ilvl="1">
      <w:lvlJc w:val="left"/>
      <w:lvlText w:val="(%2)"/>
      <w:numFmt w:val="decimal"/>
      <w:start w:val="1"/>
    </w:lvl>
  </w:abstractNum>
  <w:abstractNum w:abstractNumId="12">
    <w:nsid w:val="628C895D"/>
    <w:multiLevelType w:val="hybridMultilevel"/>
    <w:lvl w:ilvl="0">
      <w:lvlJc w:val="left"/>
      <w:lvlText w:val="%1"/>
      <w:numFmt w:val="decimal"/>
      <w:start w:val="1"/>
    </w:lvl>
    <w:lvl w:ilvl="1">
      <w:lvlJc w:val="left"/>
      <w:lvlText w:val="(%2)"/>
      <w:numFmt w:val="lowerLetter"/>
      <w:start w:val="37"/>
    </w:lvl>
    <w:lvl w:ilvl="2">
      <w:lvlJc w:val="left"/>
      <w:lvlText w:val="%3"/>
      <w:numFmt w:val="decimal"/>
      <w:start w:val="1"/>
    </w:lvl>
  </w:abstractNum>
  <w:abstractNum w:abstractNumId="13">
    <w:nsid w:val="333AB10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4">
    <w:nsid w:val="721DA317"/>
    <w:multiLevelType w:val="hybridMultilevel"/>
    <w:lvl w:ilvl="0">
      <w:lvlJc w:val="left"/>
      <w:lvlText w:val="%1."/>
      <w:numFmt w:val="decimal"/>
      <w:start w:val="5"/>
    </w:lvl>
    <w:lvl w:ilvl="1">
      <w:lvlJc w:val="left"/>
      <w:lvlText w:val="(%2)"/>
      <w:numFmt w:val="lowerLetter"/>
      <w:start w:val="1"/>
    </w:lvl>
  </w:abstractNum>
  <w:abstractNum w:abstractNumId="15">
    <w:nsid w:val="2443A858"/>
    <w:multiLevelType w:val="hybridMultilevel"/>
    <w:lvl w:ilvl="0">
      <w:lvlJc w:val="left"/>
      <w:lvlText w:val="%1"/>
      <w:numFmt w:val="decimal"/>
      <w:start w:val="1"/>
    </w:lvl>
    <w:lvl w:ilvl="1">
      <w:lvlJc w:val="left"/>
      <w:lvlText w:val="(%2)"/>
      <w:numFmt w:val="lowerLetter"/>
      <w:start w:val="3"/>
    </w:lvl>
  </w:abstractNum>
  <w:abstractNum w:abstractNumId="16">
    <w:nsid w:val="2D1D5AE9"/>
    <w:multiLevelType w:val="hybridMultilevel"/>
    <w:lvl w:ilvl="0">
      <w:lvlJc w:val="left"/>
      <w:lvlText w:val="%1."/>
      <w:numFmt w:val="decimal"/>
      <w:start w:val="7"/>
    </w:lvl>
    <w:lvl w:ilvl="1">
      <w:lvlJc w:val="left"/>
      <w:lvlText w:val="(%2)"/>
      <w:numFmt w:val="lowerLetter"/>
      <w:start w:val="1"/>
    </w:lvl>
  </w:abstractNum>
  <w:abstractNum w:abstractNumId="17">
    <w:nsid w:val="6763845E"/>
    <w:multiLevelType w:val="hybridMultilevel"/>
    <w:lvl w:ilvl="0">
      <w:lvlJc w:val="left"/>
      <w:lvlText w:val="%1."/>
      <w:numFmt w:val="decimal"/>
      <w:start w:val="9"/>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lowerLetter"/>
      <w:start w:val="2"/>
    </w:lvl>
  </w:abstractNum>
  <w:abstractNum w:abstractNumId="19">
    <w:nsid w:val="8EDBDAB"/>
    <w:multiLevelType w:val="hybridMultilevel"/>
    <w:lvl w:ilvl="0">
      <w:lvlJc w:val="left"/>
      <w:lvlText w:val="%1."/>
      <w:numFmt w:val="decimal"/>
      <w:start w:val="10"/>
    </w:lvl>
    <w:lvl w:ilvl="1">
      <w:lvlJc w:val="left"/>
      <w:lvlText w:val="%2"/>
      <w:numFmt w:val="lowerLetter"/>
      <w:start w:val="1"/>
    </w:lvl>
  </w:abstractNum>
  <w:abstractNum w:abstractNumId="20">
    <w:nsid w:val="79838CB2"/>
    <w:multiLevelType w:val="hybridMultilevel"/>
    <w:lvl w:ilvl="0">
      <w:lvlJc w:val="left"/>
      <w:lvlText w:val="%1."/>
      <w:numFmt w:val="decimal"/>
      <w:start w:val="11"/>
    </w:lvl>
  </w:abstractNum>
  <w:abstractNum w:abstractNumId="21">
    <w:nsid w:val="4353D0CD"/>
    <w:multiLevelType w:val="hybridMultilevel"/>
    <w:lvl w:ilvl="0">
      <w:lvlJc w:val="left"/>
      <w:lvlText w:val="%1."/>
      <w:numFmt w:val="decimal"/>
      <w:start w:val="12"/>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decimal"/>
      <w:start w:val="15"/>
    </w:lvl>
  </w:abstractNum>
  <w:abstractNum w:abstractNumId="24">
    <w:nsid w:val="54E49EB4"/>
    <w:multiLevelType w:val="hybridMultilevel"/>
    <w:lvl w:ilvl="0">
      <w:lvlJc w:val="left"/>
      <w:lvlText w:val="%1."/>
      <w:numFmt w:val="decimal"/>
      <w:start w:val="16"/>
    </w:lvl>
    <w:lvl w:ilvl="1">
      <w:lvlJc w:val="left"/>
      <w:lvlText w:val="(%2)"/>
      <w:numFmt w:val="lowerLetter"/>
      <w:start w:val="1"/>
    </w:lvl>
  </w:abstractNum>
  <w:abstractNum w:abstractNumId="25">
    <w:nsid w:val="71F32454"/>
    <w:multiLevelType w:val="hybridMultilevel"/>
    <w:lvl w:ilvl="0">
      <w:lvlJc w:val="left"/>
      <w:lvlText w:val="%1."/>
      <w:numFmt w:val="decimal"/>
      <w:start w:val="18"/>
    </w:lvl>
  </w:abstractNum>
  <w:abstractNum w:abstractNumId="26">
    <w:nsid w:val="2CA88611"/>
    <w:multiLevelType w:val="hybridMultilevel"/>
    <w:lvl w:ilvl="0">
      <w:lvlJc w:val="left"/>
      <w:lvlText w:val="%1."/>
      <w:numFmt w:val="decimal"/>
      <w:start w:val="19"/>
    </w:lvl>
  </w:abstractNum>
  <w:abstractNum w:abstractNumId="27">
    <w:nsid w:val="836C40E"/>
    <w:multiLevelType w:val="hybridMultilevel"/>
    <w:lvl w:ilvl="0">
      <w:lvlJc w:val="left"/>
      <w:lvlText w:val="%1."/>
      <w:numFmt w:val="decimal"/>
      <w:start w:val="21"/>
    </w:lvl>
  </w:abstractNum>
  <w:abstractNum w:abstractNumId="28">
    <w:nsid w:val="2901D82"/>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2025-06-20T14:44:11Z</dcterms:created>
  <dcterms:modified xsi:type="dcterms:W3CDTF">2025-06-20T14:44:11Z</dcterms:modified>
</cp:coreProperties>
</file>