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5"/>
              </w:rPr>
              <w:t xml:space="preserve">INITIAL STATEMENT OF BENEFICIAL OWNERSHIP OF SECURITIES 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auto"/>
                <w:w w:val="95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Cohen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David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L.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right="704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Executive Vice President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PA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7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5(b)(v).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116205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125095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125095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125095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125095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116205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125095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62" w:lineRule="auto"/>
        <w:tabs>
          <w:tab w:leader="none" w:pos="4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3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/s/ David L. Cohen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David L. Cohen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41" w:lineRule="auto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 U.S.C. 1001 and 15 U.S.C. 78ff(a).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2019-12-15T07:05:51Z</dcterms:created>
  <dcterms:modified xsi:type="dcterms:W3CDTF">2019-12-15T07:05:51Z</dcterms:modified>
</cp:coreProperties>
</file>