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7</w:t>
      </w:r>
    </w:p>
    <w:p>
      <w:pPr>
        <w:spacing w:after="0" w:line="4"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Filed by Comcast Corporation Pursuant to Rule 425</w:t>
      </w:r>
    </w:p>
    <w:p>
      <w:pPr>
        <w:spacing w:after="0" w:line="13"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under the Securities Act of 1933 and deemed filed</w:t>
      </w:r>
    </w:p>
    <w:p>
      <w:pPr>
        <w:spacing w:after="0" w:line="11"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pursuant to Rule 14a-12 under the Securities</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Exchange Act of 1934</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Subject Company: AT&amp;T Comcast Corporation</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Commission File No. 333-82460</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Date: June 13, 2002</w:t>
      </w:r>
    </w:p>
    <w:p>
      <w:pPr>
        <w:spacing w:after="0" w:line="393" w:lineRule="exact"/>
        <w:rPr>
          <w:sz w:val="24"/>
          <w:szCs w:val="24"/>
          <w:color w:val="auto"/>
        </w:rPr>
      </w:pPr>
    </w:p>
    <w:p>
      <w:pPr>
        <w:ind w:right="2539" w:firstLine="404"/>
        <w:spacing w:after="0" w:line="239" w:lineRule="auto"/>
        <w:rPr>
          <w:sz w:val="20"/>
          <w:szCs w:val="20"/>
          <w:color w:val="auto"/>
        </w:rPr>
      </w:pPr>
      <w:r>
        <w:rPr>
          <w:rFonts w:ascii="Courier New" w:cs="Courier New" w:eastAsia="Courier New" w:hAnsi="Courier New"/>
          <w:sz w:val="17"/>
          <w:szCs w:val="17"/>
          <w:color w:val="auto"/>
        </w:rPr>
        <w:t>The following slide presentation was shown at Merrill Lynch's 5th Annual Media &amp; Entertainment Conference on June 13, 2002:</w:t>
      </w:r>
    </w:p>
    <w:p>
      <w:pPr>
        <w:spacing w:after="0" w:line="198"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Merrill Lynch 5th Annual</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Media &amp; Entertainment Conference</w:t>
      </w:r>
    </w:p>
    <w:p>
      <w:pPr>
        <w:spacing w:after="0" w:line="391"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cable commerce content</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June 13, 2002</w:t>
      </w:r>
    </w:p>
    <w:p>
      <w:pPr>
        <w:spacing w:after="0" w:line="196" w:lineRule="exact"/>
        <w:rPr>
          <w:sz w:val="24"/>
          <w:szCs w:val="24"/>
          <w:color w:val="auto"/>
        </w:rPr>
      </w:pPr>
    </w:p>
    <w:p>
      <w:pPr>
        <w:jc w:val="right"/>
        <w:ind w:right="2119"/>
        <w:spacing w:after="0"/>
        <w:rPr>
          <w:sz w:val="20"/>
          <w:szCs w:val="20"/>
          <w:color w:val="auto"/>
        </w:rPr>
      </w:pPr>
      <w:r>
        <w:rPr>
          <w:rFonts w:ascii="Courier New" w:cs="Courier New" w:eastAsia="Courier New" w:hAnsi="Courier New"/>
          <w:sz w:val="17"/>
          <w:szCs w:val="17"/>
          <w:color w:val="auto"/>
        </w:rPr>
        <w:t>[COMCAST LOGO]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Safe Harbor</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Caution Concerning Forward-Looking Statements</w:t>
      </w:r>
    </w:p>
    <w:p>
      <w:pPr>
        <w:spacing w:after="0" w:line="199" w:lineRule="exact"/>
        <w:rPr>
          <w:sz w:val="24"/>
          <w:szCs w:val="24"/>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w:t>
      </w:r>
    </w:p>
    <w:p>
      <w:pPr>
        <w:spacing w:after="0" w:line="4" w:lineRule="exact"/>
        <w:rPr>
          <w:sz w:val="24"/>
          <w:szCs w:val="24"/>
          <w:color w:val="auto"/>
        </w:rPr>
      </w:pPr>
    </w:p>
    <w:p>
      <w:pPr>
        <w:ind w:right="2219" w:firstLine="4"/>
        <w:spacing w:after="0" w:line="257" w:lineRule="auto"/>
        <w:tabs>
          <w:tab w:leader="none" w:pos="4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w:t>
      </w:r>
    </w:p>
    <w:p>
      <w:pPr>
        <w:spacing w:after="0" w:line="2" w:lineRule="exact"/>
        <w:rPr>
          <w:rFonts w:ascii="Courier New" w:cs="Courier New" w:eastAsia="Courier New" w:hAnsi="Courier New"/>
          <w:sz w:val="16"/>
          <w:szCs w:val="16"/>
          <w:color w:val="auto"/>
        </w:rPr>
      </w:pPr>
    </w:p>
    <w:p>
      <w:pPr>
        <w:ind w:right="2439" w:firstLine="4"/>
        <w:spacing w:after="0" w:line="257" w:lineRule="auto"/>
        <w:tabs>
          <w:tab w:leader="none" w:pos="4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continued ability to create or acquire programming and products that customers will find attractive; (9) future acquisitions, strategic partnerships and divestitures; (10) general business and economic conditions;</w:t>
      </w:r>
    </w:p>
    <w:p>
      <w:pPr>
        <w:spacing w:after="0" w:line="1" w:lineRule="exact"/>
        <w:rPr>
          <w:rFonts w:ascii="Courier New" w:cs="Courier New" w:eastAsia="Courier New" w:hAnsi="Courier New"/>
          <w:sz w:val="16"/>
          <w:szCs w:val="16"/>
          <w:color w:val="auto"/>
        </w:rPr>
      </w:pPr>
    </w:p>
    <w:p>
      <w:pPr>
        <w:ind w:right="2319" w:firstLine="4"/>
        <w:spacing w:after="0" w:line="241" w:lineRule="auto"/>
        <w:tabs>
          <w:tab w:leader="none" w:pos="5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risks described from time to time in Comcast's periodic reports filed with the Securities and Exchange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ectPr>
          <w:pgSz w:w="11900" w:h="16838" w:orient="portrait"/>
          <w:cols w:equalWidth="0" w:num="1">
            <w:col w:w="10219"/>
          </w:cols>
          <w:pgMar w:left="240" w:top="243" w:right="1440" w:bottom="144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960" w:space="720"/>
            <w:col w:w="3539"/>
          </w:cols>
          <w:pgMar w:left="240" w:top="243"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Financial Reputation</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Fully Reviewed Comcast 10-K in Connection with the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Filing of Merger Proxy</w:t>
      </w:r>
    </w:p>
    <w:p>
      <w:pPr>
        <w:spacing w:after="0" w:line="391" w:lineRule="exact"/>
        <w:rPr>
          <w:sz w:val="20"/>
          <w:szCs w:val="20"/>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Ratings Triggers</w:t>
      </w:r>
    </w:p>
    <w:p>
      <w:pPr>
        <w:spacing w:after="0" w:line="196"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Commercial Paper Issuance Concerns</w:t>
      </w:r>
    </w:p>
    <w:p>
      <w:pPr>
        <w:spacing w:after="0" w:line="196"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Off-Balance Sheet Debt</w:t>
      </w:r>
    </w:p>
    <w:p>
      <w:pPr>
        <w:spacing w:after="0" w:line="4"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$200MM Performance Guarantee of an Affiliate Fully Disclosed</w:t>
      </w:r>
    </w:p>
    <w:p>
      <w:pPr>
        <w:spacing w:after="0" w:line="205"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Unusual Capitalization Policies</w:t>
      </w:r>
    </w:p>
    <w:p>
      <w:pPr>
        <w:spacing w:after="0" w:line="39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NO NONSENSE</w:t>
      </w:r>
    </w:p>
    <w:p>
      <w:pPr>
        <w:sectPr>
          <w:pgSz w:w="11900" w:h="16838" w:orient="portrait"/>
          <w:cols w:equalWidth="0" w:num="1">
            <w:col w:w="10219"/>
          </w:cols>
          <w:pgMar w:left="240" w:top="697"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960" w:space="720"/>
            <w:col w:w="3539"/>
          </w:cols>
          <w:pgMar w:left="240" w:top="69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1Q02: Strong Operating Performance</w:t>
            </w: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83"/>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4"/>
              </w:rPr>
              <w:t>Cable</w:t>
            </w:r>
          </w:p>
        </w:tc>
        <w:tc>
          <w:tcPr>
            <w:tcW w:w="1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7"/>
                <w:szCs w:val="17"/>
                <w:color w:val="auto"/>
              </w:rPr>
              <w:t>QVC</w:t>
            </w:r>
          </w:p>
        </w:tc>
        <w:tc>
          <w:tcPr>
            <w:tcW w:w="660" w:type="dxa"/>
            <w:vAlign w:val="bottom"/>
          </w:tcPr>
          <w:p>
            <w:pPr>
              <w:spacing w:after="0"/>
              <w:rPr>
                <w:sz w:val="24"/>
                <w:szCs w:val="24"/>
                <w:color w:val="auto"/>
              </w:rPr>
            </w:pPr>
          </w:p>
        </w:tc>
        <w:tc>
          <w:tcPr>
            <w:tcW w:w="21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Content</w:t>
            </w:r>
          </w:p>
        </w:tc>
      </w:tr>
      <w:tr>
        <w:trPr>
          <w:trHeight w:val="1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in Millions</w:t>
            </w:r>
          </w:p>
        </w:tc>
        <w:tc>
          <w:tcPr>
            <w:tcW w:w="460" w:type="dxa"/>
            <w:vAlign w:val="bottom"/>
          </w:tcPr>
          <w:p>
            <w:pPr>
              <w:spacing w:after="0"/>
              <w:rPr>
                <w:sz w:val="16"/>
                <w:szCs w:val="16"/>
                <w:color w:val="auto"/>
              </w:rPr>
            </w:pPr>
          </w:p>
        </w:tc>
        <w:tc>
          <w:tcPr>
            <w:tcW w:w="1020" w:type="dxa"/>
            <w:vAlign w:val="bottom"/>
          </w:tcPr>
          <w:p>
            <w:pPr>
              <w:ind w:left="500"/>
              <w:spacing w:after="0"/>
              <w:rPr>
                <w:sz w:val="20"/>
                <w:szCs w:val="20"/>
                <w:color w:val="auto"/>
              </w:rPr>
            </w:pPr>
            <w:r>
              <w:rPr>
                <w:rFonts w:ascii="Courier New" w:cs="Courier New" w:eastAsia="Courier New" w:hAnsi="Courier New"/>
                <w:sz w:val="17"/>
                <w:szCs w:val="17"/>
                <w:color w:val="auto"/>
                <w:w w:val="97"/>
              </w:rPr>
              <w:t>13.5%</w:t>
            </w:r>
          </w:p>
        </w:tc>
        <w:tc>
          <w:tcPr>
            <w:tcW w:w="1200" w:type="dxa"/>
            <w:vAlign w:val="bottom"/>
          </w:tcPr>
          <w:p>
            <w:pPr>
              <w:spacing w:after="0"/>
              <w:rPr>
                <w:sz w:val="16"/>
                <w:szCs w:val="16"/>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7"/>
                <w:szCs w:val="17"/>
                <w:color w:val="auto"/>
              </w:rPr>
              <w:t>11.4%</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600"/>
              <w:spacing w:after="0"/>
              <w:rPr>
                <w:sz w:val="20"/>
                <w:szCs w:val="20"/>
                <w:color w:val="auto"/>
              </w:rPr>
            </w:pPr>
            <w:r>
              <w:rPr>
                <w:rFonts w:ascii="Courier New" w:cs="Courier New" w:eastAsia="Courier New" w:hAnsi="Courier New"/>
                <w:sz w:val="17"/>
                <w:szCs w:val="17"/>
                <w:color w:val="auto"/>
              </w:rPr>
              <w:t>33.6%</w:t>
            </w:r>
          </w:p>
        </w:tc>
      </w:tr>
      <w:tr>
        <w:trPr>
          <w:trHeight w:val="1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876"/>
              <w:spacing w:after="0"/>
              <w:rPr>
                <w:sz w:val="20"/>
                <w:szCs w:val="20"/>
                <w:color w:val="auto"/>
              </w:rPr>
            </w:pPr>
            <w:r>
              <w:rPr>
                <w:rFonts w:ascii="Courier New" w:cs="Courier New" w:eastAsia="Courier New" w:hAnsi="Courier New"/>
                <w:sz w:val="17"/>
                <w:szCs w:val="17"/>
                <w:color w:val="auto"/>
                <w:w w:val="91"/>
              </w:rPr>
              <w:t>600</w:t>
            </w:r>
          </w:p>
        </w:tc>
        <w:tc>
          <w:tcPr>
            <w:tcW w:w="46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w:t>
            </w:r>
          </w:p>
        </w:tc>
        <w:tc>
          <w:tcPr>
            <w:tcW w:w="122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$60</w:t>
            </w: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spacing w:after="0"/>
              <w:rPr>
                <w:sz w:val="16"/>
                <w:szCs w:val="16"/>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$55</w:t>
            </w: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876"/>
              <w:spacing w:after="0"/>
              <w:rPr>
                <w:sz w:val="20"/>
                <w:szCs w:val="20"/>
                <w:color w:val="auto"/>
              </w:rPr>
            </w:pPr>
            <w:r>
              <w:rPr>
                <w:rFonts w:ascii="Courier New" w:cs="Courier New" w:eastAsia="Courier New" w:hAnsi="Courier New"/>
                <w:sz w:val="17"/>
                <w:szCs w:val="17"/>
                <w:color w:val="auto"/>
                <w:w w:val="91"/>
              </w:rPr>
              <w:t>550</w:t>
            </w:r>
          </w:p>
        </w:tc>
        <w:tc>
          <w:tcPr>
            <w:tcW w:w="46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spacing w:after="0"/>
              <w:rPr>
                <w:sz w:val="16"/>
                <w:szCs w:val="16"/>
                <w:color w:val="auto"/>
              </w:rPr>
            </w:pP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$175</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w:t>
            </w: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876"/>
              <w:spacing w:after="0"/>
              <w:rPr>
                <w:sz w:val="20"/>
                <w:szCs w:val="20"/>
                <w:color w:val="auto"/>
              </w:rPr>
            </w:pPr>
            <w:r>
              <w:rPr>
                <w:rFonts w:ascii="Courier New" w:cs="Courier New" w:eastAsia="Courier New" w:hAnsi="Courier New"/>
                <w:sz w:val="17"/>
                <w:szCs w:val="17"/>
                <w:color w:val="auto"/>
                <w:w w:val="91"/>
              </w:rPr>
              <w:t>500</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w:t>
            </w: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876"/>
              <w:spacing w:after="0"/>
              <w:rPr>
                <w:sz w:val="20"/>
                <w:szCs w:val="20"/>
                <w:color w:val="auto"/>
              </w:rPr>
            </w:pPr>
            <w:r>
              <w:rPr>
                <w:rFonts w:ascii="Courier New" w:cs="Courier New" w:eastAsia="Courier New" w:hAnsi="Courier New"/>
                <w:sz w:val="17"/>
                <w:szCs w:val="17"/>
                <w:color w:val="auto"/>
                <w:w w:val="91"/>
              </w:rPr>
              <w:t>450</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X</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$150  X</w:t>
            </w:r>
          </w:p>
        </w:tc>
        <w:tc>
          <w:tcPr>
            <w:tcW w:w="1220" w:type="dxa"/>
            <w:vAlign w:val="bottom"/>
          </w:tcPr>
          <w:p>
            <w:pPr>
              <w:ind w:left="620"/>
              <w:spacing w:after="0"/>
              <w:rPr>
                <w:sz w:val="20"/>
                <w:szCs w:val="20"/>
                <w:color w:val="auto"/>
              </w:rPr>
            </w:pPr>
            <w:r>
              <w:rPr>
                <w:rFonts w:ascii="Courier New" w:cs="Courier New" w:eastAsia="Courier New" w:hAnsi="Courier New"/>
                <w:sz w:val="17"/>
                <w:szCs w:val="17"/>
                <w:color w:val="auto"/>
              </w:rPr>
              <w:t>X</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$40</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X</w:t>
            </w:r>
          </w:p>
        </w:tc>
        <w:tc>
          <w:tcPr>
            <w:tcW w:w="1520" w:type="dxa"/>
            <w:vAlign w:val="bottom"/>
          </w:tcPr>
          <w:p>
            <w:pPr>
              <w:ind w:left="800"/>
              <w:spacing w:after="0"/>
              <w:rPr>
                <w:sz w:val="20"/>
                <w:szCs w:val="20"/>
                <w:color w:val="auto"/>
              </w:rPr>
            </w:pPr>
            <w:r>
              <w:rPr>
                <w:rFonts w:ascii="Courier New" w:cs="Courier New" w:eastAsia="Courier New" w:hAnsi="Courier New"/>
                <w:sz w:val="17"/>
                <w:szCs w:val="17"/>
                <w:color w:val="auto"/>
              </w:rPr>
              <w:t>X</w:t>
            </w: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1Q01</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1Q02</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1Q01</w:t>
            </w:r>
          </w:p>
        </w:tc>
        <w:tc>
          <w:tcPr>
            <w:tcW w:w="1220" w:type="dxa"/>
            <w:vAlign w:val="bottom"/>
          </w:tcPr>
          <w:p>
            <w:pPr>
              <w:ind w:left="420"/>
              <w:spacing w:after="0"/>
              <w:rPr>
                <w:sz w:val="20"/>
                <w:szCs w:val="20"/>
                <w:color w:val="auto"/>
              </w:rPr>
            </w:pPr>
            <w:r>
              <w:rPr>
                <w:rFonts w:ascii="Courier New" w:cs="Courier New" w:eastAsia="Courier New" w:hAnsi="Courier New"/>
                <w:sz w:val="17"/>
                <w:szCs w:val="17"/>
                <w:color w:val="auto"/>
              </w:rPr>
              <w:t>1Q02</w:t>
            </w:r>
          </w:p>
        </w:tc>
        <w:tc>
          <w:tcPr>
            <w:tcW w:w="66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Courier New" w:cs="Courier New" w:eastAsia="Courier New" w:hAnsi="Courier New"/>
                <w:sz w:val="17"/>
                <w:szCs w:val="17"/>
                <w:color w:val="auto"/>
              </w:rPr>
              <w:t>1Q01</w:t>
            </w:r>
          </w:p>
        </w:tc>
        <w:tc>
          <w:tcPr>
            <w:tcW w:w="1520" w:type="dxa"/>
            <w:vAlign w:val="bottom"/>
          </w:tcPr>
          <w:p>
            <w:pPr>
              <w:ind w:left="600"/>
              <w:spacing w:after="0"/>
              <w:rPr>
                <w:sz w:val="20"/>
                <w:szCs w:val="20"/>
                <w:color w:val="auto"/>
              </w:rPr>
            </w:pPr>
            <w:r>
              <w:rPr>
                <w:rFonts w:ascii="Courier New" w:cs="Courier New" w:eastAsia="Courier New" w:hAnsi="Courier New"/>
                <w:sz w:val="17"/>
                <w:szCs w:val="17"/>
                <w:color w:val="auto"/>
              </w:rPr>
              <w:t>1Q02</w:t>
            </w:r>
          </w:p>
        </w:tc>
      </w:tr>
      <w:tr>
        <w:trPr>
          <w:trHeight w:val="583"/>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gridSpan w:val="4"/>
          </w:tcPr>
          <w:p>
            <w:pPr>
              <w:jc w:val="right"/>
              <w:ind w:right="176"/>
              <w:spacing w:after="0"/>
              <w:rPr>
                <w:sz w:val="20"/>
                <w:szCs w:val="20"/>
                <w:color w:val="auto"/>
              </w:rPr>
            </w:pPr>
            <w:r>
              <w:rPr>
                <w:rFonts w:ascii="Courier New" w:cs="Courier New" w:eastAsia="Courier New" w:hAnsi="Courier New"/>
                <w:sz w:val="17"/>
                <w:szCs w:val="17"/>
                <w:color w:val="auto"/>
              </w:rPr>
              <w:t>Consolidated Revenue Growth: 12%</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4"/>
        </w:trPr>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4"/>
          </w:tcPr>
          <w:p>
            <w:pPr>
              <w:jc w:val="right"/>
              <w:ind w:right="376"/>
              <w:spacing w:after="0"/>
              <w:rPr>
                <w:sz w:val="20"/>
                <w:szCs w:val="20"/>
                <w:color w:val="auto"/>
              </w:rPr>
            </w:pPr>
            <w:r>
              <w:rPr>
                <w:rFonts w:ascii="Courier New" w:cs="Courier New" w:eastAsia="Courier New" w:hAnsi="Courier New"/>
                <w:sz w:val="17"/>
                <w:szCs w:val="17"/>
                <w:color w:val="auto"/>
              </w:rPr>
              <w:t>Consolidated OCF Growth: 18%</w:t>
            </w: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89"/>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Merrill Lynch</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Note: Pro Forma Results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4"/>
        </w:trPr>
        <w:tc>
          <w:tcPr>
            <w:tcW w:w="1360" w:type="dxa"/>
            <w:vAlign w:val="bottom"/>
            <w:gridSpan w:val="2"/>
          </w:tcPr>
          <w:p>
            <w:pPr>
              <w:spacing w:after="0"/>
              <w:rPr>
                <w:sz w:val="20"/>
                <w:szCs w:val="20"/>
                <w:color w:val="auto"/>
              </w:rPr>
            </w:pPr>
            <w:r>
              <w:rPr>
                <w:rFonts w:ascii="Courier New" w:cs="Courier New" w:eastAsia="Courier New" w:hAnsi="Courier New"/>
                <w:sz w:val="17"/>
                <w:szCs w:val="17"/>
                <w:color w:val="auto"/>
              </w:rPr>
              <w:t>June 13, 2002</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7"/>
                <w:szCs w:val="17"/>
                <w:color w:val="auto"/>
                <w:w w:val="98"/>
              </w:rPr>
              <w:t>[COMCAST LOGO]</w:t>
            </w:r>
          </w:p>
        </w:tc>
      </w:tr>
    </w:tbl>
    <w:p>
      <w:pPr>
        <w:sectPr>
          <w:pgSz w:w="11900" w:h="16838" w:orient="portrait"/>
          <w:cols w:equalWidth="0" w:num="1">
            <w:col w:w="10219"/>
          </w:cols>
          <w:pgMar w:left="240" w:top="891" w:right="1440" w:bottom="144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7"/>
          <w:szCs w:val="17"/>
          <w:color w:val="auto"/>
        </w:rPr>
        <w:t>[COMCAST CABLE LOGO]</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Today</w:t>
      </w:r>
    </w:p>
    <w:p>
      <w:pPr>
        <w:spacing w:after="0" w:line="391" w:lineRule="exact"/>
        <w:rPr>
          <w:sz w:val="20"/>
          <w:szCs w:val="20"/>
          <w:color w:val="auto"/>
        </w:rPr>
      </w:pPr>
    </w:p>
    <w:p>
      <w:pPr>
        <w:ind w:left="1720"/>
        <w:spacing w:after="0"/>
        <w:tabs>
          <w:tab w:leader="none" w:pos="2100" w:val="left"/>
        </w:tabs>
        <w:rPr>
          <w:sz w:val="20"/>
          <w:szCs w:val="20"/>
          <w:color w:val="auto"/>
        </w:rPr>
      </w:pPr>
      <w:r>
        <w:rPr>
          <w:rFonts w:ascii="Courier New" w:cs="Courier New" w:eastAsia="Courier New" w:hAnsi="Courier New"/>
          <w:sz w:val="17"/>
          <w:szCs w:val="17"/>
          <w:color w:val="auto"/>
        </w:rPr>
        <w:t>o</w:t>
        <w:tab/>
        <w:t>3rd Largest U.S. Cable Operator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[PHOTO]</w:t>
      </w:r>
    </w:p>
    <w:p>
      <w:pPr>
        <w:spacing w:after="0" w:line="2" w:lineRule="exact"/>
        <w:rPr>
          <w:sz w:val="20"/>
          <w:szCs w:val="20"/>
          <w:color w:val="auto"/>
        </w:rPr>
      </w:pPr>
    </w:p>
    <w:p>
      <w:pPr>
        <w:ind w:left="2540" w:hanging="413"/>
        <w:spacing w:after="0"/>
        <w:tabs>
          <w:tab w:leader="none" w:pos="2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8.5 Million Subscribers</w:t>
      </w:r>
    </w:p>
    <w:p>
      <w:pPr>
        <w:spacing w:after="0" w:line="393" w:lineRule="exact"/>
        <w:rPr>
          <w:sz w:val="20"/>
          <w:szCs w:val="20"/>
          <w:color w:val="auto"/>
        </w:rPr>
      </w:pPr>
    </w:p>
    <w:p>
      <w:pPr>
        <w:ind w:left="2120" w:hanging="397"/>
        <w:spacing w:after="0"/>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AT&amp;T Broadband Transaction</w:t>
      </w:r>
    </w:p>
    <w:p>
      <w:pPr>
        <w:spacing w:after="0" w:line="200" w:lineRule="exact"/>
        <w:rPr>
          <w:sz w:val="20"/>
          <w:szCs w:val="20"/>
          <w:color w:val="auto"/>
        </w:rPr>
      </w:pPr>
    </w:p>
    <w:p>
      <w:pPr>
        <w:spacing w:after="0" w:line="397" w:lineRule="exact"/>
        <w:rPr>
          <w:sz w:val="20"/>
          <w:szCs w:val="20"/>
          <w:color w:val="auto"/>
        </w:rPr>
      </w:pPr>
    </w:p>
    <w:p>
      <w:pPr>
        <w:ind w:left="1720" w:right="4959" w:firstLine="407"/>
        <w:spacing w:after="0" w:line="386" w:lineRule="auto"/>
        <w:tabs>
          <w:tab w:leader="none" w:pos="252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Largest U.S. Cable Operator o Upgraded Broadband Network</w:t>
      </w:r>
    </w:p>
    <w:p>
      <w:pPr>
        <w:spacing w:after="0" w:line="237" w:lineRule="auto"/>
        <w:rPr>
          <w:sz w:val="20"/>
          <w:szCs w:val="20"/>
          <w:color w:val="auto"/>
        </w:rPr>
      </w:pPr>
      <w:r>
        <w:rPr>
          <w:rFonts w:ascii="Courier New" w:cs="Courier New" w:eastAsia="Courier New" w:hAnsi="Courier New"/>
          <w:sz w:val="17"/>
          <w:szCs w:val="17"/>
          <w:color w:val="auto"/>
        </w:rPr>
        <w:t>[PHOTO]</w:t>
      </w:r>
    </w:p>
    <w:p>
      <w:pPr>
        <w:spacing w:after="0" w:line="2" w:lineRule="exact"/>
        <w:rPr>
          <w:sz w:val="20"/>
          <w:szCs w:val="20"/>
          <w:color w:val="auto"/>
        </w:rPr>
      </w:pPr>
    </w:p>
    <w:p>
      <w:pPr>
        <w:ind w:left="1720"/>
        <w:spacing w:after="0"/>
        <w:tabs>
          <w:tab w:leader="none" w:pos="2100" w:val="left"/>
        </w:tabs>
        <w:rPr>
          <w:sz w:val="20"/>
          <w:szCs w:val="20"/>
          <w:color w:val="auto"/>
        </w:rPr>
      </w:pPr>
      <w:r>
        <w:rPr>
          <w:rFonts w:ascii="Courier New" w:cs="Courier New" w:eastAsia="Courier New" w:hAnsi="Courier New"/>
          <w:sz w:val="17"/>
          <w:szCs w:val="17"/>
          <w:color w:val="auto"/>
        </w:rPr>
        <w:t>o</w:t>
        <w:tab/>
        <w:t>Growth in New Services</w:t>
      </w:r>
    </w:p>
    <w:p>
      <w:pPr>
        <w:sectPr>
          <w:pgSz w:w="11900" w:h="16838" w:orient="portrait"/>
          <w:cols w:equalWidth="0" w:num="1">
            <w:col w:w="10219"/>
          </w:cols>
          <w:pgMar w:left="240" w:top="69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Leveraging an Upgraded Network</w:t>
      </w:r>
    </w:p>
    <w:p>
      <w:pPr>
        <w:spacing w:after="0" w:line="19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[THE FOLLOWING TABLE WAS REPRESENTED BY A BAR GRAPH IN THE PRINTED MATERIALS.]</w:t>
      </w:r>
    </w:p>
    <w:p>
      <w:pPr>
        <w:spacing w:after="0" w:line="205"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Homes Passed</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Pr>
          <w:p>
            <w:pPr>
              <w:spacing w:after="0"/>
              <w:rPr>
                <w:sz w:val="16"/>
                <w:szCs w:val="16"/>
                <w:color w:val="auto"/>
              </w:rPr>
            </w:pP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1996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2000</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1780" w:type="dxa"/>
            <w:vAlign w:val="bottom"/>
          </w:tcPr>
          <w:p>
            <w:pPr>
              <w:spacing w:after="0"/>
              <w:rPr>
                <w:sz w:val="16"/>
                <w:szCs w:val="16"/>
                <w:color w:val="auto"/>
              </w:rPr>
            </w:pP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w:t>
            </w:r>
          </w:p>
        </w:tc>
      </w:tr>
      <w:tr>
        <w:trPr>
          <w:trHeight w:val="194"/>
        </w:trPr>
        <w:tc>
          <w:tcPr>
            <w:tcW w:w="1780" w:type="dxa"/>
            <w:vAlign w:val="bottom"/>
          </w:tcPr>
          <w:p>
            <w:pPr>
              <w:spacing w:after="0"/>
              <w:rPr>
                <w:sz w:val="20"/>
                <w:szCs w:val="20"/>
                <w:color w:val="auto"/>
              </w:rPr>
            </w:pPr>
            <w:r>
              <w:rPr>
                <w:rFonts w:ascii="Courier New" w:cs="Courier New" w:eastAsia="Courier New" w:hAnsi="Courier New"/>
                <w:sz w:val="17"/>
                <w:szCs w:val="17"/>
                <w:color w:val="auto"/>
              </w:rPr>
              <w:t>550MMz</w:t>
            </w: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3.4</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0.7</w:t>
            </w:r>
          </w:p>
        </w:tc>
      </w:tr>
      <w:tr>
        <w:trPr>
          <w:trHeight w:val="389"/>
        </w:trPr>
        <w:tc>
          <w:tcPr>
            <w:tcW w:w="1780" w:type="dxa"/>
            <w:vAlign w:val="bottom"/>
          </w:tcPr>
          <w:p>
            <w:pPr>
              <w:spacing w:after="0"/>
              <w:rPr>
                <w:sz w:val="20"/>
                <w:szCs w:val="20"/>
                <w:color w:val="auto"/>
              </w:rPr>
            </w:pPr>
            <w:r>
              <w:rPr>
                <w:rFonts w:ascii="Courier New" w:cs="Courier New" w:eastAsia="Courier New" w:hAnsi="Courier New"/>
                <w:sz w:val="17"/>
                <w:szCs w:val="17"/>
                <w:color w:val="auto"/>
              </w:rPr>
              <w:t>550MHz to 750MHz</w:t>
            </w: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2.1</w:t>
            </w:r>
          </w:p>
        </w:tc>
      </w:tr>
      <w:tr>
        <w:trPr>
          <w:trHeight w:val="389"/>
        </w:trPr>
        <w:tc>
          <w:tcPr>
            <w:tcW w:w="1780" w:type="dxa"/>
            <w:vAlign w:val="bottom"/>
          </w:tcPr>
          <w:p>
            <w:pPr>
              <w:spacing w:after="0"/>
              <w:rPr>
                <w:sz w:val="20"/>
                <w:szCs w:val="20"/>
                <w:color w:val="auto"/>
              </w:rPr>
            </w:pPr>
            <w:r>
              <w:rPr>
                <w:rFonts w:ascii="Courier New" w:cs="Courier New" w:eastAsia="Courier New" w:hAnsi="Courier New"/>
                <w:sz w:val="17"/>
                <w:szCs w:val="17"/>
                <w:color w:val="auto"/>
              </w:rPr>
              <w:t>750MHz or More</w:t>
            </w: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11.0</w:t>
            </w:r>
          </w:p>
        </w:tc>
      </w:tr>
      <w:tr>
        <w:trPr>
          <w:trHeight w:val="194"/>
        </w:trPr>
        <w:tc>
          <w:tcPr>
            <w:tcW w:w="1780" w:type="dxa"/>
            <w:vAlign w:val="bottom"/>
          </w:tcPr>
          <w:p>
            <w:pPr>
              <w:spacing w:after="0"/>
              <w:rPr>
                <w:sz w:val="16"/>
                <w:szCs w:val="16"/>
                <w:color w:val="auto"/>
              </w:rPr>
            </w:pP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w:t>
            </w:r>
          </w:p>
        </w:tc>
      </w:tr>
      <w:tr>
        <w:trPr>
          <w:trHeight w:val="194"/>
        </w:trPr>
        <w:tc>
          <w:tcPr>
            <w:tcW w:w="17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w:t>
            </w: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13.8</w:t>
            </w:r>
          </w:p>
        </w:tc>
      </w:tr>
      <w:tr>
        <w:trPr>
          <w:trHeight w:val="194"/>
        </w:trPr>
        <w:tc>
          <w:tcPr>
            <w:tcW w:w="1780" w:type="dxa"/>
            <w:vAlign w:val="bottom"/>
          </w:tcPr>
          <w:p>
            <w:pPr>
              <w:spacing w:after="0"/>
              <w:rPr>
                <w:sz w:val="16"/>
                <w:szCs w:val="16"/>
                <w:color w:val="auto"/>
              </w:rPr>
            </w:pPr>
          </w:p>
        </w:tc>
        <w:tc>
          <w:tcPr>
            <w:tcW w:w="76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50%</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4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95%</w:t>
            </w:r>
          </w:p>
        </w:tc>
      </w:tr>
      <w:tr>
        <w:trPr>
          <w:trHeight w:val="583"/>
        </w:trPr>
        <w:tc>
          <w:tcPr>
            <w:tcW w:w="17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4"/>
        </w:trPr>
        <w:tc>
          <w:tcPr>
            <w:tcW w:w="178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[COMCAST LOGO]</w:t>
            </w:r>
          </w:p>
        </w:tc>
      </w:tr>
    </w:tbl>
    <w:p>
      <w:pPr>
        <w:sectPr>
          <w:pgSz w:w="11900" w:h="16838" w:orient="portrait"/>
          <w:cols w:equalWidth="0" w:num="1">
            <w:col w:w="10219"/>
          </w:cols>
          <w:pgMar w:left="240" w:top="69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Leveraging an Upgraded Network</w:t>
      </w:r>
    </w:p>
    <w:p>
      <w:pPr>
        <w:spacing w:after="0" w:line="199" w:lineRule="exact"/>
        <w:rPr>
          <w:sz w:val="20"/>
          <w:szCs w:val="20"/>
          <w:color w:val="auto"/>
        </w:rPr>
      </w:pPr>
    </w:p>
    <w:p>
      <w:pPr>
        <w:ind w:left="500" w:right="6579" w:hanging="496"/>
        <w:spacing w:after="0" w:line="239" w:lineRule="auto"/>
        <w:tabs>
          <w:tab w:leader="none" w:pos="19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--&gt; Strong Demand for New Services Comcast digital cable</w:t>
      </w:r>
    </w:p>
    <w:p>
      <w:pPr>
        <w:spacing w:after="0" w:line="3"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 High-Speed Internet</w:t>
      </w:r>
    </w:p>
    <w:p>
      <w:pPr>
        <w:spacing w:after="0" w:line="196"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--&gt; Double-Digit OCF Growth</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 10% in 2000</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 12% in 2001</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 12-14% in 2002E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--&gt; Significant Free Cash Flow</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 Consolidated: $800 million - $1.0 billion in 2002E</w:t>
      </w:r>
    </w:p>
    <w:p>
      <w:pPr>
        <w:spacing w:after="0" w:line="19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Upgraded Network + New Services + Double-Digit OCF Growth</w:t>
      </w:r>
    </w:p>
    <w:p>
      <w:pPr>
        <w:spacing w:after="0" w:line="1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 Significant Free Cash Flow Generation</w:t>
      </w:r>
    </w:p>
    <w:p>
      <w:pPr>
        <w:sectPr>
          <w:pgSz w:w="11900" w:h="16838" w:orient="portrait"/>
          <w:cols w:equalWidth="0" w:num="1">
            <w:col w:w="10219"/>
          </w:cols>
          <w:pgMar w:left="240" w:top="891"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960" w:space="720"/>
            <w:col w:w="3539"/>
          </w:cols>
          <w:pgMar w:left="240" w:top="891"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Strong Operating Performance</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Free Cash Flow Generation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Decrease in cable capital expenditures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WAS REPRESENTED BY A BAR GRAPH IN THE PRINTED MATERIALS.]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Courier New" w:cs="Courier New" w:eastAsia="Courier New" w:hAnsi="Courier New"/>
                <w:sz w:val="17"/>
                <w:szCs w:val="17"/>
                <w:color w:val="auto"/>
              </w:rPr>
              <w:t>(Billions)</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9"/>
        </w:trPr>
        <w:tc>
          <w:tcPr>
            <w:tcW w:w="14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1998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1999</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2001</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2002E</w:t>
            </w:r>
          </w:p>
        </w:tc>
      </w:tr>
      <w:tr>
        <w:trPr>
          <w:trHeight w:val="194"/>
        </w:trPr>
        <w:tc>
          <w:tcPr>
            <w:tcW w:w="14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Cable</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$0.711</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$0.739</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$1.248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$1.855</w:t>
            </w: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rPr>
              <w:t>$ 1.3</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Consolidated</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$0.187</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$0.154</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$0.388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$0.326</w:t>
            </w: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w w:val="95"/>
              </w:rPr>
              <w:t>$ 0.196</w:t>
            </w:r>
          </w:p>
        </w:tc>
      </w:tr>
      <w:tr>
        <w:trPr>
          <w:trHeight w:val="194"/>
        </w:trPr>
        <w:tc>
          <w:tcPr>
            <w:tcW w:w="14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w w:val="95"/>
              </w:rPr>
              <w:t>-------</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960" w:type="dxa"/>
            <w:vAlign w:val="bottom"/>
          </w:tcPr>
          <w:p>
            <w:pPr>
              <w:jc w:val="center"/>
              <w:spacing w:after="0"/>
              <w:rPr>
                <w:sz w:val="20"/>
                <w:szCs w:val="20"/>
                <w:color w:val="auto"/>
              </w:rPr>
            </w:pPr>
            <w:r>
              <w:rPr>
                <w:rFonts w:ascii="Courier New" w:cs="Courier New" w:eastAsia="Courier New" w:hAnsi="Courier New"/>
                <w:sz w:val="17"/>
                <w:szCs w:val="17"/>
                <w:color w:val="auto"/>
                <w:w w:val="97"/>
              </w:rPr>
              <w:t>$0.898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$0.893</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$1.636</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$2.181</w:t>
            </w: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w w:val="95"/>
              </w:rPr>
              <w:t>$ 1.496</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.....leads to significant FCF generation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WAS REPRESENTED BY A LINE GRAPH IN THE PRINTED MATERIALS.]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w w:val="97"/>
              </w:rPr>
              <w:t>1999</w:t>
            </w:r>
          </w:p>
        </w:tc>
        <w:tc>
          <w:tcPr>
            <w:tcW w:w="10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2001</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2002E</w:t>
            </w:r>
          </w:p>
        </w:tc>
      </w:tr>
      <w:tr>
        <w:trPr>
          <w:trHeight w:val="194"/>
        </w:trPr>
        <w:tc>
          <w:tcPr>
            <w:tcW w:w="56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0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w w:val="94"/>
              </w:rPr>
              <w:t>-----</w:t>
            </w:r>
          </w:p>
        </w:tc>
      </w:t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FCF</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$66.3</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w w:val="97"/>
              </w:rPr>
              <w:t>$402.6</w:t>
            </w:r>
          </w:p>
        </w:tc>
        <w:tc>
          <w:tcPr>
            <w:tcW w:w="1000" w:type="dxa"/>
            <w:vAlign w:val="bottom"/>
          </w:tcPr>
          <w:p>
            <w:pPr>
              <w:jc w:val="center"/>
              <w:spacing w:after="0"/>
              <w:rPr>
                <w:sz w:val="20"/>
                <w:szCs w:val="20"/>
                <w:color w:val="auto"/>
              </w:rPr>
            </w:pPr>
            <w:r>
              <w:rPr>
                <w:rFonts w:ascii="Courier New" w:cs="Courier New" w:eastAsia="Courier New" w:hAnsi="Courier New"/>
                <w:sz w:val="17"/>
                <w:szCs w:val="17"/>
                <w:color w:val="auto"/>
                <w:w w:val="97"/>
              </w:rPr>
              <w:t>$266.6</w:t>
            </w:r>
          </w:p>
        </w:tc>
        <w:tc>
          <w:tcPr>
            <w:tcW w:w="1020" w:type="dxa"/>
            <w:vAlign w:val="bottom"/>
          </w:tcPr>
          <w:p>
            <w:pPr>
              <w:jc w:val="center"/>
              <w:spacing w:after="0"/>
              <w:rPr>
                <w:sz w:val="20"/>
                <w:szCs w:val="20"/>
                <w:color w:val="auto"/>
              </w:rPr>
            </w:pPr>
            <w:r>
              <w:rPr>
                <w:rFonts w:ascii="Courier New" w:cs="Courier New" w:eastAsia="Courier New" w:hAnsi="Courier New"/>
                <w:sz w:val="17"/>
                <w:szCs w:val="17"/>
                <w:color w:val="auto"/>
              </w:rPr>
              <w:t>$110.1</w:t>
            </w:r>
          </w:p>
        </w:tc>
        <w:tc>
          <w:tcPr>
            <w:tcW w:w="700" w:type="dxa"/>
            <w:vAlign w:val="bottom"/>
          </w:tcPr>
          <w:p>
            <w:pPr>
              <w:ind w:left="200"/>
              <w:spacing w:after="0"/>
              <w:rPr>
                <w:sz w:val="20"/>
                <w:szCs w:val="20"/>
                <w:color w:val="auto"/>
              </w:rPr>
            </w:pPr>
            <w:r>
              <w:rPr>
                <w:rFonts w:ascii="Courier New" w:cs="Courier New" w:eastAsia="Courier New" w:hAnsi="Courier New"/>
                <w:sz w:val="17"/>
                <w:szCs w:val="17"/>
                <w:color w:val="auto"/>
              </w:rPr>
              <w:t>$800</w:t>
            </w:r>
          </w:p>
        </w:tc>
      </w:tr>
    </w:tbl>
    <w:p>
      <w:pPr>
        <w:spacing w:after="0" w:line="199" w:lineRule="exact"/>
        <w:rPr>
          <w:sz w:val="20"/>
          <w:szCs w:val="20"/>
          <w:color w:val="auto"/>
        </w:rPr>
      </w:pPr>
    </w:p>
    <w:p>
      <w:pPr>
        <w:jc w:val="both"/>
        <w:ind w:right="2739"/>
        <w:spacing w:after="0"/>
        <w:rPr>
          <w:sz w:val="20"/>
          <w:szCs w:val="20"/>
          <w:color w:val="auto"/>
        </w:rPr>
      </w:pPr>
      <w:r>
        <w:rPr>
          <w:rFonts w:ascii="Courier New" w:cs="Courier New" w:eastAsia="Courier New" w:hAnsi="Courier New"/>
          <w:sz w:val="17"/>
          <w:szCs w:val="17"/>
          <w:color w:val="auto"/>
        </w:rPr>
        <w:t>Free Cash Flow = EBITDA - Cap Ex - Interest Expense - Cash Taxes. Excludes One-Time Tax Payments, OCF losses from Business Telephony Initiatives and High-Speed Internet Transition Costs</w:t>
      </w:r>
    </w:p>
    <w:p>
      <w:pPr>
        <w:sectPr>
          <w:pgSz w:w="11900" w:h="16838" w:orient="portrait"/>
          <w:cols w:equalWidth="0" w:num="1">
            <w:col w:w="10219"/>
          </w:cols>
          <w:pgMar w:left="240" w:top="697" w:right="1440" w:bottom="1440" w:gutter="0" w:footer="0" w:header="0"/>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960" w:space="720"/>
            <w:col w:w="3539"/>
          </w:cols>
          <w:pgMar w:left="240" w:top="69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[COMCAST LOGO] digital</w:t>
            </w:r>
          </w:p>
        </w:tc>
        <w:tc>
          <w:tcPr>
            <w:tcW w:w="7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cable</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78"/>
        </w:trPr>
        <w:tc>
          <w:tcPr>
            <w:tcW w:w="304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YE98</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YE99</w:t>
            </w:r>
          </w:p>
        </w:tc>
        <w:tc>
          <w:tcPr>
            <w:tcW w:w="1120" w:type="dxa"/>
            <w:vAlign w:val="bottom"/>
          </w:tcPr>
          <w:p>
            <w:pPr>
              <w:ind w:left="320"/>
              <w:spacing w:after="0"/>
              <w:rPr>
                <w:sz w:val="20"/>
                <w:szCs w:val="20"/>
                <w:color w:val="auto"/>
              </w:rPr>
            </w:pPr>
            <w:r>
              <w:rPr>
                <w:rFonts w:ascii="Courier New" w:cs="Courier New" w:eastAsia="Courier New" w:hAnsi="Courier New"/>
                <w:sz w:val="17"/>
                <w:szCs w:val="17"/>
                <w:color w:val="auto"/>
              </w:rPr>
              <w:t>YE00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YE01</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1Q02</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YE02E</w:t>
            </w:r>
          </w:p>
        </w:tc>
      </w:tr>
      <w:tr>
        <w:trPr>
          <w:trHeight w:val="194"/>
        </w:trPr>
        <w:tc>
          <w:tcPr>
            <w:tcW w:w="304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389"/>
        </w:trPr>
        <w:tc>
          <w:tcPr>
            <w:tcW w:w="2280" w:type="dxa"/>
            <w:vAlign w:val="bottom"/>
          </w:tcPr>
          <w:p>
            <w:pPr>
              <w:spacing w:after="0"/>
              <w:rPr>
                <w:sz w:val="20"/>
                <w:szCs w:val="20"/>
                <w:color w:val="auto"/>
              </w:rPr>
            </w:pPr>
            <w:r>
              <w:rPr>
                <w:rFonts w:ascii="Courier New" w:cs="Courier New" w:eastAsia="Courier New" w:hAnsi="Courier New"/>
                <w:sz w:val="17"/>
                <w:szCs w:val="17"/>
                <w:color w:val="auto"/>
              </w:rPr>
              <w:t>Subscriptions (000s)</w:t>
            </w:r>
          </w:p>
        </w:tc>
        <w:tc>
          <w:tcPr>
            <w:tcW w:w="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78</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515</w:t>
            </w:r>
          </w:p>
        </w:tc>
        <w:tc>
          <w:tcPr>
            <w:tcW w:w="1120" w:type="dxa"/>
            <w:vAlign w:val="bottom"/>
          </w:tcPr>
          <w:p>
            <w:pPr>
              <w:ind w:left="320"/>
              <w:spacing w:after="0"/>
              <w:rPr>
                <w:sz w:val="20"/>
                <w:szCs w:val="20"/>
                <w:color w:val="auto"/>
              </w:rPr>
            </w:pPr>
            <w:r>
              <w:rPr>
                <w:rFonts w:ascii="Courier New" w:cs="Courier New" w:eastAsia="Courier New" w:hAnsi="Courier New"/>
                <w:sz w:val="17"/>
                <w:szCs w:val="17"/>
                <w:color w:val="auto"/>
              </w:rPr>
              <w:t>1354</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2335</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2539.5</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w w:val="95"/>
              </w:rPr>
              <w:t>3MM+(*)</w:t>
            </w:r>
          </w:p>
        </w:tc>
      </w:tr>
      <w:tr>
        <w:trPr>
          <w:trHeight w:val="1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Penetration</w:t>
            </w:r>
          </w:p>
        </w:tc>
        <w:tc>
          <w:tcPr>
            <w:tcW w:w="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10.2%</w:t>
            </w:r>
          </w:p>
        </w:tc>
        <w:tc>
          <w:tcPr>
            <w:tcW w:w="1120" w:type="dxa"/>
            <w:vAlign w:val="bottom"/>
          </w:tcPr>
          <w:p>
            <w:pPr>
              <w:ind w:left="320"/>
              <w:spacing w:after="0"/>
              <w:rPr>
                <w:sz w:val="20"/>
                <w:szCs w:val="20"/>
                <w:color w:val="auto"/>
              </w:rPr>
            </w:pPr>
            <w:r>
              <w:rPr>
                <w:rFonts w:ascii="Courier New" w:cs="Courier New" w:eastAsia="Courier New" w:hAnsi="Courier New"/>
                <w:sz w:val="17"/>
                <w:szCs w:val="17"/>
                <w:color w:val="auto"/>
              </w:rPr>
              <w:t>18.7%</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27%</w:t>
            </w:r>
          </w:p>
        </w:tc>
        <w:tc>
          <w:tcPr>
            <w:tcW w:w="13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30.2%</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 2002 Guidance: 600-700,000 net additions.</w:t>
      </w:r>
    </w:p>
    <w:p>
      <w:pPr>
        <w:sectPr>
          <w:pgSz w:w="11900" w:h="16838" w:orient="portrait"/>
          <w:cols w:equalWidth="0" w:num="1">
            <w:col w:w="10219"/>
          </w:cols>
          <w:pgMar w:left="240" w:top="697"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960" w:space="720"/>
            <w:col w:w="3539"/>
          </w:cols>
          <w:pgMar w:left="240" w:top="697"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[COMCAST LOGO] digital cable</w:t>
      </w:r>
    </w:p>
    <w:p>
      <w:pPr>
        <w:spacing w:after="0" w:line="391"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Strong and Profitable Growth</w:t>
      </w:r>
    </w:p>
    <w:p>
      <w:pPr>
        <w:spacing w:after="0" w:line="393" w:lineRule="exact"/>
        <w:rPr>
          <w:sz w:val="20"/>
          <w:szCs w:val="20"/>
          <w:color w:val="auto"/>
        </w:rPr>
      </w:pPr>
    </w:p>
    <w:p>
      <w:pPr>
        <w:ind w:left="2440" w:right="4039" w:hanging="313"/>
        <w:spacing w:after="0" w:line="483" w:lineRule="auto"/>
        <w:tabs>
          <w:tab w:leader="none" w:pos="24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Positive Contribution Since Day One o Incremental Revenue: $10.61 per Box o Incremental OCF: &gt;80% Margin</w:t>
      </w:r>
    </w:p>
    <w:p>
      <w:pPr>
        <w:sectPr>
          <w:pgSz w:w="11900" w:h="16838" w:orient="portrait"/>
          <w:cols w:equalWidth="0" w:num="1">
            <w:col w:w="10219"/>
          </w:cols>
          <w:pgMar w:left="240" w:top="891"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Building on the Digital Platform</w:t>
      </w:r>
    </w:p>
    <w:p>
      <w:pPr>
        <w:spacing w:after="0" w:line="200" w:lineRule="exact"/>
        <w:rPr>
          <w:sz w:val="20"/>
          <w:szCs w:val="20"/>
          <w:color w:val="auto"/>
        </w:rPr>
      </w:pPr>
    </w:p>
    <w:p>
      <w:pPr>
        <w:spacing w:after="0" w:line="385"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100% +</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7"/>
          <w:szCs w:val="17"/>
          <w:color w:val="auto"/>
        </w:rPr>
        <w:t>Subscription</w:t>
      </w:r>
      <w:r>
        <w:rPr>
          <w:sz w:val="20"/>
          <w:szCs w:val="20"/>
          <w:color w:val="auto"/>
        </w:rPr>
        <w:tab/>
      </w:r>
      <w:r>
        <w:rPr>
          <w:rFonts w:ascii="Courier New" w:cs="Courier New" w:eastAsia="Courier New" w:hAnsi="Courier New"/>
          <w:sz w:val="17"/>
          <w:szCs w:val="17"/>
          <w:color w:val="auto"/>
        </w:rPr>
        <w:t>/-\</w:t>
      </w:r>
    </w:p>
    <w:p>
      <w:pPr>
        <w:spacing w:after="0" w:line="2" w:lineRule="exact"/>
        <w:rPr>
          <w:sz w:val="20"/>
          <w:szCs w:val="20"/>
          <w:color w:val="auto"/>
        </w:rPr>
      </w:pPr>
    </w:p>
    <w:p>
      <w:pPr>
        <w:ind w:left="100"/>
        <w:spacing w:after="0"/>
        <w:tabs>
          <w:tab w:leader="none" w:pos="2420" w:val="left"/>
        </w:tabs>
        <w:rPr>
          <w:sz w:val="20"/>
          <w:szCs w:val="20"/>
          <w:color w:val="auto"/>
        </w:rPr>
      </w:pPr>
      <w:r>
        <w:rPr>
          <w:rFonts w:ascii="Courier New" w:cs="Courier New" w:eastAsia="Courier New" w:hAnsi="Courier New"/>
          <w:sz w:val="17"/>
          <w:szCs w:val="17"/>
          <w:color w:val="auto"/>
        </w:rPr>
        <w:t>Penetration</w:t>
      </w:r>
      <w:r>
        <w:rPr>
          <w:sz w:val="20"/>
          <w:szCs w:val="20"/>
          <w:color w:val="auto"/>
        </w:rPr>
        <w:tab/>
      </w:r>
      <w:r>
        <w:rPr>
          <w:rFonts w:ascii="Courier New" w:cs="Courier New" w:eastAsia="Courier New" w:hAnsi="Courier New"/>
          <w:sz w:val="17"/>
          <w:szCs w:val="17"/>
          <w:color w:val="auto"/>
        </w:rPr>
        <w:t>/</w:t>
      </w:r>
    </w:p>
    <w:p>
      <w:pPr>
        <w:spacing w:after="0" w:line="2" w:lineRule="exact"/>
        <w:rPr>
          <w:sz w:val="20"/>
          <w:szCs w:val="20"/>
          <w:color w:val="auto"/>
        </w:rPr>
      </w:pPr>
    </w:p>
    <w:p>
      <w:pPr>
        <w:ind w:left="500"/>
        <w:spacing w:after="0"/>
        <w:tabs>
          <w:tab w:leader="none" w:pos="2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 w:lineRule="exact"/>
        <w:rPr>
          <w:sz w:val="20"/>
          <w:szCs w:val="20"/>
          <w:color w:val="auto"/>
        </w:rPr>
      </w:pPr>
    </w:p>
    <w:p>
      <w:pPr>
        <w:ind w:left="500"/>
        <w:spacing w:after="0"/>
        <w:tabs>
          <w:tab w:leader="none" w:pos="2200" w:val="left"/>
          <w:tab w:leader="none" w:pos="25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Interactive TV</w:t>
      </w:r>
    </w:p>
    <w:p>
      <w:pPr>
        <w:spacing w:after="0" w:line="2" w:lineRule="exact"/>
        <w:rPr>
          <w:sz w:val="20"/>
          <w:szCs w:val="20"/>
          <w:color w:val="auto"/>
        </w:rPr>
      </w:pPr>
    </w:p>
    <w:p>
      <w:pPr>
        <w:ind w:left="500"/>
        <w:spacing w:after="0"/>
        <w:tabs>
          <w:tab w:leader="none" w:pos="21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 w:lineRule="exact"/>
        <w:rPr>
          <w:sz w:val="20"/>
          <w:szCs w:val="20"/>
          <w:color w:val="auto"/>
        </w:rPr>
      </w:pPr>
    </w:p>
    <w:p>
      <w:pPr>
        <w:ind w:left="2020" w:hanging="1511"/>
        <w:spacing w:after="0"/>
        <w:tabs>
          <w:tab w:leader="none" w:pos="2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Extended VOD / PVR</w:t>
      </w:r>
    </w:p>
    <w:p>
      <w:pPr>
        <w:spacing w:after="0" w:line="2" w:lineRule="exact"/>
        <w:rPr>
          <w:sz w:val="20"/>
          <w:szCs w:val="20"/>
          <w:color w:val="auto"/>
        </w:rPr>
      </w:pPr>
    </w:p>
    <w:p>
      <w:pPr>
        <w:ind w:left="1920" w:hanging="1411"/>
        <w:spacing w:after="0"/>
        <w:tabs>
          <w:tab w:leader="none" w:pos="19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820" w:hanging="1311"/>
        <w:spacing w:after="0"/>
        <w:tabs>
          <w:tab w:leader="none" w:pos="18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High Definition TV</w:t>
      </w:r>
    </w:p>
    <w:p>
      <w:pPr>
        <w:spacing w:after="0" w:line="2" w:lineRule="exact"/>
        <w:rPr>
          <w:sz w:val="20"/>
          <w:szCs w:val="20"/>
          <w:color w:val="auto"/>
        </w:rPr>
      </w:pPr>
    </w:p>
    <w:p>
      <w:pPr>
        <w:ind w:left="1720" w:hanging="1211"/>
        <w:spacing w:after="0"/>
        <w:tabs>
          <w:tab w:leader="none" w:pos="1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620" w:hanging="1111"/>
        <w:spacing w:after="0"/>
        <w:tabs>
          <w:tab w:leader="none" w:pos="16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Video-On-Demand</w:t>
      </w:r>
    </w:p>
    <w:p>
      <w:pPr>
        <w:spacing w:after="0" w:line="2" w:lineRule="exact"/>
        <w:rPr>
          <w:sz w:val="20"/>
          <w:szCs w:val="20"/>
          <w:color w:val="auto"/>
        </w:rPr>
      </w:pPr>
    </w:p>
    <w:p>
      <w:pPr>
        <w:ind w:left="1520" w:hanging="1011"/>
        <w:spacing w:after="0"/>
        <w:tabs>
          <w:tab w:leader="none" w:pos="1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420" w:hanging="911"/>
        <w:spacing w:after="0"/>
        <w:tabs>
          <w:tab w:leader="none" w:pos="1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Digital Plus</w:t>
      </w:r>
    </w:p>
    <w:p>
      <w:pPr>
        <w:spacing w:after="0" w:line="2" w:lineRule="exact"/>
        <w:rPr>
          <w:sz w:val="20"/>
          <w:szCs w:val="20"/>
          <w:color w:val="auto"/>
        </w:rPr>
      </w:pPr>
    </w:p>
    <w:p>
      <w:pPr>
        <w:ind w:left="500"/>
        <w:spacing w:after="0"/>
        <w:tabs>
          <w:tab w:leader="none" w:pos="1300" w:val="left"/>
          <w:tab w:leader="none" w:pos="1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$14.95</w:t>
      </w:r>
    </w:p>
    <w:p>
      <w:pPr>
        <w:spacing w:after="0" w:line="2" w:lineRule="exact"/>
        <w:rPr>
          <w:sz w:val="20"/>
          <w:szCs w:val="20"/>
          <w:color w:val="auto"/>
        </w:rPr>
      </w:pPr>
    </w:p>
    <w:p>
      <w:pPr>
        <w:ind w:left="1220" w:hanging="711"/>
        <w:spacing w:after="0"/>
        <w:tabs>
          <w:tab w:leader="none" w:pos="1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1120" w:hanging="611"/>
        <w:spacing w:after="0"/>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Digital Classic</w:t>
      </w:r>
    </w:p>
    <w:p>
      <w:pPr>
        <w:spacing w:after="0" w:line="2" w:lineRule="exact"/>
        <w:rPr>
          <w:sz w:val="20"/>
          <w:szCs w:val="20"/>
          <w:color w:val="auto"/>
        </w:rPr>
      </w:pPr>
    </w:p>
    <w:p>
      <w:pPr>
        <w:ind w:left="500"/>
        <w:spacing w:after="0"/>
        <w:tabs>
          <w:tab w:leader="none" w:pos="1000" w:val="left"/>
          <w:tab w:leader="none" w:pos="1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$9.95</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91"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Building on the Digital Platform</w:t>
      </w:r>
    </w:p>
    <w:p>
      <w:pPr>
        <w:spacing w:after="0" w:line="196"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7"/>
          <w:szCs w:val="17"/>
          <w:color w:val="auto"/>
        </w:rPr>
        <w:t>Video-On-Demand</w:t>
      </w:r>
    </w:p>
    <w:p>
      <w:pPr>
        <w:spacing w:after="0" w:line="196" w:lineRule="exact"/>
        <w:rPr>
          <w:sz w:val="20"/>
          <w:szCs w:val="20"/>
          <w:color w:val="auto"/>
        </w:rPr>
      </w:pPr>
    </w:p>
    <w:p>
      <w:pPr>
        <w:ind w:left="300" w:hanging="296"/>
        <w:spacing w:after="0"/>
        <w:tabs>
          <w:tab w:leader="none" w:pos="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Drives Digital Penetration</w:t>
      </w:r>
    </w:p>
    <w:p>
      <w:pPr>
        <w:spacing w:after="0" w:line="196" w:lineRule="exact"/>
        <w:rPr>
          <w:rFonts w:ascii="Courier New" w:cs="Courier New" w:eastAsia="Courier New" w:hAnsi="Courier New"/>
          <w:sz w:val="17"/>
          <w:szCs w:val="17"/>
          <w:color w:val="auto"/>
        </w:rPr>
      </w:pPr>
    </w:p>
    <w:p>
      <w:pPr>
        <w:ind w:left="300" w:hanging="296"/>
        <w:spacing w:after="0"/>
        <w:tabs>
          <w:tab w:leader="none" w:pos="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Leverages Existing Box</w:t>
      </w:r>
    </w:p>
    <w:p>
      <w:pPr>
        <w:spacing w:after="0" w:line="198" w:lineRule="exact"/>
        <w:rPr>
          <w:rFonts w:ascii="Courier New" w:cs="Courier New" w:eastAsia="Courier New" w:hAnsi="Courier New"/>
          <w:sz w:val="17"/>
          <w:szCs w:val="17"/>
          <w:color w:val="auto"/>
        </w:rPr>
      </w:pPr>
    </w:p>
    <w:p>
      <w:pPr>
        <w:ind w:left="500" w:right="7779" w:hanging="496"/>
        <w:spacing w:after="0" w:line="527" w:lineRule="auto"/>
        <w:tabs>
          <w:tab w:leader="none" w:pos="29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Advantage Digital --&gt; Parity</w:t>
      </w:r>
    </w:p>
    <w:p>
      <w:pPr>
        <w:spacing w:after="0" w:line="371" w:lineRule="exact"/>
        <w:rPr>
          <w:sz w:val="20"/>
          <w:szCs w:val="20"/>
          <w:color w:val="auto"/>
        </w:rPr>
      </w:pPr>
    </w:p>
    <w:p>
      <w:pPr>
        <w:ind w:left="300" w:right="6679" w:hanging="296"/>
        <w:spacing w:after="0" w:line="239" w:lineRule="auto"/>
        <w:tabs>
          <w:tab w:leader="none" w:pos="3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Scalable Architecture for Future Services</w:t>
      </w:r>
    </w:p>
    <w:p>
      <w:pPr>
        <w:sectPr>
          <w:pgSz w:w="11900" w:h="16838" w:orient="portrait"/>
          <w:cols w:equalWidth="0" w:num="1">
            <w:col w:w="10219"/>
          </w:cols>
          <w:pgMar w:left="240" w:top="891"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11" w:name="page12"/>
    <w:bookmarkEnd w:id="11"/>
    <w:p>
      <w:pPr>
        <w:ind w:left="2640"/>
        <w:spacing w:after="0"/>
        <w:rPr>
          <w:sz w:val="20"/>
          <w:szCs w:val="20"/>
          <w:color w:val="auto"/>
        </w:rPr>
      </w:pPr>
      <w:r>
        <w:rPr>
          <w:rFonts w:ascii="Courier New" w:cs="Courier New" w:eastAsia="Courier New" w:hAnsi="Courier New"/>
          <w:sz w:val="16"/>
          <w:szCs w:val="16"/>
          <w:color w:val="auto"/>
        </w:rPr>
        <w:t>VOD . . . More Than Movies</w:t>
      </w:r>
    </w:p>
    <w:p>
      <w:pPr>
        <w:sectPr>
          <w:pgSz w:w="11900" w:h="16838" w:orient="portrait"/>
          <w:cols w:equalWidth="0" w:num="1">
            <w:col w:w="10219"/>
          </w:cols>
          <w:pgMar w:left="240" w:top="699" w:right="1440" w:bottom="1440" w:gutter="0" w:footer="0" w:header="0"/>
        </w:sectPr>
      </w:pPr>
    </w:p>
    <w:p>
      <w:pPr>
        <w:spacing w:after="0" w:line="4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Movies</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ind w:left="500"/>
        <w:spacing w:after="0"/>
        <w:tabs>
          <w:tab w:leader="none" w:pos="20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7"/>
          <w:szCs w:val="17"/>
          <w:color w:val="auto"/>
        </w:rPr>
        <w:t>Time Shifted Programming</w:t>
      </w:r>
    </w:p>
    <w:p>
      <w:pPr>
        <w:spacing w:after="0" w:line="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jc w:val="center"/>
        <w:ind w:right="2839"/>
        <w:spacing w:after="0"/>
        <w:tabs>
          <w:tab w:leader="none" w:pos="2200" w:val="left"/>
          <w:tab w:leader="none" w:pos="1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sectPr>
          <w:pgSz w:w="11900" w:h="16838" w:orient="portrait"/>
          <w:cols w:equalWidth="0" w:num="3">
            <w:col w:w="2120" w:space="620"/>
            <w:col w:w="100" w:space="400"/>
            <w:col w:w="6979"/>
          </w:cols>
          <w:pgMar w:left="240" w:top="699" w:right="1440" w:bottom="1440" w:gutter="0" w:footer="0" w:header="0"/>
          <w:type w:val="continuous"/>
        </w:sectPr>
      </w:pP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Impulse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HBO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Subscription</w:t>
      </w:r>
    </w:p>
    <w:p>
      <w:pPr>
        <w:spacing w:after="0" w:line="196"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7"/>
          <w:szCs w:val="17"/>
          <w:color w:val="auto"/>
        </w:rPr>
        <w:t>Showtime</w:t>
      </w:r>
      <w:r>
        <w:rPr>
          <w:sz w:val="20"/>
          <w:szCs w:val="20"/>
          <w:color w:val="auto"/>
        </w:rPr>
        <w:tab/>
      </w:r>
      <w:r>
        <w:rPr>
          <w:rFonts w:ascii="Courier New" w:cs="Courier New" w:eastAsia="Courier New" w:hAnsi="Courier New"/>
          <w:sz w:val="16"/>
          <w:szCs w:val="16"/>
          <w:color w:val="auto"/>
        </w:rPr>
        <w:t>STARZ!</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7"/>
          <w:szCs w:val="17"/>
          <w:color w:val="auto"/>
        </w:rPr>
        <w:t>"Best of"</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Cable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Broadcasting</w:t>
      </w:r>
    </w:p>
    <w:p>
      <w:pPr>
        <w:spacing w:after="0" w:line="209" w:lineRule="exact"/>
        <w:rPr>
          <w:sz w:val="20"/>
          <w:szCs w:val="20"/>
          <w:color w:val="auto"/>
        </w:rPr>
      </w:pPr>
    </w:p>
    <w:p>
      <w:pPr>
        <w:sectPr>
          <w:pgSz w:w="11900" w:h="16838" w:orient="portrait"/>
          <w:cols w:equalWidth="0" w:num="4">
            <w:col w:w="2620" w:space="720"/>
            <w:col w:w="300" w:space="100"/>
            <w:col w:w="1720" w:space="500"/>
            <w:col w:w="4259"/>
          </w:cols>
          <w:pgMar w:left="240" w:top="699" w:right="1440" w:bottom="1440" w:gutter="0" w:footer="0" w:header="0"/>
          <w:type w:val="continuous"/>
        </w:sectPr>
      </w:pPr>
    </w:p>
    <w:p>
      <w:pPr>
        <w:spacing w:after="0" w:line="191"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[GRAPHIC OMITTED]</w:t>
      </w:r>
    </w:p>
    <w:p>
      <w:pPr>
        <w:spacing w:after="0" w:line="2"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News</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Sports</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Kids</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Shopping</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Prime Time</w:t>
      </w:r>
    </w:p>
    <w:p>
      <w:pPr>
        <w:spacing w:after="0" w:line="2"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Cable</w:t>
      </w:r>
    </w:p>
    <w:p>
      <w:pPr>
        <w:sectPr>
          <w:pgSz w:w="11900" w:h="16838" w:orient="portrait"/>
          <w:cols w:equalWidth="0" w:num="1">
            <w:col w:w="10219"/>
          </w:cols>
          <w:pgMar w:left="240" w:top="699"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699"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Building on the Digital Platform</w:t>
      </w:r>
    </w:p>
    <w:p>
      <w:pPr>
        <w:spacing w:after="0" w:line="19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High-Definition Television</w:t>
      </w:r>
    </w:p>
    <w:p>
      <w:pPr>
        <w:sectPr>
          <w:pgSz w:w="11900" w:h="16838" w:orient="portrait"/>
          <w:cols w:equalWidth="0" w:num="1">
            <w:col w:w="10219"/>
          </w:cols>
          <w:pgMar w:left="240" w:top="891" w:right="1440" w:bottom="1440" w:gutter="0" w:footer="0" w:header="0"/>
        </w:sectPr>
      </w:pPr>
    </w:p>
    <w:p>
      <w:pPr>
        <w:spacing w:after="0" w:line="400"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o</w:t>
        <w:tab/>
        <w:t>Today: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Available to 1.3MM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 in Philadelphia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New Jersey</w:t>
      </w:r>
    </w:p>
    <w:p>
      <w:pPr>
        <w:spacing w:after="0" w:line="196" w:lineRule="exact"/>
        <w:rPr>
          <w:sz w:val="20"/>
          <w:szCs w:val="20"/>
          <w:color w:val="auto"/>
        </w:rPr>
      </w:pPr>
    </w:p>
    <w:p>
      <w:pPr>
        <w:sectPr>
          <w:pgSz w:w="11900" w:h="16838" w:orient="portrait"/>
          <w:cols w:equalWidth="0" w:num="2">
            <w:col w:w="1100" w:space="720"/>
            <w:col w:w="8399"/>
          </w:cols>
          <w:pgMar w:left="240" w:top="891" w:right="1440" w:bottom="1440" w:gutter="0" w:footer="0" w:header="0"/>
          <w:type w:val="continuous"/>
        </w:sectPr>
      </w:pPr>
    </w:p>
    <w:p>
      <w:pPr>
        <w:spacing w:after="0"/>
        <w:tabs>
          <w:tab w:leader="none" w:pos="280" w:val="left"/>
        </w:tabs>
        <w:rPr>
          <w:sz w:val="20"/>
          <w:szCs w:val="20"/>
          <w:color w:val="auto"/>
        </w:rPr>
      </w:pPr>
      <w:r>
        <w:rPr>
          <w:rFonts w:ascii="Courier New" w:cs="Courier New" w:eastAsia="Courier New" w:hAnsi="Courier New"/>
          <w:sz w:val="17"/>
          <w:szCs w:val="17"/>
          <w:color w:val="auto"/>
        </w:rPr>
        <w:t>o</w:t>
        <w:tab/>
        <w:t>YE 2002:</w:t>
      </w:r>
    </w:p>
    <w:p>
      <w:pPr>
        <w:spacing w:after="0" w:line="20" w:lineRule="exact"/>
        <w:rPr>
          <w:sz w:val="20"/>
          <w:szCs w:val="20"/>
          <w:color w:val="auto"/>
        </w:rPr>
      </w:pPr>
      <w:r>
        <w:rPr>
          <w:sz w:val="20"/>
          <w:szCs w:val="20"/>
          <w:color w:val="auto"/>
        </w:rPr>
        <w:br w:type="column"/>
      </w:r>
    </w:p>
    <w:p>
      <w:pPr>
        <w:ind w:right="900"/>
        <w:spacing w:after="0"/>
        <w:rPr>
          <w:sz w:val="20"/>
          <w:szCs w:val="20"/>
          <w:color w:val="auto"/>
        </w:rPr>
      </w:pPr>
      <w:r>
        <w:rPr>
          <w:rFonts w:ascii="Courier New" w:cs="Courier New" w:eastAsia="Courier New" w:hAnsi="Courier New"/>
          <w:sz w:val="17"/>
          <w:szCs w:val="17"/>
          <w:color w:val="auto"/>
        </w:rPr>
        <w:t>Expand Offering in Mid-Atlantic Super Cluster and to Other Key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[GRAPHIC OMITTED]</w:t>
      </w:r>
    </w:p>
    <w:p>
      <w:pPr>
        <w:spacing w:after="0" w:line="596" w:lineRule="exact"/>
        <w:rPr>
          <w:sz w:val="20"/>
          <w:szCs w:val="20"/>
          <w:color w:val="auto"/>
        </w:rPr>
      </w:pPr>
    </w:p>
    <w:p>
      <w:pPr>
        <w:sectPr>
          <w:pgSz w:w="11900" w:h="16838" w:orient="portrait"/>
          <w:cols w:equalWidth="0" w:num="3">
            <w:col w:w="1120" w:space="700"/>
            <w:col w:w="3540" w:space="720"/>
            <w:col w:w="4139"/>
          </w:cols>
          <w:pgMar w:left="240" w:top="891" w:right="1440" w:bottom="1440" w:gutter="0" w:footer="0" w:header="0"/>
          <w:type w:val="continuous"/>
        </w:sectPr>
      </w:pPr>
    </w:p>
    <w:p>
      <w:pPr>
        <w:ind w:left="300" w:hanging="296"/>
        <w:spacing w:after="0"/>
        <w:tabs>
          <w:tab w:leader="none" w:pos="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ABC, NBC, HBO, and Showtime</w:t>
      </w:r>
    </w:p>
    <w:p>
      <w:pPr>
        <w:spacing w:after="0" w:line="205" w:lineRule="exact"/>
        <w:rPr>
          <w:rFonts w:ascii="Courier New" w:cs="Courier New" w:eastAsia="Courier New" w:hAnsi="Courier New"/>
          <w:sz w:val="16"/>
          <w:szCs w:val="16"/>
          <w:color w:val="auto"/>
        </w:rPr>
      </w:pPr>
    </w:p>
    <w:p>
      <w:pPr>
        <w:ind w:left="300" w:hanging="296"/>
        <w:spacing w:after="0"/>
        <w:tabs>
          <w:tab w:leader="none" w:pos="3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2003:</w:t>
      </w:r>
      <w:r>
        <w:rPr>
          <w:rFonts w:ascii="Courier New" w:cs="Courier New" w:eastAsia="Courier New" w:hAnsi="Courier New"/>
          <w:sz w:val="16"/>
          <w:szCs w:val="16"/>
          <w:color w:val="auto"/>
        </w:rPr>
        <w:t>Comcast SportsNet</w:t>
      </w:r>
    </w:p>
    <w:p>
      <w:pPr>
        <w:sectPr>
          <w:pgSz w:w="11900" w:h="16838" w:orient="portrait"/>
          <w:cols w:equalWidth="0" w:num="1">
            <w:col w:w="10219"/>
          </w:cols>
          <w:pgMar w:left="240" w:top="891"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1820" w:type="dxa"/>
            <w:vAlign w:val="bottom"/>
          </w:tcPr>
          <w:p>
            <w:pPr>
              <w:spacing w:after="0"/>
              <w:rPr>
                <w:sz w:val="16"/>
                <w:szCs w:val="16"/>
                <w:color w:val="auto"/>
              </w:rPr>
            </w:pPr>
          </w:p>
        </w:tc>
        <w:tc>
          <w:tcPr>
            <w:tcW w:w="404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[COMCAST LOGO] High-Speed Internet</w:t>
            </w: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89"/>
        </w:trPr>
        <w:tc>
          <w:tcPr>
            <w:tcW w:w="1820" w:type="dxa"/>
            <w:vAlign w:val="bottom"/>
          </w:tcPr>
          <w:p>
            <w:pPr>
              <w:spacing w:after="0"/>
              <w:rPr>
                <w:sz w:val="24"/>
                <w:szCs w:val="24"/>
                <w:color w:val="auto"/>
              </w:rPr>
            </w:pP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YE98</w:t>
            </w:r>
          </w:p>
        </w:tc>
        <w:tc>
          <w:tcPr>
            <w:tcW w:w="640" w:type="dxa"/>
            <w:vAlign w:val="bottom"/>
          </w:tcPr>
          <w:p>
            <w:pPr>
              <w:ind w:left="40"/>
              <w:spacing w:after="0"/>
              <w:rPr>
                <w:sz w:val="20"/>
                <w:szCs w:val="20"/>
                <w:color w:val="auto"/>
              </w:rPr>
            </w:pPr>
            <w:r>
              <w:rPr>
                <w:rFonts w:ascii="Courier New" w:cs="Courier New" w:eastAsia="Courier New" w:hAnsi="Courier New"/>
                <w:sz w:val="17"/>
                <w:szCs w:val="17"/>
                <w:color w:val="auto"/>
              </w:rPr>
              <w:t>YE99</w:t>
            </w:r>
          </w:p>
        </w:tc>
        <w:tc>
          <w:tcPr>
            <w:tcW w:w="820" w:type="dxa"/>
            <w:vAlign w:val="bottom"/>
          </w:tcPr>
          <w:p>
            <w:pPr>
              <w:ind w:left="220"/>
              <w:spacing w:after="0"/>
              <w:rPr>
                <w:sz w:val="20"/>
                <w:szCs w:val="20"/>
                <w:color w:val="auto"/>
              </w:rPr>
            </w:pPr>
            <w:r>
              <w:rPr>
                <w:rFonts w:ascii="Courier New" w:cs="Courier New" w:eastAsia="Courier New" w:hAnsi="Courier New"/>
                <w:sz w:val="17"/>
                <w:szCs w:val="17"/>
                <w:color w:val="auto"/>
              </w:rPr>
              <w:t>YE00</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YE01</w:t>
            </w:r>
          </w:p>
        </w:tc>
        <w:tc>
          <w:tcPr>
            <w:tcW w:w="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1Q02</w:t>
            </w:r>
          </w:p>
        </w:tc>
        <w:tc>
          <w:tcPr>
            <w:tcW w:w="1480" w:type="dxa"/>
            <w:vAlign w:val="bottom"/>
          </w:tcPr>
          <w:p>
            <w:pPr>
              <w:ind w:left="460"/>
              <w:spacing w:after="0"/>
              <w:rPr>
                <w:sz w:val="20"/>
                <w:szCs w:val="20"/>
                <w:color w:val="auto"/>
              </w:rPr>
            </w:pPr>
            <w:r>
              <w:rPr>
                <w:rFonts w:ascii="Courier New" w:cs="Courier New" w:eastAsia="Courier New" w:hAnsi="Courier New"/>
                <w:sz w:val="17"/>
                <w:szCs w:val="17"/>
                <w:color w:val="auto"/>
              </w:rPr>
              <w:t>YE02E</w:t>
            </w:r>
          </w:p>
        </w:tc>
      </w:tr>
      <w:tr>
        <w:trPr>
          <w:trHeight w:val="194"/>
        </w:trPr>
        <w:tc>
          <w:tcPr>
            <w:tcW w:w="1820" w:type="dxa"/>
            <w:vAlign w:val="bottom"/>
          </w:tcPr>
          <w:p>
            <w:pPr>
              <w:spacing w:after="0"/>
              <w:rPr>
                <w:sz w:val="16"/>
                <w:szCs w:val="16"/>
                <w:color w:val="auto"/>
              </w:rPr>
            </w:pP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r>
      <w:tr>
        <w:trPr>
          <w:trHeight w:val="194"/>
        </w:trPr>
        <w:tc>
          <w:tcPr>
            <w:tcW w:w="1820" w:type="dxa"/>
            <w:vAlign w:val="bottom"/>
          </w:tcPr>
          <w:p>
            <w:pPr>
              <w:spacing w:after="0"/>
              <w:rPr>
                <w:sz w:val="20"/>
                <w:szCs w:val="20"/>
                <w:color w:val="auto"/>
              </w:rPr>
            </w:pPr>
            <w:r>
              <w:rPr>
                <w:rFonts w:ascii="Courier New" w:cs="Courier New" w:eastAsia="Courier New" w:hAnsi="Courier New"/>
                <w:sz w:val="17"/>
                <w:szCs w:val="17"/>
                <w:color w:val="auto"/>
                <w:w w:val="98"/>
              </w:rPr>
              <w:t>Subscribers (000s)</w:t>
            </w: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51</w:t>
            </w:r>
          </w:p>
        </w:tc>
        <w:tc>
          <w:tcPr>
            <w:tcW w:w="640" w:type="dxa"/>
            <w:vAlign w:val="bottom"/>
          </w:tcPr>
          <w:p>
            <w:pPr>
              <w:ind w:left="40"/>
              <w:spacing w:after="0"/>
              <w:rPr>
                <w:sz w:val="20"/>
                <w:szCs w:val="20"/>
                <w:color w:val="auto"/>
              </w:rPr>
            </w:pPr>
            <w:r>
              <w:rPr>
                <w:rFonts w:ascii="Courier New" w:cs="Courier New" w:eastAsia="Courier New" w:hAnsi="Courier New"/>
                <w:sz w:val="17"/>
                <w:szCs w:val="17"/>
                <w:color w:val="auto"/>
              </w:rPr>
              <w:t>142</w:t>
            </w:r>
          </w:p>
        </w:tc>
        <w:tc>
          <w:tcPr>
            <w:tcW w:w="820" w:type="dxa"/>
            <w:vAlign w:val="bottom"/>
          </w:tcPr>
          <w:p>
            <w:pPr>
              <w:ind w:left="220"/>
              <w:spacing w:after="0"/>
              <w:rPr>
                <w:sz w:val="20"/>
                <w:szCs w:val="20"/>
                <w:color w:val="auto"/>
              </w:rPr>
            </w:pPr>
            <w:r>
              <w:rPr>
                <w:rFonts w:ascii="Courier New" w:cs="Courier New" w:eastAsia="Courier New" w:hAnsi="Courier New"/>
                <w:sz w:val="17"/>
                <w:szCs w:val="17"/>
                <w:color w:val="auto"/>
              </w:rPr>
              <w:t>400</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948</w:t>
            </w:r>
          </w:p>
        </w:tc>
        <w:tc>
          <w:tcPr>
            <w:tcW w:w="6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1040</w:t>
            </w:r>
          </w:p>
        </w:tc>
        <w:tc>
          <w:tcPr>
            <w:tcW w:w="1480" w:type="dxa"/>
            <w:vAlign w:val="bottom"/>
          </w:tcPr>
          <w:p>
            <w:pPr>
              <w:ind w:left="460"/>
              <w:spacing w:after="0"/>
              <w:rPr>
                <w:sz w:val="20"/>
                <w:szCs w:val="20"/>
                <w:color w:val="auto"/>
              </w:rPr>
            </w:pPr>
            <w:r>
              <w:rPr>
                <w:rFonts w:ascii="Courier New" w:cs="Courier New" w:eastAsia="Courier New" w:hAnsi="Courier New"/>
                <w:sz w:val="17"/>
                <w:szCs w:val="17"/>
                <w:color w:val="auto"/>
              </w:rPr>
              <w:t>1.4MM+(*)</w:t>
            </w:r>
          </w:p>
        </w:tc>
      </w:tr>
      <w:tr>
        <w:trPr>
          <w:trHeight w:val="194"/>
        </w:trPr>
        <w:tc>
          <w:tcPr>
            <w:tcW w:w="1820" w:type="dxa"/>
            <w:vAlign w:val="bottom"/>
          </w:tcPr>
          <w:p>
            <w:pPr>
              <w:spacing w:after="0"/>
              <w:rPr>
                <w:sz w:val="20"/>
                <w:szCs w:val="20"/>
                <w:color w:val="auto"/>
              </w:rPr>
            </w:pPr>
            <w:r>
              <w:rPr>
                <w:rFonts w:ascii="Courier New" w:cs="Courier New" w:eastAsia="Courier New" w:hAnsi="Courier New"/>
                <w:sz w:val="17"/>
                <w:szCs w:val="17"/>
                <w:color w:val="auto"/>
              </w:rPr>
              <w:t>Penetration</w:t>
            </w:r>
          </w:p>
        </w:tc>
        <w:tc>
          <w:tcPr>
            <w:tcW w:w="1680" w:type="dxa"/>
            <w:vAlign w:val="bottom"/>
          </w:tcPr>
          <w:p>
            <w:pPr>
              <w:ind w:left="920"/>
              <w:spacing w:after="0"/>
              <w:rPr>
                <w:sz w:val="20"/>
                <w:szCs w:val="20"/>
                <w:color w:val="auto"/>
              </w:rPr>
            </w:pPr>
            <w:r>
              <w:rPr>
                <w:rFonts w:ascii="Courier New" w:cs="Courier New" w:eastAsia="Courier New" w:hAnsi="Courier New"/>
                <w:sz w:val="17"/>
                <w:szCs w:val="17"/>
                <w:color w:val="auto"/>
              </w:rPr>
              <w:t>3%</w:t>
            </w:r>
          </w:p>
        </w:tc>
        <w:tc>
          <w:tcPr>
            <w:tcW w:w="6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w:t>
            </w:r>
          </w:p>
        </w:tc>
        <w:tc>
          <w:tcPr>
            <w:tcW w:w="8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9.1%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9.2%</w:t>
            </w:r>
          </w:p>
        </w:tc>
        <w:tc>
          <w:tcPr>
            <w:tcW w:w="1480" w:type="dxa"/>
            <w:vAlign w:val="bottom"/>
          </w:tcPr>
          <w:p>
            <w:pPr>
              <w:ind w:left="460"/>
              <w:spacing w:after="0"/>
              <w:rPr>
                <w:sz w:val="20"/>
                <w:szCs w:val="20"/>
                <w:color w:val="auto"/>
              </w:rPr>
            </w:pPr>
            <w:r>
              <w:rPr>
                <w:rFonts w:ascii="Courier New" w:cs="Courier New" w:eastAsia="Courier New" w:hAnsi="Courier New"/>
                <w:sz w:val="17"/>
                <w:szCs w:val="17"/>
                <w:color w:val="auto"/>
              </w:rPr>
              <w:t>11.6%</w:t>
            </w:r>
          </w:p>
        </w:tc>
      </w:tr>
      <w:tr>
        <w:trPr>
          <w:trHeight w:val="778"/>
        </w:trPr>
        <w:tc>
          <w:tcPr>
            <w:tcW w:w="1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7"/>
                <w:szCs w:val="17"/>
                <w:color w:val="auto"/>
              </w:rPr>
              <w:t>* 2002 Guidance:</w:t>
            </w:r>
          </w:p>
        </w:tc>
        <w:tc>
          <w:tcPr>
            <w:tcW w:w="3020" w:type="dxa"/>
            <w:vAlign w:val="bottom"/>
            <w:gridSpan w:val="4"/>
          </w:tcPr>
          <w:p>
            <w:pPr>
              <w:jc w:val="right"/>
              <w:ind w:right="256"/>
              <w:spacing w:after="0"/>
              <w:rPr>
                <w:sz w:val="20"/>
                <w:szCs w:val="20"/>
                <w:color w:val="auto"/>
              </w:rPr>
            </w:pPr>
            <w:r>
              <w:rPr>
                <w:rFonts w:ascii="Courier New" w:cs="Courier New" w:eastAsia="Courier New" w:hAnsi="Courier New"/>
                <w:sz w:val="17"/>
                <w:szCs w:val="17"/>
                <w:color w:val="auto"/>
              </w:rPr>
              <w:t>400-500,000 net additions.</w:t>
            </w:r>
          </w:p>
        </w:tc>
        <w:tc>
          <w:tcPr>
            <w:tcW w:w="1480" w:type="dxa"/>
            <w:vAlign w:val="bottom"/>
          </w:tcPr>
          <w:p>
            <w:pPr>
              <w:spacing w:after="0"/>
              <w:rPr>
                <w:sz w:val="24"/>
                <w:szCs w:val="24"/>
                <w:color w:val="auto"/>
              </w:rPr>
            </w:pPr>
          </w:p>
        </w:tc>
      </w:tr>
      <w:tr>
        <w:trPr>
          <w:trHeight w:val="583"/>
        </w:trPr>
        <w:tc>
          <w:tcPr>
            <w:tcW w:w="182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4"/>
        </w:trPr>
        <w:tc>
          <w:tcPr>
            <w:tcW w:w="182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w w:val="98"/>
              </w:rPr>
              <w:t>[COMCAST LOGO]</w:t>
            </w:r>
          </w:p>
        </w:tc>
      </w:tr>
    </w:tbl>
    <w:p>
      <w:pPr>
        <w:sectPr>
          <w:pgSz w:w="11900" w:h="16838" w:orient="portrait"/>
          <w:cols w:equalWidth="0" w:num="1">
            <w:col w:w="10219"/>
          </w:cols>
          <w:pgMar w:left="240" w:top="891" w:right="1440" w:bottom="1440" w:gutter="0" w:footer="0" w:header="0"/>
        </w:sectPr>
      </w:pPr>
    </w:p>
    <w:bookmarkStart w:id="14" w:name="page15"/>
    <w:bookmarkEnd w:id="14"/>
    <w:p>
      <w:pPr>
        <w:ind w:left="2320"/>
        <w:spacing w:after="0"/>
        <w:rPr>
          <w:sz w:val="20"/>
          <w:szCs w:val="20"/>
          <w:color w:val="auto"/>
        </w:rPr>
      </w:pPr>
      <w:r>
        <w:rPr>
          <w:rFonts w:ascii="Courier New" w:cs="Courier New" w:eastAsia="Courier New" w:hAnsi="Courier New"/>
          <w:sz w:val="16"/>
          <w:szCs w:val="16"/>
          <w:color w:val="auto"/>
        </w:rPr>
        <w:t>[COMCAST LOGO] High-Speed Internet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 1Q02 ARPU: $40, up from $35 in 4Q01</w:t>
      </w:r>
    </w:p>
    <w:p>
      <w:pPr>
        <w:sectPr>
          <w:pgSz w:w="11900" w:h="16838" w:orient="portrait"/>
          <w:cols w:equalWidth="0" w:num="1">
            <w:col w:w="10219"/>
          </w:cols>
          <w:pgMar w:left="240" w:top="894"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Significant Cash Flow Improvement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ectPr>
          <w:pgSz w:w="11900" w:h="16838" w:orient="portrait"/>
          <w:cols w:equalWidth="0" w:num="2">
            <w:col w:w="5360" w:space="720"/>
            <w:col w:w="4139"/>
          </w:cols>
          <w:pgMar w:left="240" w:top="89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 Designed to Support Multiple ISPs</w:t>
      </w:r>
    </w:p>
    <w:p>
      <w:pPr>
        <w:spacing w:after="0" w:line="19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 First ISP Deal: Juno and NetZero</w:t>
      </w:r>
    </w:p>
    <w:p>
      <w:pPr>
        <w:sectPr>
          <w:pgSz w:w="11900" w:h="16838" w:orient="portrait"/>
          <w:cols w:equalWidth="0" w:num="1">
            <w:col w:w="10219"/>
          </w:cols>
          <w:pgMar w:left="240" w:top="894" w:right="1440" w:bottom="1440" w:gutter="0" w:footer="0" w:header="0"/>
          <w:type w:val="continuous"/>
        </w:sectPr>
      </w:pPr>
    </w:p>
    <w:p>
      <w:pPr>
        <w:spacing w:after="0" w:line="208" w:lineRule="exact"/>
        <w:rPr>
          <w:sz w:val="20"/>
          <w:szCs w:val="20"/>
          <w:color w:val="auto"/>
        </w:rPr>
      </w:pPr>
    </w:p>
    <w:p>
      <w:pPr>
        <w:ind w:left="620" w:right="700" w:hanging="219"/>
        <w:spacing w:after="0" w:line="239" w:lineRule="auto"/>
        <w:tabs>
          <w:tab w:leader="none" w:pos="600" w:val="left"/>
        </w:tabs>
        <w:rPr>
          <w:sz w:val="20"/>
          <w:szCs w:val="20"/>
          <w:color w:val="auto"/>
        </w:rPr>
      </w:pPr>
      <w:r>
        <w:rPr>
          <w:rFonts w:ascii="Courier New" w:cs="Courier New" w:eastAsia="Courier New" w:hAnsi="Courier New"/>
          <w:sz w:val="17"/>
          <w:szCs w:val="17"/>
          <w:color w:val="auto"/>
        </w:rPr>
        <w:t>o</w:t>
        <w:tab/>
        <w:t>Juno Broadband Launched in Nashville and Indianapolis on May 30, 2002</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7" w:lineRule="exact"/>
        <w:rPr>
          <w:sz w:val="20"/>
          <w:szCs w:val="20"/>
          <w:color w:val="auto"/>
        </w:rPr>
      </w:pPr>
    </w:p>
    <w:p>
      <w:pPr>
        <w:sectPr>
          <w:pgSz w:w="11900" w:h="16838" w:orient="portrait"/>
          <w:cols w:equalWidth="0" w:num="2">
            <w:col w:w="5360" w:space="720"/>
            <w:col w:w="4139"/>
          </w:cols>
          <w:pgMar w:left="240" w:top="894"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4"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Leveraging the Cable Modem Platform</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Over the Next 12 - 24 Months:</w:t>
      </w:r>
    </w:p>
    <w:p>
      <w:pPr>
        <w:spacing w:after="0" w:line="196" w:lineRule="exact"/>
        <w:rPr>
          <w:sz w:val="20"/>
          <w:szCs w:val="20"/>
          <w:color w:val="auto"/>
        </w:rPr>
      </w:pPr>
    </w:p>
    <w:p>
      <w:pPr>
        <w:ind w:left="1420" w:hanging="203"/>
        <w:spacing w:after="0"/>
        <w:tabs>
          <w:tab w:leader="none" w:pos="14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Music</w:t>
      </w:r>
    </w:p>
    <w:p>
      <w:pPr>
        <w:spacing w:after="0" w:line="196" w:lineRule="exact"/>
        <w:rPr>
          <w:rFonts w:ascii="Courier New" w:cs="Courier New" w:eastAsia="Courier New" w:hAnsi="Courier New"/>
          <w:sz w:val="17"/>
          <w:szCs w:val="17"/>
          <w:color w:val="auto"/>
        </w:rPr>
      </w:pPr>
    </w:p>
    <w:p>
      <w:pPr>
        <w:ind w:left="1420" w:hanging="203"/>
        <w:spacing w:after="0"/>
        <w:tabs>
          <w:tab w:leader="none" w:pos="14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Photo Sharing</w:t>
      </w:r>
    </w:p>
    <w:p>
      <w:pPr>
        <w:spacing w:after="0" w:line="2"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7"/>
          <w:szCs w:val="17"/>
          <w:color w:val="auto"/>
        </w:rPr>
        <w:t>[PHOTO]</w:t>
      </w:r>
    </w:p>
    <w:p>
      <w:pPr>
        <w:spacing w:after="0" w:line="2" w:lineRule="exact"/>
        <w:rPr>
          <w:sz w:val="20"/>
          <w:szCs w:val="20"/>
          <w:color w:val="auto"/>
        </w:rPr>
      </w:pPr>
    </w:p>
    <w:p>
      <w:pPr>
        <w:ind w:left="1420" w:hanging="203"/>
        <w:spacing w:after="0"/>
        <w:tabs>
          <w:tab w:leader="none" w:pos="1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Gaming</w:t>
      </w:r>
    </w:p>
    <w:p>
      <w:pPr>
        <w:spacing w:after="0" w:line="196" w:lineRule="exact"/>
        <w:rPr>
          <w:rFonts w:ascii="Courier New" w:cs="Courier New" w:eastAsia="Courier New" w:hAnsi="Courier New"/>
          <w:sz w:val="17"/>
          <w:szCs w:val="17"/>
          <w:color w:val="auto"/>
        </w:rPr>
      </w:pPr>
    </w:p>
    <w:p>
      <w:pPr>
        <w:ind w:left="1420" w:hanging="203"/>
        <w:spacing w:after="0"/>
        <w:tabs>
          <w:tab w:leader="none" w:pos="1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Short-Form Video</w:t>
      </w:r>
    </w:p>
    <w:p>
      <w:pPr>
        <w:spacing w:after="0" w:line="196" w:lineRule="exact"/>
        <w:rPr>
          <w:rFonts w:ascii="Courier New" w:cs="Courier New" w:eastAsia="Courier New" w:hAnsi="Courier New"/>
          <w:sz w:val="17"/>
          <w:szCs w:val="17"/>
          <w:color w:val="auto"/>
        </w:rPr>
      </w:pPr>
    </w:p>
    <w:p>
      <w:pPr>
        <w:ind w:left="1420" w:hanging="203"/>
        <w:spacing w:after="0"/>
        <w:tabs>
          <w:tab w:leader="none" w:pos="14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Chat</w:t>
      </w:r>
    </w:p>
    <w:p>
      <w:pPr>
        <w:sectPr>
          <w:pgSz w:w="11900" w:h="16838" w:orient="portrait"/>
          <w:cols w:equalWidth="0" w:num="1">
            <w:col w:w="10219"/>
          </w:cols>
          <w:pgMar w:left="240" w:top="891"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16" w:name="page17"/>
    <w:bookmarkEnd w:id="16"/>
    <w:p>
      <w:pPr>
        <w:ind w:left="1940"/>
        <w:spacing w:after="0"/>
        <w:rPr>
          <w:sz w:val="20"/>
          <w:szCs w:val="20"/>
          <w:color w:val="auto"/>
        </w:rPr>
      </w:pPr>
      <w:r>
        <w:rPr>
          <w:rFonts w:ascii="Courier New" w:cs="Courier New" w:eastAsia="Courier New" w:hAnsi="Courier New"/>
          <w:sz w:val="17"/>
          <w:szCs w:val="17"/>
          <w:color w:val="auto"/>
        </w:rPr>
        <w:t>[GRAPHIC OMITTED]</w:t>
      </w:r>
    </w:p>
    <w:p>
      <w:pPr>
        <w:spacing w:after="0" w:line="391"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[COMMERCE LOGO]</w:t>
      </w:r>
    </w:p>
    <w:p>
      <w:pPr>
        <w:sectPr>
          <w:pgSz w:w="11900" w:h="16838" w:orient="portrait"/>
          <w:cols w:equalWidth="0" w:num="1">
            <w:col w:w="9019"/>
          </w:cols>
          <w:pgMar w:left="1440" w:top="89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Revenue Growth</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WAS REPRESENTED BY A BAR GRAPH IN THE PRINTED MATERIALS.]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in Billions)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CAGR: 15%</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83"/>
        </w:trPr>
        <w:tc>
          <w:tcPr>
            <w:tcW w:w="142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1990</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1991</w:t>
            </w: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1992</w:t>
            </w:r>
          </w:p>
        </w:tc>
        <w:tc>
          <w:tcPr>
            <w:tcW w:w="7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1993</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1994</w:t>
            </w: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1995</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1996</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1999</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14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1420" w:type="dxa"/>
            <w:vAlign w:val="bottom"/>
          </w:tcPr>
          <w:p>
            <w:pPr>
              <w:spacing w:after="0"/>
              <w:rPr>
                <w:sz w:val="20"/>
                <w:szCs w:val="20"/>
                <w:color w:val="auto"/>
              </w:rPr>
            </w:pPr>
            <w:r>
              <w:rPr>
                <w:rFonts w:ascii="Courier New" w:cs="Courier New" w:eastAsia="Courier New" w:hAnsi="Courier New"/>
                <w:sz w:val="17"/>
                <w:szCs w:val="17"/>
                <w:color w:val="auto"/>
              </w:rPr>
              <w:t>Base + iQVC</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0.78</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0.91</w:t>
            </w: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w:t>
            </w:r>
          </w:p>
        </w:tc>
        <w:tc>
          <w:tcPr>
            <w:tcW w:w="7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w:t>
            </w: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1.572</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1.737</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2.083</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2.339</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2.695</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3.051</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3.373</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UK</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0.047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0.099</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0.189</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0.273</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0.328</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0.301</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0.271</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Germany</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0.012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0.042</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0.102</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0.138</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0.197</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0.029</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0.021</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0.0421</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0.0466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0.074</w:t>
            </w:r>
          </w:p>
        </w:tc>
      </w:tr>
      <w:tr>
        <w:trPr>
          <w:trHeight w:val="194"/>
        </w:trPr>
        <w:tc>
          <w:tcPr>
            <w:tcW w:w="14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0.78</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0.91</w:t>
            </w: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w:t>
            </w:r>
          </w:p>
        </w:tc>
        <w:tc>
          <w:tcPr>
            <w:tcW w:w="7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w:t>
            </w:r>
          </w:p>
        </w:tc>
        <w:tc>
          <w:tcPr>
            <w:tcW w:w="7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w:t>
            </w:r>
          </w:p>
        </w:tc>
        <w:tc>
          <w:tcPr>
            <w:tcW w:w="8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1.619</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1.836</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2.313</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2.675</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3.1671</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3.5366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3.915</w:t>
            </w:r>
          </w:p>
        </w:tc>
      </w:tr>
      <w:tr>
        <w:trPr>
          <w:trHeight w:val="778"/>
        </w:trPr>
        <w:tc>
          <w:tcPr>
            <w:tcW w:w="142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[QVC LOGO]</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ectPr>
          <w:pgSz w:w="11900" w:h="16838" w:orient="portrait"/>
          <w:cols w:equalWidth="0" w:num="1">
            <w:col w:w="10820"/>
          </w:cols>
          <w:pgMar w:left="240" w:top="891" w:right="8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Operating Cash Flow Growth</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WAS REPRESENTED BY A BAR GRAPH IN THE PRINTED MATERIALS.]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in Billions)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CAGR: 38%</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583"/>
        </w:trPr>
        <w:tc>
          <w:tcPr>
            <w:tcW w:w="142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1990</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8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1992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1995</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142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1420" w:type="dxa"/>
            <w:vAlign w:val="bottom"/>
          </w:tcPr>
          <w:p>
            <w:pPr>
              <w:spacing w:after="0"/>
              <w:rPr>
                <w:sz w:val="20"/>
                <w:szCs w:val="20"/>
                <w:color w:val="auto"/>
              </w:rPr>
            </w:pPr>
            <w:r>
              <w:rPr>
                <w:rFonts w:ascii="Courier New" w:cs="Courier New" w:eastAsia="Courier New" w:hAnsi="Courier New"/>
                <w:sz w:val="17"/>
                <w:szCs w:val="17"/>
                <w:color w:val="auto"/>
              </w:rPr>
              <w:t>Base + iQVC</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w:t>
            </w:r>
          </w:p>
        </w:tc>
        <w:tc>
          <w:tcPr>
            <w:tcW w:w="8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164</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209</w:t>
            </w: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261</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426</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512</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726</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UK</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Germany</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4"/>
        </w:trPr>
        <w:tc>
          <w:tcPr>
            <w:tcW w:w="142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136</w:t>
            </w:r>
          </w:p>
        </w:tc>
        <w:tc>
          <w:tcPr>
            <w:tcW w:w="8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164</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209</w:t>
            </w:r>
          </w:p>
        </w:tc>
        <w:tc>
          <w:tcPr>
            <w:tcW w:w="7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255</w:t>
            </w:r>
          </w:p>
        </w:tc>
        <w:tc>
          <w:tcPr>
            <w:tcW w:w="8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300</w:t>
            </w:r>
          </w:p>
        </w:tc>
        <w:tc>
          <w:tcPr>
            <w:tcW w:w="8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436</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538.8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618.7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722</w:t>
            </w:r>
          </w:p>
        </w:tc>
      </w:tr>
      <w:tr>
        <w:trPr>
          <w:trHeight w:val="778"/>
        </w:trPr>
        <w:tc>
          <w:tcPr>
            <w:tcW w:w="142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gridSpan w:val="2"/>
          </w:tcPr>
          <w:p>
            <w:pPr>
              <w:jc w:val="right"/>
              <w:ind w:right="436"/>
              <w:spacing w:after="0"/>
              <w:rPr>
                <w:sz w:val="20"/>
                <w:szCs w:val="20"/>
                <w:color w:val="auto"/>
              </w:rPr>
            </w:pPr>
            <w:r>
              <w:rPr>
                <w:rFonts w:ascii="Courier New" w:cs="Courier New" w:eastAsia="Courier New" w:hAnsi="Courier New"/>
                <w:sz w:val="17"/>
                <w:szCs w:val="17"/>
                <w:color w:val="auto"/>
              </w:rPr>
              <w:t>[QVC LOGO]</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ectPr>
          <w:pgSz w:w="11900" w:h="16838" w:orient="portrait"/>
          <w:cols w:equalWidth="0" w:num="1">
            <w:col w:w="11520"/>
          </w:cols>
          <w:pgMar w:left="240" w:top="891" w:right="13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Customer Growth</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WAS REPRESENTED BY A BAR GRAPH IN THE PRINTED MATERIALS.]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1990</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1991</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1994</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1996</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1997</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1998</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w:t>
            </w: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4.2</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c>
          <w:tcPr>
            <w:tcW w:w="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w:t>
            </w: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w:t>
            </w:r>
          </w:p>
        </w:tc>
      </w:tr>
      <w:tr>
        <w:trPr>
          <w:trHeight w:val="583"/>
        </w:trPr>
        <w:tc>
          <w:tcPr>
            <w:tcW w:w="16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Merrill Lynch</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4"/>
        </w:trPr>
        <w:tc>
          <w:tcPr>
            <w:tcW w:w="16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June 13, 2002</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[QVC LOGO]</w:t>
            </w:r>
          </w:p>
        </w:tc>
      </w:tr>
    </w:tbl>
    <w:p>
      <w:pPr>
        <w:sectPr>
          <w:pgSz w:w="11900" w:h="16838" w:orient="portrait"/>
          <w:cols w:equalWidth="0" w:num="1">
            <w:col w:w="10219"/>
          </w:cols>
          <w:pgMar w:left="240" w:top="89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QVC Delivers...In One Day!</w:t>
      </w:r>
    </w:p>
    <w:p>
      <w:pPr>
        <w:sectPr>
          <w:pgSz w:w="11900" w:h="16838" w:orient="portrait"/>
          <w:cols w:equalWidth="0" w:num="1">
            <w:col w:w="10219"/>
          </w:cols>
          <w:pgMar w:left="240" w:top="894" w:right="1440" w:bottom="1440" w:gutter="0" w:footer="0" w:header="0"/>
        </w:sectPr>
      </w:pPr>
    </w:p>
    <w:p>
      <w:pPr>
        <w:spacing w:after="0" w:line="208"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12/2/01: $65MM in Computers</w:t>
      </w:r>
    </w:p>
    <w:p>
      <w:pPr>
        <w:spacing w:after="0" w:line="13"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1/19/02: $18MM in Computers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394" w:lineRule="exact"/>
        <w:rPr>
          <w:sz w:val="20"/>
          <w:szCs w:val="20"/>
          <w:color w:val="auto"/>
        </w:rPr>
      </w:pPr>
    </w:p>
    <w:p>
      <w:pPr>
        <w:sectPr>
          <w:pgSz w:w="11900" w:h="16838" w:orient="portrait"/>
          <w:cols w:equalWidth="0" w:num="2">
            <w:col w:w="4440" w:space="720"/>
            <w:col w:w="5059"/>
          </w:cols>
          <w:pgMar w:left="240" w:top="894"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4/30/02: $18MM on Cooking Day</w:t>
      </w:r>
    </w:p>
    <w:p>
      <w:pPr>
        <w:spacing w:after="0" w:line="200" w:lineRule="exact"/>
        <w:rPr>
          <w:sz w:val="20"/>
          <w:szCs w:val="20"/>
          <w:color w:val="auto"/>
        </w:rPr>
      </w:pPr>
    </w:p>
    <w:p>
      <w:pPr>
        <w:sectPr>
          <w:pgSz w:w="11900" w:h="16838" w:orient="portrait"/>
          <w:cols w:equalWidth="0" w:num="2">
            <w:col w:w="2420" w:space="720"/>
            <w:col w:w="7079"/>
          </w:cols>
          <w:pgMar w:left="240" w:top="894" w:right="1440" w:bottom="1440" w:gutter="0" w:footer="0" w:header="0"/>
          <w:type w:val="continuous"/>
        </w:sectPr>
      </w:pPr>
    </w:p>
    <w:p>
      <w:pPr>
        <w:spacing w:after="0" w:line="397"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5/11/02: $23MM on Fashion Day</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ectPr>
          <w:pgSz w:w="11900" w:h="16838" w:orient="portrait"/>
          <w:cols w:equalWidth="0" w:num="2">
            <w:col w:w="4340" w:space="720"/>
            <w:col w:w="5159"/>
          </w:cols>
          <w:pgMar w:left="240" w:top="894"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LOGO]</w:t>
      </w:r>
    </w:p>
    <w:p>
      <w:pPr>
        <w:sectPr>
          <w:pgSz w:w="11900" w:h="16838" w:orient="portrait"/>
          <w:cols w:equalWidth="0" w:num="2">
            <w:col w:w="6060" w:space="720"/>
            <w:col w:w="3439"/>
          </w:cols>
          <w:pgMar w:left="240" w:top="894"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International Expansion</w:t>
      </w:r>
    </w:p>
    <w:p>
      <w:pPr>
        <w:sectPr>
          <w:pgSz w:w="11900" w:h="16838" w:orient="portrait"/>
          <w:cols w:equalWidth="0" w:num="1">
            <w:col w:w="10219"/>
          </w:cols>
          <w:pgMar w:left="240" w:top="8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2001 Revenue: $271MM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o</w:t>
        <w:tab/>
        <w:t>28MM Homes</w:t>
      </w:r>
    </w:p>
    <w:p>
      <w:pPr>
        <w:spacing w:after="0" w:line="2" w:lineRule="exact"/>
        <w:rPr>
          <w:sz w:val="20"/>
          <w:szCs w:val="20"/>
          <w:color w:val="auto"/>
        </w:rPr>
      </w:pPr>
    </w:p>
    <w:p>
      <w:pPr>
        <w:spacing w:after="0"/>
        <w:tabs>
          <w:tab w:leader="none" w:pos="280" w:val="left"/>
          <w:tab w:leader="none" w:pos="1800" w:val="left"/>
        </w:tabs>
        <w:rPr>
          <w:sz w:val="20"/>
          <w:szCs w:val="20"/>
          <w:color w:val="auto"/>
        </w:rPr>
      </w:pPr>
      <w:r>
        <w:rPr>
          <w:rFonts w:ascii="Courier New" w:cs="Courier New" w:eastAsia="Courier New" w:hAnsi="Courier New"/>
          <w:sz w:val="17"/>
          <w:szCs w:val="17"/>
          <w:color w:val="auto"/>
        </w:rPr>
        <w:t>o</w:t>
        <w:tab/>
        <w:t>2001 Revenue:</w:t>
      </w:r>
      <w:r>
        <w:rPr>
          <w:sz w:val="20"/>
          <w:szCs w:val="20"/>
          <w:color w:val="auto"/>
        </w:rPr>
        <w:tab/>
      </w:r>
      <w:r>
        <w:rPr>
          <w:rFonts w:ascii="Courier New" w:cs="Courier New" w:eastAsia="Courier New" w:hAnsi="Courier New"/>
          <w:sz w:val="16"/>
          <w:szCs w:val="16"/>
          <w:color w:val="auto"/>
        </w:rPr>
        <w:t>$198MM</w:t>
      </w:r>
    </w:p>
    <w:p>
      <w:pPr>
        <w:spacing w:after="0" w:line="2"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o</w:t>
        <w:tab/>
        <w:t>2001 OCF: ($7MM)</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5MM Homes</w:t>
      </w:r>
    </w:p>
    <w:p>
      <w:pPr>
        <w:spacing w:after="0" w:line="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Launched 4/1/01</w:t>
      </w:r>
    </w:p>
    <w:p>
      <w:pPr>
        <w:spacing w:after="0" w:line="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2001 Revenue: $14MM</w:t>
      </w:r>
    </w:p>
    <w:p>
      <w:pPr>
        <w:spacing w:after="0" w:line="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2001 OCF: ($19MM)</w:t>
      </w:r>
    </w:p>
    <w:p>
      <w:pPr>
        <w:spacing w:after="0" w:line="196" w:lineRule="exact"/>
        <w:rPr>
          <w:sz w:val="20"/>
          <w:szCs w:val="20"/>
          <w:color w:val="auto"/>
        </w:rPr>
      </w:pPr>
    </w:p>
    <w:p>
      <w:pPr>
        <w:sectPr>
          <w:pgSz w:w="11900" w:h="16838" w:orient="portrait"/>
          <w:cols w:equalWidth="0" w:num="3">
            <w:col w:w="2320" w:space="620"/>
            <w:col w:w="2420" w:space="500"/>
            <w:col w:w="4359"/>
          </w:cols>
          <w:pgMar w:left="240" w:top="894" w:right="1440" w:bottom="1440" w:gutter="0" w:footer="0" w:header="0"/>
          <w:type w:val="continuous"/>
        </w:sectPr>
      </w:pPr>
    </w:p>
    <w:p>
      <w:pPr>
        <w:spacing w:after="0"/>
        <w:tabs>
          <w:tab w:leader="none" w:pos="280" w:val="left"/>
        </w:tabs>
        <w:rPr>
          <w:sz w:val="20"/>
          <w:szCs w:val="20"/>
          <w:color w:val="auto"/>
        </w:rPr>
      </w:pPr>
      <w:r>
        <w:rPr>
          <w:rFonts w:ascii="Courier New" w:cs="Courier New" w:eastAsia="Courier New" w:hAnsi="Courier New"/>
          <w:sz w:val="17"/>
          <w:szCs w:val="17"/>
          <w:color w:val="auto"/>
        </w:rPr>
        <w:t>o</w:t>
        <w:tab/>
        <w:t>9MM Homes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[GRAPHIC OMITTED]</w:t>
      </w:r>
    </w:p>
    <w:p>
      <w:pPr>
        <w:spacing w:after="0" w:line="11" w:lineRule="exact"/>
        <w:rPr>
          <w:sz w:val="20"/>
          <w:szCs w:val="20"/>
          <w:color w:val="auto"/>
        </w:rPr>
      </w:pPr>
    </w:p>
    <w:p>
      <w:pPr>
        <w:sectPr>
          <w:pgSz w:w="11900" w:h="16838" w:orient="portrait"/>
          <w:cols w:equalWidth="0" w:num="2">
            <w:col w:w="5360" w:space="720"/>
            <w:col w:w="4139"/>
          </w:cols>
          <w:pgMar w:left="240" w:top="894" w:right="1440" w:bottom="1440" w:gutter="0" w:footer="0" w:header="0"/>
          <w:type w:val="continuous"/>
        </w:sectPr>
      </w:pPr>
    </w:p>
    <w:p>
      <w:pPr>
        <w:spacing w:after="0"/>
        <w:tabs>
          <w:tab w:leader="none" w:pos="28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2001 OCF: $25MM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[GRAPHIC OMITTED]</w:t>
      </w:r>
    </w:p>
    <w:p>
      <w:pPr>
        <w:spacing w:after="0" w:line="208" w:lineRule="exact"/>
        <w:rPr>
          <w:sz w:val="20"/>
          <w:szCs w:val="20"/>
          <w:color w:val="auto"/>
        </w:rPr>
      </w:pPr>
    </w:p>
    <w:p>
      <w:pPr>
        <w:sectPr>
          <w:pgSz w:w="11900" w:h="16838" w:orient="portrait"/>
          <w:cols w:equalWidth="0" w:num="2">
            <w:col w:w="2520" w:space="720"/>
            <w:col w:w="6979"/>
          </w:cols>
          <w:pgMar w:left="240" w:top="894"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[GRAPHIC OMITTED]</w:t>
      </w:r>
    </w:p>
    <w:p>
      <w:pPr>
        <w:sectPr>
          <w:pgSz w:w="11900" w:h="16838" w:orient="portrait"/>
          <w:cols w:equalWidth="0" w:num="1">
            <w:col w:w="10219"/>
          </w:cols>
          <w:pgMar w:left="240" w:top="894" w:right="1440" w:bottom="1440" w:gutter="0" w:footer="0" w:header="0"/>
          <w:type w:val="continuous"/>
        </w:sectPr>
      </w:pPr>
    </w:p>
    <w:p>
      <w:pPr>
        <w:spacing w:after="0" w:line="205"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7"/>
          <w:szCs w:val="17"/>
          <w:color w:val="auto"/>
        </w:rPr>
        <w:t>[QVC LOGO]</w:t>
      </w:r>
    </w:p>
    <w:p>
      <w:pPr>
        <w:spacing w:after="0" w:line="4"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THE SHOPPING CHANNEL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[QVC LOGO]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DEUTSCHLAND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LOGO]</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JAPAN</w:t>
      </w:r>
    </w:p>
    <w:p>
      <w:pPr>
        <w:spacing w:after="0" w:line="200" w:lineRule="exact"/>
        <w:rPr>
          <w:sz w:val="20"/>
          <w:szCs w:val="20"/>
          <w:color w:val="auto"/>
        </w:rPr>
      </w:pPr>
    </w:p>
    <w:p>
      <w:pPr>
        <w:sectPr>
          <w:pgSz w:w="11900" w:h="16838" w:orient="portrait"/>
          <w:cols w:equalWidth="0" w:num="3">
            <w:col w:w="2720" w:space="720"/>
            <w:col w:w="2320" w:space="720"/>
            <w:col w:w="3739"/>
          </w:cols>
          <w:pgMar w:left="240" w:top="894"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ectPr>
          <w:pgSz w:w="11900" w:h="16838" w:orient="portrait"/>
          <w:cols w:equalWidth="0" w:num="1">
            <w:col w:w="10219"/>
          </w:cols>
          <w:pgMar w:left="240" w:top="894" w:right="1440" w:bottom="1440" w:gutter="0" w:footer="0" w:header="0"/>
          <w:type w:val="continuous"/>
        </w:sectPr>
      </w:pPr>
    </w:p>
    <w:bookmarkStart w:id="22" w:name="page23"/>
    <w:bookmarkEnd w:id="22"/>
    <w:p>
      <w:pPr>
        <w:ind w:left="1940"/>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38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CONTENT</w:t>
      </w:r>
    </w:p>
    <w:p>
      <w:pPr>
        <w:sectPr>
          <w:pgSz w:w="11900" w:h="16838" w:orient="portrait"/>
          <w:cols w:equalWidth="0" w:num="1">
            <w:col w:w="9019"/>
          </w:cols>
          <w:pgMar w:left="1440" w:top="89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8200" w:type="dxa"/>
            <w:vAlign w:val="bottom"/>
            <w:gridSpan w:val="4"/>
          </w:tcPr>
          <w:p>
            <w:pPr>
              <w:spacing w:after="0"/>
              <w:rPr>
                <w:sz w:val="20"/>
                <w:szCs w:val="20"/>
                <w:color w:val="auto"/>
              </w:rPr>
            </w:pPr>
            <w:r>
              <w:rPr>
                <w:rFonts w:ascii="Courier New" w:cs="Courier New" w:eastAsia="Courier New" w:hAnsi="Courier New"/>
                <w:sz w:val="17"/>
                <w:szCs w:val="17"/>
                <w:color w:val="auto"/>
              </w:rPr>
              <w:t>Value Creation Through Content</w:t>
            </w:r>
          </w:p>
        </w:tc>
        <w:tc>
          <w:tcPr>
            <w:tcW w:w="1720" w:type="dxa"/>
            <w:vAlign w:val="bottom"/>
          </w:tcPr>
          <w:p>
            <w:pPr>
              <w:spacing w:after="0"/>
              <w:rPr>
                <w:sz w:val="16"/>
                <w:szCs w:val="16"/>
                <w:color w:val="auto"/>
              </w:rPr>
            </w:pPr>
          </w:p>
        </w:tc>
      </w:tr>
      <w:tr>
        <w:trPr>
          <w:trHeight w:val="583"/>
        </w:trPr>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Value Today</w:t>
            </w:r>
          </w:p>
        </w:tc>
      </w:tr>
      <w:tr>
        <w:trPr>
          <w:trHeight w:val="194"/>
        </w:trPr>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 QVC]</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More than Tripled OCF in 7 years</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$13 - $15Bn</w:t>
            </w:r>
          </w:p>
        </w:tc>
      </w:tr>
      <w:tr>
        <w:trPr>
          <w:trHeight w:val="194"/>
        </w:trPr>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o</w:t>
            </w:r>
          </w:p>
        </w:tc>
        <w:tc>
          <w:tcPr>
            <w:tcW w:w="5460" w:type="dxa"/>
            <w:vAlign w:val="bottom"/>
          </w:tcPr>
          <w:p>
            <w:pPr>
              <w:ind w:left="100"/>
              <w:spacing w:after="0"/>
              <w:rPr>
                <w:sz w:val="20"/>
                <w:szCs w:val="20"/>
                <w:color w:val="auto"/>
              </w:rPr>
            </w:pPr>
            <w:r>
              <w:rPr>
                <w:rFonts w:ascii="Courier New" w:cs="Courier New" w:eastAsia="Courier New" w:hAnsi="Courier New"/>
                <w:sz w:val="17"/>
                <w:szCs w:val="17"/>
                <w:color w:val="auto"/>
              </w:rPr>
              <w:t>$209MM in 1994 to $722MM in 2001</w:t>
            </w:r>
          </w:p>
        </w:tc>
        <w:tc>
          <w:tcPr>
            <w:tcW w:w="1720" w:type="dxa"/>
            <w:vAlign w:val="bottom"/>
          </w:tcPr>
          <w:p>
            <w:pPr>
              <w:spacing w:after="0"/>
              <w:rPr>
                <w:sz w:val="16"/>
                <w:szCs w:val="16"/>
                <w:color w:val="auto"/>
              </w:rPr>
            </w:pP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50% subscriber growth in 4 years</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$1.5 - $2.5Bn</w:t>
            </w: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E! ENTERTAINMENT</w:t>
            </w:r>
          </w:p>
        </w:tc>
        <w:tc>
          <w:tcPr>
            <w:tcW w:w="4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o</w:t>
            </w:r>
          </w:p>
        </w:tc>
        <w:tc>
          <w:tcPr>
            <w:tcW w:w="5460" w:type="dxa"/>
            <w:vAlign w:val="bottom"/>
          </w:tcPr>
          <w:p>
            <w:pPr>
              <w:ind w:left="100"/>
              <w:spacing w:after="0"/>
              <w:rPr>
                <w:sz w:val="20"/>
                <w:szCs w:val="20"/>
                <w:color w:val="auto"/>
              </w:rPr>
            </w:pPr>
            <w:r>
              <w:rPr>
                <w:rFonts w:ascii="Courier New" w:cs="Courier New" w:eastAsia="Courier New" w:hAnsi="Courier New"/>
                <w:sz w:val="17"/>
                <w:szCs w:val="17"/>
                <w:color w:val="auto"/>
              </w:rPr>
              <w:t>46MM in 1997 to 71MM at YE01</w:t>
            </w:r>
          </w:p>
        </w:tc>
        <w:tc>
          <w:tcPr>
            <w:tcW w:w="1720" w:type="dxa"/>
            <w:vAlign w:val="bottom"/>
          </w:tcPr>
          <w:p>
            <w:pPr>
              <w:spacing w:after="0"/>
              <w:rPr>
                <w:sz w:val="16"/>
                <w:szCs w:val="16"/>
                <w:color w:val="auto"/>
              </w:rPr>
            </w:pP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TELEVISION]</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 STYLE]</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17MM subscribers today growing to 40MM by YE04</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$300 - $500MM</w:t>
            </w: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 THE</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25% subscriber growth in 1 year</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$1.0 - $1.5Bn</w:t>
            </w: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GOLF CHANNEL]</w:t>
            </w:r>
          </w:p>
        </w:tc>
        <w:tc>
          <w:tcPr>
            <w:tcW w:w="4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o</w:t>
            </w:r>
          </w:p>
        </w:tc>
        <w:tc>
          <w:tcPr>
            <w:tcW w:w="5460" w:type="dxa"/>
            <w:vAlign w:val="bottom"/>
          </w:tcPr>
          <w:p>
            <w:pPr>
              <w:ind w:left="100"/>
              <w:spacing w:after="0"/>
              <w:rPr>
                <w:sz w:val="20"/>
                <w:szCs w:val="20"/>
                <w:color w:val="auto"/>
              </w:rPr>
            </w:pPr>
            <w:r>
              <w:rPr>
                <w:rFonts w:ascii="Courier New" w:cs="Courier New" w:eastAsia="Courier New" w:hAnsi="Courier New"/>
                <w:sz w:val="17"/>
                <w:szCs w:val="17"/>
                <w:color w:val="auto"/>
              </w:rPr>
              <w:t>36MM in 2000 to 46MM at YE01</w:t>
            </w:r>
          </w:p>
        </w:tc>
        <w:tc>
          <w:tcPr>
            <w:tcW w:w="1720" w:type="dxa"/>
            <w:vAlign w:val="bottom"/>
          </w:tcPr>
          <w:p>
            <w:pPr>
              <w:spacing w:after="0"/>
              <w:rPr>
                <w:sz w:val="16"/>
                <w:szCs w:val="16"/>
                <w:color w:val="auto"/>
              </w:rPr>
            </w:pP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 OUTDOOR</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135% subscriber growth since 1998</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$500 - $700MM</w:t>
            </w: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LIFE NETWORK]</w:t>
            </w:r>
          </w:p>
        </w:tc>
        <w:tc>
          <w:tcPr>
            <w:tcW w:w="4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o</w:t>
            </w:r>
          </w:p>
        </w:tc>
        <w:tc>
          <w:tcPr>
            <w:tcW w:w="5460" w:type="dxa"/>
            <w:vAlign w:val="bottom"/>
          </w:tcPr>
          <w:p>
            <w:pPr>
              <w:ind w:left="100"/>
              <w:spacing w:after="0"/>
              <w:rPr>
                <w:sz w:val="20"/>
                <w:szCs w:val="20"/>
                <w:color w:val="auto"/>
              </w:rPr>
            </w:pPr>
            <w:r>
              <w:rPr>
                <w:rFonts w:ascii="Courier New" w:cs="Courier New" w:eastAsia="Courier New" w:hAnsi="Courier New"/>
                <w:sz w:val="17"/>
                <w:szCs w:val="17"/>
                <w:color w:val="auto"/>
              </w:rPr>
              <w:t>17MM in 1998 to 41MM at YE01</w:t>
            </w:r>
          </w:p>
        </w:tc>
        <w:tc>
          <w:tcPr>
            <w:tcW w:w="1720" w:type="dxa"/>
            <w:vAlign w:val="bottom"/>
          </w:tcPr>
          <w:p>
            <w:pPr>
              <w:spacing w:after="0"/>
              <w:rPr>
                <w:sz w:val="16"/>
                <w:szCs w:val="16"/>
                <w:color w:val="auto"/>
              </w:rPr>
            </w:pP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[GRAPHIC: COMCAST</w:t>
            </w:r>
          </w:p>
        </w:tc>
        <w:tc>
          <w:tcPr>
            <w:tcW w:w="460" w:type="dxa"/>
            <w:vAlign w:val="bottom"/>
          </w:tcPr>
          <w:p>
            <w:pPr>
              <w:ind w:left="240"/>
              <w:spacing w:after="0"/>
              <w:rPr>
                <w:sz w:val="20"/>
                <w:szCs w:val="20"/>
                <w:color w:val="auto"/>
              </w:rPr>
            </w:pPr>
            <w:r>
              <w:rPr>
                <w:rFonts w:ascii="Courier New" w:cs="Courier New" w:eastAsia="Courier New" w:hAnsi="Courier New"/>
                <w:sz w:val="17"/>
                <w:szCs w:val="17"/>
                <w:color w:val="auto"/>
              </w:rPr>
              <w:t>o</w:t>
            </w: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Regional sports network covers 8.3MM</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$300 - $500MM</w:t>
            </w: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SPORTSNET]</w:t>
            </w:r>
          </w:p>
        </w:tc>
        <w:tc>
          <w:tcPr>
            <w:tcW w:w="460" w:type="dxa"/>
            <w:vAlign w:val="bottom"/>
          </w:tcPr>
          <w:p>
            <w:pPr>
              <w:spacing w:after="0"/>
              <w:rPr>
                <w:sz w:val="16"/>
                <w:szCs w:val="16"/>
                <w:color w:val="auto"/>
              </w:rPr>
            </w:pPr>
          </w:p>
        </w:tc>
        <w:tc>
          <w:tcPr>
            <w:tcW w:w="5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subscribers and entire Mid-Atlantic customer base</w:t>
            </w:r>
          </w:p>
        </w:tc>
        <w:tc>
          <w:tcPr>
            <w:tcW w:w="1720" w:type="dxa"/>
            <w:vAlign w:val="bottom"/>
          </w:tcPr>
          <w:p>
            <w:pPr>
              <w:spacing w:after="0"/>
              <w:rPr>
                <w:sz w:val="16"/>
                <w:szCs w:val="16"/>
                <w:color w:val="auto"/>
              </w:rPr>
            </w:pPr>
          </w:p>
        </w:tc>
      </w:tr>
      <w:tr>
        <w:trPr>
          <w:trHeight w:val="194"/>
        </w:trPr>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$16.6 - $20.7Bn</w:t>
            </w:r>
          </w:p>
        </w:tc>
      </w:tr>
      <w:tr>
        <w:trPr>
          <w:trHeight w:val="583"/>
        </w:trPr>
        <w:tc>
          <w:tcPr>
            <w:tcW w:w="8200" w:type="dxa"/>
            <w:vAlign w:val="bottom"/>
            <w:gridSpan w:val="4"/>
          </w:tcPr>
          <w:p>
            <w:pPr>
              <w:spacing w:after="0"/>
              <w:rPr>
                <w:sz w:val="20"/>
                <w:szCs w:val="20"/>
                <w:color w:val="auto"/>
              </w:rPr>
            </w:pPr>
            <w:r>
              <w:rPr>
                <w:rFonts w:ascii="Courier New" w:cs="Courier New" w:eastAsia="Courier New" w:hAnsi="Courier New"/>
                <w:sz w:val="17"/>
                <w:szCs w:val="17"/>
                <w:color w:val="auto"/>
              </w:rPr>
              <w:t>Source:  Wall Street equity research estimates.</w:t>
            </w:r>
          </w:p>
        </w:tc>
        <w:tc>
          <w:tcPr>
            <w:tcW w:w="1720" w:type="dxa"/>
            <w:vAlign w:val="bottom"/>
          </w:tcPr>
          <w:p>
            <w:pPr>
              <w:spacing w:after="0"/>
              <w:rPr>
                <w:sz w:val="24"/>
                <w:szCs w:val="24"/>
                <w:color w:val="auto"/>
              </w:rPr>
            </w:pPr>
          </w:p>
        </w:tc>
      </w:tr>
      <w:tr>
        <w:trPr>
          <w:trHeight w:val="194"/>
        </w:trPr>
        <w:tc>
          <w:tcPr>
            <w:tcW w:w="8200" w:type="dxa"/>
            <w:vAlign w:val="bottom"/>
            <w:gridSpan w:val="4"/>
          </w:tcPr>
          <w:p>
            <w:pPr>
              <w:ind w:left="920"/>
              <w:spacing w:after="0"/>
              <w:rPr>
                <w:sz w:val="20"/>
                <w:szCs w:val="20"/>
                <w:color w:val="auto"/>
              </w:rPr>
            </w:pPr>
            <w:r>
              <w:rPr>
                <w:rFonts w:ascii="Courier New" w:cs="Courier New" w:eastAsia="Courier New" w:hAnsi="Courier New"/>
                <w:sz w:val="17"/>
                <w:szCs w:val="17"/>
                <w:color w:val="auto"/>
              </w:rPr>
              <w:t>Value represents 100% of the equity for each entity.</w:t>
            </w:r>
          </w:p>
        </w:tc>
        <w:tc>
          <w:tcPr>
            <w:tcW w:w="1720" w:type="dxa"/>
            <w:vAlign w:val="bottom"/>
          </w:tcPr>
          <w:p>
            <w:pPr>
              <w:spacing w:after="0"/>
              <w:rPr>
                <w:sz w:val="16"/>
                <w:szCs w:val="16"/>
                <w:color w:val="auto"/>
              </w:rPr>
            </w:pPr>
          </w:p>
        </w:tc>
      </w:tr>
      <w:tr>
        <w:trPr>
          <w:trHeight w:val="583"/>
        </w:trPr>
        <w:tc>
          <w:tcPr>
            <w:tcW w:w="19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4"/>
        </w:trPr>
        <w:tc>
          <w:tcPr>
            <w:tcW w:w="198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tcPr>
          <w:p>
            <w:pPr>
              <w:ind w:left="3840"/>
              <w:spacing w:after="0"/>
              <w:rPr>
                <w:sz w:val="20"/>
                <w:szCs w:val="20"/>
                <w:color w:val="auto"/>
              </w:rPr>
            </w:pPr>
            <w:r>
              <w:rPr>
                <w:rFonts w:ascii="Courier New" w:cs="Courier New" w:eastAsia="Courier New" w:hAnsi="Courier New"/>
                <w:sz w:val="17"/>
                <w:szCs w:val="17"/>
                <w:color w:val="auto"/>
              </w:rPr>
              <w:t>[COMCAST LOGO]</w:t>
            </w:r>
          </w:p>
        </w:tc>
        <w:tc>
          <w:tcPr>
            <w:tcW w:w="1720" w:type="dxa"/>
            <w:vAlign w:val="bottom"/>
          </w:tcPr>
          <w:p>
            <w:pPr>
              <w:spacing w:after="0"/>
              <w:rPr>
                <w:sz w:val="16"/>
                <w:szCs w:val="16"/>
                <w:color w:val="auto"/>
              </w:rPr>
            </w:pPr>
          </w:p>
        </w:tc>
      </w:tr>
    </w:tbl>
    <w:p>
      <w:pPr>
        <w:sectPr>
          <w:pgSz w:w="11900" w:h="16838" w:orient="portrait"/>
          <w:cols w:equalWidth="0" w:num="1">
            <w:col w:w="10219"/>
          </w:cols>
          <w:pgMar w:left="240" w:top="69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[COMCAST LOGO]</w:t>
      </w:r>
    </w:p>
    <w:p>
      <w:pPr>
        <w:spacing w:after="0" w:line="19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7"/>
          <w:szCs w:val="17"/>
          <w:color w:val="auto"/>
        </w:rPr>
        <w:t>Continuing to Deliver</w:t>
      </w:r>
    </w:p>
    <w:p>
      <w:pPr>
        <w:spacing w:after="0" w:line="391" w:lineRule="exact"/>
        <w:rPr>
          <w:sz w:val="20"/>
          <w:szCs w:val="20"/>
          <w:color w:val="auto"/>
        </w:rPr>
      </w:pPr>
    </w:p>
    <w:p>
      <w:pPr>
        <w:ind w:left="1920" w:hanging="400"/>
        <w:spacing w:after="0"/>
        <w:tabs>
          <w:tab w:leader="none" w:pos="1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Accelerating Cash Flow Growth</w:t>
      </w:r>
    </w:p>
    <w:p>
      <w:pPr>
        <w:spacing w:after="0" w:line="196" w:lineRule="exact"/>
        <w:rPr>
          <w:rFonts w:ascii="Courier New" w:cs="Courier New" w:eastAsia="Courier New" w:hAnsi="Courier New"/>
          <w:sz w:val="17"/>
          <w:szCs w:val="17"/>
          <w:color w:val="auto"/>
        </w:rPr>
      </w:pPr>
    </w:p>
    <w:p>
      <w:pPr>
        <w:ind w:left="1920" w:hanging="400"/>
        <w:spacing w:after="0"/>
        <w:tabs>
          <w:tab w:leader="none" w:pos="1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Generation</w:t>
      </w:r>
    </w:p>
    <w:p>
      <w:pPr>
        <w:spacing w:after="0" w:line="196" w:lineRule="exact"/>
        <w:rPr>
          <w:rFonts w:ascii="Courier New" w:cs="Courier New" w:eastAsia="Courier New" w:hAnsi="Courier New"/>
          <w:sz w:val="17"/>
          <w:szCs w:val="17"/>
          <w:color w:val="auto"/>
        </w:rPr>
      </w:pPr>
    </w:p>
    <w:p>
      <w:pPr>
        <w:ind w:left="1920" w:hanging="400"/>
        <w:spacing w:after="0"/>
        <w:tabs>
          <w:tab w:leader="none" w:pos="1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Strong Balance Sheet</w:t>
      </w:r>
    </w:p>
    <w:p>
      <w:pPr>
        <w:spacing w:after="0" w:line="196" w:lineRule="exact"/>
        <w:rPr>
          <w:rFonts w:ascii="Courier New" w:cs="Courier New" w:eastAsia="Courier New" w:hAnsi="Courier New"/>
          <w:sz w:val="17"/>
          <w:szCs w:val="17"/>
          <w:color w:val="auto"/>
        </w:rPr>
      </w:pPr>
    </w:p>
    <w:p>
      <w:pPr>
        <w:ind w:left="1920" w:hanging="400"/>
        <w:spacing w:after="0"/>
        <w:tabs>
          <w:tab w:leader="none" w:pos="19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Shareholder Value</w:t>
      </w:r>
    </w:p>
    <w:p>
      <w:pPr>
        <w:sectPr>
          <w:pgSz w:w="11900" w:h="16838" w:orient="portrait"/>
          <w:cols w:equalWidth="0" w:num="1">
            <w:col w:w="10219"/>
          </w:cols>
          <w:pgMar w:left="240" w:top="891"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1" w:right="1440" w:bottom="1440" w:gutter="0" w:footer="0" w:header="0"/>
          <w:type w:val="continuous"/>
        </w:sectPr>
      </w:pPr>
    </w:p>
    <w:bookmarkStart w:id="25" w:name="page26"/>
    <w:bookmarkEnd w:id="25"/>
    <w:p>
      <w:pPr>
        <w:jc w:val="right"/>
        <w:ind w:right="8599"/>
        <w:spacing w:after="0"/>
        <w:rPr>
          <w:sz w:val="20"/>
          <w:szCs w:val="20"/>
          <w:color w:val="auto"/>
        </w:rPr>
      </w:pPr>
      <w:r>
        <w:rPr>
          <w:rFonts w:ascii="Courier New" w:cs="Courier New" w:eastAsia="Courier New" w:hAnsi="Courier New"/>
          <w:sz w:val="16"/>
          <w:szCs w:val="16"/>
          <w:color w:val="auto"/>
        </w:rPr>
        <w:t>AT&amp;T COMCAST (R)</w:t>
      </w:r>
    </w:p>
    <w:p>
      <w:pPr>
        <w:spacing w:after="0" w:line="11" w:lineRule="exact"/>
        <w:rPr>
          <w:sz w:val="20"/>
          <w:szCs w:val="20"/>
          <w:color w:val="auto"/>
        </w:rPr>
      </w:pPr>
    </w:p>
    <w:p>
      <w:pPr>
        <w:jc w:val="right"/>
        <w:ind w:right="8599"/>
        <w:spacing w:after="0"/>
        <w:rPr>
          <w:sz w:val="20"/>
          <w:szCs w:val="20"/>
          <w:color w:val="auto"/>
        </w:rPr>
      </w:pPr>
      <w:r>
        <w:rPr>
          <w:rFonts w:ascii="Courier New" w:cs="Courier New" w:eastAsia="Courier New" w:hAnsi="Courier New"/>
          <w:sz w:val="17"/>
          <w:szCs w:val="17"/>
          <w:color w:val="auto"/>
        </w:rPr>
        <w:t>CORPORATION</w:t>
      </w:r>
    </w:p>
    <w:p>
      <w:pPr>
        <w:spacing w:after="0" w:line="391" w:lineRule="exact"/>
        <w:rPr>
          <w:sz w:val="20"/>
          <w:szCs w:val="20"/>
          <w:color w:val="auto"/>
        </w:rPr>
      </w:pPr>
    </w:p>
    <w:p>
      <w:pPr>
        <w:jc w:val="right"/>
        <w:ind w:right="4659"/>
        <w:spacing w:after="0"/>
        <w:rPr>
          <w:sz w:val="20"/>
          <w:szCs w:val="20"/>
          <w:color w:val="auto"/>
        </w:rPr>
      </w:pPr>
      <w:r>
        <w:rPr>
          <w:rFonts w:ascii="Courier New" w:cs="Courier New" w:eastAsia="Courier New" w:hAnsi="Courier New"/>
          <w:sz w:val="17"/>
          <w:szCs w:val="17"/>
          <w:color w:val="auto"/>
        </w:rPr>
        <w:t>A Powerful Platform for Growth</w:t>
      </w:r>
    </w:p>
    <w:p>
      <w:pPr>
        <w:spacing w:after="0" w:line="199" w:lineRule="exact"/>
        <w:rPr>
          <w:sz w:val="20"/>
          <w:szCs w:val="20"/>
          <w:color w:val="auto"/>
        </w:rPr>
      </w:pPr>
    </w:p>
    <w:p>
      <w:pPr>
        <w:ind w:left="3140" w:right="4759" w:hanging="2125"/>
        <w:spacing w:after="0" w:line="269"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National Reach: 22 Million Subscribers 38 Million Homes Passed</w:t>
      </w:r>
    </w:p>
    <w:p>
      <w:pPr>
        <w:spacing w:after="0" w:line="175" w:lineRule="exact"/>
        <w:rPr>
          <w:sz w:val="20"/>
          <w:szCs w:val="20"/>
          <w:color w:val="auto"/>
        </w:rPr>
      </w:pPr>
    </w:p>
    <w:p>
      <w:pPr>
        <w:ind w:left="1820" w:hanging="300"/>
        <w:spacing w:after="0"/>
        <w:tabs>
          <w:tab w:leader="none" w:pos="18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Services Leadership</w:t>
      </w:r>
    </w:p>
    <w:p>
      <w:pPr>
        <w:spacing w:after="0" w:line="196" w:lineRule="exact"/>
        <w:rPr>
          <w:rFonts w:ascii="Courier New" w:cs="Courier New" w:eastAsia="Courier New" w:hAnsi="Courier New"/>
          <w:sz w:val="17"/>
          <w:szCs w:val="17"/>
          <w:color w:val="auto"/>
        </w:rPr>
      </w:pPr>
    </w:p>
    <w:p>
      <w:pPr>
        <w:ind w:left="1820" w:hanging="300"/>
        <w:spacing w:after="0"/>
        <w:tabs>
          <w:tab w:leader="none" w:pos="18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National Advertising Platform</w:t>
      </w:r>
    </w:p>
    <w:p>
      <w:pPr>
        <w:spacing w:after="0" w:line="198" w:lineRule="exact"/>
        <w:rPr>
          <w:rFonts w:ascii="Courier New" w:cs="Courier New" w:eastAsia="Courier New" w:hAnsi="Courier New"/>
          <w:sz w:val="17"/>
          <w:szCs w:val="17"/>
          <w:color w:val="auto"/>
        </w:rPr>
      </w:pPr>
    </w:p>
    <w:p>
      <w:pPr>
        <w:ind w:left="1020" w:right="5559" w:firstLine="500"/>
        <w:spacing w:after="0" w:line="514" w:lineRule="auto"/>
        <w:tabs>
          <w:tab w:leader="none" w:pos="18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Creation Opportunity o Value Creation Through Synergies o Cash Flow Growth Exceeding 20%</w:t>
      </w:r>
    </w:p>
    <w:p>
      <w:pPr>
        <w:ind w:left="1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  Financial Strength and Flexibility</w:t>
      </w:r>
    </w:p>
    <w:p>
      <w:pPr>
        <w:sectPr>
          <w:pgSz w:w="11900" w:h="16838" w:orient="portrait"/>
          <w:cols w:equalWidth="0" w:num="1">
            <w:col w:w="10219"/>
          </w:cols>
          <w:pgMar w:left="240" w:top="894"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4"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AT&amp;T COMCAST (R)</w:t>
            </w:r>
          </w:p>
        </w:tc>
        <w:tc>
          <w:tcPr>
            <w:tcW w:w="10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4"/>
        </w:trPr>
        <w:tc>
          <w:tcPr>
            <w:tcW w:w="3900" w:type="dxa"/>
            <w:vAlign w:val="bottom"/>
          </w:tcPr>
          <w:p>
            <w:pPr>
              <w:ind w:left="500"/>
              <w:spacing w:after="0"/>
              <w:rPr>
                <w:sz w:val="20"/>
                <w:szCs w:val="20"/>
                <w:color w:val="auto"/>
              </w:rPr>
            </w:pPr>
            <w:r>
              <w:rPr>
                <w:rFonts w:ascii="Courier New" w:cs="Courier New" w:eastAsia="Courier New" w:hAnsi="Courier New"/>
                <w:sz w:val="17"/>
                <w:szCs w:val="17"/>
                <w:color w:val="auto"/>
              </w:rPr>
              <w:t>CORPORATION</w:t>
            </w:r>
          </w:p>
        </w:tc>
        <w:tc>
          <w:tcPr>
            <w:tcW w:w="10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83"/>
        </w:trPr>
        <w:tc>
          <w:tcPr>
            <w:tcW w:w="39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c>
          <w:tcPr>
            <w:tcW w:w="23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2004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2005</w:t>
            </w:r>
          </w:p>
        </w:tc>
      </w:tr>
      <w:tr>
        <w:trPr>
          <w:trHeight w:val="194"/>
        </w:trPr>
        <w:tc>
          <w:tcPr>
            <w:tcW w:w="39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AT&amp;T Broadband OCF</w:t>
            </w:r>
          </w:p>
        </w:tc>
        <w:tc>
          <w:tcPr>
            <w:tcW w:w="10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Margin Improvement(1)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----------------------&gt;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Operating Synergies(1) (Millions)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$300</w:t>
            </w:r>
          </w:p>
        </w:tc>
        <w:tc>
          <w:tcPr>
            <w:tcW w:w="238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$400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Comcast Cable OCF Growth(1)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----------------------&gt;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bl>
    <w:p>
      <w:pPr>
        <w:spacing w:after="0" w:line="39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OCF Growth Exceeding 20%</w:t>
      </w:r>
    </w:p>
    <w:p>
      <w:pPr>
        <w:spacing w:after="0" w:line="196"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For Illustrative Purposes Only. Not Indicative of Guidance</w:t>
      </w:r>
    </w:p>
    <w:p>
      <w:pPr>
        <w:sectPr>
          <w:pgSz w:w="11900" w:h="16838" w:orient="portrait"/>
          <w:cols w:equalWidth="0" w:num="1">
            <w:col w:w="10219"/>
          </w:cols>
          <w:pgMar w:left="240" w:top="697"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697"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Integration Success: Acquired Systems</w:t>
      </w:r>
    </w:p>
    <w:p>
      <w:pPr>
        <w:spacing w:after="0" w:line="196"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AT&amp;T Broadband: 1.4MM Subscribers Acquired January 2001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142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2000</w:t>
            </w:r>
          </w:p>
        </w:tc>
        <w:tc>
          <w:tcPr>
            <w:tcW w:w="12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2001</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Growth</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2002E</w:t>
            </w:r>
          </w:p>
        </w:tc>
      </w:tr>
      <w:tr>
        <w:trPr>
          <w:trHeight w:val="194"/>
        </w:trPr>
        <w:tc>
          <w:tcPr>
            <w:tcW w:w="3180" w:type="dxa"/>
            <w:vAlign w:val="bottom"/>
          </w:tcPr>
          <w:p>
            <w:pPr>
              <w:spacing w:after="0"/>
              <w:rPr>
                <w:sz w:val="16"/>
                <w:szCs w:val="16"/>
                <w:color w:val="auto"/>
              </w:rPr>
            </w:pPr>
          </w:p>
        </w:tc>
        <w:tc>
          <w:tcPr>
            <w:tcW w:w="142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c>
          <w:tcPr>
            <w:tcW w:w="12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180" w:type="dxa"/>
            <w:vAlign w:val="bottom"/>
          </w:tcPr>
          <w:p>
            <w:pPr>
              <w:spacing w:after="0"/>
              <w:rPr>
                <w:sz w:val="20"/>
                <w:szCs w:val="20"/>
                <w:color w:val="auto"/>
              </w:rPr>
            </w:pPr>
            <w:r>
              <w:rPr>
                <w:rFonts w:ascii="Courier New" w:cs="Courier New" w:eastAsia="Courier New" w:hAnsi="Courier New"/>
                <w:sz w:val="17"/>
                <w:szCs w:val="17"/>
                <w:color w:val="auto"/>
              </w:rPr>
              <w:t>Revenue (Millions)</w:t>
            </w:r>
          </w:p>
        </w:tc>
        <w:tc>
          <w:tcPr>
            <w:tcW w:w="1420" w:type="dxa"/>
            <w:vAlign w:val="bottom"/>
          </w:tcPr>
          <w:p>
            <w:pPr>
              <w:jc w:val="center"/>
              <w:ind w:left="36"/>
              <w:spacing w:after="0"/>
              <w:rPr>
                <w:sz w:val="20"/>
                <w:szCs w:val="20"/>
                <w:color w:val="auto"/>
              </w:rPr>
            </w:pPr>
            <w:r>
              <w:rPr>
                <w:rFonts w:ascii="Courier New" w:cs="Courier New" w:eastAsia="Courier New" w:hAnsi="Courier New"/>
                <w:sz w:val="17"/>
                <w:szCs w:val="17"/>
                <w:color w:val="auto"/>
              </w:rPr>
              <w:t>$831.3</w:t>
            </w:r>
          </w:p>
        </w:tc>
        <w:tc>
          <w:tcPr>
            <w:tcW w:w="12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$878.2</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$964.6</w:t>
            </w:r>
          </w:p>
        </w:tc>
      </w:tr>
      <w:tr>
        <w:trPr>
          <w:trHeight w:val="389"/>
        </w:trPr>
        <w:tc>
          <w:tcPr>
            <w:tcW w:w="3180" w:type="dxa"/>
            <w:vAlign w:val="bottom"/>
          </w:tcPr>
          <w:p>
            <w:pPr>
              <w:spacing w:after="0"/>
              <w:rPr>
                <w:sz w:val="20"/>
                <w:szCs w:val="20"/>
                <w:color w:val="auto"/>
              </w:rPr>
            </w:pPr>
            <w:r>
              <w:rPr>
                <w:rFonts w:ascii="Courier New" w:cs="Courier New" w:eastAsia="Courier New" w:hAnsi="Courier New"/>
                <w:sz w:val="17"/>
                <w:szCs w:val="17"/>
                <w:color w:val="auto"/>
              </w:rPr>
              <w:t>Cash Flow (Millions)</w:t>
            </w:r>
          </w:p>
        </w:tc>
        <w:tc>
          <w:tcPr>
            <w:tcW w:w="1420" w:type="dxa"/>
            <w:vAlign w:val="bottom"/>
          </w:tcPr>
          <w:p>
            <w:pPr>
              <w:jc w:val="center"/>
              <w:ind w:left="36"/>
              <w:spacing w:after="0"/>
              <w:rPr>
                <w:sz w:val="20"/>
                <w:szCs w:val="20"/>
                <w:color w:val="auto"/>
              </w:rPr>
            </w:pPr>
            <w:r>
              <w:rPr>
                <w:rFonts w:ascii="Courier New" w:cs="Courier New" w:eastAsia="Courier New" w:hAnsi="Courier New"/>
                <w:sz w:val="17"/>
                <w:szCs w:val="17"/>
                <w:color w:val="auto"/>
              </w:rPr>
              <w:t>$262.5</w:t>
            </w:r>
          </w:p>
        </w:tc>
        <w:tc>
          <w:tcPr>
            <w:tcW w:w="12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$330.9</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26.1%</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$391.3</w:t>
            </w:r>
          </w:p>
        </w:tc>
      </w:tr>
      <w:tr>
        <w:trPr>
          <w:trHeight w:val="389"/>
        </w:trPr>
        <w:tc>
          <w:tcPr>
            <w:tcW w:w="3180" w:type="dxa"/>
            <w:vAlign w:val="bottom"/>
          </w:tcPr>
          <w:p>
            <w:pPr>
              <w:spacing w:after="0"/>
              <w:rPr>
                <w:sz w:val="20"/>
                <w:szCs w:val="20"/>
                <w:color w:val="auto"/>
              </w:rPr>
            </w:pPr>
            <w:r>
              <w:rPr>
                <w:rFonts w:ascii="Courier New" w:cs="Courier New" w:eastAsia="Courier New" w:hAnsi="Courier New"/>
                <w:sz w:val="17"/>
                <w:szCs w:val="17"/>
                <w:color w:val="auto"/>
              </w:rPr>
              <w:t>OCF Margin</w:t>
            </w:r>
          </w:p>
        </w:tc>
        <w:tc>
          <w:tcPr>
            <w:tcW w:w="142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31.6%</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37.7%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 pts.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40.6%</w:t>
            </w:r>
          </w:p>
        </w:tc>
      </w:tr>
      <w:tr>
        <w:trPr>
          <w:trHeight w:val="389"/>
        </w:trPr>
        <w:tc>
          <w:tcPr>
            <w:tcW w:w="3180" w:type="dxa"/>
            <w:vAlign w:val="bottom"/>
          </w:tcPr>
          <w:p>
            <w:pPr>
              <w:spacing w:after="0"/>
              <w:rPr>
                <w:sz w:val="20"/>
                <w:szCs w:val="20"/>
                <w:color w:val="auto"/>
              </w:rPr>
            </w:pPr>
            <w:r>
              <w:rPr>
                <w:rFonts w:ascii="Courier New" w:cs="Courier New" w:eastAsia="Courier New" w:hAnsi="Courier New"/>
                <w:sz w:val="17"/>
                <w:szCs w:val="17"/>
                <w:color w:val="auto"/>
              </w:rPr>
              <w:t>Annual OCF/ Avg. Subscriber</w:t>
            </w:r>
          </w:p>
        </w:tc>
        <w:tc>
          <w:tcPr>
            <w:tcW w:w="1420" w:type="dxa"/>
            <w:vAlign w:val="bottom"/>
          </w:tcPr>
          <w:p>
            <w:pPr>
              <w:jc w:val="center"/>
              <w:ind w:left="36"/>
              <w:spacing w:after="0"/>
              <w:rPr>
                <w:sz w:val="20"/>
                <w:szCs w:val="20"/>
                <w:color w:val="auto"/>
              </w:rPr>
            </w:pPr>
            <w:r>
              <w:rPr>
                <w:rFonts w:ascii="Courier New" w:cs="Courier New" w:eastAsia="Courier New" w:hAnsi="Courier New"/>
                <w:sz w:val="17"/>
                <w:szCs w:val="17"/>
                <w:color w:val="auto"/>
              </w:rPr>
              <w:t>$179.7</w:t>
            </w:r>
          </w:p>
        </w:tc>
        <w:tc>
          <w:tcPr>
            <w:tcW w:w="1220" w:type="dxa"/>
            <w:vAlign w:val="bottom"/>
          </w:tcPr>
          <w:p>
            <w:pPr>
              <w:jc w:val="center"/>
              <w:ind w:right="16"/>
              <w:spacing w:after="0"/>
              <w:rPr>
                <w:sz w:val="20"/>
                <w:szCs w:val="20"/>
                <w:color w:val="auto"/>
              </w:rPr>
            </w:pPr>
            <w:r>
              <w:rPr>
                <w:rFonts w:ascii="Courier New" w:cs="Courier New" w:eastAsia="Courier New" w:hAnsi="Courier New"/>
                <w:sz w:val="17"/>
                <w:szCs w:val="17"/>
                <w:color w:val="auto"/>
                <w:w w:val="97"/>
              </w:rPr>
              <w:t>$224.3</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24.8%</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$262.3</w:t>
            </w:r>
          </w:p>
        </w:tc>
      </w:tr>
      <w:tr>
        <w:trPr>
          <w:trHeight w:val="778"/>
        </w:trPr>
        <w:tc>
          <w:tcPr>
            <w:tcW w:w="31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318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[COMCAST LOGO]</w:t>
            </w:r>
          </w:p>
        </w:tc>
      </w:tr>
    </w:tbl>
    <w:p>
      <w:pPr>
        <w:sectPr>
          <w:pgSz w:w="11900" w:h="16838" w:orient="portrait"/>
          <w:cols w:equalWidth="0" w:num="1">
            <w:col w:w="10219"/>
          </w:cols>
          <w:pgMar w:left="240" w:top="697"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gridSpan w:val="3"/>
          </w:tcPr>
          <w:p>
            <w:pPr>
              <w:spacing w:after="0"/>
              <w:rPr>
                <w:sz w:val="20"/>
                <w:szCs w:val="20"/>
                <w:color w:val="auto"/>
              </w:rPr>
            </w:pPr>
            <w:r>
              <w:rPr>
                <w:rFonts w:ascii="Courier New" w:cs="Courier New" w:eastAsia="Courier New" w:hAnsi="Courier New"/>
                <w:sz w:val="17"/>
                <w:szCs w:val="17"/>
                <w:color w:val="auto"/>
              </w:rPr>
              <w:t>Integration Success: Acquired Systems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83"/>
        </w:trPr>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2000</w:t>
            </w:r>
          </w:p>
        </w:tc>
        <w:tc>
          <w:tcPr>
            <w:tcW w:w="200" w:type="dxa"/>
            <w:vAlign w:val="bottom"/>
          </w:tcPr>
          <w:p>
            <w:pPr>
              <w:spacing w:after="0"/>
              <w:rPr>
                <w:sz w:val="24"/>
                <w:szCs w:val="24"/>
                <w:color w:val="auto"/>
              </w:rPr>
            </w:pPr>
          </w:p>
        </w:tc>
        <w:tc>
          <w:tcPr>
            <w:tcW w:w="10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2001</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Growth</w:t>
            </w:r>
          </w:p>
        </w:tc>
        <w:tc>
          <w:tcPr>
            <w:tcW w:w="400" w:type="dxa"/>
            <w:vAlign w:val="bottom"/>
          </w:tcPr>
          <w:p>
            <w:pPr>
              <w:spacing w:after="0"/>
              <w:rPr>
                <w:sz w:val="24"/>
                <w:szCs w:val="24"/>
                <w:color w:val="auto"/>
              </w:rPr>
            </w:pP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2002E</w:t>
            </w:r>
          </w:p>
        </w:tc>
      </w:tr>
      <w:tr>
        <w:trPr>
          <w:trHeight w:val="194"/>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r>
      <w:tr>
        <w:trPr>
          <w:trHeight w:val="389"/>
        </w:trPr>
        <w:tc>
          <w:tcPr>
            <w:tcW w:w="2380" w:type="dxa"/>
            <w:vAlign w:val="bottom"/>
          </w:tcPr>
          <w:p>
            <w:pPr>
              <w:spacing w:after="0"/>
              <w:rPr>
                <w:sz w:val="20"/>
                <w:szCs w:val="20"/>
                <w:color w:val="auto"/>
              </w:rPr>
            </w:pPr>
            <w:r>
              <w:rPr>
                <w:rFonts w:ascii="Courier New" w:cs="Courier New" w:eastAsia="Courier New" w:hAnsi="Courier New"/>
                <w:sz w:val="17"/>
                <w:szCs w:val="17"/>
                <w:color w:val="auto"/>
              </w:rPr>
              <w:t>Revenue (Millions)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15.5</w:t>
            </w:r>
          </w:p>
        </w:tc>
      </w:tr>
      <w:tr>
        <w:trPr>
          <w:trHeight w:val="389"/>
        </w:trPr>
        <w:tc>
          <w:tcPr>
            <w:tcW w:w="2380" w:type="dxa"/>
            <w:vAlign w:val="bottom"/>
          </w:tcPr>
          <w:p>
            <w:pPr>
              <w:spacing w:after="0"/>
              <w:rPr>
                <w:sz w:val="20"/>
                <w:szCs w:val="20"/>
                <w:color w:val="auto"/>
              </w:rPr>
            </w:pPr>
            <w:r>
              <w:rPr>
                <w:rFonts w:ascii="Courier New" w:cs="Courier New" w:eastAsia="Courier New" w:hAnsi="Courier New"/>
                <w:sz w:val="17"/>
                <w:szCs w:val="17"/>
                <w:color w:val="auto"/>
              </w:rPr>
              <w:t>Cash Flow (Millions)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N/A</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4.0</w:t>
            </w:r>
          </w:p>
        </w:tc>
      </w:tr>
      <w:tr>
        <w:trPr>
          <w:trHeight w:val="389"/>
        </w:trPr>
        <w:tc>
          <w:tcPr>
            <w:tcW w:w="2380" w:type="dxa"/>
            <w:vAlign w:val="bottom"/>
          </w:tcPr>
          <w:p>
            <w:pPr>
              <w:spacing w:after="0"/>
              <w:rPr>
                <w:sz w:val="20"/>
                <w:szCs w:val="20"/>
                <w:color w:val="auto"/>
              </w:rPr>
            </w:pPr>
            <w:r>
              <w:rPr>
                <w:rFonts w:ascii="Courier New" w:cs="Courier New" w:eastAsia="Courier New" w:hAnsi="Courier New"/>
                <w:sz w:val="17"/>
                <w:szCs w:val="17"/>
                <w:color w:val="auto"/>
              </w:rPr>
              <w:t>Telephone Subscribers</w:t>
            </w:r>
          </w:p>
        </w:tc>
        <w:tc>
          <w:tcPr>
            <w:tcW w:w="360" w:type="dxa"/>
            <w:vAlign w:val="bottom"/>
          </w:tcPr>
          <w:p>
            <w:pPr>
              <w:spacing w:after="0"/>
              <w:rPr>
                <w:sz w:val="24"/>
                <w:szCs w:val="24"/>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4"/>
              </w:rPr>
              <w:t>12,776</w:t>
            </w:r>
          </w:p>
        </w:tc>
        <w:tc>
          <w:tcPr>
            <w:tcW w:w="200" w:type="dxa"/>
            <w:vAlign w:val="bottom"/>
          </w:tcPr>
          <w:p>
            <w:pPr>
              <w:spacing w:after="0"/>
              <w:rPr>
                <w:sz w:val="24"/>
                <w:szCs w:val="24"/>
                <w:color w:val="auto"/>
              </w:rPr>
            </w:pPr>
          </w:p>
        </w:tc>
        <w:tc>
          <w:tcPr>
            <w:tcW w:w="1080" w:type="dxa"/>
            <w:vAlign w:val="bottom"/>
          </w:tcPr>
          <w:p>
            <w:pPr>
              <w:jc w:val="right"/>
              <w:ind w:right="376"/>
              <w:spacing w:after="0"/>
              <w:rPr>
                <w:sz w:val="20"/>
                <w:szCs w:val="20"/>
                <w:color w:val="auto"/>
              </w:rPr>
            </w:pPr>
            <w:r>
              <w:rPr>
                <w:rFonts w:ascii="Courier New" w:cs="Courier New" w:eastAsia="Courier New" w:hAnsi="Courier New"/>
                <w:sz w:val="17"/>
                <w:szCs w:val="17"/>
                <w:color w:val="auto"/>
                <w:w w:val="97"/>
              </w:rPr>
              <w:t>20,768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62.5%</w:t>
            </w:r>
          </w:p>
        </w:tc>
        <w:tc>
          <w:tcPr>
            <w:tcW w:w="400" w:type="dxa"/>
            <w:vAlign w:val="bottom"/>
          </w:tcPr>
          <w:p>
            <w:pPr>
              <w:spacing w:after="0"/>
              <w:rPr>
                <w:sz w:val="24"/>
                <w:szCs w:val="24"/>
                <w:color w:val="auto"/>
              </w:rPr>
            </w:pP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w w:val="94"/>
              </w:rPr>
              <w:t>28,020</w:t>
            </w:r>
          </w:p>
        </w:tc>
      </w:tr>
      <w:tr>
        <w:trPr>
          <w:trHeight w:val="389"/>
        </w:trPr>
        <w:tc>
          <w:tcPr>
            <w:tcW w:w="2380" w:type="dxa"/>
            <w:vAlign w:val="bottom"/>
          </w:tcPr>
          <w:p>
            <w:pPr>
              <w:spacing w:after="0"/>
              <w:rPr>
                <w:sz w:val="20"/>
                <w:szCs w:val="20"/>
                <w:color w:val="auto"/>
              </w:rPr>
            </w:pPr>
            <w:r>
              <w:rPr>
                <w:rFonts w:ascii="Courier New" w:cs="Courier New" w:eastAsia="Courier New" w:hAnsi="Courier New"/>
                <w:sz w:val="17"/>
                <w:szCs w:val="17"/>
                <w:color w:val="auto"/>
              </w:rPr>
              <w:t>Homes Passed (000)</w:t>
            </w:r>
          </w:p>
        </w:tc>
        <w:tc>
          <w:tcPr>
            <w:tcW w:w="360" w:type="dxa"/>
            <w:vAlign w:val="bottom"/>
          </w:tcPr>
          <w:p>
            <w:pPr>
              <w:spacing w:after="0"/>
              <w:rPr>
                <w:sz w:val="24"/>
                <w:szCs w:val="24"/>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176</w:t>
            </w:r>
          </w:p>
        </w:tc>
        <w:tc>
          <w:tcPr>
            <w:tcW w:w="200" w:type="dxa"/>
            <w:vAlign w:val="bottom"/>
          </w:tcPr>
          <w:p>
            <w:pPr>
              <w:spacing w:after="0"/>
              <w:rPr>
                <w:sz w:val="24"/>
                <w:szCs w:val="24"/>
                <w:color w:val="auto"/>
              </w:rPr>
            </w:pPr>
          </w:p>
        </w:tc>
        <w:tc>
          <w:tcPr>
            <w:tcW w:w="10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w:t>
            </w:r>
          </w:p>
        </w:tc>
        <w:tc>
          <w:tcPr>
            <w:tcW w:w="400" w:type="dxa"/>
            <w:vAlign w:val="bottom"/>
          </w:tcPr>
          <w:p>
            <w:pPr>
              <w:spacing w:after="0"/>
              <w:rPr>
                <w:sz w:val="24"/>
                <w:szCs w:val="24"/>
                <w:color w:val="auto"/>
              </w:rPr>
            </w:pPr>
          </w:p>
        </w:tc>
        <w:tc>
          <w:tcPr>
            <w:tcW w:w="12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230</w:t>
            </w:r>
          </w:p>
        </w:tc>
      </w:tr>
      <w:tr>
        <w:trPr>
          <w:trHeight w:val="5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Merrill Lynch</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June 13, 2002</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[COMCAST LOGO]</w:t>
            </w:r>
          </w:p>
        </w:tc>
      </w:tr>
    </w:tbl>
    <w:p>
      <w:pPr>
        <w:sectPr>
          <w:pgSz w:w="11900" w:h="16838" w:orient="portrait"/>
          <w:cols w:equalWidth="0" w:num="1">
            <w:col w:w="10219"/>
          </w:cols>
          <w:pgMar w:left="240" w:top="891" w:right="1440" w:bottom="1440" w:gutter="0" w:footer="0" w:header="0"/>
        </w:sectPr>
      </w:pPr>
    </w:p>
    <w:bookmarkStart w:id="29" w:name="page30"/>
    <w:bookmarkEnd w:id="29"/>
    <w:p>
      <w:pPr>
        <w:jc w:val="right"/>
        <w:ind w:right="8599"/>
        <w:spacing w:after="0"/>
        <w:rPr>
          <w:sz w:val="20"/>
          <w:szCs w:val="20"/>
          <w:color w:val="auto"/>
        </w:rPr>
      </w:pPr>
      <w:r>
        <w:rPr>
          <w:rFonts w:ascii="Courier New" w:cs="Courier New" w:eastAsia="Courier New" w:hAnsi="Courier New"/>
          <w:sz w:val="16"/>
          <w:szCs w:val="16"/>
          <w:color w:val="auto"/>
        </w:rPr>
        <w:t>AT&amp;T COMCAST (R)</w:t>
      </w:r>
    </w:p>
    <w:p>
      <w:pPr>
        <w:spacing w:after="0" w:line="11" w:lineRule="exact"/>
        <w:rPr>
          <w:sz w:val="20"/>
          <w:szCs w:val="20"/>
          <w:color w:val="auto"/>
        </w:rPr>
      </w:pPr>
    </w:p>
    <w:p>
      <w:pPr>
        <w:jc w:val="right"/>
        <w:ind w:right="8599"/>
        <w:spacing w:after="0"/>
        <w:rPr>
          <w:sz w:val="20"/>
          <w:szCs w:val="20"/>
          <w:color w:val="auto"/>
        </w:rPr>
      </w:pPr>
      <w:r>
        <w:rPr>
          <w:rFonts w:ascii="Courier New" w:cs="Courier New" w:eastAsia="Courier New" w:hAnsi="Courier New"/>
          <w:sz w:val="17"/>
          <w:szCs w:val="17"/>
          <w:color w:val="auto"/>
        </w:rPr>
        <w:t>CORPORATION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Merger Funding In Place</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o $17 Billion of Bank Facilities</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o Funding Requirement at Closing: $11-$14 Billion</w:t>
      </w:r>
    </w:p>
    <w:p>
      <w:pPr>
        <w:spacing w:after="0" w:line="199"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o Includes Repayment of AT&amp;T Intercompany Debt,</w:t>
      </w:r>
    </w:p>
    <w:p>
      <w:pPr>
        <w:spacing w:after="0" w:line="11"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Free Cash Flow Deficit and Other Near-Term</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Liquidity Needs for AT&amp;T Comcast</w:t>
      </w:r>
    </w:p>
    <w:p>
      <w:pPr>
        <w:sectPr>
          <w:pgSz w:w="11900" w:h="16838" w:orient="portrait"/>
          <w:cols w:equalWidth="0" w:num="1">
            <w:col w:w="10219"/>
          </w:cols>
          <w:pgMar w:left="240" w:top="894"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894"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93"/>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Commitment to Deleveraging</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778"/>
        </w:trPr>
        <w:tc>
          <w:tcPr>
            <w:tcW w:w="1620" w:type="dxa"/>
            <w:vAlign w:val="bottom"/>
          </w:tcPr>
          <w:p>
            <w:pPr>
              <w:spacing w:after="0"/>
              <w:rPr>
                <w:sz w:val="24"/>
                <w:szCs w:val="24"/>
                <w:color w:val="auto"/>
              </w:rPr>
            </w:pPr>
          </w:p>
        </w:tc>
        <w:tc>
          <w:tcPr>
            <w:tcW w:w="3640" w:type="dxa"/>
            <w:vAlign w:val="bottom"/>
            <w:gridSpan w:val="2"/>
          </w:tcPr>
          <w:p>
            <w:pPr>
              <w:jc w:val="right"/>
              <w:ind w:right="1136"/>
              <w:spacing w:after="0"/>
              <w:rPr>
                <w:sz w:val="20"/>
                <w:szCs w:val="20"/>
                <w:color w:val="auto"/>
              </w:rPr>
            </w:pPr>
            <w:r>
              <w:rPr>
                <w:rFonts w:ascii="Courier New" w:cs="Courier New" w:eastAsia="Courier New" w:hAnsi="Courier New"/>
                <w:sz w:val="17"/>
                <w:szCs w:val="17"/>
                <w:color w:val="auto"/>
              </w:rPr>
              <w:t>AT&amp;T Comcast debt(1)</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4"/>
        </w:trPr>
        <w:tc>
          <w:tcPr>
            <w:tcW w:w="1620" w:type="dxa"/>
            <w:vAlign w:val="bottom"/>
          </w:tcPr>
          <w:p>
            <w:pPr>
              <w:spacing w:after="0"/>
              <w:rPr>
                <w:sz w:val="16"/>
                <w:szCs w:val="16"/>
                <w:color w:val="auto"/>
              </w:rPr>
            </w:pPr>
          </w:p>
        </w:tc>
        <w:tc>
          <w:tcPr>
            <w:tcW w:w="3640" w:type="dxa"/>
            <w:vAlign w:val="bottom"/>
            <w:gridSpan w:val="2"/>
          </w:tcPr>
          <w:p>
            <w:pPr>
              <w:jc w:val="right"/>
              <w:ind w:right="1436"/>
              <w:spacing w:after="0"/>
              <w:rPr>
                <w:sz w:val="20"/>
                <w:szCs w:val="20"/>
                <w:color w:val="auto"/>
              </w:rPr>
            </w:pPr>
            <w:r>
              <w:rPr>
                <w:rFonts w:ascii="Courier New" w:cs="Courier New" w:eastAsia="Courier New" w:hAnsi="Courier New"/>
                <w:sz w:val="17"/>
                <w:szCs w:val="17"/>
                <w:color w:val="auto"/>
              </w:rPr>
              <w:t>($ in Billions)</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389"/>
        </w:trPr>
        <w:tc>
          <w:tcPr>
            <w:tcW w:w="1620" w:type="dxa"/>
            <w:vAlign w:val="bottom"/>
          </w:tcPr>
          <w:p>
            <w:pPr>
              <w:spacing w:after="0"/>
              <w:rPr>
                <w:sz w:val="20"/>
                <w:szCs w:val="20"/>
                <w:color w:val="auto"/>
              </w:rPr>
            </w:pPr>
            <w:r>
              <w:rPr>
                <w:rFonts w:ascii="Courier New" w:cs="Courier New" w:eastAsia="Courier New" w:hAnsi="Courier New"/>
                <w:sz w:val="17"/>
                <w:szCs w:val="17"/>
                <w:color w:val="auto"/>
              </w:rPr>
              <w:t>QUIPS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2680" w:type="dxa"/>
            <w:vAlign w:val="bottom"/>
          </w:tcPr>
          <w:p>
            <w:pPr>
              <w:jc w:val="right"/>
              <w:ind w:right="1136"/>
              <w:spacing w:after="0"/>
              <w:rPr>
                <w:sz w:val="20"/>
                <w:szCs w:val="20"/>
                <w:color w:val="auto"/>
              </w:rPr>
            </w:pPr>
            <w:r>
              <w:rPr>
                <w:rFonts w:ascii="Courier New" w:cs="Courier New" w:eastAsia="Courier New" w:hAnsi="Courier New"/>
                <w:sz w:val="17"/>
                <w:szCs w:val="17"/>
                <w:color w:val="auto"/>
              </w:rPr>
              <w:t>$5.0----</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4"/>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2240" w:type="dxa"/>
            <w:vAlign w:val="bottom"/>
          </w:tcPr>
          <w:p>
            <w:pPr>
              <w:jc w:val="right"/>
              <w:ind w:right="1436"/>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1620" w:type="dxa"/>
            <w:vAlign w:val="bottom"/>
          </w:tcPr>
          <w:p>
            <w:pPr>
              <w:spacing w:after="0"/>
              <w:rPr>
                <w:sz w:val="20"/>
                <w:szCs w:val="20"/>
                <w:color w:val="auto"/>
              </w:rPr>
            </w:pPr>
            <w:r>
              <w:rPr>
                <w:rFonts w:ascii="Courier New" w:cs="Courier New" w:eastAsia="Courier New" w:hAnsi="Courier New"/>
                <w:sz w:val="17"/>
                <w:szCs w:val="17"/>
                <w:color w:val="auto"/>
              </w:rPr>
              <w:t>New</w:t>
            </w:r>
          </w:p>
        </w:tc>
        <w:tc>
          <w:tcPr>
            <w:tcW w:w="960" w:type="dxa"/>
            <w:vAlign w:val="bottom"/>
          </w:tcPr>
          <w:p>
            <w:pPr>
              <w:spacing w:after="0"/>
              <w:rPr>
                <w:sz w:val="16"/>
                <w:szCs w:val="16"/>
                <w:color w:val="auto"/>
              </w:rPr>
            </w:pPr>
          </w:p>
        </w:tc>
        <w:tc>
          <w:tcPr>
            <w:tcW w:w="268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$0.5</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1620" w:type="dxa"/>
            <w:vAlign w:val="bottom"/>
          </w:tcPr>
          <w:p>
            <w:pPr>
              <w:spacing w:after="0"/>
              <w:rPr>
                <w:sz w:val="20"/>
                <w:szCs w:val="20"/>
                <w:color w:val="auto"/>
              </w:rPr>
            </w:pPr>
            <w:r>
              <w:rPr>
                <w:rFonts w:ascii="Courier New" w:cs="Courier New" w:eastAsia="Courier New" w:hAnsi="Courier New"/>
                <w:sz w:val="17"/>
                <w:szCs w:val="17"/>
                <w:color w:val="auto"/>
              </w:rPr>
              <w:t>AT&amp;T Comcast</w:t>
            </w:r>
          </w:p>
        </w:tc>
        <w:tc>
          <w:tcPr>
            <w:tcW w:w="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40" w:type="dxa"/>
            <w:vAlign w:val="bottom"/>
          </w:tcPr>
          <w:p>
            <w:pPr>
              <w:jc w:val="right"/>
              <w:ind w:right="1036"/>
              <w:spacing w:after="0"/>
              <w:rPr>
                <w:sz w:val="20"/>
                <w:szCs w:val="20"/>
                <w:color w:val="auto"/>
              </w:rPr>
            </w:pPr>
            <w:r>
              <w:rPr>
                <w:rFonts w:ascii="Courier New" w:cs="Courier New" w:eastAsia="Courier New" w:hAnsi="Courier New"/>
                <w:sz w:val="17"/>
                <w:szCs w:val="17"/>
                <w:color w:val="auto"/>
              </w:rPr>
              <w:t>$6.5</w:t>
            </w:r>
          </w:p>
        </w:tc>
      </w:tr>
      <w:tr>
        <w:trPr>
          <w:trHeight w:val="194"/>
        </w:trPr>
        <w:tc>
          <w:tcPr>
            <w:tcW w:w="1620" w:type="dxa"/>
            <w:vAlign w:val="bottom"/>
          </w:tcPr>
          <w:p>
            <w:pPr>
              <w:spacing w:after="0"/>
              <w:rPr>
                <w:sz w:val="20"/>
                <w:szCs w:val="20"/>
                <w:color w:val="auto"/>
              </w:rPr>
            </w:pPr>
            <w:r>
              <w:rPr>
                <w:rFonts w:ascii="Courier New" w:cs="Courier New" w:eastAsia="Courier New" w:hAnsi="Courier New"/>
                <w:sz w:val="17"/>
                <w:szCs w:val="17"/>
                <w:color w:val="auto"/>
              </w:rPr>
              <w:t>Borrowings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c>
          <w:tcPr>
            <w:tcW w:w="2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$10.7</w:t>
            </w:r>
          </w:p>
        </w:tc>
        <w:tc>
          <w:tcPr>
            <w:tcW w:w="224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r>
      <w:tr>
        <w:trPr>
          <w:trHeight w:val="194"/>
        </w:trPr>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389"/>
        </w:trPr>
        <w:tc>
          <w:tcPr>
            <w:tcW w:w="1620" w:type="dxa"/>
            <w:vAlign w:val="bottom"/>
          </w:tcPr>
          <w:p>
            <w:pPr>
              <w:spacing w:after="0"/>
              <w:rPr>
                <w:sz w:val="20"/>
                <w:szCs w:val="20"/>
                <w:color w:val="auto"/>
              </w:rPr>
            </w:pPr>
            <w:r>
              <w:rPr>
                <w:rFonts w:ascii="Courier New" w:cs="Courier New" w:eastAsia="Courier New" w:hAnsi="Courier New"/>
                <w:sz w:val="17"/>
                <w:szCs w:val="17"/>
                <w:color w:val="auto"/>
              </w:rPr>
              <w:t>Existing</w:t>
            </w:r>
          </w:p>
        </w:tc>
        <w:tc>
          <w:tcPr>
            <w:tcW w:w="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4"/>
        </w:trPr>
        <w:tc>
          <w:tcPr>
            <w:tcW w:w="1620" w:type="dxa"/>
            <w:vAlign w:val="bottom"/>
          </w:tcPr>
          <w:p>
            <w:pPr>
              <w:spacing w:after="0"/>
              <w:rPr>
                <w:sz w:val="20"/>
                <w:szCs w:val="20"/>
                <w:color w:val="auto"/>
              </w:rPr>
            </w:pPr>
            <w:r>
              <w:rPr>
                <w:rFonts w:ascii="Courier New" w:cs="Courier New" w:eastAsia="Courier New" w:hAnsi="Courier New"/>
                <w:sz w:val="17"/>
                <w:szCs w:val="17"/>
                <w:color w:val="auto"/>
              </w:rPr>
              <w:t>AT&amp;T Bonds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c>
          <w:tcPr>
            <w:tcW w:w="2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389"/>
        </w:trPr>
        <w:tc>
          <w:tcPr>
            <w:tcW w:w="1620" w:type="dxa"/>
            <w:vAlign w:val="bottom"/>
          </w:tcPr>
          <w:p>
            <w:pPr>
              <w:spacing w:after="0"/>
              <w:rPr>
                <w:sz w:val="20"/>
                <w:szCs w:val="20"/>
                <w:color w:val="auto"/>
              </w:rPr>
            </w:pPr>
            <w:r>
              <w:rPr>
                <w:rFonts w:ascii="Courier New" w:cs="Courier New" w:eastAsia="Courier New" w:hAnsi="Courier New"/>
                <w:sz w:val="17"/>
                <w:szCs w:val="17"/>
                <w:color w:val="auto"/>
              </w:rPr>
              <w:t>Existing</w:t>
            </w:r>
          </w:p>
        </w:tc>
        <w:tc>
          <w:tcPr>
            <w:tcW w:w="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4"/>
        </w:trPr>
        <w:tc>
          <w:tcPr>
            <w:tcW w:w="1620" w:type="dxa"/>
            <w:vAlign w:val="bottom"/>
          </w:tcPr>
          <w:p>
            <w:pPr>
              <w:spacing w:after="0"/>
              <w:rPr>
                <w:sz w:val="20"/>
                <w:szCs w:val="20"/>
                <w:color w:val="auto"/>
              </w:rPr>
            </w:pPr>
            <w:r>
              <w:rPr>
                <w:rFonts w:ascii="Courier New" w:cs="Courier New" w:eastAsia="Courier New" w:hAnsi="Courier New"/>
                <w:sz w:val="17"/>
                <w:szCs w:val="17"/>
                <w:color w:val="auto"/>
              </w:rPr>
              <w:t>Comcast Debt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c>
          <w:tcPr>
            <w:tcW w:w="2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02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234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$30.8</w:t>
            </w:r>
          </w:p>
        </w:tc>
        <w:tc>
          <w:tcPr>
            <w:tcW w:w="22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$28.5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3840"/>
        <w:spacing w:after="0"/>
        <w:tabs>
          <w:tab w:leader="none" w:pos="6160" w:val="left"/>
        </w:tabs>
        <w:rPr>
          <w:sz w:val="20"/>
          <w:szCs w:val="20"/>
          <w:color w:val="auto"/>
        </w:rPr>
      </w:pPr>
      <w:r>
        <w:rPr>
          <w:rFonts w:ascii="Courier New" w:cs="Courier New" w:eastAsia="Courier New" w:hAnsi="Courier New"/>
          <w:sz w:val="17"/>
          <w:szCs w:val="17"/>
          <w:color w:val="auto"/>
        </w:rPr>
        <w:t>Rural Cable</w:t>
      </w:r>
      <w:r>
        <w:rPr>
          <w:sz w:val="20"/>
          <w:szCs w:val="20"/>
          <w:color w:val="auto"/>
        </w:rPr>
        <w:tab/>
      </w:r>
      <w:r>
        <w:rPr>
          <w:rFonts w:ascii="Courier New" w:cs="Courier New" w:eastAsia="Courier New" w:hAnsi="Courier New"/>
          <w:sz w:val="16"/>
          <w:szCs w:val="16"/>
          <w:color w:val="auto"/>
        </w:rPr>
        <w:t>Estimated</w:t>
      </w:r>
    </w:p>
    <w:p>
      <w:pPr>
        <w:spacing w:after="0" w:line="2" w:lineRule="exact"/>
        <w:rPr>
          <w:sz w:val="20"/>
          <w:szCs w:val="20"/>
          <w:color w:val="auto"/>
        </w:rPr>
      </w:pPr>
    </w:p>
    <w:p>
      <w:pPr>
        <w:ind w:left="4040"/>
        <w:spacing w:after="0"/>
        <w:tabs>
          <w:tab w:leader="none" w:pos="6160" w:val="left"/>
        </w:tabs>
        <w:rPr>
          <w:sz w:val="20"/>
          <w:szCs w:val="20"/>
          <w:color w:val="auto"/>
        </w:rPr>
      </w:pPr>
      <w:r>
        <w:rPr>
          <w:rFonts w:ascii="Courier New" w:cs="Courier New" w:eastAsia="Courier New" w:hAnsi="Courier New"/>
          <w:sz w:val="17"/>
          <w:szCs w:val="17"/>
          <w:color w:val="auto"/>
        </w:rPr>
        <w:t>System</w:t>
      </w:r>
      <w:r>
        <w:rPr>
          <w:sz w:val="20"/>
          <w:szCs w:val="20"/>
          <w:color w:val="auto"/>
        </w:rPr>
        <w:tab/>
      </w:r>
      <w:r>
        <w:rPr>
          <w:rFonts w:ascii="Courier New" w:cs="Courier New" w:eastAsia="Courier New" w:hAnsi="Courier New"/>
          <w:sz w:val="17"/>
          <w:szCs w:val="17"/>
          <w:color w:val="auto"/>
        </w:rPr>
        <w:t>TWE value</w:t>
      </w:r>
    </w:p>
    <w:p>
      <w:pPr>
        <w:spacing w:after="0" w:line="2" w:lineRule="exact"/>
        <w:rPr>
          <w:sz w:val="20"/>
          <w:szCs w:val="20"/>
          <w:color w:val="auto"/>
        </w:rPr>
      </w:pPr>
    </w:p>
    <w:p>
      <w:pPr>
        <w:ind w:left="4040"/>
        <w:spacing w:after="0"/>
        <w:tabs>
          <w:tab w:leader="none" w:pos="6160" w:val="left"/>
        </w:tabs>
        <w:rPr>
          <w:sz w:val="20"/>
          <w:szCs w:val="20"/>
          <w:color w:val="auto"/>
        </w:rPr>
      </w:pPr>
      <w:r>
        <w:rPr>
          <w:rFonts w:ascii="Courier New" w:cs="Courier New" w:eastAsia="Courier New" w:hAnsi="Courier New"/>
          <w:sz w:val="17"/>
          <w:szCs w:val="17"/>
          <w:color w:val="auto"/>
        </w:rPr>
        <w:t>Sales/</w:t>
      </w:r>
      <w:r>
        <w:rPr>
          <w:sz w:val="20"/>
          <w:szCs w:val="20"/>
          <w:color w:val="auto"/>
        </w:rPr>
        <w:tab/>
      </w:r>
      <w:r>
        <w:rPr>
          <w:rFonts w:ascii="Courier New" w:cs="Courier New" w:eastAsia="Courier New" w:hAnsi="Courier New"/>
          <w:sz w:val="17"/>
          <w:szCs w:val="17"/>
          <w:color w:val="auto"/>
        </w:rPr>
        <w:t>(after-tax)</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Liquid Share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Monetization</w:t>
      </w:r>
    </w:p>
    <w:p>
      <w:pPr>
        <w:spacing w:after="0" w:line="199" w:lineRule="exact"/>
        <w:rPr>
          <w:sz w:val="20"/>
          <w:szCs w:val="20"/>
          <w:color w:val="auto"/>
        </w:rPr>
      </w:pPr>
    </w:p>
    <w:p>
      <w:pPr>
        <w:ind w:left="400" w:right="2539" w:hanging="396"/>
        <w:spacing w:after="0" w:line="239"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QUIPS conversion to equity represents a $5.0BN (face value) reduction in total debt and preferred</w:t>
      </w:r>
    </w:p>
    <w:p>
      <w:pPr>
        <w:spacing w:after="0" w:line="199" w:lineRule="exact"/>
        <w:rPr>
          <w:rFonts w:ascii="Courier New" w:cs="Courier New" w:eastAsia="Courier New" w:hAnsi="Courier New"/>
          <w:sz w:val="17"/>
          <w:szCs w:val="17"/>
          <w:color w:val="auto"/>
        </w:rPr>
      </w:pPr>
    </w:p>
    <w:p>
      <w:pPr>
        <w:ind w:left="400" w:right="3339" w:hanging="396"/>
        <w:spacing w:after="0" w:line="239"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two years, AT&amp;T Comcast expects to monetize TWE ($6.5BN+, after-tax(2))</w:t>
      </w:r>
    </w:p>
    <w:p>
      <w:pPr>
        <w:spacing w:after="0" w:line="199" w:lineRule="exact"/>
        <w:rPr>
          <w:rFonts w:ascii="Courier New" w:cs="Courier New" w:eastAsia="Courier New" w:hAnsi="Courier New"/>
          <w:sz w:val="17"/>
          <w:szCs w:val="17"/>
          <w:color w:val="auto"/>
        </w:rPr>
      </w:pPr>
    </w:p>
    <w:p>
      <w:pPr>
        <w:ind w:left="400" w:right="2439" w:hanging="396"/>
        <w:spacing w:after="0" w:line="239"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additional after-tax value of $1.1BN in highly liquid assets will also be monetized in the next year</w:t>
      </w:r>
    </w:p>
    <w:p>
      <w:pPr>
        <w:spacing w:after="0" w:line="199" w:lineRule="exact"/>
        <w:rPr>
          <w:rFonts w:ascii="Courier New" w:cs="Courier New" w:eastAsia="Courier New" w:hAnsi="Courier New"/>
          <w:sz w:val="17"/>
          <w:szCs w:val="17"/>
          <w:color w:val="auto"/>
        </w:rPr>
      </w:pPr>
    </w:p>
    <w:p>
      <w:pPr>
        <w:ind w:left="400" w:right="2219" w:hanging="396"/>
        <w:spacing w:after="0"/>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5th, AT&amp;T Broadband reached an agreement with Bresnan Communications to sell 320,000 subscribers in Montana, Wyoming and Colorado for $735MM in cash</w:t>
      </w:r>
    </w:p>
    <w:p>
      <w:pPr>
        <w:spacing w:after="0" w:line="200" w:lineRule="exact"/>
        <w:rPr>
          <w:rFonts w:ascii="Courier New" w:cs="Courier New" w:eastAsia="Courier New" w:hAnsi="Courier New"/>
          <w:sz w:val="17"/>
          <w:szCs w:val="17"/>
          <w:color w:val="auto"/>
        </w:rPr>
      </w:pPr>
    </w:p>
    <w:p>
      <w:pPr>
        <w:ind w:left="400" w:right="2739" w:hanging="396"/>
        <w:spacing w:after="0" w:line="481"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May 21st, Comcast sold 42MM shares of AT&amp;T stock for $540MM in cash - Reducing opening debt balance</w:t>
      </w:r>
    </w:p>
    <w:p>
      <w:pPr>
        <w:spacing w:after="0" w:line="198" w:lineRule="exact"/>
        <w:rPr>
          <w:sz w:val="20"/>
          <w:szCs w:val="20"/>
          <w:color w:val="auto"/>
        </w:rPr>
      </w:pPr>
    </w:p>
    <w:p>
      <w:pPr>
        <w:ind w:left="820" w:hanging="513"/>
        <w:spacing w:after="0"/>
        <w:tabs>
          <w:tab w:leader="none" w:pos="8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of AT&amp;T Broadband Exchangeables and Comcast ZONES</w:t>
      </w:r>
    </w:p>
    <w:p>
      <w:pPr>
        <w:spacing w:after="0" w:line="198" w:lineRule="exact"/>
        <w:rPr>
          <w:rFonts w:ascii="Courier New" w:cs="Courier New" w:eastAsia="Courier New" w:hAnsi="Courier New"/>
          <w:sz w:val="17"/>
          <w:szCs w:val="17"/>
          <w:color w:val="auto"/>
        </w:rPr>
      </w:pPr>
    </w:p>
    <w:p>
      <w:pPr>
        <w:ind w:left="820" w:right="2539" w:hanging="513"/>
        <w:spacing w:after="0" w:line="239" w:lineRule="auto"/>
        <w:tabs>
          <w:tab w:leader="none" w:pos="8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valuation for illustrative purposes based on Wall Street estimates</w:t>
      </w:r>
    </w:p>
    <w:p>
      <w:pPr>
        <w:sectPr>
          <w:pgSz w:w="11900" w:h="16838" w:orient="portrait"/>
          <w:cols w:equalWidth="0" w:num="1">
            <w:col w:w="10219"/>
          </w:cols>
          <w:pgMar w:left="240" w:top="697"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697" w:right="1440" w:bottom="1440" w:gutter="0" w:footer="0" w:header="0"/>
          <w:type w:val="continuous"/>
        </w:sectPr>
      </w:pPr>
    </w:p>
    <w:bookmarkStart w:id="31" w:name="page32"/>
    <w:bookmarkEnd w:id="31"/>
    <w:p>
      <w:pPr>
        <w:jc w:val="right"/>
        <w:ind w:right="8599"/>
        <w:spacing w:after="0"/>
        <w:rPr>
          <w:sz w:val="20"/>
          <w:szCs w:val="20"/>
          <w:color w:val="auto"/>
        </w:rPr>
      </w:pPr>
      <w:r>
        <w:rPr>
          <w:rFonts w:ascii="Courier New" w:cs="Courier New" w:eastAsia="Courier New" w:hAnsi="Courier New"/>
          <w:sz w:val="16"/>
          <w:szCs w:val="16"/>
          <w:color w:val="auto"/>
        </w:rPr>
        <w:t>AT&amp;T COMCAST (R)</w:t>
      </w:r>
    </w:p>
    <w:p>
      <w:pPr>
        <w:spacing w:after="0" w:line="11" w:lineRule="exact"/>
        <w:rPr>
          <w:sz w:val="20"/>
          <w:szCs w:val="20"/>
          <w:color w:val="auto"/>
        </w:rPr>
      </w:pPr>
    </w:p>
    <w:p>
      <w:pPr>
        <w:jc w:val="right"/>
        <w:ind w:right="8599"/>
        <w:spacing w:after="0"/>
        <w:rPr>
          <w:sz w:val="20"/>
          <w:szCs w:val="20"/>
          <w:color w:val="auto"/>
        </w:rPr>
      </w:pPr>
      <w:r>
        <w:rPr>
          <w:rFonts w:ascii="Courier New" w:cs="Courier New" w:eastAsia="Courier New" w:hAnsi="Courier New"/>
          <w:sz w:val="17"/>
          <w:szCs w:val="17"/>
          <w:color w:val="auto"/>
        </w:rPr>
        <w:t>CORPORATION</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Financially Strong and</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Positioned for Growth</w:t>
      </w:r>
    </w:p>
    <w:p>
      <w:pPr>
        <w:spacing w:after="0" w:line="196" w:lineRule="exact"/>
        <w:rPr>
          <w:sz w:val="20"/>
          <w:szCs w:val="20"/>
          <w:color w:val="auto"/>
        </w:rPr>
      </w:pPr>
    </w:p>
    <w:p>
      <w:pPr>
        <w:ind w:left="620" w:hanging="313"/>
        <w:spacing w:after="0"/>
        <w:tabs>
          <w:tab w:leader="none" w:pos="6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Generation</w:t>
      </w:r>
    </w:p>
    <w:p>
      <w:pPr>
        <w:spacing w:after="0" w:line="196" w:lineRule="exact"/>
        <w:rPr>
          <w:rFonts w:ascii="Courier New" w:cs="Courier New" w:eastAsia="Courier New" w:hAnsi="Courier New"/>
          <w:sz w:val="17"/>
          <w:szCs w:val="17"/>
          <w:color w:val="auto"/>
        </w:rPr>
      </w:pPr>
    </w:p>
    <w:p>
      <w:pPr>
        <w:ind w:left="620" w:hanging="313"/>
        <w:spacing w:after="0"/>
        <w:tabs>
          <w:tab w:leader="none" w:pos="6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Grade Rating</w:t>
      </w:r>
    </w:p>
    <w:p>
      <w:pPr>
        <w:spacing w:after="0" w:line="198" w:lineRule="exact"/>
        <w:rPr>
          <w:rFonts w:ascii="Courier New" w:cs="Courier New" w:eastAsia="Courier New" w:hAnsi="Courier New"/>
          <w:sz w:val="17"/>
          <w:szCs w:val="17"/>
          <w:color w:val="auto"/>
        </w:rPr>
      </w:pPr>
    </w:p>
    <w:p>
      <w:pPr>
        <w:ind w:left="2940" w:right="5159" w:hanging="2633"/>
        <w:spacing w:after="0" w:line="527" w:lineRule="auto"/>
        <w:tabs>
          <w:tab w:leader="none" w:pos="61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Building Long Term Shareholder Value Unlimited Opportunity</w:t>
      </w:r>
    </w:p>
    <w:p>
      <w:pPr>
        <w:sectPr>
          <w:pgSz w:w="11900" w:h="16838" w:orient="portrait"/>
          <w:cols w:equalWidth="0" w:num="1">
            <w:col w:w="10219"/>
          </w:cols>
          <w:pgMar w:left="240" w:top="69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2002</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ectPr>
          <w:pgSz w:w="11900" w:h="16838" w:orient="portrait"/>
          <w:cols w:equalWidth="0" w:num="2">
            <w:col w:w="5860" w:space="720"/>
            <w:col w:w="3639"/>
          </w:cols>
          <w:pgMar w:left="240" w:top="699" w:right="1440" w:bottom="1440" w:gutter="0" w:footer="0" w:header="0"/>
          <w:type w:val="continuous"/>
        </w:sectPr>
      </w:pPr>
    </w:p>
    <w:bookmarkStart w:id="32" w:name="page33"/>
    <w:bookmarkEnd w:id="32"/>
    <w:p>
      <w:pPr>
        <w:ind w:left="2240"/>
        <w:spacing w:after="0"/>
        <w:rPr>
          <w:sz w:val="20"/>
          <w:szCs w:val="20"/>
          <w:color w:val="auto"/>
        </w:rPr>
      </w:pPr>
      <w:r>
        <w:rPr>
          <w:rFonts w:ascii="Courier New" w:cs="Courier New" w:eastAsia="Courier New" w:hAnsi="Courier New"/>
          <w:sz w:val="16"/>
          <w:szCs w:val="16"/>
          <w:color w:val="auto"/>
        </w:rPr>
        <w:t>Comcast (R)</w:t>
      </w:r>
    </w:p>
    <w:p>
      <w:pPr>
        <w:sectPr>
          <w:pgSz w:w="11900" w:h="16838" w:orient="portrait"/>
          <w:cols w:equalWidth="0" w:num="1">
            <w:col w:w="9019"/>
          </w:cols>
          <w:pgMar w:left="1440" w:top="894"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Note: The following notice is included to meet certain legal requirements:</w:t>
      </w:r>
    </w:p>
    <w:p>
      <w:pPr>
        <w:spacing w:after="0" w:line="39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FORWARD-LOOKING STATEMENTS</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ADDITIONAL INFORMATION</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In connection with the proposed transaction, AT&amp;T, Comcast and AT&amp;T Comcast have filed a joint proxy statement/prospectus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198"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AT&amp;T, Comcast and their respective directors, executive officers and other members of their management and employees may be soliciting proxies from their respective stockholders in connection with the proposed transaction.</w:t>
      </w:r>
    </w:p>
    <w:p>
      <w:pPr>
        <w:spacing w:after="0" w:line="6"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8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8"/>
    </w:lvl>
  </w:abstractNum>
  <w:abstractNum w:abstractNumId="2">
    <w:nsid w:val="6B68079A"/>
    <w:multiLevelType w:val="hybridMultilevel"/>
    <w:lvl w:ilvl="0">
      <w:lvlJc w:val="left"/>
      <w:lvlText w:val="(%1)"/>
      <w:numFmt w:val="decimal"/>
      <w:start w:val="11"/>
    </w:lvl>
  </w:abstractNum>
  <w:abstractNum w:abstractNumId="3">
    <w:nsid w:val="4E6AFB66"/>
    <w:multiLevelType w:val="hybridMultilevel"/>
    <w:lvl w:ilvl="0">
      <w:lvlJc w:val="left"/>
      <w:lvlText w:val="o"/>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o"/>
      <w:numFmt w:val="bullet"/>
      <w:start w:val="1"/>
    </w:lvl>
  </w:abstractNum>
  <w:abstractNum w:abstractNumId="6">
    <w:nsid w:val="431BD7B7"/>
    <w:multiLevelType w:val="hybridMultilevel"/>
    <w:lvl w:ilvl="0">
      <w:lvlJc w:val="left"/>
      <w:lvlText w:val="o"/>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o"/>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o"/>
      <w:numFmt w:val="bullet"/>
      <w:start w:val="1"/>
    </w:lvl>
  </w:abstractNum>
  <w:abstractNum w:abstractNumId="19">
    <w:nsid w:val="8EDBDAB"/>
    <w:multiLevelType w:val="hybridMultilevel"/>
    <w:lvl w:ilvl="0">
      <w:lvlJc w:val="left"/>
      <w:lvlText w:val="o"/>
      <w:numFmt w:val="bullet"/>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o"/>
      <w:numFmt w:val="bullet"/>
      <w:start w:val="1"/>
    </w:lvl>
  </w:abstractNum>
  <w:abstractNum w:abstractNumId="23">
    <w:nsid w:val="189A769B"/>
    <w:multiLevelType w:val="hybridMultilevel"/>
    <w:lvl w:ilvl="0">
      <w:lvlJc w:val="left"/>
      <w:lvlText w:val="o"/>
      <w:numFmt w:val="bullet"/>
      <w:start w:val="1"/>
    </w:lvl>
  </w:abstractNum>
  <w:abstractNum w:abstractNumId="24">
    <w:nsid w:val="54E49EB4"/>
    <w:multiLevelType w:val="hybridMultilevel"/>
    <w:lvl w:ilvl="0">
      <w:lvlJc w:val="left"/>
      <w:lvlText w:val="o"/>
      <w:numFmt w:val="bullet"/>
      <w:start w:val="1"/>
    </w:lvl>
  </w:abstractNum>
  <w:abstractNum w:abstractNumId="25">
    <w:nsid w:val="71F32454"/>
    <w:multiLevelType w:val="hybridMultilevel"/>
    <w:lvl w:ilvl="0">
      <w:lvlJc w:val="left"/>
      <w:lvlText w:val="o"/>
      <w:numFmt w:val="bullet"/>
      <w:start w:val="1"/>
    </w:lvl>
  </w:abstractNum>
  <w:abstractNum w:abstractNumId="26">
    <w:nsid w:val="2CA88611"/>
    <w:multiLevelType w:val="hybridMultilevel"/>
    <w:lvl w:ilvl="0">
      <w:lvlJc w:val="left"/>
      <w:lvlText w:val="o"/>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2019-12-12T02:13:02Z</dcterms:created>
  <dcterms:modified xsi:type="dcterms:W3CDTF">2019-12-12T02:13:02Z</dcterms:modified>
</cp:coreProperties>
</file>