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50" w:right="317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MARCH 31, 2003</w:t>
      </w:r>
    </w:p>
    <w:p>
      <w:pPr>
        <w:jc w:val="center"/>
        <w:ind w:right="317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450" w:right="3179" w:hanging="4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70"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Commission File Number 000-50093</w:t>
      </w:r>
    </w:p>
    <w:p>
      <w:pPr>
        <w:spacing w:after="0" w:line="33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[COMCAST LOGO OMITTED]</w:t>
      </w:r>
    </w:p>
    <w:p>
      <w:pPr>
        <w:spacing w:after="0" w:line="169"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COMCAST CORPORATION</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ind w:left="530"/>
        <w:spacing w:after="0"/>
        <w:tabs>
          <w:tab w:leader="none" w:pos="5349"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27-0000798</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170"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w:t>
      </w:r>
    </w:p>
    <w:p>
      <w:pPr>
        <w:ind w:left="3090"/>
        <w:spacing w:after="0"/>
        <w:rPr>
          <w:sz w:val="20"/>
          <w:szCs w:val="20"/>
          <w:color w:val="auto"/>
        </w:rPr>
      </w:pPr>
      <w:r>
        <w:rPr>
          <w:rFonts w:ascii="Courier New" w:cs="Courier New" w:eastAsia="Courier New" w:hAnsi="Courier New"/>
          <w:sz w:val="15"/>
          <w:szCs w:val="15"/>
          <w:color w:val="auto"/>
        </w:rPr>
        <w:t>(Zip Code)</w:t>
      </w:r>
    </w:p>
    <w:p>
      <w:pPr>
        <w:spacing w:after="0" w:line="168" w:lineRule="exact"/>
        <w:rPr>
          <w:sz w:val="24"/>
          <w:szCs w:val="24"/>
          <w:color w:val="auto"/>
        </w:rPr>
      </w:pPr>
    </w:p>
    <w:p>
      <w:pPr>
        <w:ind w:left="10"/>
        <w:spacing w:after="0"/>
        <w:tabs>
          <w:tab w:leader="none" w:pos="464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ind w:left="2390"/>
        <w:spacing w:after="0"/>
        <w:rPr>
          <w:sz w:val="20"/>
          <w:szCs w:val="20"/>
          <w:color w:val="auto"/>
        </w:rPr>
      </w:pPr>
      <w:r>
        <w:rPr>
          <w:rFonts w:ascii="Courier New" w:cs="Courier New" w:eastAsia="Courier New" w:hAnsi="Courier New"/>
          <w:sz w:val="15"/>
          <w:szCs w:val="15"/>
          <w:color w:val="auto"/>
        </w:rPr>
        <w:t>__________________________</w:t>
      </w:r>
    </w:p>
    <w:p>
      <w:pPr>
        <w:spacing w:after="0" w:line="174" w:lineRule="exact"/>
        <w:rPr>
          <w:sz w:val="24"/>
          <w:szCs w:val="24"/>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9"/>
          </w:cols>
          <w:pgMar w:left="230" w:top="226" w:right="1440" w:bottom="0" w:gutter="0" w:footer="0" w:header="0"/>
        </w:sectPr>
      </w:pPr>
    </w:p>
    <w:p>
      <w:pPr>
        <w:spacing w:after="0" w:line="178"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w:t>
      </w:r>
    </w:p>
    <w:p>
      <w:pPr>
        <w:spacing w:after="0" w:line="10" w:lineRule="exact"/>
        <w:rPr>
          <w:sz w:val="24"/>
          <w:szCs w:val="24"/>
          <w:color w:val="auto"/>
        </w:rPr>
      </w:pPr>
    </w:p>
    <w:p>
      <w:pPr>
        <w:sectPr>
          <w:pgSz w:w="11900" w:h="16838" w:orient="portrait"/>
          <w:cols w:equalWidth="0" w:num="4">
            <w:col w:w="1050" w:space="180"/>
            <w:col w:w="3160" w:space="720"/>
            <w:col w:w="180" w:space="180"/>
            <w:col w:w="4759"/>
          </w:cols>
          <w:pgMar w:left="230" w:top="226" w:right="1440" w:bottom="0" w:gutter="0" w:footer="0" w:header="0"/>
          <w:type w:val="continuous"/>
        </w:sectPr>
      </w:pPr>
    </w:p>
    <w:p>
      <w:pPr>
        <w:ind w:left="2390"/>
        <w:spacing w:after="0"/>
        <w:rPr>
          <w:sz w:val="20"/>
          <w:szCs w:val="20"/>
          <w:color w:val="auto"/>
        </w:rPr>
      </w:pPr>
      <w:r>
        <w:rPr>
          <w:rFonts w:ascii="Courier New" w:cs="Courier New" w:eastAsia="Courier New" w:hAnsi="Courier New"/>
          <w:sz w:val="14"/>
          <w:szCs w:val="14"/>
          <w:color w:val="auto"/>
        </w:rPr>
        <w:t>__________________________</w:t>
      </w:r>
    </w:p>
    <w:p>
      <w:pPr>
        <w:sectPr>
          <w:pgSz w:w="11900" w:h="16838" w:orient="portrait"/>
          <w:cols w:equalWidth="0" w:num="1">
            <w:col w:w="10229"/>
          </w:cols>
          <w:pgMar w:left="230" w:top="226" w:right="1440" w:bottom="0" w:gutter="0" w:footer="0" w:header="0"/>
          <w:type w:val="continuous"/>
        </w:sectPr>
      </w:pPr>
    </w:p>
    <w:p>
      <w:pPr>
        <w:spacing w:after="0" w:line="180" w:lineRule="exact"/>
        <w:rPr>
          <w:sz w:val="24"/>
          <w:szCs w:val="24"/>
          <w:color w:val="auto"/>
        </w:rPr>
      </w:pPr>
    </w:p>
    <w:p>
      <w:pPr>
        <w:ind w:left="10"/>
        <w:spacing w:after="0" w:line="235" w:lineRule="auto"/>
        <w:rPr>
          <w:sz w:val="20"/>
          <w:szCs w:val="20"/>
          <w:color w:val="auto"/>
        </w:rPr>
      </w:pPr>
      <w:r>
        <w:rPr>
          <w:rFonts w:ascii="Courier New" w:cs="Courier New" w:eastAsia="Courier New" w:hAnsi="Courier New"/>
          <w:sz w:val="15"/>
          <w:szCs w:val="15"/>
          <w:color w:val="auto"/>
        </w:rPr>
        <w:t>Indicate by check mark whether the registrant defined in Rule 12-b2 of the Exchange Act). Yes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is an</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accelerated</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filer (as</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No</w:t>
      </w:r>
    </w:p>
    <w:p>
      <w:pPr>
        <w:spacing w:after="0" w:line="175" w:lineRule="exact"/>
        <w:rPr>
          <w:sz w:val="24"/>
          <w:szCs w:val="24"/>
          <w:color w:val="auto"/>
        </w:rPr>
      </w:pPr>
    </w:p>
    <w:p>
      <w:pPr>
        <w:sectPr>
          <w:pgSz w:w="11900" w:h="16838" w:orient="portrait"/>
          <w:cols w:equalWidth="0" w:num="4">
            <w:col w:w="4490" w:space="0"/>
            <w:col w:w="440" w:space="180"/>
            <w:col w:w="980" w:space="160"/>
            <w:col w:w="3979"/>
          </w:cols>
          <w:pgMar w:left="230" w:top="226" w:right="1440" w:bottom="0" w:gutter="0" w:footer="0" w:header="0"/>
          <w:type w:val="continuous"/>
        </w:sect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As of March 31, 2003, there were 1,355,583,881 shares of Class A Common Stock, 883,855,174 shares of Class A Special Common Stock and 9,444,375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3610"/>
        <w:spacing w:after="0"/>
        <w:rPr>
          <w:sz w:val="20"/>
          <w:szCs w:val="20"/>
          <w:color w:val="auto"/>
        </w:rPr>
      </w:pPr>
      <w:r>
        <w:rPr>
          <w:rFonts w:ascii="Courier New" w:cs="Courier New" w:eastAsia="Courier New" w:hAnsi="Courier New"/>
          <w:sz w:val="15"/>
          <w:szCs w:val="15"/>
          <w:color w:val="auto"/>
        </w:rPr>
        <w:t>COMCAST CORPORATION AND SUBSIDIARIES</w:t>
      </w:r>
    </w:p>
    <w:p>
      <w:pPr>
        <w:ind w:left="4850"/>
        <w:spacing w:after="0"/>
        <w:rPr>
          <w:sz w:val="20"/>
          <w:szCs w:val="20"/>
          <w:color w:val="auto"/>
        </w:rPr>
      </w:pPr>
      <w:r>
        <w:rPr>
          <w:rFonts w:ascii="Courier New" w:cs="Courier New" w:eastAsia="Courier New" w:hAnsi="Courier New"/>
          <w:sz w:val="15"/>
          <w:szCs w:val="15"/>
          <w:color w:val="auto"/>
        </w:rPr>
        <w:t>FORM 10-Q</w:t>
      </w:r>
    </w:p>
    <w:p>
      <w:pPr>
        <w:ind w:left="3970"/>
        <w:spacing w:after="0"/>
        <w:rPr>
          <w:sz w:val="20"/>
          <w:szCs w:val="20"/>
          <w:color w:val="auto"/>
        </w:rPr>
      </w:pPr>
      <w:r>
        <w:rPr>
          <w:rFonts w:ascii="Courier New" w:cs="Courier New" w:eastAsia="Courier New" w:hAnsi="Courier New"/>
          <w:sz w:val="15"/>
          <w:szCs w:val="15"/>
          <w:color w:val="auto"/>
        </w:rPr>
        <w:t>QUARTER ENDED MARCH 31, 2003</w:t>
      </w:r>
    </w:p>
    <w:p>
      <w:pPr>
        <w:ind w:left="4490"/>
        <w:spacing w:after="0" w:line="238"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4"/>
          <w:szCs w:val="24"/>
          <w:color w:val="auto"/>
        </w:rPr>
      </w:pPr>
    </w:p>
    <w:p>
      <w:pPr>
        <w:spacing w:after="0" w:line="308" w:lineRule="exact"/>
        <w:rPr>
          <w:sz w:val="24"/>
          <w:szCs w:val="24"/>
          <w:color w:val="auto"/>
        </w:rPr>
      </w:pPr>
    </w:p>
    <w:p>
      <w:pPr>
        <w:jc w:val="right"/>
        <w:ind w:right="179"/>
        <w:spacing w:after="0"/>
        <w:rPr>
          <w:sz w:val="20"/>
          <w:szCs w:val="20"/>
          <w:color w:val="auto"/>
        </w:rPr>
      </w:pPr>
      <w:r>
        <w:rPr>
          <w:rFonts w:ascii="Courier New" w:cs="Courier New" w:eastAsia="Courier New" w:hAnsi="Courier New"/>
          <w:sz w:val="15"/>
          <w:szCs w:val="15"/>
          <w:color w:val="auto"/>
        </w:rPr>
        <w:t>Page Number</w:t>
      </w:r>
    </w:p>
    <w:p>
      <w:pPr>
        <w:ind w:left="10"/>
        <w:spacing w:after="0"/>
        <w:tabs>
          <w:tab w:leader="none" w:pos="949"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4"/>
          <w:szCs w:val="24"/>
          <w:color w:val="auto"/>
        </w:rPr>
      </w:pPr>
    </w:p>
    <w:p>
      <w:pPr>
        <w:ind w:left="970"/>
        <w:spacing w:after="0"/>
        <w:tabs>
          <w:tab w:leader="none" w:pos="190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Condensed Consolidated Balance Sheet as of March 31, 2003</w:t>
      </w:r>
    </w:p>
    <w:p>
      <w:pPr>
        <w:ind w:left="1930"/>
        <w:spacing w:after="0"/>
        <w:tabs>
          <w:tab w:leader="dot" w:pos="9589" w:val="left"/>
        </w:tabs>
        <w:rPr>
          <w:sz w:val="20"/>
          <w:szCs w:val="20"/>
          <w:color w:val="auto"/>
        </w:rPr>
      </w:pPr>
      <w:r>
        <w:rPr>
          <w:rFonts w:ascii="Courier New" w:cs="Courier New" w:eastAsia="Courier New" w:hAnsi="Courier New"/>
          <w:sz w:val="15"/>
          <w:szCs w:val="15"/>
          <w:color w:val="auto"/>
        </w:rPr>
        <w:t>and December 31, 2002 (Unaudited)</w:t>
      </w:r>
      <w:r>
        <w:rPr>
          <w:sz w:val="20"/>
          <w:szCs w:val="20"/>
          <w:color w:val="auto"/>
        </w:rPr>
        <w:tab/>
      </w:r>
      <w:r>
        <w:rPr>
          <w:rFonts w:ascii="Courier New" w:cs="Courier New" w:eastAsia="Courier New" w:hAnsi="Courier New"/>
          <w:sz w:val="13"/>
          <w:szCs w:val="13"/>
          <w:color w:val="auto"/>
        </w:rPr>
        <w:t>3</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Condensed Consolidated Statement of Operations for the Three Months</w:t>
      </w:r>
    </w:p>
    <w:p>
      <w:pPr>
        <w:ind w:left="1930"/>
        <w:spacing w:after="0"/>
        <w:tabs>
          <w:tab w:leader="dot" w:pos="9589" w:val="left"/>
        </w:tabs>
        <w:rPr>
          <w:sz w:val="20"/>
          <w:szCs w:val="20"/>
          <w:color w:val="auto"/>
        </w:rPr>
      </w:pPr>
      <w:r>
        <w:rPr>
          <w:rFonts w:ascii="Courier New" w:cs="Courier New" w:eastAsia="Courier New" w:hAnsi="Courier New"/>
          <w:sz w:val="15"/>
          <w:szCs w:val="15"/>
          <w:color w:val="auto"/>
        </w:rPr>
        <w:t>Ended March 31, 2003 and 2002 (Unaudited)</w:t>
      </w:r>
      <w:r>
        <w:rPr>
          <w:sz w:val="20"/>
          <w:szCs w:val="20"/>
          <w:color w:val="auto"/>
        </w:rPr>
        <w:tab/>
      </w:r>
      <w:r>
        <w:rPr>
          <w:rFonts w:ascii="Courier New" w:cs="Courier New" w:eastAsia="Courier New" w:hAnsi="Courier New"/>
          <w:sz w:val="13"/>
          <w:szCs w:val="13"/>
          <w:color w:val="auto"/>
        </w:rPr>
        <w:t>4</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Condensed Consolidated Statement of Cash Flows for the Three Months</w:t>
      </w:r>
    </w:p>
    <w:p>
      <w:pPr>
        <w:ind w:left="1930"/>
        <w:spacing w:after="0"/>
        <w:tabs>
          <w:tab w:leader="dot" w:pos="9589" w:val="left"/>
        </w:tabs>
        <w:rPr>
          <w:sz w:val="20"/>
          <w:szCs w:val="20"/>
          <w:color w:val="auto"/>
        </w:rPr>
      </w:pPr>
      <w:r>
        <w:rPr>
          <w:rFonts w:ascii="Courier New" w:cs="Courier New" w:eastAsia="Courier New" w:hAnsi="Courier New"/>
          <w:sz w:val="15"/>
          <w:szCs w:val="15"/>
          <w:color w:val="auto"/>
        </w:rPr>
        <w:t>Ended March 31, 2003 and 2002 (Unaudited)</w:t>
      </w:r>
      <w:r>
        <w:rPr>
          <w:sz w:val="20"/>
          <w:szCs w:val="20"/>
          <w:color w:val="auto"/>
        </w:rPr>
        <w:tab/>
      </w:r>
      <w:r>
        <w:rPr>
          <w:rFonts w:ascii="Courier New" w:cs="Courier New" w:eastAsia="Courier New" w:hAnsi="Courier New"/>
          <w:sz w:val="13"/>
          <w:szCs w:val="13"/>
          <w:color w:val="auto"/>
        </w:rPr>
        <w:t>5</w:t>
      </w:r>
    </w:p>
    <w:p>
      <w:pPr>
        <w:spacing w:after="0" w:line="169" w:lineRule="exact"/>
        <w:rPr>
          <w:sz w:val="24"/>
          <w:szCs w:val="24"/>
          <w:color w:val="auto"/>
        </w:rPr>
      </w:pPr>
    </w:p>
    <w:p>
      <w:pPr>
        <w:ind w:left="1930"/>
        <w:spacing w:after="0"/>
        <w:tabs>
          <w:tab w:leader="dot" w:pos="9589" w:val="left"/>
        </w:tabs>
        <w:rPr>
          <w:sz w:val="20"/>
          <w:szCs w:val="20"/>
          <w:color w:val="auto"/>
        </w:rPr>
      </w:pPr>
      <w:r>
        <w:rPr>
          <w:rFonts w:ascii="Courier New" w:cs="Courier New" w:eastAsia="Courier New" w:hAnsi="Courier New"/>
          <w:sz w:val="15"/>
          <w:szCs w:val="15"/>
          <w:color w:val="auto"/>
        </w:rPr>
        <w:t>Notes to Condensed Consolidated Financial Statements (Unaudited)</w:t>
      </w:r>
      <w:r>
        <w:rPr>
          <w:sz w:val="20"/>
          <w:szCs w:val="20"/>
          <w:color w:val="auto"/>
        </w:rPr>
        <w:tab/>
      </w:r>
      <w:r>
        <w:rPr>
          <w:rFonts w:ascii="Courier New" w:cs="Courier New" w:eastAsia="Courier New" w:hAnsi="Courier New"/>
          <w:sz w:val="13"/>
          <w:szCs w:val="13"/>
          <w:color w:val="auto"/>
        </w:rPr>
        <w:t>6</w:t>
      </w:r>
    </w:p>
    <w:p>
      <w:pPr>
        <w:spacing w:after="0" w:line="169" w:lineRule="exact"/>
        <w:rPr>
          <w:sz w:val="24"/>
          <w:szCs w:val="24"/>
          <w:color w:val="auto"/>
        </w:rPr>
      </w:pPr>
    </w:p>
    <w:p>
      <w:pPr>
        <w:ind w:left="970"/>
        <w:spacing w:after="0"/>
        <w:tabs>
          <w:tab w:leader="none" w:pos="190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ind w:left="1930"/>
        <w:spacing w:after="0"/>
        <w:tabs>
          <w:tab w:leader="dot" w:pos="9489"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27</w:t>
      </w:r>
    </w:p>
    <w:p>
      <w:pPr>
        <w:spacing w:after="0" w:line="169" w:lineRule="exact"/>
        <w:rPr>
          <w:sz w:val="24"/>
          <w:szCs w:val="24"/>
          <w:color w:val="auto"/>
        </w:rPr>
      </w:pPr>
    </w:p>
    <w:p>
      <w:pPr>
        <w:ind w:left="970"/>
        <w:spacing w:after="0"/>
        <w:tabs>
          <w:tab w:leader="none" w:pos="1909" w:val="left"/>
          <w:tab w:leader="dot" w:pos="948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Controls and Procedures</w:t>
      </w:r>
      <w:r>
        <w:rPr>
          <w:sz w:val="20"/>
          <w:szCs w:val="20"/>
          <w:color w:val="auto"/>
        </w:rPr>
        <w:tab/>
      </w:r>
      <w:r>
        <w:rPr>
          <w:rFonts w:ascii="Courier New" w:cs="Courier New" w:eastAsia="Courier New" w:hAnsi="Courier New"/>
          <w:sz w:val="15"/>
          <w:szCs w:val="15"/>
          <w:color w:val="auto"/>
        </w:rPr>
        <w:t>35</w:t>
      </w:r>
    </w:p>
    <w:p>
      <w:pPr>
        <w:spacing w:after="0" w:line="169" w:lineRule="exact"/>
        <w:rPr>
          <w:sz w:val="24"/>
          <w:szCs w:val="24"/>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4"/>
          <w:szCs w:val="24"/>
          <w:color w:val="auto"/>
        </w:rPr>
      </w:pPr>
    </w:p>
    <w:p>
      <w:pPr>
        <w:ind w:left="970"/>
        <w:spacing w:after="0"/>
        <w:tabs>
          <w:tab w:leader="none" w:pos="1909" w:val="left"/>
          <w:tab w:leader="dot" w:pos="948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35</w:t>
      </w:r>
    </w:p>
    <w:p>
      <w:pPr>
        <w:spacing w:after="0" w:line="169" w:lineRule="exact"/>
        <w:rPr>
          <w:sz w:val="24"/>
          <w:szCs w:val="24"/>
          <w:color w:val="auto"/>
        </w:rPr>
      </w:pPr>
    </w:p>
    <w:p>
      <w:pPr>
        <w:ind w:left="970"/>
        <w:spacing w:after="0"/>
        <w:tabs>
          <w:tab w:leader="none" w:pos="1909" w:val="left"/>
          <w:tab w:leader="dot" w:pos="948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38</w:t>
      </w:r>
    </w:p>
    <w:p>
      <w:pPr>
        <w:spacing w:after="0" w:line="169" w:lineRule="exact"/>
        <w:rPr>
          <w:sz w:val="24"/>
          <w:szCs w:val="24"/>
          <w:color w:val="auto"/>
        </w:rPr>
      </w:pPr>
    </w:p>
    <w:p>
      <w:pPr>
        <w:ind w:left="970"/>
        <w:spacing w:after="0"/>
        <w:tabs>
          <w:tab w:leader="dot" w:pos="9489"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39</w:t>
      </w:r>
    </w:p>
    <w:p>
      <w:pPr>
        <w:sectPr>
          <w:pgSz w:w="11900" w:h="16838" w:orient="portrait"/>
          <w:cols w:equalWidth="0" w:num="1">
            <w:col w:w="10229"/>
          </w:cols>
          <w:pgMar w:left="230" w:top="226" w:right="1440" w:bottom="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080" w:type="dxa"/>
            <w:vAlign w:val="bottom"/>
            <w:gridSpan w:val="4"/>
          </w:tcPr>
          <w:p>
            <w:pPr>
              <w:ind w:left="360"/>
              <w:spacing w:after="0"/>
              <w:rPr>
                <w:sz w:val="20"/>
                <w:szCs w:val="20"/>
                <w:color w:val="auto"/>
              </w:rPr>
            </w:pPr>
            <w:r>
              <w:rPr>
                <w:rFonts w:ascii="Courier New" w:cs="Courier New" w:eastAsia="Courier New" w:hAnsi="Courier New"/>
                <w:sz w:val="4"/>
                <w:szCs w:val="4"/>
                <w:color w:val="auto"/>
                <w:w w:val="73"/>
              </w:rPr>
              <w:t>CERTIFICATIONS...................................................................................</w:t>
            </w:r>
          </w:p>
        </w:tc>
        <w:tc>
          <w:tcPr>
            <w:tcW w:w="70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509"/>
        </w:trPr>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339"/>
        </w:trPr>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This Quarterly  Report</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on</w:t>
            </w:r>
          </w:p>
        </w:tc>
        <w:tc>
          <w:tcPr>
            <w:tcW w:w="700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8"/>
              </w:rPr>
              <w:t>Form 10-Q is for the three months ended March 31,</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This Quarterly</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Report</w:t>
            </w:r>
          </w:p>
        </w:tc>
        <w:tc>
          <w:tcPr>
            <w:tcW w:w="700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8"/>
              </w:rPr>
              <w:t>modifies and supersedes  documents filed prior to</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this Quarterly</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c>
          <w:tcPr>
            <w:tcW w:w="7700" w:type="dxa"/>
            <w:vAlign w:val="bottom"/>
            <w:gridSpan w:val="3"/>
          </w:tcPr>
          <w:p>
            <w:pPr>
              <w:jc w:val="right"/>
              <w:ind w:right="2567"/>
              <w:spacing w:after="0"/>
              <w:rPr>
                <w:sz w:val="20"/>
                <w:szCs w:val="20"/>
                <w:color w:val="auto"/>
              </w:rPr>
            </w:pPr>
            <w:r>
              <w:rPr>
                <w:rFonts w:ascii="Courier New" w:cs="Courier New" w:eastAsia="Courier New" w:hAnsi="Courier New"/>
                <w:sz w:val="15"/>
                <w:szCs w:val="15"/>
                <w:color w:val="auto"/>
                <w:w w:val="99"/>
              </w:rPr>
              <w:t>Information that we file with the SEC in the future will</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automatically</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update and</w:t>
            </w:r>
          </w:p>
        </w:tc>
        <w:tc>
          <w:tcPr>
            <w:tcW w:w="7300" w:type="dxa"/>
            <w:vAlign w:val="bottom"/>
            <w:gridSpan w:val="2"/>
          </w:tcPr>
          <w:p>
            <w:pPr>
              <w:jc w:val="right"/>
              <w:ind w:right="2567"/>
              <w:spacing w:after="0"/>
              <w:rPr>
                <w:sz w:val="20"/>
                <w:szCs w:val="20"/>
                <w:color w:val="auto"/>
              </w:rPr>
            </w:pPr>
            <w:r>
              <w:rPr>
                <w:rFonts w:ascii="Courier New" w:cs="Courier New" w:eastAsia="Courier New" w:hAnsi="Courier New"/>
                <w:sz w:val="15"/>
                <w:szCs w:val="15"/>
                <w:color w:val="auto"/>
                <w:w w:val="97"/>
              </w:rPr>
              <w:t>supersede  information  contained  in this  Quarterly</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Report.</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this  Quarterly</w:t>
            </w:r>
          </w:p>
        </w:tc>
        <w:tc>
          <w:tcPr>
            <w:tcW w:w="7300" w:type="dxa"/>
            <w:vAlign w:val="bottom"/>
            <w:gridSpan w:val="2"/>
          </w:tcPr>
          <w:p>
            <w:pPr>
              <w:jc w:val="right"/>
              <w:ind w:right="2567"/>
              <w:spacing w:after="0"/>
              <w:rPr>
                <w:sz w:val="20"/>
                <w:szCs w:val="20"/>
                <w:color w:val="auto"/>
              </w:rPr>
            </w:pPr>
            <w:r>
              <w:rPr>
                <w:rFonts w:ascii="Courier New" w:cs="Courier New" w:eastAsia="Courier New" w:hAnsi="Courier New"/>
                <w:sz w:val="15"/>
                <w:szCs w:val="15"/>
                <w:color w:val="auto"/>
              </w:rPr>
              <w:t>Report,  "Comcast,"  "we," "us" and "our"  refer to</w:t>
            </w:r>
          </w:p>
        </w:tc>
      </w:tr>
      <w:tr>
        <w:trPr>
          <w:trHeight w:val="170"/>
        </w:trPr>
        <w:tc>
          <w:tcPr>
            <w:tcW w:w="2380" w:type="dxa"/>
            <w:vAlign w:val="bottom"/>
            <w:gridSpan w:val="4"/>
          </w:tcPr>
          <w:p>
            <w:pPr>
              <w:spacing w:after="0"/>
              <w:rPr>
                <w:sz w:val="20"/>
                <w:szCs w:val="20"/>
                <w:color w:val="auto"/>
              </w:rPr>
            </w:pPr>
            <w:r>
              <w:rPr>
                <w:rFonts w:ascii="Courier New" w:cs="Courier New" w:eastAsia="Courier New" w:hAnsi="Courier New"/>
                <w:sz w:val="15"/>
                <w:szCs w:val="15"/>
                <w:color w:val="auto"/>
                <w:w w:val="97"/>
              </w:rPr>
              <w:t>Comcast Corporation and its</w:t>
            </w:r>
          </w:p>
        </w:tc>
        <w:tc>
          <w:tcPr>
            <w:tcW w:w="7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subsidiaries.</w:t>
            </w:r>
          </w:p>
        </w:tc>
      </w:tr>
    </w:tbl>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On November 18, 2002, we acquired AT&amp;T Corp.'s broadband business, which we refer to as "Broadband" and we refer to this acquisition as the "Broadband acquisition." In this Quarterly Report, we refer to cable operations owned prior to the Broadband acquisition as "historical," and those we acquired in the Broadband acquisition as "newly acquired."</w:t>
      </w:r>
    </w:p>
    <w:p>
      <w:pPr>
        <w:spacing w:after="0" w:line="178"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As a result of the Broadband acquisition, we have newly acquired cable operations in communities in which we do not have established relationships with the subscribers, franchising authority and community leaders.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77"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Factors that may cause our actual results to differ materially from any of our forward-looking statements presented in this Quarterly Report include, but are not limited to:</w:t>
      </w:r>
    </w:p>
    <w:p>
      <w:pPr>
        <w:spacing w:after="0" w:line="175" w:lineRule="exact"/>
        <w:rPr>
          <w:sz w:val="20"/>
          <w:szCs w:val="20"/>
          <w:color w:val="auto"/>
        </w:rPr>
      </w:pPr>
    </w:p>
    <w:p>
      <w:pPr>
        <w:ind w:left="450" w:right="317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successfully integrate Broadband or the integration may be more difficult, time-consuming or costly than we expect,</w:t>
      </w:r>
    </w:p>
    <w:p>
      <w:pPr>
        <w:spacing w:after="0" w:line="17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realize the combination benefits we expect from the Broadband acquisition or these benefits may take longer to achieve, and</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incur greater-than-expected operating costs, financing costs, subscriber loss and business disruption, including, without limitation, difficulties in maintaining relationships with employees, subscribers, suppliers or franchising authorities.</w:t>
      </w:r>
    </w:p>
    <w:p>
      <w:pPr>
        <w:sectPr>
          <w:pgSz w:w="11900" w:h="16838" w:orient="portrait"/>
          <w:cols w:equalWidth="0" w:num="1">
            <w:col w:w="10229"/>
          </w:cols>
          <w:pgMar w:left="230" w:top="136" w:right="1440" w:bottom="1440" w:gutter="0" w:footer="0" w:header="0"/>
        </w:sectPr>
      </w:pPr>
    </w:p>
    <w:bookmarkStart w:id="2" w:name="page3"/>
    <w:bookmarkEnd w:id="2"/>
    <w:p>
      <w:pPr>
        <w:ind w:left="440"/>
        <w:spacing w:after="0"/>
        <w:rPr>
          <w:sz w:val="20"/>
          <w:szCs w:val="20"/>
          <w:color w:val="auto"/>
        </w:rPr>
      </w:pPr>
      <w:r>
        <w:rPr>
          <w:rFonts w:ascii="Courier New" w:cs="Courier New" w:eastAsia="Courier New" w:hAnsi="Courier New"/>
          <w:sz w:val="15"/>
          <w:szCs w:val="15"/>
          <w:color w:val="auto"/>
        </w:rPr>
        <w:t>In addition, our businesses may be affected by, among other things:</w:t>
      </w:r>
    </w:p>
    <w:p>
      <w:pPr>
        <w:spacing w:after="0" w:line="169" w:lineRule="exact"/>
        <w:rPr>
          <w:sz w:val="20"/>
          <w:szCs w:val="20"/>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more fully described elsewhere in this Quarterly Report and in our Annual Report on Form 10-K for the year ended December 31, 2002, the Broadband acquisition substantially increased the size of our cable operations and caused significant changes in our capital structure. As a result, direct comparisons of our results of operations for periods prior to November 18, 2002 to subsequent periods are not meaningful.</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30" w:right="1440" w:bottom="1440" w:gutter="0" w:footer="0" w:header="0"/>
        </w:sectPr>
      </w:pPr>
    </w:p>
    <w:bookmarkStart w:id="3" w:name="page4"/>
    <w:bookmarkEnd w:id="3"/>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w:t>
      </w:r>
    </w:p>
    <w:tbl>
      <w:tblPr>
        <w:tblLayout w:type="fixed"/>
        <w:tblInd w:w="0" w:type="dxa"/>
        <w:tblCellMar>
          <w:top w:w="0" w:type="dxa"/>
          <w:left w:w="0" w:type="dxa"/>
          <w:bottom w:w="0" w:type="dxa"/>
          <w:right w:w="0" w:type="dxa"/>
        </w:tblCellMar>
      </w:tblPr>
      <w:tr>
        <w:trPr>
          <w:trHeight w:val="170"/>
        </w:trPr>
        <w:tc>
          <w:tcPr>
            <w:tcW w:w="696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(Unaudited)</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678"/>
        </w:trPr>
        <w:tc>
          <w:tcPr>
            <w:tcW w:w="6960" w:type="dxa"/>
            <w:vAlign w:val="bottom"/>
          </w:tcPr>
          <w:p>
            <w:pPr>
              <w:spacing w:after="0"/>
              <w:rPr>
                <w:sz w:val="24"/>
                <w:szCs w:val="24"/>
                <w:color w:val="auto"/>
              </w:rPr>
            </w:pPr>
          </w:p>
        </w:tc>
        <w:tc>
          <w:tcPr>
            <w:tcW w:w="3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(Dollars in millions, except share data)</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21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Cash and cash equivalents..................................................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$1,024</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Investments................................................................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3,153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Accounts receivable, less allowance for doubtful accounts of $276 and $233.</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1,383</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Inventories, net...........................................................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482</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Assets held for sale.......................................................</w:t>
            </w:r>
          </w:p>
        </w:tc>
        <w:tc>
          <w:tcPr>
            <w:tcW w:w="1500" w:type="dxa"/>
            <w:vAlign w:val="bottom"/>
          </w:tcPr>
          <w:p>
            <w:pPr>
              <w:spacing w:after="0"/>
              <w:rPr>
                <w:sz w:val="14"/>
                <w:szCs w:val="14"/>
                <w:color w:val="auto"/>
              </w:rPr>
            </w:pP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613</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Deferred income taxes......................................................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w w:val="98"/>
              </w:rPr>
              <w:t>Other current assets.......................................................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377</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425</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6,488</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7,076</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13,188</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PROPERTY AND EQUIPMENT, net of accumulated depreciation of $4,737 and $4,061..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18,961</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18,866</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FRANCHISE RIGHTS..............................................................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48,290</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48,222</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GOODWILL......................................................................</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17,039</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17,397</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INTANGIBLE ASSETS, net of accumulated amortization of $1,403 and $1,022.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5,273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5,599</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NONCURRENT ASSETS, net..................................................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$110,012</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$1,631</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4,870</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5,649</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Liabilities related to assets held for sale................................</w:t>
            </w:r>
          </w:p>
        </w:tc>
        <w:tc>
          <w:tcPr>
            <w:tcW w:w="1500" w:type="dxa"/>
            <w:vAlign w:val="bottom"/>
          </w:tcPr>
          <w:p>
            <w:pPr>
              <w:spacing w:after="0"/>
              <w:rPr>
                <w:sz w:val="14"/>
                <w:szCs w:val="14"/>
                <w:color w:val="auto"/>
              </w:rPr>
            </w:pP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1,105</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Short-term debt............................................................</w:t>
            </w:r>
          </w:p>
        </w:tc>
        <w:tc>
          <w:tcPr>
            <w:tcW w:w="1500" w:type="dxa"/>
            <w:vAlign w:val="bottom"/>
          </w:tcPr>
          <w:p>
            <w:pPr>
              <w:spacing w:after="0"/>
              <w:rPr>
                <w:sz w:val="14"/>
                <w:szCs w:val="14"/>
                <w:color w:val="auto"/>
              </w:rPr>
            </w:pP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3,750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portion of long-term debt..........................................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2,652</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3,203</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10,246</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15,383</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30,258</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27,957</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INCOME TAXES.........................................................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23,125</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23,110</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NONCURRENT LIABILITIES..................................................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5,600</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5,652</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MINORITY INTEREST.............................................................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2,729</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10)</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Preferred stock - authorized 20,000,000 shares; issued, zero...............</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Class A common stock, $0.01 par value - authorized,</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7,500,000,000 shares; issued, 1,599,224,381 and 1,599,014,148;</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 1,355,583,881 and 1,355,373,648.............................</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common stock, $0.01 par value - authorized,</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7,500,000,000 shares; issued 931,145,017 and 930,633,433;</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 883,855,174 and 883,343,590.................................</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Class B common stock, $0.01 par value - authorized, 75,000,000 shares;</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issued, 9,444,375</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capital.........................................................</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44,643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44,620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 earnings..........................................................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1,043</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1,340</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243,640,500 Class A common shares and 47,289,843 Class A</w:t>
            </w: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special common shares....................................................</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(7,517)</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(7,517)</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other comprehensive loss.......................................</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equity.............................................</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38,054</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38,329</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$110,012</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696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60"/>
          </w:cols>
          <w:pgMar w:left="240" w:top="961" w:right="1099" w:bottom="904" w:gutter="0" w:footer="0" w:header="0"/>
        </w:sectPr>
      </w:pPr>
    </w:p>
    <w:bookmarkStart w:id="4" w:name="page5"/>
    <w:bookmarkEnd w:id="4"/>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ind w:left="1480"/>
        <w:spacing w:after="0" w:line="238" w:lineRule="auto"/>
        <w:rPr>
          <w:sz w:val="20"/>
          <w:szCs w:val="20"/>
          <w:color w:val="auto"/>
        </w:rPr>
      </w:pPr>
      <w:r>
        <w:rPr>
          <w:rFonts w:ascii="Courier New" w:cs="Courier New" w:eastAsia="Courier New" w:hAnsi="Courier New"/>
          <w:sz w:val="15"/>
          <w:szCs w:val="15"/>
          <w:color w:val="auto"/>
        </w:rPr>
        <w:t>CONDENSED CONSOLIDATED STATEMENT OF OPERATIONS</w:t>
      </w:r>
    </w:p>
    <w:tbl>
      <w:tblPr>
        <w:tblLayout w:type="fixed"/>
        <w:tblInd w:w="0" w:type="dxa"/>
        <w:tblCellMar>
          <w:top w:w="0" w:type="dxa"/>
          <w:left w:w="0" w:type="dxa"/>
          <w:bottom w:w="0" w:type="dxa"/>
          <w:right w:w="0" w:type="dxa"/>
        </w:tblCellMar>
      </w:tblPr>
      <w:tr>
        <w:trPr>
          <w:trHeight w:val="170"/>
        </w:trPr>
        <w:tc>
          <w:tcPr>
            <w:tcW w:w="6780" w:type="dxa"/>
            <w:vAlign w:val="bottom"/>
          </w:tcPr>
          <w:p>
            <w:pPr>
              <w:jc w:val="right"/>
              <w:ind w:right="2667"/>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678"/>
        </w:trPr>
        <w:tc>
          <w:tcPr>
            <w:tcW w:w="678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(Dollars in millions, except per share data)</w:t>
            </w:r>
          </w:p>
        </w:tc>
      </w:tr>
      <w:tr>
        <w:trPr>
          <w:trHeight w:val="170"/>
        </w:trPr>
        <w:tc>
          <w:tcPr>
            <w:tcW w:w="6780" w:type="dxa"/>
            <w:vAlign w:val="bottom"/>
          </w:tcPr>
          <w:p>
            <w:pPr>
              <w:spacing w:after="0"/>
              <w:rPr>
                <w:sz w:val="14"/>
                <w:szCs w:val="14"/>
                <w:color w:val="auto"/>
              </w:rPr>
            </w:pPr>
          </w:p>
        </w:tc>
        <w:tc>
          <w:tcPr>
            <w:tcW w:w="3880" w:type="dxa"/>
            <w:vAlign w:val="bottom"/>
            <w:gridSpan w:val="2"/>
          </w:tcPr>
          <w:p>
            <w:pPr>
              <w:jc w:val="right"/>
              <w:ind w:right="1087"/>
              <w:spacing w:after="0"/>
              <w:rPr>
                <w:sz w:val="20"/>
                <w:szCs w:val="20"/>
                <w:color w:val="auto"/>
              </w:rPr>
            </w:pPr>
            <w:r>
              <w:rPr>
                <w:rFonts w:ascii="Courier New" w:cs="Courier New" w:eastAsia="Courier New" w:hAnsi="Courier New"/>
                <w:sz w:val="15"/>
                <w:szCs w:val="15"/>
                <w:color w:val="auto"/>
              </w:rPr>
              <w:t>Three Months Ended March 31,</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2003</w:t>
            </w:r>
          </w:p>
        </w:tc>
        <w:tc>
          <w:tcPr>
            <w:tcW w:w="21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$4,456</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$1,679</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1,062</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988</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5,518</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2,667</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1,930</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743</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673</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629</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1,277</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487</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799</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366</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5,045</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2,246</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473</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7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Investment loss, net.....................................................</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(248)</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Equity in net losses of affiliates.......................................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(23)</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(463)</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LOSS BEFORE INCOME TAXES AND MINORITY INTEREST...............................</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(42)</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 BENEFIT (EXPENSE).................................................</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LOSS BEFORE MINORITY INTEREST ...............................................</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(45)</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(44)</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LOSS.....................................................................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($89)</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NET LOSS FOR COMMON STOCKHOLDERS PER COMMON SHARE......................</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($0.09)</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NET LOSS FOR COMMON STOCKHOLDERS PER COMMON SHARE....................</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($0.09)</w:t>
            </w:r>
          </w:p>
        </w:tc>
      </w:tr>
      <w:tr>
        <w:trPr>
          <w:trHeight w:val="170"/>
        </w:trPr>
        <w:tc>
          <w:tcPr>
            <w:tcW w:w="678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60"/>
          </w:cols>
          <w:pgMar w:left="240" w:top="961" w:right="999" w:bottom="1440" w:gutter="0" w:footer="0" w:header="0"/>
        </w:sectPr>
      </w:pPr>
    </w:p>
    <w:bookmarkStart w:id="5" w:name="page6"/>
    <w:bookmarkEnd w:id="5"/>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ind w:left="1480"/>
        <w:spacing w:after="0" w:line="238" w:lineRule="auto"/>
        <w:rPr>
          <w:sz w:val="20"/>
          <w:szCs w:val="20"/>
          <w:color w:val="auto"/>
        </w:rPr>
      </w:pPr>
      <w:r>
        <w:rPr>
          <w:rFonts w:ascii="Courier New" w:cs="Courier New" w:eastAsia="Courier New" w:hAnsi="Courier New"/>
          <w:sz w:val="15"/>
          <w:szCs w:val="15"/>
          <w:color w:val="auto"/>
        </w:rPr>
        <w:t>CONDENSED CONSOLIDATED STATEMENT OF CASH FLOWS</w:t>
      </w:r>
    </w:p>
    <w:tbl>
      <w:tblPr>
        <w:tblLayout w:type="fixed"/>
        <w:tblInd w:w="0" w:type="dxa"/>
        <w:tblCellMar>
          <w:top w:w="0" w:type="dxa"/>
          <w:left w:w="0" w:type="dxa"/>
          <w:bottom w:w="0" w:type="dxa"/>
          <w:right w:w="0" w:type="dxa"/>
        </w:tblCellMar>
      </w:tblPr>
      <w:tr>
        <w:trPr>
          <w:trHeight w:val="170"/>
        </w:trPr>
        <w:tc>
          <w:tcPr>
            <w:tcW w:w="642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017"/>
        </w:trPr>
        <w:tc>
          <w:tcPr>
            <w:tcW w:w="6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(Dollars</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March 31,</w:t>
            </w:r>
          </w:p>
        </w:tc>
      </w:tr>
      <w:tr>
        <w:trPr>
          <w:trHeight w:val="170"/>
        </w:trPr>
        <w:tc>
          <w:tcPr>
            <w:tcW w:w="64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4587"/>
              <w:spacing w:after="0"/>
              <w:rPr>
                <w:sz w:val="20"/>
                <w:szCs w:val="20"/>
                <w:color w:val="auto"/>
              </w:rPr>
            </w:pPr>
            <w:r>
              <w:rPr>
                <w:rFonts w:ascii="Courier New" w:cs="Courier New" w:eastAsia="Courier New" w:hAnsi="Courier New"/>
                <w:sz w:val="15"/>
                <w:szCs w:val="15"/>
                <w:color w:val="auto"/>
                <w:w w:val="96"/>
              </w:rPr>
              <w:t>OPERATING ACTIVITIES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($297)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0"/>
        </w:trPr>
        <w:tc>
          <w:tcPr>
            <w:tcW w:w="64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Adjustments to reconcile net loss to net cash provided</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3807"/>
              <w:spacing w:after="0"/>
              <w:rPr>
                <w:sz w:val="20"/>
                <w:szCs w:val="20"/>
                <w:color w:val="auto"/>
              </w:rPr>
            </w:pPr>
            <w:r>
              <w:rPr>
                <w:rFonts w:ascii="Courier New" w:cs="Courier New" w:eastAsia="Courier New" w:hAnsi="Courier New"/>
                <w:sz w:val="15"/>
                <w:szCs w:val="15"/>
                <w:color w:val="auto"/>
              </w:rPr>
              <w:t>by operating activities: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Non-cash interest (income) expense, net............................</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 in net losses of affiliates.................................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Losses (gains) on investments and other (income) expense, net......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(182)</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sales of trading securities..........................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1,029</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616</w:t>
            </w:r>
          </w:p>
        </w:tc>
      </w:tr>
      <w:tr>
        <w:trPr>
          <w:trHeight w:val="170"/>
        </w:trPr>
        <w:tc>
          <w:tcPr>
            <w:tcW w:w="6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Changes in working capital, net of effects of acquisitions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4427"/>
              <w:spacing w:after="0"/>
              <w:rPr>
                <w:sz w:val="20"/>
                <w:szCs w:val="20"/>
                <w:color w:val="auto"/>
              </w:rPr>
            </w:pPr>
            <w:r>
              <w:rPr>
                <w:rFonts w:ascii="Courier New" w:cs="Courier New" w:eastAsia="Courier New" w:hAnsi="Courier New"/>
                <w:sz w:val="15"/>
                <w:szCs w:val="15"/>
                <w:color w:val="auto"/>
              </w:rPr>
              <w:t>and divestitures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(increase) in accounts receivable, net..................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inventories, net..........................</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(increase) in other current assets......................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6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Decrease in accounts payable, accrued expenses and other</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liabilities............................................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(335)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c>
          <w:tcPr>
            <w:tcW w:w="18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519</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4587"/>
              <w:spacing w:after="0"/>
              <w:rPr>
                <w:sz w:val="20"/>
                <w:szCs w:val="20"/>
                <w:color w:val="auto"/>
              </w:rPr>
            </w:pPr>
            <w:r>
              <w:rPr>
                <w:rFonts w:ascii="Courier New" w:cs="Courier New" w:eastAsia="Courier New" w:hAnsi="Courier New"/>
                <w:sz w:val="15"/>
                <w:szCs w:val="15"/>
                <w:color w:val="auto"/>
                <w:w w:val="96"/>
              </w:rPr>
              <w:t>FINANCING ACTIVITIES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borrowings.............................................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Retirements and repayments of debt...................................</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(6,079)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(2,195)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4587"/>
              <w:spacing w:after="0"/>
              <w:rPr>
                <w:sz w:val="20"/>
                <w:szCs w:val="20"/>
                <w:color w:val="auto"/>
              </w:rPr>
            </w:pPr>
            <w:r>
              <w:rPr>
                <w:rFonts w:ascii="Courier New" w:cs="Courier New" w:eastAsia="Courier New" w:hAnsi="Courier New"/>
                <w:sz w:val="15"/>
                <w:szCs w:val="15"/>
                <w:color w:val="auto"/>
                <w:w w:val="96"/>
              </w:rPr>
              <w:t>INVESTING ACTIVITIES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 net of cash acquired...................................</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restructuring of TWE investment........................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sales of investments and assets held for sale..........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Purchases of investments.............................................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(971)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IN CASH AND CASH EQUIVALENTS...................................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period..........................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c>
          <w:tcPr>
            <w:tcW w:w="18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18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6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1" w:right="1440" w:bottom="1440" w:gutter="0" w:footer="0" w:header="0"/>
        </w:sectPr>
      </w:pPr>
    </w:p>
    <w:bookmarkStart w:id="6" w:name="page7"/>
    <w:bookmarkEnd w:id="6"/>
    <w:tbl>
      <w:tblPr>
        <w:tblLayout w:type="fixed"/>
        <w:tblInd w:w="1230" w:type="dxa"/>
        <w:tblCellMar>
          <w:top w:w="0" w:type="dxa"/>
          <w:left w:w="0" w:type="dxa"/>
          <w:bottom w:w="0" w:type="dxa"/>
          <w:right w:w="0" w:type="dxa"/>
        </w:tblCellMar>
      </w:tblPr>
      <w:tr>
        <w:trPr>
          <w:trHeight w:val="170"/>
        </w:trPr>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 CORPORATION AND</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SUBSIDIARIES</w:t>
            </w:r>
          </w:p>
        </w:tc>
      </w:tr>
      <w:tr>
        <w:trPr>
          <w:trHeight w:val="170"/>
        </w:trPr>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FORM 10-Q</w:t>
            </w:r>
          </w:p>
        </w:tc>
        <w:tc>
          <w:tcPr>
            <w:tcW w:w="1760" w:type="dxa"/>
            <w:vAlign w:val="bottom"/>
          </w:tcPr>
          <w:p>
            <w:pPr>
              <w:spacing w:after="0"/>
              <w:rPr>
                <w:sz w:val="14"/>
                <w:szCs w:val="14"/>
                <w:color w:val="auto"/>
              </w:rPr>
            </w:pPr>
          </w:p>
        </w:tc>
      </w:tr>
      <w:tr>
        <w:trPr>
          <w:trHeight w:val="170"/>
        </w:trPr>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QUARTER ENDED MARCH</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31, 2003</w:t>
            </w:r>
          </w:p>
        </w:tc>
      </w:tr>
      <w:tr>
        <w:trPr>
          <w:trHeight w:val="170"/>
        </w:trPr>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NOTES TO CONDENSED CONSOLIDATED</w:t>
            </w:r>
          </w:p>
        </w:tc>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FINANCIAL STATEMENTS</w:t>
            </w:r>
          </w:p>
        </w:tc>
      </w:tr>
      <w:tr>
        <w:trPr>
          <w:trHeight w:val="170"/>
        </w:trPr>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760" w:type="dxa"/>
            <w:vAlign w:val="bottom"/>
          </w:tcPr>
          <w:p>
            <w:pPr>
              <w:spacing w:after="0"/>
              <w:rPr>
                <w:sz w:val="14"/>
                <w:szCs w:val="14"/>
                <w:color w:val="auto"/>
              </w:rPr>
            </w:pPr>
          </w:p>
        </w:tc>
      </w:tr>
    </w:tbl>
    <w:p>
      <w:pPr>
        <w:spacing w:after="0" w:line="169"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("Comcast" or the "Company") has prepared these unaudited condensed consolidated financial statements based upon Securities and Exchange Commission ("SEC") rules that permit reduced disclosure for interim periods.</w:t>
      </w:r>
    </w:p>
    <w:p>
      <w:pPr>
        <w:spacing w:after="0" w:line="176" w:lineRule="exact"/>
        <w:rPr>
          <w:rFonts w:ascii="Courier New" w:cs="Courier New" w:eastAsia="Courier New" w:hAnsi="Courier New"/>
          <w:sz w:val="15"/>
          <w:szCs w:val="15"/>
          <w:color w:val="auto"/>
        </w:rPr>
      </w:pPr>
    </w:p>
    <w:p>
      <w:pPr>
        <w:jc w:val="both"/>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6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76"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the Company completed the acquisition (the "Broadband acquisition") of AT&amp;T Corp.'s ("AT&amp;T") broadband business ("Broadband"). Accordingly, the accompanying financial statements include the results of Broadband from the date of the Broadband acquisition (see Note 4). The Broadband acquisition substantially increased the size of the Company's cable operations and caused significant changes in the Company's capital structure, including a substantially higher amount of debt. As a result, direct comparisons of the Company's results of operations and financial condition for periods prior to November 18, 2002 to subsequent periods are not meaningful.</w:t>
      </w:r>
    </w:p>
    <w:p>
      <w:pPr>
        <w:spacing w:after="0" w:line="173"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2003. In the first quarter of 2003, QVC, Inc. ("QVC") completed the sale of its infomercial operations in Mexico ("QVC Mexico"). The results of operations for QVC Mexico for the 2003 and 2002 interim periods were not significant and are included in equity in net losses of affiliates in the Company's consolidated statement of operations.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Accounting Standards Board ("FASB") issued Statement of Financial Accounting Standards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7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148</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the Company elects to change to the fair value method specified in SFAS No. 123. The adoption of SFAS No. 148 requires the Company to disclose the effects of its stock-based employee compensation in interim financial statements beginning with the first quarter of 2003 (see Note 8).</w:t>
      </w:r>
    </w:p>
    <w:p>
      <w:pPr>
        <w:spacing w:after="0" w:line="18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sectPr>
      </w:pPr>
    </w:p>
    <w:bookmarkStart w:id="7" w:name="page8"/>
    <w:bookmarkEnd w:id="7"/>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SFAS No. 149</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On April 30, 2003, the FASB issued SFAS No. 149, "Amendment of Statement 133 on Derivative Instruments and Hedging Activities" ("SFAS No. 149").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will adopt SFAS No. 149 on a prospective basis at its effective date in the fiscal third quarter. The Company is assessing the impact SFAS No. 149 may have on its financial statements.</w:t>
      </w:r>
    </w:p>
    <w:p>
      <w:pPr>
        <w:spacing w:after="0" w:line="17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FIN 45</w:t>
      </w:r>
    </w:p>
    <w:p>
      <w:pPr>
        <w:spacing w:after="0" w:line="5" w:lineRule="exact"/>
        <w:rPr>
          <w:sz w:val="20"/>
          <w:szCs w:val="20"/>
          <w:color w:val="auto"/>
        </w:rPr>
      </w:pPr>
    </w:p>
    <w:p>
      <w:pPr>
        <w:jc w:val="both"/>
        <w:ind w:left="450" w:right="3179"/>
        <w:spacing w:after="0" w:line="256"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1" w:lineRule="exact"/>
        <w:rPr>
          <w:sz w:val="20"/>
          <w:szCs w:val="20"/>
          <w:color w:val="auto"/>
        </w:rPr>
      </w:pPr>
    </w:p>
    <w:p>
      <w:pPr>
        <w:jc w:val="both"/>
        <w:ind w:left="450" w:right="3179" w:hanging="9"/>
        <w:spacing w:after="0" w:line="256" w:lineRule="auto"/>
        <w:tabs>
          <w:tab w:leader="none" w:pos="80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3" w:lineRule="exact"/>
        <w:rPr>
          <w:rFonts w:ascii="Courier New" w:cs="Courier New" w:eastAsia="Courier New" w:hAnsi="Courier New"/>
          <w:sz w:val="14"/>
          <w:szCs w:val="14"/>
          <w:color w:val="auto"/>
        </w:rPr>
      </w:pPr>
    </w:p>
    <w:p>
      <w:pPr>
        <w:jc w:val="both"/>
        <w:ind w:left="450" w:right="3179" w:hanging="9"/>
        <w:spacing w:after="0" w:line="257" w:lineRule="auto"/>
        <w:tabs>
          <w:tab w:leader="none" w:pos="714"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consolidated financial statements (see Note 10).</w:t>
      </w:r>
    </w:p>
    <w:p>
      <w:pPr>
        <w:spacing w:after="0" w:line="159"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 is computed by dividing net income (loss) for common stockholders by the weighted average number of common shares outstanding during the period on a basic and diluted basis.</w:t>
      </w:r>
    </w:p>
    <w:p>
      <w:pPr>
        <w:spacing w:after="0" w:line="17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potentially dilutive securities include potential common shares related to the Company's Zero Coupon Convertible Debentures due 2020 (the "Zero Coupon Debentures"), stock options, restricted stock, and Class A Special common stock held in treasury.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 110% of the accreted conversion price. Diluted EPS excludes the impact of potential common shares related to the Company's stock options in periods in which the option exercise price is greater than the average market price of the Company's common stock for the period.</w:t>
      </w:r>
    </w:p>
    <w:p>
      <w:pPr>
        <w:spacing w:after="0" w:line="18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EPS for the interim periods in 2003 and 2002 excludes approximately 179.0 million and 82.2 million potential common shares, respectively, related to the Company's stock option and restricted stock plans, Zero Coupon Debentures, and common stock held in treasury because the assumed issuance of such potential common shares is antidilutive in periods in which there is a loss.</w:t>
      </w:r>
    </w:p>
    <w:p>
      <w:pPr>
        <w:spacing w:after="0" w:line="17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shares outstanding and loss per share were the same for both Basic EPS and Diluted EPS for both the 2003 and 2002 interim periods since the Company reported a net loss for each period. Weighted average shares</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91" w:right="1440" w:bottom="1440" w:gutter="0" w:footer="0" w:header="0"/>
        </w:sectPr>
      </w:pPr>
    </w:p>
    <w:bookmarkStart w:id="8" w:name="page9"/>
    <w:bookmarkEnd w:id="8"/>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outstanding during the 2003 and 2002 interim periods were 2.255 billion shares and 951 million shares, respectively.</w:t>
      </w:r>
    </w:p>
    <w:p>
      <w:pPr>
        <w:spacing w:after="0" w:line="170"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Broadband</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the Company completed the acquisition of Broadband. The allocation of the purchase price for the Broadband acquisition recorded during the fourth quarter of 2002 is preliminary. The values of certain assets and liabilities are based on preliminary valuations and are subject to adjustment as additional information is obtained. Such additional information includes: reports from valuation specialists; information related to the cost of terminating or meeting contractual obligations; and information related to preacquisition contingencies.</w:t>
      </w:r>
    </w:p>
    <w:p>
      <w:pPr>
        <w:spacing w:after="0" w:line="177"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acquisition date, the Company initiated certain integration activities based on a preliminary plan to terminate employees and exit certain contractual obligations. Under the guidance in Emerging Issues Task Force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future results of operations.</w:t>
      </w:r>
    </w:p>
    <w:p>
      <w:pPr>
        <w:spacing w:after="0" w:line="183"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associated with exit activities recorded in the purchase price allocation consist of accrued employee termination and related costs of $602 million and $929 million associated with either the cost of terminating contracts or the present value of remaining amounts payable under non-cancelable contracts. Amounts paid, adjustments made against these accruals and interest accretion during the 2003 interim period were as follows (in millions):</w:t>
      </w:r>
    </w:p>
    <w:p>
      <w:pPr>
        <w:sectPr>
          <w:pgSz w:w="11900" w:h="16838" w:orient="portrait"/>
          <w:cols w:equalWidth="0" w:num="1">
            <w:col w:w="10229"/>
          </w:cols>
          <w:pgMar w:left="230" w:top="7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90"/>
        <w:spacing w:after="0"/>
        <w:rPr>
          <w:sz w:val="20"/>
          <w:szCs w:val="20"/>
          <w:color w:val="auto"/>
        </w:rPr>
      </w:pPr>
      <w:r>
        <w:rPr>
          <w:rFonts w:ascii="Courier New" w:cs="Courier New" w:eastAsia="Courier New" w:hAnsi="Courier New"/>
          <w:sz w:val="15"/>
          <w:szCs w:val="15"/>
          <w:color w:val="auto"/>
        </w:rPr>
        <w:t>Employee</w:t>
      </w:r>
    </w:p>
    <w:p>
      <w:pPr>
        <w:ind w:left="6350"/>
        <w:spacing w:after="0"/>
        <w:rPr>
          <w:sz w:val="20"/>
          <w:szCs w:val="20"/>
          <w:color w:val="auto"/>
        </w:rPr>
      </w:pPr>
      <w:r>
        <w:rPr>
          <w:rFonts w:ascii="Courier New" w:cs="Courier New" w:eastAsia="Courier New" w:hAnsi="Courier New"/>
          <w:sz w:val="15"/>
          <w:szCs w:val="15"/>
          <w:color w:val="auto"/>
        </w:rPr>
        <w:t>Termination and</w:t>
      </w:r>
    </w:p>
    <w:p>
      <w:pPr>
        <w:ind w:left="6430"/>
        <w:spacing w:after="0"/>
        <w:rPr>
          <w:sz w:val="20"/>
          <w:szCs w:val="20"/>
          <w:color w:val="auto"/>
        </w:rPr>
      </w:pPr>
      <w:r>
        <w:rPr>
          <w:rFonts w:ascii="Courier New" w:cs="Courier New" w:eastAsia="Courier New" w:hAnsi="Courier New"/>
          <w:sz w:val="15"/>
          <w:szCs w:val="15"/>
          <w:color w:val="auto"/>
        </w:rPr>
        <w:t>Related Costs</w:t>
      </w:r>
    </w:p>
    <w:p>
      <w:pPr>
        <w:spacing w:after="0" w:line="4" w:lineRule="exact"/>
        <w:rPr>
          <w:sz w:val="20"/>
          <w:szCs w:val="20"/>
          <w:color w:val="auto"/>
        </w:rPr>
      </w:pPr>
    </w:p>
    <w:p>
      <w:pPr>
        <w:ind w:left="61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Contract</w:t>
      </w:r>
    </w:p>
    <w:p>
      <w:pPr>
        <w:ind w:left="620"/>
        <w:spacing w:after="0"/>
        <w:rPr>
          <w:sz w:val="20"/>
          <w:szCs w:val="20"/>
          <w:color w:val="auto"/>
        </w:rPr>
      </w:pPr>
      <w:r>
        <w:rPr>
          <w:rFonts w:ascii="Courier New" w:cs="Courier New" w:eastAsia="Courier New" w:hAnsi="Courier New"/>
          <w:sz w:val="15"/>
          <w:szCs w:val="15"/>
          <w:color w:val="auto"/>
        </w:rPr>
        <w:t>Exit</w:t>
      </w:r>
    </w:p>
    <w:p>
      <w:pPr>
        <w:ind w:left="540"/>
        <w:spacing w:after="0"/>
        <w:rPr>
          <w:sz w:val="20"/>
          <w:szCs w:val="20"/>
          <w:color w:val="auto"/>
        </w:rPr>
      </w:pPr>
      <w:r>
        <w:rPr>
          <w:rFonts w:ascii="Courier New" w:cs="Courier New" w:eastAsia="Courier New" w:hAnsi="Courier New"/>
          <w:sz w:val="15"/>
          <w:szCs w:val="15"/>
          <w:color w:val="auto"/>
        </w:rPr>
        <w:t>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930" w:space="260"/>
            <w:col w:w="2039"/>
          </w:cols>
          <w:pgMar w:left="230" w:top="791" w:right="1440" w:bottom="1440" w:gutter="0" w:footer="0" w:header="0"/>
          <w:type w:val="continuous"/>
        </w:sectPr>
      </w:pPr>
    </w:p>
    <w:p>
      <w:pPr>
        <w:spacing w:after="0" w:line="150"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Balance, December 31, 2002....................................</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Payments......................................................</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Adjustments...................................................</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Interest accretion............................................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$492</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(105)</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5"/>
          <w:szCs w:val="15"/>
          <w:color w:val="auto"/>
        </w:rPr>
        <w:t>$913</w:t>
      </w:r>
    </w:p>
    <w:p>
      <w:pPr>
        <w:jc w:val="right"/>
        <w:ind w:right="539"/>
        <w:spacing w:after="0"/>
        <w:rPr>
          <w:sz w:val="20"/>
          <w:szCs w:val="20"/>
          <w:color w:val="auto"/>
        </w:rPr>
      </w:pPr>
      <w:r>
        <w:rPr>
          <w:rFonts w:ascii="Courier New" w:cs="Courier New" w:eastAsia="Courier New" w:hAnsi="Courier New"/>
          <w:sz w:val="15"/>
          <w:szCs w:val="15"/>
          <w:color w:val="auto"/>
        </w:rPr>
        <w:t>(16)</w:t>
      </w:r>
    </w:p>
    <w:p>
      <w:pPr>
        <w:jc w:val="right"/>
        <w:ind w:right="619"/>
        <w:spacing w:after="0"/>
        <w:rPr>
          <w:sz w:val="20"/>
          <w:szCs w:val="20"/>
          <w:color w:val="auto"/>
        </w:rPr>
      </w:pPr>
      <w:r>
        <w:rPr>
          <w:rFonts w:ascii="Courier New" w:cs="Courier New" w:eastAsia="Courier New" w:hAnsi="Courier New"/>
          <w:sz w:val="15"/>
          <w:szCs w:val="15"/>
          <w:color w:val="auto"/>
        </w:rPr>
        <w:t>9</w:t>
      </w:r>
    </w:p>
    <w:p>
      <w:pPr>
        <w:jc w:val="right"/>
        <w:ind w:right="619"/>
        <w:spacing w:after="0" w:line="238" w:lineRule="auto"/>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3">
            <w:col w:w="5910" w:space="260"/>
            <w:col w:w="1680" w:space="340"/>
            <w:col w:w="2039"/>
          </w:cols>
          <w:pgMar w:left="230" w:top="791" w:right="1440" w:bottom="1440" w:gutter="0" w:footer="0" w:header="0"/>
          <w:type w:val="continuous"/>
        </w:sectPr>
      </w:pPr>
    </w:p>
    <w:p>
      <w:pPr>
        <w:spacing w:after="0" w:line="6"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Balance, March 31, 2003.......................................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$387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619"/>
        <w:spacing w:after="0"/>
        <w:rPr>
          <w:sz w:val="20"/>
          <w:szCs w:val="20"/>
          <w:color w:val="auto"/>
        </w:rPr>
      </w:pPr>
      <w:r>
        <w:rPr>
          <w:rFonts w:ascii="Courier New" w:cs="Courier New" w:eastAsia="Courier New" w:hAnsi="Courier New"/>
          <w:sz w:val="15"/>
          <w:szCs w:val="15"/>
          <w:color w:val="auto"/>
        </w:rPr>
        <w:t>$916</w:t>
      </w:r>
    </w:p>
    <w:p>
      <w:pPr>
        <w:spacing w:after="0" w:line="5"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910" w:space="260"/>
            <w:col w:w="1580" w:space="440"/>
            <w:col w:w="2039"/>
          </w:cols>
          <w:pgMar w:left="230" w:top="791" w:right="1440" w:bottom="1440" w:gutter="0" w:footer="0" w:header="0"/>
          <w:type w:val="continuous"/>
        </w:sectPr>
      </w:pPr>
    </w:p>
    <w:p>
      <w:pPr>
        <w:spacing w:after="0" w:line="14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Bresnan Transaction</w:t>
      </w:r>
    </w:p>
    <w:p>
      <w:pPr>
        <w:ind w:left="450"/>
        <w:spacing w:after="0"/>
        <w:tabs>
          <w:tab w:leader="none" w:pos="769" w:val="left"/>
          <w:tab w:leader="none" w:pos="1389" w:val="left"/>
          <w:tab w:leader="none" w:pos="1829" w:val="left"/>
          <w:tab w:leader="none" w:pos="2449" w:val="left"/>
          <w:tab w:leader="none" w:pos="2889" w:val="left"/>
          <w:tab w:leader="none" w:pos="3689" w:val="left"/>
          <w:tab w:leader="none" w:pos="4649" w:val="left"/>
          <w:tab w:leader="none" w:pos="5089" w:val="left"/>
          <w:tab w:leader="none" w:pos="6229" w:val="left"/>
        </w:tabs>
        <w:rPr>
          <w:sz w:val="20"/>
          <w:szCs w:val="20"/>
          <w:color w:val="auto"/>
        </w:rPr>
      </w:pPr>
      <w:r>
        <w:rPr>
          <w:rFonts w:ascii="Courier New" w:cs="Courier New" w:eastAsia="Courier New" w:hAnsi="Courier New"/>
          <w:sz w:val="15"/>
          <w:szCs w:val="15"/>
          <w:color w:val="auto"/>
        </w:rPr>
        <w:t>On</w:t>
        <w:tab/>
        <w:t>March</w:t>
        <w:tab/>
        <w:t>20,</w:t>
        <w:tab/>
        <w:t>2003,</w:t>
        <w:tab/>
        <w:t>the</w:t>
        <w:tab/>
        <w:t>Company</w:t>
        <w:tab/>
        <w:t>completed</w:t>
        <w:tab/>
        <w:t>the</w:t>
        <w:tab/>
        <w:t>previously</w:t>
      </w:r>
      <w:r>
        <w:rPr>
          <w:sz w:val="20"/>
          <w:szCs w:val="20"/>
          <w:color w:val="auto"/>
        </w:rPr>
        <w:tab/>
      </w:r>
      <w:r>
        <w:rPr>
          <w:rFonts w:ascii="Courier New" w:cs="Courier New" w:eastAsia="Courier New" w:hAnsi="Courier New"/>
          <w:sz w:val="14"/>
          <w:szCs w:val="14"/>
          <w:color w:val="auto"/>
        </w:rPr>
        <w:t>announced</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transaction with Bresnan Broadband Holdings, LLC and Bresnan Communications, LLC (together, "Bresnan") pursuant to which the Company transferred cable systems serving approximately 314,000 subscribers in Montana, Wyoming and Colorado to Bresnan that the Company had acquired in connection with the Broadband acquisition. The Company received $525 million in cash, plus preferred and common equity interests in Bresnan in exchange for these cable systems. The assets (which consist primarily of cable franchise rights, other intangible assets and property and equipment) for these cable systems were reported as assets held for sale in accordance with SFAS No. 144, "Accounting for the Impairment or Disposal of Long-Lived Assets," in the Company's consolidated balance sheet as of December 31, 2002. The transfer of these cable systems was accounted for at fair value with no gain or loss recognized. The results of operations for these cable systems for the 2003 interim period were not significant and are included in equity in net losses of affiliates in the Company's consolidated statement of operations.</w:t>
      </w:r>
    </w:p>
    <w:p>
      <w:pPr>
        <w:spacing w:after="0" w:line="35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791" w:right="1440" w:bottom="1440" w:gutter="0" w:footer="0" w:header="0"/>
          <w:type w:val="continuous"/>
        </w:sectPr>
      </w:pPr>
    </w:p>
    <w:bookmarkStart w:id="9" w:name="page10"/>
    <w:bookmarkEnd w:id="9"/>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 Restructuring</w:t>
      </w:r>
    </w:p>
    <w:p>
      <w:pPr>
        <w:spacing w:after="0" w:line="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On March 31, 2003, the Company announced the successful completion of the previously announced restructuring of Time Warner Entertainment Company L.P. ("TWE"). As a result of the restructuring, AOL Time Warner, Inc. ("AOL Time Warner") has assumed complete control over TWE's content assets, including Home Box Office, Warner Bros., and stakes in The WB Network, Comedy Central and Court TV. All of AOL Time Warner's interests in cable, including those held through TWE, are now held through or for the benefit of a new subsidiary of AOL Time Warner called Time Warner Cable, Inc. ("TWC"). In exchange for its 27.6% interest in TWE, the Company received common-equivalent preferred stock of AOL Time Warner, which will be converted into $1.5 billion of AOL Time Warner common stock upon completion of an effective registration statement filing with the SEC, and the Company received a 21% economic stake in the business of TWC. In addition, the Company received $2.1 billion in cash which was used to immediately repay amounts outstanding under certain of the Company's credit facilities (see Note 7). The TWE restructuring was accounted for as a fair value exchange with no gain or loss recognized. TWC is expected to conduct an initial public offering of common stock under the restructuring agreement. Also, under the restructuring agreement, the Company will have registration rights that should facilitate the disposal or monetization of its shares in TWC and in AOL Time Warner.</w:t>
      </w:r>
    </w:p>
    <w:p>
      <w:pPr>
        <w:spacing w:after="0" w:line="34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part of the process of obtaining approval of the Broadband acquisition from the Federal Communications Commission ("FCC"), at the closing of the Broadband acquisition, the Company placed its entire interest in TWE in trust for orderly disposition. Any non-cash consideration received in respect of such interest as a result of the TWE restructuring, including the AOL Time Warner and TWC stock, will remain in trust until disposed of or FCC approval is obtained to remove such interests from the trust.</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Under the trust, the trustee will have exclusive authority to exercise any management or governance rights associated with the securities in trust. The trustee will also have the obligation, subject to the rights of the Company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the Company from time to time.</w:t>
      </w:r>
    </w:p>
    <w:p>
      <w:pPr>
        <w:spacing w:after="0" w:line="18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a condition of the closing of the TWE restructuring, the Company entered into a three-year nonexclusive agreement with AOL Time Warner under which the AOL High-Speed Broadband service will be made available over a three-year period on certain of the Company's cable systems which pass approximately 10 million homes.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The following unaudited pro forma information has been presented as if the Broadband acquisition occurred on January 1, 2002. This information is based on historical results of operations, adjusted for acquisition costs, and, in the opinion of management, is not necessarily indicative of what the results would have been had the Company operated Broadband since</w:t>
      </w:r>
    </w:p>
    <w:tbl>
      <w:tblPr>
        <w:tblLayout w:type="fixed"/>
        <w:tblInd w:w="0" w:type="dxa"/>
        <w:tblCellMar>
          <w:top w:w="0" w:type="dxa"/>
          <w:left w:w="0" w:type="dxa"/>
          <w:bottom w:w="0" w:type="dxa"/>
          <w:right w:w="0" w:type="dxa"/>
        </w:tblCellMar>
      </w:tblPr>
      <w:tr>
        <w:trPr>
          <w:trHeight w:val="166"/>
        </w:trPr>
        <w:tc>
          <w:tcPr>
            <w:tcW w:w="3080" w:type="dxa"/>
            <w:vAlign w:val="bottom"/>
          </w:tcPr>
          <w:p>
            <w:pPr>
              <w:spacing w:after="0" w:line="166" w:lineRule="exact"/>
              <w:rPr>
                <w:sz w:val="20"/>
                <w:szCs w:val="20"/>
                <w:color w:val="auto"/>
              </w:rPr>
            </w:pPr>
            <w:r>
              <w:rPr>
                <w:rFonts w:ascii="Courier New" w:cs="Courier New" w:eastAsia="Courier New" w:hAnsi="Courier New"/>
                <w:sz w:val="15"/>
                <w:szCs w:val="15"/>
                <w:color w:val="auto"/>
              </w:rPr>
              <w:t>January 1, 2002.</w:t>
            </w:r>
          </w:p>
        </w:tc>
        <w:tc>
          <w:tcPr>
            <w:tcW w:w="3520" w:type="dxa"/>
            <w:vAlign w:val="bottom"/>
          </w:tcPr>
          <w:p>
            <w:pPr>
              <w:spacing w:after="0"/>
              <w:rPr>
                <w:sz w:val="14"/>
                <w:szCs w:val="14"/>
                <w:color w:val="auto"/>
              </w:rPr>
            </w:pPr>
          </w:p>
        </w:tc>
      </w:tr>
      <w:tr>
        <w:trPr>
          <w:trHeight w:val="509"/>
        </w:trPr>
        <w:tc>
          <w:tcPr>
            <w:tcW w:w="3080" w:type="dxa"/>
            <w:vAlign w:val="bottom"/>
          </w:tcPr>
          <w:p>
            <w:pPr>
              <w:spacing w:after="0"/>
              <w:rPr>
                <w:sz w:val="24"/>
                <w:szCs w:val="24"/>
                <w:color w:val="auto"/>
              </w:rPr>
            </w:pPr>
          </w:p>
        </w:tc>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(Amounts in millions,</w:t>
            </w:r>
          </w:p>
        </w:tc>
      </w:tr>
      <w:tr>
        <w:trPr>
          <w:trHeight w:val="170"/>
        </w:trPr>
        <w:tc>
          <w:tcPr>
            <w:tcW w:w="3080" w:type="dxa"/>
            <w:vAlign w:val="bottom"/>
          </w:tcPr>
          <w:p>
            <w:pPr>
              <w:spacing w:after="0"/>
              <w:rPr>
                <w:sz w:val="14"/>
                <w:szCs w:val="14"/>
                <w:color w:val="auto"/>
              </w:rPr>
            </w:pPr>
          </w:p>
        </w:tc>
        <w:tc>
          <w:tcPr>
            <w:tcW w:w="352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7"/>
              </w:rPr>
              <w:t>except per share data)</w:t>
            </w:r>
          </w:p>
        </w:tc>
      </w:tr>
      <w:tr>
        <w:trPr>
          <w:trHeight w:val="170"/>
        </w:trPr>
        <w:tc>
          <w:tcPr>
            <w:tcW w:w="3080" w:type="dxa"/>
            <w:vAlign w:val="bottom"/>
          </w:tcPr>
          <w:p>
            <w:pPr>
              <w:spacing w:after="0"/>
              <w:rPr>
                <w:sz w:val="14"/>
                <w:szCs w:val="14"/>
                <w:color w:val="auto"/>
              </w:rPr>
            </w:pPr>
          </w:p>
        </w:tc>
        <w:tc>
          <w:tcPr>
            <w:tcW w:w="352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7"/>
              </w:rPr>
              <w:t>Three Months Ended</w:t>
            </w:r>
          </w:p>
        </w:tc>
      </w:tr>
      <w:tr>
        <w:trPr>
          <w:trHeight w:val="170"/>
        </w:trPr>
        <w:tc>
          <w:tcPr>
            <w:tcW w:w="3080" w:type="dxa"/>
            <w:vAlign w:val="bottom"/>
          </w:tcPr>
          <w:p>
            <w:pPr>
              <w:spacing w:after="0"/>
              <w:rPr>
                <w:sz w:val="14"/>
                <w:szCs w:val="14"/>
                <w:color w:val="auto"/>
              </w:rPr>
            </w:pPr>
          </w:p>
        </w:tc>
        <w:tc>
          <w:tcPr>
            <w:tcW w:w="352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8"/>
              </w:rPr>
              <w:t>March 31, 2002</w:t>
            </w:r>
          </w:p>
        </w:tc>
      </w:tr>
      <w:tr>
        <w:trPr>
          <w:trHeight w:val="170"/>
        </w:trPr>
        <w:tc>
          <w:tcPr>
            <w:tcW w:w="3080" w:type="dxa"/>
            <w:vAlign w:val="bottom"/>
          </w:tcPr>
          <w:p>
            <w:pPr>
              <w:spacing w:after="0"/>
              <w:rPr>
                <w:sz w:val="14"/>
                <w:szCs w:val="14"/>
                <w:color w:val="auto"/>
              </w:rPr>
            </w:pPr>
          </w:p>
        </w:tc>
        <w:tc>
          <w:tcPr>
            <w:tcW w:w="352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w w:val="77"/>
              </w:rPr>
              <w:t>Revenues....................................</w:t>
            </w:r>
          </w:p>
        </w:tc>
        <w:tc>
          <w:tcPr>
            <w:tcW w:w="35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$5,031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77"/>
              </w:rPr>
              <w:t>Net loss....................................</w:t>
            </w:r>
          </w:p>
        </w:tc>
        <w:tc>
          <w:tcPr>
            <w:tcW w:w="3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($709)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77"/>
              </w:rPr>
              <w:t>Diluted EPS.................................</w:t>
            </w:r>
          </w:p>
        </w:tc>
        <w:tc>
          <w:tcPr>
            <w:tcW w:w="3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($0.31)</w:t>
            </w:r>
          </w:p>
        </w:tc>
      </w:tr>
      <w:tr>
        <w:trPr>
          <w:trHeight w:val="678"/>
        </w:trPr>
        <w:tc>
          <w:tcPr>
            <w:tcW w:w="3080" w:type="dxa"/>
            <w:vAlign w:val="bottom"/>
          </w:tcPr>
          <w:p>
            <w:pPr>
              <w:spacing w:after="0"/>
              <w:rPr>
                <w:sz w:val="24"/>
                <w:szCs w:val="24"/>
                <w:color w:val="auto"/>
              </w:rPr>
            </w:pPr>
          </w:p>
        </w:tc>
        <w:tc>
          <w:tcPr>
            <w:tcW w:w="3520" w:type="dxa"/>
            <w:vAlign w:val="bottom"/>
          </w:tcPr>
          <w:p>
            <w:pPr>
              <w:jc w:val="right"/>
              <w:ind w:right="3367"/>
              <w:spacing w:after="0"/>
              <w:rPr>
                <w:sz w:val="20"/>
                <w:szCs w:val="20"/>
                <w:color w:val="auto"/>
              </w:rPr>
            </w:pPr>
            <w:r>
              <w:rPr>
                <w:rFonts w:ascii="Courier New" w:cs="Courier New" w:eastAsia="Courier New" w:hAnsi="Courier New"/>
                <w:sz w:val="14"/>
                <w:szCs w:val="14"/>
                <w:color w:val="auto"/>
                <w:w w:val="70"/>
              </w:rPr>
              <w:t>9</w:t>
            </w:r>
          </w:p>
        </w:tc>
      </w:tr>
    </w:tbl>
    <w:p>
      <w:pPr>
        <w:sectPr>
          <w:pgSz w:w="11900" w:h="16838" w:orient="portrait"/>
          <w:cols w:equalWidth="0" w:num="1">
            <w:col w:w="9779"/>
          </w:cols>
          <w:pgMar w:left="680" w:top="791" w:right="1440" w:bottom="1440" w:gutter="0" w:footer="0" w:header="0"/>
        </w:sectPr>
      </w:pPr>
    </w:p>
    <w:bookmarkStart w:id="10" w:name="page11"/>
    <w:bookmarkEnd w:id="10"/>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March 31,</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(in millions)</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Fair</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value method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AT&amp;T Corp....................................................</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Cablevision..................................................</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Microsoft....................................................</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1,913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1,967</w:t>
            </w:r>
          </w:p>
        </w:tc>
      </w:tr>
      <w:tr>
        <w:trPr>
          <w:trHeight w:val="170"/>
        </w:trPr>
        <w:tc>
          <w:tcPr>
            <w:tcW w:w="380" w:type="dxa"/>
            <w:vAlign w:val="bottom"/>
          </w:tcPr>
          <w:p>
            <w:pPr>
              <w:spacing w:after="0"/>
              <w:rPr>
                <w:sz w:val="14"/>
                <w:szCs w:val="14"/>
                <w:color w:val="auto"/>
              </w:rPr>
            </w:pPr>
          </w:p>
        </w:tc>
        <w:tc>
          <w:tcPr>
            <w:tcW w:w="442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79"/>
              </w:rPr>
              <w:t>Sprint Corp. PCS Group.......................................</w:t>
            </w: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Vodaphone....................................................</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1,759</w:t>
            </w:r>
          </w:p>
        </w:tc>
      </w:tr>
      <w:tr>
        <w:trPr>
          <w:trHeight w:val="170"/>
        </w:trPr>
        <w:tc>
          <w:tcPr>
            <w:tcW w:w="3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4"/>
                <w:szCs w:val="4"/>
                <w:color w:val="auto"/>
                <w:w w:val="81"/>
              </w:rPr>
              <w:t>Other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4,974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5,158</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Equity Method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Cable related................................................</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2,094</w:t>
            </w:r>
          </w:p>
        </w:tc>
      </w:tr>
      <w:tr>
        <w:trPr>
          <w:trHeight w:val="170"/>
        </w:trPr>
        <w:tc>
          <w:tcPr>
            <w:tcW w:w="3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4"/>
                <w:szCs w:val="4"/>
                <w:color w:val="auto"/>
                <w:w w:val="81"/>
              </w:rPr>
              <w:t>Other........................................................</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2,379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2,330</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Cost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w w:val="91"/>
              </w:rPr>
              <w:t>method,</w:t>
            </w:r>
          </w:p>
        </w:tc>
        <w:tc>
          <w:tcPr>
            <w:tcW w:w="37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principally TWC and AOL Time Warner</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at</w:t>
            </w:r>
          </w:p>
        </w:tc>
        <w:tc>
          <w:tcPr>
            <w:tcW w:w="44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March 31, 2003 and TWE at December 31, 2002</w:t>
            </w:r>
          </w:p>
        </w:tc>
        <w:tc>
          <w:tcPr>
            <w:tcW w:w="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6"/>
                <w:szCs w:val="6"/>
                <w:color w:val="auto"/>
                <w:w w:val="74"/>
              </w:rPr>
              <w:t>(see Note 4).................................................</w:t>
            </w: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8,988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10,985</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Courier New" w:cs="Courier New" w:eastAsia="Courier New" w:hAnsi="Courier New"/>
                <w:sz w:val="9"/>
                <w:szCs w:val="9"/>
                <w:color w:val="auto"/>
                <w:w w:val="76"/>
              </w:rPr>
              <w:t>Total investments............................................</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16,341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18,473</w:t>
            </w:r>
          </w:p>
        </w:tc>
      </w:tr>
      <w:tr>
        <w:trPr>
          <w:trHeight w:val="170"/>
        </w:trPr>
        <w:tc>
          <w:tcPr>
            <w:tcW w:w="4800" w:type="dxa"/>
            <w:vAlign w:val="bottom"/>
            <w:gridSpan w:val="6"/>
          </w:tcPr>
          <w:p>
            <w:pPr>
              <w:spacing w:after="0"/>
              <w:rPr>
                <w:sz w:val="20"/>
                <w:szCs w:val="20"/>
                <w:color w:val="auto"/>
              </w:rPr>
            </w:pPr>
            <w:r>
              <w:rPr>
                <w:rFonts w:ascii="Courier New" w:cs="Courier New" w:eastAsia="Courier New" w:hAnsi="Courier New"/>
                <w:sz w:val="15"/>
                <w:szCs w:val="15"/>
                <w:color w:val="auto"/>
                <w:w w:val="80"/>
              </w:rPr>
              <w:t>Less, current investments.........................................</w:t>
            </w: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gridSpan w:val="5"/>
          </w:tcPr>
          <w:p>
            <w:pPr>
              <w:spacing w:after="0"/>
              <w:rPr>
                <w:sz w:val="20"/>
                <w:szCs w:val="20"/>
                <w:color w:val="auto"/>
              </w:rPr>
            </w:pPr>
            <w:r>
              <w:rPr>
                <w:rFonts w:ascii="Courier New" w:cs="Courier New" w:eastAsia="Courier New" w:hAnsi="Courier New"/>
                <w:sz w:val="10"/>
                <w:szCs w:val="10"/>
                <w:color w:val="auto"/>
                <w:w w:val="74"/>
              </w:rPr>
              <w:t>Non-current investments...........................................</w:t>
            </w: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$13,188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Fair</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Value Method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4800" w:type="dxa"/>
            <w:vAlign w:val="bottom"/>
            <w:gridSpan w:val="6"/>
          </w:tcPr>
          <w:p>
            <w:pPr>
              <w:spacing w:after="0"/>
              <w:rPr>
                <w:sz w:val="20"/>
                <w:szCs w:val="20"/>
                <w:color w:val="auto"/>
              </w:rPr>
            </w:pPr>
            <w:r>
              <w:rPr>
                <w:rFonts w:ascii="Courier New" w:cs="Courier New" w:eastAsia="Courier New" w:hAnsi="Courier New"/>
                <w:sz w:val="15"/>
                <w:szCs w:val="15"/>
                <w:color w:val="auto"/>
              </w:rPr>
              <w:t>The Company  holds  unrestricted  equity  investments</w:t>
            </w:r>
          </w:p>
        </w:tc>
        <w:tc>
          <w:tcPr>
            <w:tcW w:w="2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8"/>
              </w:rPr>
              <w:t>in certain  publicly</w:t>
            </w:r>
          </w:p>
        </w:tc>
        <w:tc>
          <w:tcPr>
            <w:tcW w:w="1540" w:type="dxa"/>
            <w:vAlign w:val="bottom"/>
          </w:tcPr>
          <w:p>
            <w:pPr>
              <w:spacing w:after="0"/>
              <w:rPr>
                <w:sz w:val="14"/>
                <w:szCs w:val="14"/>
                <w:color w:val="auto"/>
              </w:rPr>
            </w:pPr>
          </w:p>
        </w:tc>
      </w:tr>
      <w:tr>
        <w:trPr>
          <w:trHeight w:val="170"/>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traded  companies,</w:t>
            </w:r>
          </w:p>
        </w:tc>
        <w:tc>
          <w:tcPr>
            <w:tcW w:w="31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which it accounts for as available</w:t>
            </w:r>
          </w:p>
        </w:tc>
        <w:tc>
          <w:tcPr>
            <w:tcW w:w="2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for sale or trading</w:t>
            </w:r>
          </w:p>
        </w:tc>
        <w:tc>
          <w:tcPr>
            <w:tcW w:w="154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securities.</w:t>
            </w: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The net unrealized pre-tax gains on investments</w:t>
            </w:r>
          </w:p>
        </w:tc>
        <w:tc>
          <w:tcPr>
            <w:tcW w:w="22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accounted for</w:t>
            </w:r>
          </w:p>
        </w:tc>
        <w:tc>
          <w:tcPr>
            <w:tcW w:w="1540" w:type="dxa"/>
            <w:vAlign w:val="bottom"/>
          </w:tcPr>
          <w:p>
            <w:pPr>
              <w:spacing w:after="0"/>
              <w:rPr>
                <w:sz w:val="14"/>
                <w:szCs w:val="14"/>
                <w:color w:val="auto"/>
              </w:rPr>
            </w:pPr>
          </w:p>
        </w:tc>
      </w:tr>
      <w:tr>
        <w:trPr>
          <w:trHeight w:val="170"/>
        </w:trPr>
        <w:tc>
          <w:tcPr>
            <w:tcW w:w="7520" w:type="dxa"/>
            <w:vAlign w:val="bottom"/>
            <w:gridSpan w:val="8"/>
          </w:tcPr>
          <w:p>
            <w:pPr>
              <w:spacing w:after="0"/>
              <w:rPr>
                <w:sz w:val="20"/>
                <w:szCs w:val="20"/>
                <w:color w:val="auto"/>
              </w:rPr>
            </w:pPr>
            <w:r>
              <w:rPr>
                <w:rFonts w:ascii="Courier New" w:cs="Courier New" w:eastAsia="Courier New" w:hAnsi="Courier New"/>
                <w:sz w:val="15"/>
                <w:szCs w:val="15"/>
                <w:color w:val="auto"/>
              </w:rPr>
              <w:t>as available for sale securities as of March 31, 2003 and December 31, 2002</w:t>
            </w:r>
          </w:p>
        </w:tc>
        <w:tc>
          <w:tcPr>
            <w:tcW w:w="1540" w:type="dxa"/>
            <w:vAlign w:val="bottom"/>
          </w:tcPr>
          <w:p>
            <w:pPr>
              <w:spacing w:after="0"/>
              <w:rPr>
                <w:sz w:val="14"/>
                <w:szCs w:val="14"/>
                <w:color w:val="auto"/>
              </w:rPr>
            </w:pPr>
          </w:p>
        </w:tc>
      </w:tr>
      <w:tr>
        <w:trPr>
          <w:trHeight w:val="170"/>
        </w:trPr>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of $56 million and $72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million,</w:t>
            </w:r>
          </w:p>
        </w:tc>
        <w:tc>
          <w:tcPr>
            <w:tcW w:w="23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respectively,  have been</w:t>
            </w:r>
          </w:p>
        </w:tc>
        <w:tc>
          <w:tcPr>
            <w:tcW w:w="224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6"/>
              </w:rPr>
              <w:t>reported in the</w:t>
            </w:r>
          </w:p>
        </w:tc>
        <w:tc>
          <w:tcPr>
            <w:tcW w:w="154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Company's</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consolidated</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balance</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rPr>
              <w:t>sheet  principally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as  a</w:t>
            </w:r>
          </w:p>
        </w:tc>
        <w:tc>
          <w:tcPr>
            <w:tcW w:w="22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component  of</w:t>
            </w:r>
          </w:p>
        </w:tc>
        <w:tc>
          <w:tcPr>
            <w:tcW w:w="1540" w:type="dxa"/>
            <w:vAlign w:val="bottom"/>
          </w:tcPr>
          <w:p>
            <w:pPr>
              <w:spacing w:after="0"/>
              <w:rPr>
                <w:sz w:val="14"/>
                <w:szCs w:val="14"/>
                <w:color w:val="auto"/>
              </w:rPr>
            </w:pPr>
          </w:p>
        </w:tc>
      </w:tr>
      <w:tr>
        <w:trPr>
          <w:trHeight w:val="170"/>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accumulated other</w:t>
            </w:r>
          </w:p>
        </w:tc>
        <w:tc>
          <w:tcPr>
            <w:tcW w:w="5860" w:type="dxa"/>
            <w:vAlign w:val="bottom"/>
            <w:gridSpan w:val="5"/>
          </w:tcPr>
          <w:p>
            <w:pPr>
              <w:jc w:val="right"/>
              <w:ind w:right="847"/>
              <w:spacing w:after="0"/>
              <w:rPr>
                <w:sz w:val="20"/>
                <w:szCs w:val="20"/>
                <w:color w:val="auto"/>
              </w:rPr>
            </w:pPr>
            <w:r>
              <w:rPr>
                <w:rFonts w:ascii="Courier New" w:cs="Courier New" w:eastAsia="Courier New" w:hAnsi="Courier New"/>
                <w:sz w:val="15"/>
                <w:szCs w:val="15"/>
                <w:color w:val="auto"/>
                <w:w w:val="97"/>
              </w:rPr>
              <w:t>comprehensive loss, net of related deferred income taxes</w:t>
            </w:r>
          </w:p>
        </w:tc>
        <w:tc>
          <w:tcPr>
            <w:tcW w:w="1540" w:type="dxa"/>
            <w:vAlign w:val="bottom"/>
          </w:tcPr>
          <w:p>
            <w:pPr>
              <w:spacing w:after="0"/>
              <w:rPr>
                <w:sz w:val="14"/>
                <w:szCs w:val="14"/>
                <w:color w:val="auto"/>
              </w:rPr>
            </w:pPr>
          </w:p>
        </w:tc>
      </w:tr>
      <w:tr>
        <w:trPr>
          <w:trHeight w:val="170"/>
        </w:trPr>
        <w:tc>
          <w:tcPr>
            <w:tcW w:w="4800" w:type="dxa"/>
            <w:vAlign w:val="bottom"/>
            <w:gridSpan w:val="6"/>
          </w:tcPr>
          <w:p>
            <w:pPr>
              <w:spacing w:after="0"/>
              <w:rPr>
                <w:sz w:val="20"/>
                <w:szCs w:val="20"/>
                <w:color w:val="auto"/>
              </w:rPr>
            </w:pPr>
            <w:r>
              <w:rPr>
                <w:rFonts w:ascii="Courier New" w:cs="Courier New" w:eastAsia="Courier New" w:hAnsi="Courier New"/>
                <w:sz w:val="15"/>
                <w:szCs w:val="15"/>
                <w:color w:val="auto"/>
              </w:rPr>
              <w:t>of $20 million and $25 million, respectively.</w:t>
            </w:r>
          </w:p>
        </w:tc>
        <w:tc>
          <w:tcPr>
            <w:tcW w:w="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69" w:lineRule="exact"/>
        <w:rPr>
          <w:sz w:val="20"/>
          <w:szCs w:val="20"/>
          <w:color w:val="auto"/>
        </w:rPr>
      </w:pPr>
    </w:p>
    <w:p>
      <w:pPr>
        <w:ind w:left="450"/>
        <w:spacing w:after="0"/>
        <w:tabs>
          <w:tab w:leader="none" w:pos="3249" w:val="left"/>
          <w:tab w:leader="none" w:pos="4289" w:val="left"/>
        </w:tabs>
        <w:rPr>
          <w:sz w:val="20"/>
          <w:szCs w:val="20"/>
          <w:color w:val="auto"/>
        </w:rPr>
      </w:pPr>
      <w:r>
        <w:rPr>
          <w:rFonts w:ascii="Courier New" w:cs="Courier New" w:eastAsia="Courier New" w:hAnsi="Courier New"/>
          <w:sz w:val="15"/>
          <w:szCs w:val="15"/>
          <w:color w:val="auto"/>
        </w:rPr>
        <w:t>The cost, fair value and gross</w:t>
        <w:tab/>
        <w:t>unrealized</w:t>
      </w:r>
      <w:r>
        <w:rPr>
          <w:sz w:val="20"/>
          <w:szCs w:val="20"/>
          <w:color w:val="auto"/>
        </w:rPr>
        <w:tab/>
      </w:r>
      <w:r>
        <w:rPr>
          <w:rFonts w:ascii="Courier New" w:cs="Courier New" w:eastAsia="Courier New" w:hAnsi="Courier New"/>
          <w:sz w:val="14"/>
          <w:szCs w:val="14"/>
          <w:color w:val="auto"/>
        </w:rPr>
        <w:t>gains and losses related to the</w:t>
      </w:r>
    </w:p>
    <w:p>
      <w:pPr>
        <w:ind w:left="450"/>
        <w:spacing w:after="0"/>
        <w:rPr>
          <w:sz w:val="20"/>
          <w:szCs w:val="20"/>
          <w:color w:val="auto"/>
        </w:rPr>
      </w:pPr>
      <w:r>
        <w:rPr>
          <w:rFonts w:ascii="Courier New" w:cs="Courier New" w:eastAsia="Courier New" w:hAnsi="Courier New"/>
          <w:sz w:val="15"/>
          <w:szCs w:val="15"/>
          <w:color w:val="auto"/>
        </w:rPr>
        <w:t>Company's available for sale securities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80" w:type="dxa"/>
            <w:vAlign w:val="bottom"/>
          </w:tcPr>
          <w:p>
            <w:pPr>
              <w:spacing w:after="0"/>
              <w:rPr>
                <w:sz w:val="14"/>
                <w:szCs w:val="14"/>
                <w:color w:val="auto"/>
              </w:rPr>
            </w:pP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980" w:type="dxa"/>
            <w:vAlign w:val="bottom"/>
          </w:tcPr>
          <w:p>
            <w:pPr>
              <w:spacing w:after="0"/>
              <w:rPr>
                <w:sz w:val="14"/>
                <w:szCs w:val="14"/>
                <w:color w:val="auto"/>
              </w:rPr>
            </w:pP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980" w:type="dxa"/>
            <w:vAlign w:val="bottom"/>
          </w:tcPr>
          <w:p>
            <w:pPr>
              <w:spacing w:after="0"/>
              <w:rPr>
                <w:sz w:val="14"/>
                <w:szCs w:val="14"/>
                <w:color w:val="auto"/>
              </w:rPr>
            </w:pP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w:t>
            </w:r>
          </w:p>
        </w:tc>
      </w:tr>
      <w:tr>
        <w:trPr>
          <w:trHeight w:val="170"/>
        </w:trPr>
        <w:tc>
          <w:tcPr>
            <w:tcW w:w="5980" w:type="dxa"/>
            <w:vAlign w:val="bottom"/>
          </w:tcPr>
          <w:p>
            <w:pPr>
              <w:spacing w:after="0"/>
              <w:rPr>
                <w:sz w:val="14"/>
                <w:szCs w:val="14"/>
                <w:color w:val="auto"/>
              </w:rPr>
            </w:pP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Cost Method</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connection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the  Broadband</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acquisition,</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the Company</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acquired an</w:t>
            </w:r>
          </w:p>
        </w:tc>
      </w:tr>
      <w:tr>
        <w:trPr>
          <w:trHeight w:val="170"/>
        </w:trPr>
        <w:tc>
          <w:tcPr>
            <w:tcW w:w="1760" w:type="dxa"/>
            <w:vAlign w:val="bottom"/>
            <w:gridSpan w:val="4"/>
          </w:tcPr>
          <w:p>
            <w:pPr>
              <w:spacing w:after="0"/>
              <w:rPr>
                <w:sz w:val="20"/>
                <w:szCs w:val="20"/>
                <w:color w:val="auto"/>
              </w:rPr>
            </w:pPr>
            <w:r>
              <w:rPr>
                <w:rFonts w:ascii="Courier New" w:cs="Courier New" w:eastAsia="Courier New" w:hAnsi="Courier New"/>
                <w:sz w:val="15"/>
                <w:szCs w:val="15"/>
                <w:color w:val="auto"/>
                <w:w w:val="96"/>
              </w:rPr>
              <w:t>indirect interest in</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Charter</w:t>
            </w:r>
          </w:p>
        </w:tc>
        <w:tc>
          <w:tcPr>
            <w:tcW w:w="400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Communications VIII, LLC ("CC VIII"), a cable</w:t>
            </w:r>
          </w:p>
        </w:tc>
      </w:tr>
      <w:tr>
        <w:trPr>
          <w:trHeight w:val="170"/>
        </w:trPr>
        <w:tc>
          <w:tcPr>
            <w:tcW w:w="3780" w:type="dxa"/>
            <w:vAlign w:val="bottom"/>
            <w:gridSpan w:val="7"/>
          </w:tcPr>
          <w:p>
            <w:pPr>
              <w:spacing w:after="0"/>
              <w:rPr>
                <w:sz w:val="20"/>
                <w:szCs w:val="20"/>
                <w:color w:val="auto"/>
              </w:rPr>
            </w:pPr>
            <w:r>
              <w:rPr>
                <w:rFonts w:ascii="Courier New" w:cs="Courier New" w:eastAsia="Courier New" w:hAnsi="Courier New"/>
                <w:sz w:val="15"/>
                <w:szCs w:val="15"/>
                <w:color w:val="auto"/>
                <w:w w:val="99"/>
              </w:rPr>
              <w:t>joint venture with Charter Communications,</w:t>
            </w:r>
          </w:p>
        </w:tc>
        <w:tc>
          <w:tcPr>
            <w:tcW w:w="28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Inc. ("Charter"). In April 2002,</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AT&amp;T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its</w:t>
            </w:r>
          </w:p>
        </w:tc>
        <w:tc>
          <w:tcPr>
            <w:tcW w:w="20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7"/>
              </w:rPr>
              <w:t>rights to cause Paul</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Allen</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("Allen"),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Charter's</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Chairman,</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or</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his</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designee</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purchase</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this</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indirect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approximately</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$725</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million</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in cash.  The</w:t>
            </w:r>
          </w:p>
        </w:tc>
        <w:tc>
          <w:tcPr>
            <w:tcW w:w="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parties</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agreed</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to</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delay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settlement</w:t>
            </w:r>
          </w:p>
        </w:tc>
        <w:tc>
          <w:tcPr>
            <w:tcW w:w="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of the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until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April</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2003</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while they</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negotiated</w:t>
            </w:r>
          </w:p>
        </w:tc>
      </w:tr>
      <w:tr>
        <w:trPr>
          <w:trHeight w:val="170"/>
        </w:trPr>
        <w:tc>
          <w:tcPr>
            <w:tcW w:w="3780" w:type="dxa"/>
            <w:vAlign w:val="bottom"/>
            <w:gridSpan w:val="7"/>
          </w:tcPr>
          <w:p>
            <w:pPr>
              <w:spacing w:after="0"/>
              <w:rPr>
                <w:sz w:val="20"/>
                <w:szCs w:val="20"/>
                <w:color w:val="auto"/>
              </w:rPr>
            </w:pPr>
            <w:r>
              <w:rPr>
                <w:rFonts w:ascii="Courier New" w:cs="Courier New" w:eastAsia="Courier New" w:hAnsi="Courier New"/>
                <w:sz w:val="15"/>
                <w:szCs w:val="15"/>
                <w:color w:val="auto"/>
                <w:w w:val="99"/>
              </w:rPr>
              <w:t>alternatives to the purchase. On April 14,</w:t>
            </w:r>
          </w:p>
        </w:tc>
        <w:tc>
          <w:tcPr>
            <w:tcW w:w="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2003, the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11" w:name="page12"/>
    <w:bookmarkEnd w:id="11"/>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45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260" w:type="dxa"/>
            <w:vAlign w:val="bottom"/>
          </w:tcPr>
          <w:p>
            <w:pPr>
              <w:ind w:left="1060"/>
              <w:spacing w:after="0"/>
              <w:rPr>
                <w:sz w:val="20"/>
                <w:szCs w:val="20"/>
                <w:color w:val="auto"/>
              </w:rPr>
            </w:pPr>
            <w:r>
              <w:rPr>
                <w:rFonts w:ascii="Courier New" w:cs="Courier New" w:eastAsia="Courier New" w:hAnsi="Courier New"/>
                <w:sz w:val="15"/>
                <w:szCs w:val="15"/>
                <w:color w:val="auto"/>
              </w:rPr>
              <w:t>(Unaudited)</w:t>
            </w: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Company  announced</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that the Company and Allen agreed to delay for a period</w:t>
            </w: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of up to 30 days the  purchase by Allen of  Comcast's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interest in CC VIII.</w:t>
            </w: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The  transaction</w:t>
            </w:r>
          </w:p>
        </w:tc>
        <w:tc>
          <w:tcPr>
            <w:tcW w:w="3260" w:type="dxa"/>
            <w:vAlign w:val="bottom"/>
          </w:tcPr>
          <w:p>
            <w:pPr>
              <w:spacing w:after="0"/>
              <w:rPr>
                <w:sz w:val="20"/>
                <w:szCs w:val="20"/>
                <w:color w:val="auto"/>
              </w:rPr>
            </w:pPr>
            <w:r>
              <w:rPr>
                <w:rFonts w:ascii="Courier New" w:cs="Courier New" w:eastAsia="Courier New" w:hAnsi="Courier New"/>
                <w:sz w:val="15"/>
                <w:szCs w:val="15"/>
                <w:color w:val="auto"/>
                <w:w w:val="97"/>
              </w:rPr>
              <w:t>is now expected to close in May 2003,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unless the parties</w:t>
            </w: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agree to an alternative arrangement.</w:t>
            </w: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Investment Loss, Net</w:t>
            </w: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Investment  loss,</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net for the interim  periods  includes the following (in</w:t>
            </w: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48"/>
        </w:trPr>
        <w:tc>
          <w:tcPr>
            <w:tcW w:w="1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2003</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Interest and dividend income.........................................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Gains on sales and exchanges of investments, net.....................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Investment impairment losses.........................................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Unrealized losses on trading securities..............................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r>
      <w:tr>
        <w:trPr>
          <w:trHeight w:val="170"/>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Mark to market adjustments on derivatives related</w:t>
            </w: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to trading securities...........................................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Mark to market adjustments on derivatives and hedged items...........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Investment loss, net............................................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Cable</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Commerce</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Other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26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2002......................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$15,644</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$17,397</w:t>
            </w:r>
          </w:p>
        </w:tc>
      </w:tr>
      <w:tr>
        <w:trPr>
          <w:trHeight w:val="170"/>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Purchase price allocation adjustments.......</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0"/>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Intersegment transfers......................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134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March 31, 2003.........................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$15,306</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$17,039</w:t>
            </w:r>
          </w:p>
        </w:tc>
      </w:tr>
      <w:tr>
        <w:trPr>
          <w:trHeight w:val="170"/>
        </w:trPr>
        <w:tc>
          <w:tcPr>
            <w:tcW w:w="426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During the 2003 interim period, the Company adjusted its preliminary purchase price allocation of the Broadband acquisition. These adjustments resulted in a reduction of goodwill and corresponding adjustments to franchise rights, other noncurrent liabilities, deferred income taxes and certain working capital accounts (see Note 4).</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LONG-TERM DEBT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80" w:type="dxa"/>
            <w:vAlign w:val="bottom"/>
          </w:tcPr>
          <w:p>
            <w:pPr>
              <w:spacing w:after="0"/>
              <w:rPr>
                <w:sz w:val="14"/>
                <w:szCs w:val="14"/>
                <w:color w:val="auto"/>
              </w:rPr>
            </w:pP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98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30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(in millions)</w:t>
            </w:r>
          </w:p>
        </w:tc>
      </w:tr>
      <w:tr>
        <w:trPr>
          <w:trHeight w:val="339"/>
        </w:trPr>
        <w:tc>
          <w:tcPr>
            <w:tcW w:w="5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Notes exchangeable into common stock.............................</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$5,679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$5,459</w:t>
            </w:r>
          </w:p>
        </w:tc>
      </w:tr>
      <w:tr>
        <w:trPr>
          <w:trHeight w:val="170"/>
        </w:trPr>
        <w:tc>
          <w:tcPr>
            <w:tcW w:w="5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Bank and public debt.............................................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26,682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28,702</w:t>
            </w:r>
          </w:p>
        </w:tc>
      </w:tr>
      <w:tr>
        <w:trPr>
          <w:trHeight w:val="170"/>
        </w:trPr>
        <w:tc>
          <w:tcPr>
            <w:tcW w:w="5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Other, including capital lease obligations.......................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598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debt..................................................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$32,910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$34,910</w:t>
            </w:r>
          </w:p>
        </w:tc>
      </w:tr>
      <w:tr>
        <w:trPr>
          <w:trHeight w:val="170"/>
        </w:trPr>
        <w:tc>
          <w:tcPr>
            <w:tcW w:w="598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5980" w:type="dxa"/>
            <w:vAlign w:val="bottom"/>
          </w:tcPr>
          <w:p>
            <w:pPr>
              <w:jc w:val="right"/>
              <w:ind w:right="2747"/>
              <w:spacing w:after="0"/>
              <w:rPr>
                <w:sz w:val="20"/>
                <w:szCs w:val="20"/>
                <w:color w:val="auto"/>
              </w:rPr>
            </w:pPr>
            <w:r>
              <w:rPr>
                <w:rFonts w:ascii="Courier New" w:cs="Courier New" w:eastAsia="Courier New" w:hAnsi="Courier New"/>
                <w:sz w:val="15"/>
                <w:szCs w:val="15"/>
                <w:color w:val="auto"/>
              </w:rPr>
              <w:t>11</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12" w:name="page13"/>
    <w:bookmarkEnd w:id="12"/>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Cross-Guarantee Structure</w:t>
      </w:r>
    </w:p>
    <w:p>
      <w:pPr>
        <w:spacing w:after="0" w:line="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To simplify the Company's capital structure, effective with the acquisition of Broadband, the Company and four of its cable holding company subsidiaries fully and unconditionally guaranteed each other's debt securities (the "Cross-Guarantee Structure"). Comcast Holdings Corporation is not a guarantor, and none of its debt is guaranteed. Comcast MO of Delaware, Inc. (formerly, MediaOne of Delaware, Inc. and Continental Cablevision, Inc.) was not originally a part of the Cross-Guarantee Structure. On March 12, 2003, the Company announced the successful completion of a bondholder consent solicitation related to Comcast MO of Delaware, Inc.'s $1.7 billion aggregate principal amount in debt securities to permit it to become part of the Cross-Guarantee Structure. As of March 31, 2003, $24.432 billion of the Company's debt securities were entitled to the benefits of the Cross-Guarantee Structure (see Note 12).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 Offerings</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and March 2003, the Company sold an aggregate of $3.0 billion of public debt consisting of $600 million of 5.85% senior notes due 2010, $900 million of 6.50% senior notes due 2015, $750 million of 5.50% senior notes due 2011 and $750 million of 7.05% senior notes due 2033. The Company used all of the net proceeds from the offerings to repay a portion of the Company's short-term debt outstanding.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Repayments of Debt with Proceeds from TWE Restructuring</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On March 31, 2003, in connection with the closing of the TWE restructuring, the Company received $2.1 billion in cash which was used to repay debt, including the remaining outstanding balance of its short-term debt (see Note 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Redemptions and Refinancings of Debt</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April 9, 2003, the Company announced that it intends to redeem at their respective scheduled redemption price on May 9, 2003, the entire outstanding aggregate principal amount of certain of its senior notes and senior subordinated notes with maturities from 2003 to 2023 and interest rates ranging from 8 1/4% to 9.65%. The Company intends to refinance the redemptions with amounts available under the Company's existing credit facilities. As of March 31, 2003, $451 million of these notes were outstanding.</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May 5, 2003, the Company borrowed an aggregate of $2.75 billion, representing all amounts available under two new credit agreements. Borrowings under the new credit agreements, which are due in 2006, were used to repay a portion of the $3.18 billion outstanding as of March 31, 2003 under the Company's term loan due 2004. The new credit agreements replaced the Company's 364-day credit facility which expired in May 2003.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Exchangeable into Common Stock</w:t>
      </w:r>
    </w:p>
    <w:p>
      <w:pPr>
        <w:spacing w:after="0" w:line="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As a result of the Broadband acquisition, the Company assumed exchangeable notes (the "Exchangeable Notes") which are mandatorily redeemable at the Company's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The Company's Exchangeable Notes are collateralized by the Company's investments in Cablevision, Microsoft and Vodafone, respectively, and the Comcast Class A Special common stock held in treasury. As of March 31, 2003, the securities held by the Company collateralizing the Exchangeable Notes were sufficient to satisfy the debt obligations associated with the outstanding Exchangeable Notes.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March 31, 2003, the number of Sprint PCS shares held by the Company exceeded the number of ZONES outstanding.</w:t>
      </w:r>
    </w:p>
    <w:p>
      <w:pPr>
        <w:spacing w:after="0" w:line="3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791" w:right="1440" w:bottom="1440" w:gutter="0" w:footer="0" w:header="0"/>
        </w:sectPr>
      </w:pPr>
    </w:p>
    <w:bookmarkStart w:id="13" w:name="page14"/>
    <w:bookmarkEnd w:id="13"/>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left="450" w:right="3179"/>
        <w:spacing w:after="0" w:line="258" w:lineRule="auto"/>
        <w:rPr>
          <w:sz w:val="20"/>
          <w:szCs w:val="20"/>
          <w:color w:val="auto"/>
        </w:rPr>
      </w:pPr>
      <w:r>
        <w:rPr>
          <w:rFonts w:ascii="Courier New" w:cs="Courier New" w:eastAsia="Courier New" w:hAnsi="Courier New"/>
          <w:sz w:val="14"/>
          <w:szCs w:val="14"/>
          <w:color w:val="auto"/>
        </w:rPr>
        <w:t>The Company split the accounting for the Exchangeable Notes and the ZONES into derivative and debt components. The Company records the change in the fair value of the derivative component of the Exchangeable Notes and the ZONES (see Note 5) and the change in the carrying value of the debt component of the Exchangeable Notes and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Exchangeable Notes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ZONES</w:t>
            </w:r>
          </w:p>
        </w:tc>
        <w:tc>
          <w:tcPr>
            <w:tcW w:w="104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March 31,</w:t>
            </w:r>
          </w:p>
        </w:tc>
        <w:tc>
          <w:tcPr>
            <w:tcW w:w="26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2003</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Debt component................................</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$6,981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Derivative component..........................</w:t>
            </w: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(1,522)</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1,145</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5,459</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1,613</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(Decrease) increase in debt component</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w w:val="99"/>
              </w:rPr>
              <w:t>to interest expense........................</w:t>
            </w: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Increase (decrease) in derivative component</w:t>
            </w:r>
          </w:p>
        </w:tc>
        <w:tc>
          <w:tcPr>
            <w:tcW w:w="2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w w:val="99"/>
              </w:rPr>
              <w:t>to investment loss, net....................</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245</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(664)</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Debt component................................</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6,956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Derivative component..........................</w:t>
            </w: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(1,277)</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w w:val="99"/>
              </w:rPr>
              <w:t>Total .....................................</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$5,679</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w:t>
            </w:r>
          </w:p>
        </w:tc>
      </w:tr>
      <w:tr>
        <w:trPr>
          <w:trHeight w:val="170"/>
        </w:trPr>
        <w:tc>
          <w:tcPr>
            <w:tcW w:w="414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bl>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Excluding the derivative component of the Exchangeable Notes and the ZONES whose changes in fair value are recorded to investment loss, net, the Company's effective weighted average interest rate on its total debt outstanding was 6.54% and 5.86% as of March 31, 2003 and December 31, 2002, respectively.</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Derivatives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50" w:right="3179"/>
        <w:spacing w:after="0" w:line="235" w:lineRule="auto"/>
        <w:rPr>
          <w:sz w:val="20"/>
          <w:szCs w:val="20"/>
          <w:color w:val="auto"/>
        </w:rPr>
      </w:pPr>
      <w:r>
        <w:rPr>
          <w:rFonts w:ascii="Courier New" w:cs="Courier New" w:eastAsia="Courier New" w:hAnsi="Courier New"/>
          <w:sz w:val="15"/>
          <w:szCs w:val="15"/>
          <w:color w:val="auto"/>
        </w:rPr>
        <w:t>Certain subsidiaries of the Company had unused lines of credit of $4.763 billion under their respective credit facilities.</w:t>
      </w:r>
    </w:p>
    <w:p>
      <w:pPr>
        <w:spacing w:after="0" w:line="176"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As of March 31, 2003, the Company and certain of its subsidiaries had unused irrevocable standby letters of credit totaling $400 million to cover potential fundings under various agreements.</w:t>
      </w:r>
    </w:p>
    <w:p>
      <w:pPr>
        <w:spacing w:after="0" w:line="169"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and related interpretations, as permitted by SFAS No. 123, "Accounting for Stock-Based Compensation," as amended.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w:t>
      </w:r>
    </w:p>
    <w:p>
      <w:pPr>
        <w:spacing w:after="0" w:line="17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791" w:right="1440" w:bottom="1440" w:gutter="0" w:footer="0" w:header="0"/>
        </w:sectPr>
      </w:pPr>
    </w:p>
    <w:bookmarkStart w:id="14" w:name="page15"/>
    <w:bookmarkEnd w:id="14"/>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following table illustrates the effect on net loss and loss per share if the Company had applied the fair value recognition provisions of SFAS No. 123 to stock-based compensation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2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680" w:type="dxa"/>
            <w:vAlign w:val="bottom"/>
          </w:tcPr>
          <w:p>
            <w:pPr>
              <w:spacing w:after="0"/>
              <w:rPr>
                <w:sz w:val="14"/>
                <w:szCs w:val="14"/>
                <w:color w:val="auto"/>
              </w:rPr>
            </w:pPr>
          </w:p>
        </w:tc>
        <w:tc>
          <w:tcPr>
            <w:tcW w:w="22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loss, as reported...........................................</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339"/>
        </w:trPr>
        <w:tc>
          <w:tcPr>
            <w:tcW w:w="5680" w:type="dxa"/>
            <w:vAlign w:val="bottom"/>
          </w:tcPr>
          <w:p>
            <w:pPr>
              <w:jc w:val="right"/>
              <w:ind w:right="2267"/>
              <w:spacing w:after="0"/>
              <w:rPr>
                <w:sz w:val="20"/>
                <w:szCs w:val="20"/>
                <w:color w:val="auto"/>
              </w:rPr>
            </w:pPr>
            <w:r>
              <w:rPr>
                <w:rFonts w:ascii="Courier New" w:cs="Courier New" w:eastAsia="Courier New" w:hAnsi="Courier New"/>
                <w:sz w:val="15"/>
                <w:szCs w:val="15"/>
                <w:color w:val="auto"/>
                <w:w w:val="97"/>
              </w:rPr>
              <w:t>Deduct: Total stock-based compensation</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6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expense determined under fair value based method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for all awards, net of related tax effects.................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7"/>
              </w:rPr>
              <w:t>Pro forma, net loss.............................................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and Diluted loss for common stockholders per common share:</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0"/>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bl>
    <w:p>
      <w:pPr>
        <w:spacing w:after="0" w:line="34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Total stock-based compensation expense was determined under the fair value method for all awards assuming accelerated vesting of the Company's stock options as permitted under SFAS No. 123. Had the Company applied the fair value recognition provisions of SFAS No. 123 assuming straight-line rather than accelerated vesting of its stock options, total stock-based compensation expense, net of related tax effects, would have been $32 million and $27 million for the interim periods in 2003 and 2002, respectively.</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weighted-average fair value at date of grant of a Class A common stock option granted under the Company's option plans during the 2003 interim period was $11.56. The weighted-average fair value at date of grant of a Class A Special common stock option granted under the option plans during the interim period in 2002 was $16.43. The fair value of each option granted during the interim periods in 2003 and 2002 was estimated on the date of grant using the Black-Scholes option-pricing model with the following weighted-average assumptions: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1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 March 31,</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2003</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2002</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Class A</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 A Special</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 Stock</w:t>
            </w:r>
          </w:p>
        </w:tc>
        <w:tc>
          <w:tcPr>
            <w:tcW w:w="158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Common Stock</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Dividend yield.....................</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volatility................</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29.2%</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option lives (in years)...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Forfeiture rate....................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r>
    </w:tbl>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pro forma effect on net loss and net loss per share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200" w:lineRule="exact"/>
        <w:rPr>
          <w:sz w:val="20"/>
          <w:szCs w:val="20"/>
          <w:color w:val="auto"/>
        </w:rPr>
      </w:pPr>
    </w:p>
    <w:p>
      <w:pPr>
        <w:spacing w:after="0" w:line="30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791" w:right="1440" w:bottom="1440" w:gutter="0" w:footer="0" w:header="0"/>
        </w:sectPr>
      </w:pPr>
    </w:p>
    <w:bookmarkStart w:id="15" w:name="page16"/>
    <w:bookmarkEnd w:id="15"/>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Comcast Option Plans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The Company maintains stock option plans for certain employees, directors and other persons (collectively, the "Comcast Option Plans"). The following table summarizes the activity of the Comcast Option Plans during the 2003 interim period (options in thousands):</w:t>
      </w:r>
    </w:p>
    <w:p>
      <w:pPr>
        <w:sectPr>
          <w:pgSz w:w="11900" w:h="16838" w:orient="portrait"/>
          <w:cols w:equalWidth="0" w:num="1">
            <w:col w:w="10229"/>
          </w:cols>
          <w:pgMar w:left="230" w:top="791" w:right="1440" w:bottom="7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70"/>
        <w:spacing w:after="0"/>
        <w:rPr>
          <w:sz w:val="20"/>
          <w:szCs w:val="20"/>
          <w:color w:val="auto"/>
        </w:rPr>
      </w:pPr>
      <w:r>
        <w:rPr>
          <w:rFonts w:ascii="Courier New" w:cs="Courier New" w:eastAsia="Courier New" w:hAnsi="Courier New"/>
          <w:sz w:val="15"/>
          <w:szCs w:val="15"/>
          <w:color w:val="auto"/>
        </w:rPr>
        <w:t>Class A</w:t>
      </w:r>
    </w:p>
    <w:p>
      <w:pPr>
        <w:ind w:left="4490"/>
        <w:spacing w:after="0"/>
        <w:rPr>
          <w:sz w:val="20"/>
          <w:szCs w:val="20"/>
          <w:color w:val="auto"/>
        </w:rPr>
      </w:pPr>
      <w:r>
        <w:rPr>
          <w:rFonts w:ascii="Courier New" w:cs="Courier New" w:eastAsia="Courier New" w:hAnsi="Courier New"/>
          <w:sz w:val="15"/>
          <w:szCs w:val="15"/>
          <w:color w:val="auto"/>
        </w:rPr>
        <w:t>Common Stock</w:t>
      </w:r>
    </w:p>
    <w:p>
      <w:pPr>
        <w:ind w:left="4050"/>
        <w:spacing w:after="0"/>
        <w:rPr>
          <w:sz w:val="20"/>
          <w:szCs w:val="20"/>
          <w:color w:val="auto"/>
        </w:rPr>
      </w:pPr>
      <w:r>
        <w:rPr>
          <w:rFonts w:ascii="Courier New" w:cs="Courier New" w:eastAsia="Courier New" w:hAnsi="Courier New"/>
          <w:sz w:val="15"/>
          <w:szCs w:val="15"/>
          <w:color w:val="auto"/>
        </w:rPr>
        <w:t>----------------------</w:t>
      </w:r>
    </w:p>
    <w:p>
      <w:pPr>
        <w:ind w:left="5110"/>
        <w:spacing w:after="0" w:line="238" w:lineRule="auto"/>
        <w:rPr>
          <w:sz w:val="20"/>
          <w:szCs w:val="20"/>
          <w:color w:val="auto"/>
        </w:rPr>
      </w:pPr>
      <w:r>
        <w:rPr>
          <w:rFonts w:ascii="Courier New" w:cs="Courier New" w:eastAsia="Courier New" w:hAnsi="Courier New"/>
          <w:sz w:val="15"/>
          <w:szCs w:val="15"/>
          <w:color w:val="auto"/>
        </w:rPr>
        <w:t>Weighted-</w:t>
      </w:r>
    </w:p>
    <w:p>
      <w:pPr>
        <w:ind w:left="5210"/>
        <w:spacing w:after="0"/>
        <w:rPr>
          <w:sz w:val="20"/>
          <w:szCs w:val="20"/>
          <w:color w:val="auto"/>
        </w:rPr>
      </w:pPr>
      <w:r>
        <w:rPr>
          <w:rFonts w:ascii="Courier New" w:cs="Courier New" w:eastAsia="Courier New" w:hAnsi="Courier New"/>
          <w:sz w:val="15"/>
          <w:szCs w:val="15"/>
          <w:color w:val="auto"/>
        </w:rPr>
        <w:t>Average</w:t>
      </w:r>
    </w:p>
    <w:p>
      <w:pPr>
        <w:ind w:left="5110"/>
        <w:spacing w:after="0"/>
        <w:rPr>
          <w:sz w:val="20"/>
          <w:szCs w:val="20"/>
          <w:color w:val="auto"/>
        </w:rPr>
      </w:pPr>
      <w:r>
        <w:rPr>
          <w:rFonts w:ascii="Courier New" w:cs="Courier New" w:eastAsia="Courier New" w:hAnsi="Courier New"/>
          <w:sz w:val="15"/>
          <w:szCs w:val="15"/>
          <w:color w:val="auto"/>
        </w:rPr>
        <w:t>Exercise</w:t>
      </w:r>
    </w:p>
    <w:p>
      <w:pPr>
        <w:ind w:left="4150"/>
        <w:spacing w:after="0" w:line="238" w:lineRule="auto"/>
        <w:tabs>
          <w:tab w:leader="none" w:pos="5269"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ind w:left="4050"/>
        <w:spacing w:after="0"/>
        <w:tabs>
          <w:tab w:leader="none" w:pos="5009"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Class A Special</w:t>
      </w: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Weighted-</w:t>
      </w:r>
    </w:p>
    <w:p>
      <w:pPr>
        <w:ind w:left="1140"/>
        <w:spacing w:after="0"/>
        <w:rPr>
          <w:sz w:val="20"/>
          <w:szCs w:val="20"/>
          <w:color w:val="auto"/>
        </w:rPr>
      </w:pPr>
      <w:r>
        <w:rPr>
          <w:rFonts w:ascii="Courier New" w:cs="Courier New" w:eastAsia="Courier New" w:hAnsi="Courier New"/>
          <w:sz w:val="15"/>
          <w:szCs w:val="15"/>
          <w:color w:val="auto"/>
        </w:rPr>
        <w:t>Average</w:t>
      </w:r>
    </w:p>
    <w:p>
      <w:pPr>
        <w:ind w:left="1060"/>
        <w:spacing w:after="0"/>
        <w:rPr>
          <w:sz w:val="20"/>
          <w:szCs w:val="20"/>
          <w:color w:val="auto"/>
        </w:rPr>
      </w:pPr>
      <w:r>
        <w:rPr>
          <w:rFonts w:ascii="Courier New" w:cs="Courier New" w:eastAsia="Courier New" w:hAnsi="Courier New"/>
          <w:sz w:val="15"/>
          <w:szCs w:val="15"/>
          <w:color w:val="auto"/>
        </w:rPr>
        <w:t>Exercise</w:t>
      </w:r>
    </w:p>
    <w:p>
      <w:pPr>
        <w:ind w:left="80"/>
        <w:spacing w:after="0" w:line="238" w:lineRule="auto"/>
        <w:tabs>
          <w:tab w:leader="none" w:pos="122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tabs>
          <w:tab w:leader="none" w:pos="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ectPr>
          <w:pgSz w:w="11900" w:h="16838" w:orient="portrait"/>
          <w:cols w:equalWidth="0" w:num="2">
            <w:col w:w="6090" w:space="260"/>
            <w:col w:w="3879"/>
          </w:cols>
          <w:pgMar w:left="230" w:top="791" w:right="1440" w:bottom="735" w:gutter="0" w:footer="0" w:header="0"/>
          <w:type w:val="continuous"/>
        </w:sectPr>
      </w:pP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Outstanding at beginning of period....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63,575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64,890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$28.57</w:t>
      </w:r>
    </w:p>
    <w:p>
      <w:pPr>
        <w:spacing w:after="0" w:line="169" w:lineRule="exact"/>
        <w:rPr>
          <w:sz w:val="20"/>
          <w:szCs w:val="20"/>
          <w:color w:val="auto"/>
        </w:rPr>
      </w:pPr>
    </w:p>
    <w:p>
      <w:pPr>
        <w:sectPr>
          <w:pgSz w:w="11900" w:h="16838" w:orient="portrait"/>
          <w:cols w:equalWidth="0" w:num="5">
            <w:col w:w="3870" w:space="440"/>
            <w:col w:w="540" w:space="440"/>
            <w:col w:w="520" w:space="620"/>
            <w:col w:w="540" w:space="520"/>
            <w:col w:w="2739"/>
          </w:cols>
          <w:pgMar w:left="230" w:top="791" w:right="1440" w:bottom="735" w:gutter="0" w:footer="0" w:header="0"/>
          <w:type w:val="continuous"/>
        </w:sectPr>
      </w:pPr>
    </w:p>
    <w:p>
      <w:pPr>
        <w:spacing w:after="0" w:line="6"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27.23</w:t>
      </w:r>
    </w:p>
    <w:p>
      <w:pPr>
        <w:spacing w:after="0" w:line="174" w:lineRule="exact"/>
        <w:rPr>
          <w:sz w:val="20"/>
          <w:szCs w:val="20"/>
          <w:color w:val="auto"/>
        </w:rPr>
      </w:pPr>
    </w:p>
    <w:p>
      <w:pPr>
        <w:sectPr>
          <w:pgSz w:w="11900" w:h="16838" w:orient="portrait"/>
          <w:cols w:equalWidth="0" w:num="3">
            <w:col w:w="3870" w:space="440"/>
            <w:col w:w="540" w:space="520"/>
            <w:col w:w="4859"/>
          </w:cols>
          <w:pgMar w:left="230" w:top="791" w:right="1440" w:bottom="735" w:gutter="0" w:footer="0" w:header="0"/>
          <w:type w:val="continuous"/>
        </w:sectPr>
      </w:pPr>
    </w:p>
    <w:p>
      <w:pPr>
        <w:spacing w:after="0" w:line="6"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Exercised.............................</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4"/>
          <w:szCs w:val="14"/>
          <w:color w:val="auto"/>
        </w:rPr>
        <w:t>(167)</w:t>
      </w:r>
      <w:r>
        <w:rPr>
          <w:sz w:val="20"/>
          <w:szCs w:val="20"/>
          <w:color w:val="auto"/>
        </w:rPr>
        <w:tab/>
      </w:r>
      <w:r>
        <w:rPr>
          <w:rFonts w:ascii="Courier New" w:cs="Courier New" w:eastAsia="Courier New" w:hAnsi="Courier New"/>
          <w:sz w:val="14"/>
          <w:szCs w:val="14"/>
          <w:color w:val="auto"/>
        </w:rPr>
        <w:t>15.85</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5"/>
          <w:szCs w:val="15"/>
          <w:color w:val="auto"/>
        </w:rPr>
        <w:t>9.71</w:t>
      </w:r>
    </w:p>
    <w:p>
      <w:pPr>
        <w:spacing w:after="0" w:line="169" w:lineRule="exact"/>
        <w:rPr>
          <w:sz w:val="20"/>
          <w:szCs w:val="20"/>
          <w:color w:val="auto"/>
        </w:rPr>
      </w:pPr>
    </w:p>
    <w:p>
      <w:pPr>
        <w:sectPr>
          <w:pgSz w:w="11900" w:h="16838" w:orient="portrait"/>
          <w:cols w:equalWidth="0" w:num="3">
            <w:col w:w="3870" w:space="620"/>
            <w:col w:w="1400" w:space="720"/>
            <w:col w:w="3619"/>
          </w:cols>
          <w:pgMar w:left="230" w:top="791" w:right="1440" w:bottom="735" w:gutter="0" w:footer="0" w:header="0"/>
          <w:type w:val="continuous"/>
        </w:sectPr>
      </w:pPr>
    </w:p>
    <w:p>
      <w:pPr>
        <w:spacing w:after="0" w:line="6"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Canceled..............................</w:t>
      </w:r>
    </w:p>
    <w:p>
      <w:pPr>
        <w:spacing w:after="0" w:line="180"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Outstanding at end of period..........</w:t>
      </w:r>
    </w:p>
    <w:p>
      <w:pPr>
        <w:spacing w:after="0" w:line="180"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Exercisable at end of period..........</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(801)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79,450</w:t>
      </w:r>
    </w:p>
    <w:p>
      <w:pPr>
        <w:spacing w:after="0"/>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58,010</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1220" w:val="left"/>
        </w:tabs>
        <w:rPr>
          <w:sz w:val="20"/>
          <w:szCs w:val="20"/>
          <w:color w:val="auto"/>
        </w:rPr>
      </w:pPr>
      <w:r>
        <w:rPr>
          <w:rFonts w:ascii="Courier New" w:cs="Courier New" w:eastAsia="Courier New" w:hAnsi="Courier New"/>
          <w:sz w:val="15"/>
          <w:szCs w:val="15"/>
          <w:color w:val="auto"/>
        </w:rPr>
        <w:t>41.38</w:t>
      </w:r>
      <w:r>
        <w:rPr>
          <w:sz w:val="20"/>
          <w:szCs w:val="20"/>
          <w:color w:val="auto"/>
        </w:rPr>
        <w:tab/>
      </w:r>
      <w:r>
        <w:rPr>
          <w:rFonts w:ascii="Courier New" w:cs="Courier New" w:eastAsia="Courier New" w:hAnsi="Courier New"/>
          <w:sz w:val="14"/>
          <w:szCs w:val="14"/>
          <w:color w:val="auto"/>
        </w:rPr>
        <w:t>(252)</w:t>
      </w:r>
    </w:p>
    <w:p>
      <w:pPr>
        <w:ind w:left="800"/>
        <w:spacing w:after="0"/>
        <w:rPr>
          <w:sz w:val="20"/>
          <w:szCs w:val="20"/>
          <w:color w:val="auto"/>
        </w:rPr>
      </w:pPr>
      <w:r>
        <w:rPr>
          <w:rFonts w:ascii="Courier New" w:cs="Courier New" w:eastAsia="Courier New" w:hAnsi="Courier New"/>
          <w:sz w:val="15"/>
          <w:szCs w:val="15"/>
          <w:color w:val="auto"/>
        </w:rPr>
        <w:t>---------</w:t>
      </w:r>
    </w:p>
    <w:p>
      <w:pPr>
        <w:spacing w:after="0"/>
        <w:tabs>
          <w:tab w:leader="none" w:pos="1040" w:val="left"/>
        </w:tabs>
        <w:rPr>
          <w:sz w:val="20"/>
          <w:szCs w:val="20"/>
          <w:color w:val="auto"/>
        </w:rPr>
      </w:pPr>
      <w:r>
        <w:rPr>
          <w:rFonts w:ascii="Courier New" w:cs="Courier New" w:eastAsia="Courier New" w:hAnsi="Courier New"/>
          <w:sz w:val="15"/>
          <w:szCs w:val="15"/>
          <w:color w:val="auto"/>
        </w:rPr>
        <w:t>39.98</w:t>
      </w:r>
      <w:r>
        <w:rPr>
          <w:sz w:val="20"/>
          <w:szCs w:val="20"/>
          <w:color w:val="auto"/>
        </w:rPr>
        <w:tab/>
      </w:r>
      <w:r>
        <w:rPr>
          <w:rFonts w:ascii="Courier New" w:cs="Courier New" w:eastAsia="Courier New" w:hAnsi="Courier New"/>
          <w:sz w:val="15"/>
          <w:szCs w:val="15"/>
          <w:color w:val="auto"/>
        </w:rPr>
        <w:t>64,322</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1040" w:val="left"/>
        </w:tabs>
        <w:rPr>
          <w:sz w:val="20"/>
          <w:szCs w:val="20"/>
          <w:color w:val="auto"/>
        </w:rPr>
      </w:pPr>
      <w:r>
        <w:rPr>
          <w:rFonts w:ascii="Courier New" w:cs="Courier New" w:eastAsia="Courier New" w:hAnsi="Courier New"/>
          <w:sz w:val="15"/>
          <w:szCs w:val="15"/>
          <w:color w:val="auto"/>
        </w:rPr>
        <w:t>44.79</w:t>
      </w:r>
      <w:r>
        <w:rPr>
          <w:sz w:val="20"/>
          <w:szCs w:val="20"/>
          <w:color w:val="auto"/>
        </w:rPr>
        <w:tab/>
      </w:r>
      <w:r>
        <w:rPr>
          <w:rFonts w:ascii="Courier New" w:cs="Courier New" w:eastAsia="Courier New" w:hAnsi="Courier New"/>
          <w:sz w:val="15"/>
          <w:szCs w:val="15"/>
          <w:color w:val="auto"/>
        </w:rPr>
        <w:t>25,000</w:t>
      </w:r>
    </w:p>
    <w:p>
      <w:pPr>
        <w:ind w:lef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28.63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21.91</w:t>
      </w:r>
    </w:p>
    <w:p>
      <w:pPr>
        <w:spacing w:after="0" w:line="375" w:lineRule="exact"/>
        <w:rPr>
          <w:sz w:val="20"/>
          <w:szCs w:val="20"/>
          <w:color w:val="auto"/>
        </w:rPr>
      </w:pPr>
    </w:p>
    <w:p>
      <w:pPr>
        <w:sectPr>
          <w:pgSz w:w="11900" w:h="16838" w:orient="portrait"/>
          <w:cols w:equalWidth="0" w:num="4">
            <w:col w:w="3870" w:space="180"/>
            <w:col w:w="880" w:space="440"/>
            <w:col w:w="1680" w:space="540"/>
            <w:col w:w="2639"/>
          </w:cols>
          <w:pgMar w:left="230" w:top="791" w:right="1440" w:bottom="735" w:gutter="0" w:footer="0" w:header="0"/>
          <w:type w:val="continuous"/>
        </w:sectPr>
      </w:pPr>
    </w:p>
    <w:p>
      <w:pPr>
        <w:spacing w:after="0" w:line="138"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Comprehensive Loss</w:t>
      </w:r>
    </w:p>
    <w:p>
      <w:pPr>
        <w:ind w:left="270"/>
        <w:spacing w:after="0"/>
        <w:rPr>
          <w:sz w:val="20"/>
          <w:szCs w:val="20"/>
          <w:color w:val="auto"/>
        </w:rPr>
      </w:pPr>
      <w:r>
        <w:rPr>
          <w:rFonts w:ascii="Courier New" w:cs="Courier New" w:eastAsia="Courier New" w:hAnsi="Courier New"/>
          <w:sz w:val="15"/>
          <w:szCs w:val="15"/>
          <w:color w:val="auto"/>
        </w:rPr>
        <w:t>The Company's total comprehensive loss for the interim periods was as follows</w:t>
      </w:r>
    </w:p>
    <w:p>
      <w:pPr>
        <w:ind w:left="1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50"/>
        <w:spacing w:after="0"/>
        <w:rPr>
          <w:sz w:val="20"/>
          <w:szCs w:val="20"/>
          <w:color w:val="auto"/>
        </w:rPr>
      </w:pPr>
      <w:r>
        <w:rPr>
          <w:rFonts w:ascii="Courier New" w:cs="Courier New" w:eastAsia="Courier New" w:hAnsi="Courier New"/>
          <w:sz w:val="14"/>
          <w:szCs w:val="14"/>
          <w:color w:val="auto"/>
        </w:rPr>
        <w:t>Three Months Ended</w:t>
      </w:r>
    </w:p>
    <w:p>
      <w:pPr>
        <w:spacing w:after="0" w:line="5"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March 31,</w:t>
      </w:r>
    </w:p>
    <w:p>
      <w:pPr>
        <w:ind w:left="5650"/>
        <w:spacing w:after="0"/>
        <w:tabs>
          <w:tab w:leader="none" w:pos="6669"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ind w:left="5370"/>
        <w:spacing w:after="0"/>
        <w:tabs>
          <w:tab w:leader="none" w:pos="63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791" w:right="1440" w:bottom="735" w:gutter="0" w:footer="0" w:header="0"/>
          <w:type w:val="continuous"/>
        </w:sectPr>
      </w:pPr>
    </w:p>
    <w:p>
      <w:pPr>
        <w:spacing w:after="0" w:line="17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Net loss.............................................</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($297)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w:t>
      </w:r>
    </w:p>
    <w:p>
      <w:pPr>
        <w:spacing w:after="0" w:line="10" w:lineRule="exact"/>
        <w:rPr>
          <w:sz w:val="20"/>
          <w:szCs w:val="20"/>
          <w:color w:val="auto"/>
        </w:rPr>
      </w:pPr>
    </w:p>
    <w:p>
      <w:pPr>
        <w:sectPr>
          <w:pgSz w:w="11900" w:h="16838" w:orient="portrait"/>
          <w:cols w:equalWidth="0" w:num="3">
            <w:col w:w="5110" w:space="620"/>
            <w:col w:w="520" w:space="620"/>
            <w:col w:w="3359"/>
          </w:cols>
          <w:pgMar w:left="230" w:top="791" w:right="1440" w:bottom="735" w:gutter="0" w:footer="0" w:header="0"/>
          <w:type w:val="continuous"/>
        </w:sectPr>
      </w:pPr>
    </w:p>
    <w:p>
      <w:pPr>
        <w:ind w:left="450"/>
        <w:spacing w:after="0"/>
        <w:rPr>
          <w:sz w:val="20"/>
          <w:szCs w:val="20"/>
          <w:color w:val="auto"/>
        </w:rPr>
      </w:pPr>
      <w:r>
        <w:rPr>
          <w:rFonts w:ascii="Courier New" w:cs="Courier New" w:eastAsia="Courier New" w:hAnsi="Courier New"/>
          <w:sz w:val="14"/>
          <w:szCs w:val="14"/>
          <w:color w:val="auto"/>
        </w:rPr>
        <w:t>Reclassification adjustments for losses</w:t>
      </w:r>
    </w:p>
    <w:p>
      <w:pPr>
        <w:sectPr>
          <w:pgSz w:w="11900" w:h="16838" w:orient="portrait"/>
          <w:cols w:equalWidth="0" w:num="1">
            <w:col w:w="10229"/>
          </w:cols>
          <w:pgMar w:left="230" w:top="791" w:right="1440" w:bottom="735" w:gutter="0" w:footer="0" w:header="0"/>
          <w:type w:val="continuous"/>
        </w:sectPr>
      </w:pPr>
    </w:p>
    <w:p>
      <w:pPr>
        <w:spacing w:after="0" w:line="11"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included in net loss...............................</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5</w:t>
      </w:r>
    </w:p>
    <w:p>
      <w:pPr>
        <w:spacing w:after="0" w:line="22" w:lineRule="exact"/>
        <w:rPr>
          <w:sz w:val="20"/>
          <w:szCs w:val="20"/>
          <w:color w:val="auto"/>
        </w:rPr>
      </w:pPr>
    </w:p>
    <w:p>
      <w:pPr>
        <w:sectPr>
          <w:pgSz w:w="11900" w:h="16838" w:orient="portrait"/>
          <w:cols w:equalWidth="0" w:num="3">
            <w:col w:w="5270" w:space="720"/>
            <w:col w:w="440" w:space="720"/>
            <w:col w:w="3079"/>
          </w:cols>
          <w:pgMar w:left="230" w:top="791" w:right="1440" w:bottom="735" w:gutter="0" w:footer="0" w:header="0"/>
          <w:type w:val="continuous"/>
        </w:sectPr>
      </w:pPr>
    </w:p>
    <w:p>
      <w:pPr>
        <w:ind w:left="450"/>
        <w:spacing w:after="0"/>
        <w:rPr>
          <w:sz w:val="20"/>
          <w:szCs w:val="20"/>
          <w:color w:val="auto"/>
        </w:rPr>
      </w:pPr>
      <w:r>
        <w:rPr>
          <w:rFonts w:ascii="Courier New" w:cs="Courier New" w:eastAsia="Courier New" w:hAnsi="Courier New"/>
          <w:sz w:val="14"/>
          <w:szCs w:val="14"/>
          <w:color w:val="auto"/>
        </w:rPr>
        <w:t>Unrealized losses on the effective portion of</w:t>
      </w:r>
    </w:p>
    <w:p>
      <w:pPr>
        <w:sectPr>
          <w:pgSz w:w="11900" w:h="16838" w:orient="portrait"/>
          <w:cols w:equalWidth="0" w:num="1">
            <w:col w:w="10229"/>
          </w:cols>
          <w:pgMar w:left="230" w:top="791" w:right="1440" w:bottom="735" w:gutter="0" w:footer="0" w:header="0"/>
          <w:type w:val="continuous"/>
        </w:sectPr>
      </w:pPr>
    </w:p>
    <w:p>
      <w:pPr>
        <w:spacing w:after="0" w:line="11"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cash flow hedges...................................</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Foreign currency translation gains (losses)..........</w:t>
      </w:r>
    </w:p>
    <w:p>
      <w:pPr>
        <w:spacing w:after="0" w:line="180"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Comprehensive loss...................................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6</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(4)</w:t>
      </w:r>
    </w:p>
    <w:p>
      <w:pPr>
        <w:spacing w:after="0" w:line="1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110" w:space="260"/>
            <w:col w:w="880" w:space="100"/>
            <w:col w:w="3879"/>
          </w:cols>
          <w:pgMar w:left="230" w:top="791" w:right="1440" w:bottom="735" w:gutter="0" w:footer="0" w:header="0"/>
          <w:type w:val="continuous"/>
        </w:sectPr>
      </w:pPr>
    </w:p>
    <w:p>
      <w:pPr>
        <w:spacing w:after="0" w:line="139" w:lineRule="exact"/>
        <w:rPr>
          <w:sz w:val="20"/>
          <w:szCs w:val="20"/>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680" w:type="dxa"/>
            <w:vAlign w:val="bottom"/>
          </w:tcPr>
          <w:p>
            <w:pPr>
              <w:spacing w:after="0"/>
              <w:rPr>
                <w:sz w:val="14"/>
                <w:szCs w:val="14"/>
                <w:color w:val="auto"/>
              </w:rPr>
            </w:pPr>
          </w:p>
        </w:tc>
        <w:tc>
          <w:tcPr>
            <w:tcW w:w="1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68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6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Interest........................................................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Income taxes....................................................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339"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5" w:lineRule="exact"/>
        <w:rPr>
          <w:rFonts w:ascii="Courier New" w:cs="Courier New" w:eastAsia="Courier New" w:hAnsi="Courier New"/>
          <w:sz w:val="15"/>
          <w:szCs w:val="15"/>
          <w:color w:val="auto"/>
        </w:rPr>
      </w:pPr>
    </w:p>
    <w:p>
      <w:pPr>
        <w:jc w:val="both"/>
        <w:ind w:left="450"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subsidiaries of the Company support debt compliance with respect to obligations aggregating $1.731 billion as of March 31, 2003 of certain cable television partnerships and investments in which the Company holds an</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791" w:right="1440" w:bottom="735" w:gutter="0" w:footer="0" w:header="0"/>
          <w:type w:val="continuous"/>
        </w:sectPr>
      </w:pPr>
    </w:p>
    <w:bookmarkStart w:id="16" w:name="page17"/>
    <w:bookmarkEnd w:id="16"/>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ownership interest (see Note 5). The obligations expire between May 2008 and September 2010. Although there can be no assurance, management believes that it will not be required to meet its obligations under such commitments. The total notional amount of commitments for the Company was $1.731 billion as of March 31, 2003, at which time there were no quoted market prices for similar agreements.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On March 3, 2003, the Company announced that Liberty Media Corporation ("Liberty") delivered a notice to it, pursuant to the stockholders agreement between the Company and Liberty, that triggers an exit rights process with respect to Liberty's approximate 42% interest in QVC. An appraisal process will determine the value of QVC. The Company will then have the right to purchase Liberty's interest in QVC based on the determined value. The Company may pay Liberty for the QVC stock in cash, in a promissory note maturing not more than three years after issuance, in its equity securities or in a combination of these, subject to Liberty's right to request payment in all equity securities and the parties' obligation to use reasonable efforts to consummate the purchase in the most tax efficient method available (provided that the Company is not required to issue securities representing more than 4.9% of the outstanding equity or vote of the Company's common stock). If the Company elects not to purchase Liberty's interest in QVC, Liberty then will have a similar right to purchase the Company's approximate 57% interest in QVC. If neither the Company nor Liberty elect to purchase the interest of the other, then the Company and Liberty are required to use their best efforts to sell QVC; either company is permitted to be a purchaser in any such sale. The Company and Liberty may agree not to enter into a transaction, or may agree to a transaction other than that specified in the stockholders agreement. Under the current terms of the stockholders agreement between the Company and Liberty, the Company would no longer control QVC if it elects not to purchase Liberty's interest in QVC.</w:t>
      </w:r>
    </w:p>
    <w:p>
      <w:pPr>
        <w:spacing w:after="0" w:line="177"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Under the terms of the Broadband acquisition, the Company is contractually liable for 50% of any liabilities of AT&amp;T relating to At Home, including any resulting from any pending or threatened litigation. AT&amp;T will be liable for the other 50% of these liabilities. In addition to the actions against AT&amp;T described above, where the Company is also a defendant, there are two additional actions brought by At Home's bondholders' liquidating trust against AT&amp;T, not naming the Company: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79"/>
          </w:cols>
          <w:pgMar w:left="680" w:top="791" w:right="1440" w:bottom="1074" w:gutter="0" w:footer="0" w:header="0"/>
        </w:sectPr>
      </w:pPr>
    </w:p>
    <w:bookmarkStart w:id="17" w:name="page18"/>
    <w:bookmarkEnd w:id="17"/>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was denied on April 25, 2003.</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Management is continuing to evaluate this litigation and is unable to currently determine what impact, if any, that the Company's 50% share of the AT&amp;T At Home potential liabilities would have on the Company's consolidated financial position or results of operations. No assurance can be given that any adverse outcome would not be material.</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Some of the entities formerly attributed to Broadband which are now subsidiaries of the Company are parties to an affiliation term sheet with Starz Encore Group LLC, an affiliate of Liberty Media Corporation, which extends to 2022. The term sheet requires annual fixed price payments, subject to adjustment for various factors, including inflation. The term sheet also requires the Company to pay two-thirds of Starz Encore's programming costs above levels designated in the term sheet. Excess programming costs that may be payable by the Company in future years are not presently estimable, and could be significant.</w:t>
      </w:r>
    </w:p>
    <w:p>
      <w:pPr>
        <w:spacing w:after="0" w:line="179"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34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18, 2002, the Company and Comcast Holdings filed suit against Starz Encore in the United States District Court for the Eastern District of Pennsylvania. The Company and Comcast Holdings seek a declaratory judgment that, pursuant to their rights under a March 17, 1999 contract with a predecessor of Starz Encore, upon the completion of the Broadband acquisition that contract now provides the terms under which Starz Encore programming is acquired and transmitted by the Company's cable systems. On January 8, 2003, Starz Encore filed a motion to dismiss the lawsuit on the grounds that claims asserted by the Company and Comcast Holdings raised issues of state law that the United States District Court should decline to decide. The Company has responded contesting these assertions. That motion has been submitted to the Court for decision.</w:t>
      </w:r>
    </w:p>
    <w:p>
      <w:pPr>
        <w:spacing w:after="0" w:line="34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79"/>
          </w:cols>
          <w:pgMar w:left="680" w:top="791" w:right="1440" w:bottom="1440" w:gutter="0" w:footer="0" w:header="0"/>
        </w:sectPr>
      </w:pPr>
    </w:p>
    <w:bookmarkStart w:id="18" w:name="page19"/>
    <w:bookmarkEnd w:id="18"/>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January 31, 2003, Starz Encore filed an amended complaint in its lawsuit against Broadband in Colorado state court. The amended complaint adds the Company and Comcast Holdings as defendants and adds new claims against the Company, Comcast Holdings and Broadband asserting alleged breaches of, and interference with, the standstill agreement relating to the lawsuit filed by the Company and Comcast Holdings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8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March 3, 2003, Starz Encore filed a motion for leave to file a second amended complaint that would add allegations that Broadband has breached certain joint-marketing obligations under the term sheet and that the Company and Comcast Holdings have breached certain joint-marketing obligations under the March 17, 1999 contract and other agreements. The Company, Comcast Holdings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April 3, 2003, the Company and Comcast Holdings filed a motion for summary judgment in the federal action in Pennsylvania. On April 16, 2003, Starz Encore filed a motion seeking (i) to strike the affidavit supporting the summary judgment motion or, in the alternative, (ii) a general postponement of Starz Encore's response date (or at a minimum a three week extension). On April 29, 2003, the Company and Comcast Holdings filed an opposition to Starz Encore's motion. The Court has not yet ruled on either motion.</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An entity formerly attributed to Broadband, which is now a subsidiary of the Company,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the Company is now bound by the master agreement to use CSG as its exclusive provider for certain billing and customer care services; (iii) tortious interference with prospective contractual relations; and (iv) civil conspiracy. A hearing in the arbitration is scheduled to commence on May 9, 2003.</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the Company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owned by the Company may be added to a billing service agreement between the Company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8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January 8, 2003, Liberty Digital, Inc. filed a complaint in Colorado state court against the Company and Comcast Cable Holdings, LLC (formerly AT&amp;T Broadband LLC and Tele-Communications, Inc.), a wholly owned subsidiary of the Company. The complaint alleges that Comcast Cable Holdings breached a 1997 "contribution agreement" between Liberty Digital and Comcast Cable Holdings and that the Company tortiously interfered with that agreement. The complaint alleges that this purported agreement obligates Comcast Cable Holdings to pay fees to Liberty Digital totaling $18 million (increasing at CPI) per year through 2017. The Company and Comcast Cable Holdings filed their answer to the complaint on March 5, 2003, in which the Company and Comcast Cable Holdings denied the essential allegations of the complaint and asserted various affirmative defenses.</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791" w:right="1440" w:bottom="1440" w:gutter="0" w:footer="0" w:header="0"/>
        </w:sectPr>
      </w:pPr>
    </w:p>
    <w:bookmarkStart w:id="19" w:name="page20"/>
    <w:bookmarkEnd w:id="19"/>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ind w:left="2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26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management's opinion, the final disposition of the Starz Encore, CSG and Liberty Digital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79"/>
          </w:cols>
          <w:pgMar w:left="680" w:top="791" w:right="1440" w:bottom="1440" w:gutter="0" w:footer="0" w:header="0"/>
        </w:sectPr>
      </w:pPr>
    </w:p>
    <w:bookmarkStart w:id="20" w:name="page21"/>
    <w:bookmarkEnd w:id="20"/>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4" w:lineRule="exact"/>
        <w:rPr>
          <w:rFonts w:ascii="Courier New" w:cs="Courier New" w:eastAsia="Courier New" w:hAnsi="Courier New"/>
          <w:sz w:val="15"/>
          <w:szCs w:val="15"/>
          <w:color w:val="auto"/>
        </w:rPr>
      </w:pPr>
    </w:p>
    <w:p>
      <w:pPr>
        <w:jc w:val="both"/>
        <w:ind w:left="450" w:right="10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Cable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Commerce</w:t>
            </w:r>
          </w:p>
        </w:tc>
      </w:tr>
      <w:tr>
        <w:trPr>
          <w:trHeight w:val="170"/>
        </w:trPr>
        <w:tc>
          <w:tcPr>
            <w:tcW w:w="48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2003</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Revenues (2).........................................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$1,062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2002</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Revenues (2).........................................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 of March 31, 2003</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$100,314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$3,083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25,236</w:t>
            </w:r>
          </w:p>
        </w:tc>
        <w:tc>
          <w:tcPr>
            <w:tcW w:w="1060" w:type="dxa"/>
            <w:vAlign w:val="bottom"/>
          </w:tcPr>
          <w:p>
            <w:pPr>
              <w:spacing w:after="0"/>
              <w:rPr>
                <w:sz w:val="14"/>
                <w:szCs w:val="14"/>
                <w:color w:val="auto"/>
              </w:rPr>
            </w:pP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 of December 31, 2002</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$106,291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26,033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75" w:lineRule="exact"/>
        <w:rPr>
          <w:sz w:val="20"/>
          <w:szCs w:val="20"/>
          <w:color w:val="auto"/>
        </w:rPr>
      </w:pPr>
    </w:p>
    <w:p>
      <w:pPr>
        <w:jc w:val="both"/>
        <w:ind w:left="610" w:right="100" w:hanging="610"/>
        <w:spacing w:after="0" w:line="237" w:lineRule="auto"/>
        <w:tabs>
          <w:tab w:leader="none" w:pos="6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operations and elimination entries related to the segments presented. Corporate and other assets consist primarily of the Company's investments and intangible assets related to the Company's content operations (see Notes 5 and 6).</w:t>
      </w:r>
    </w:p>
    <w:p>
      <w:pPr>
        <w:spacing w:after="0" w:line="8" w:lineRule="exact"/>
        <w:rPr>
          <w:rFonts w:ascii="Courier New" w:cs="Courier New" w:eastAsia="Courier New" w:hAnsi="Courier New"/>
          <w:sz w:val="15"/>
          <w:szCs w:val="15"/>
          <w:color w:val="auto"/>
        </w:rPr>
      </w:pPr>
    </w:p>
    <w:p>
      <w:pPr>
        <w:jc w:val="both"/>
        <w:ind w:left="610" w:right="100" w:hanging="610"/>
        <w:spacing w:after="0" w:line="237" w:lineRule="auto"/>
        <w:tabs>
          <w:tab w:leader="none" w:pos="6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$215 million and $140 million during the 2003 and 2002 interim periods, respectively, of non-US revenues, principally related to the Company's commerce segment. No single customer accounted for a significant amount of the Company's revenues in any period.</w:t>
      </w:r>
    </w:p>
    <w:p>
      <w:pPr>
        <w:spacing w:after="0" w:line="6" w:lineRule="exact"/>
        <w:rPr>
          <w:rFonts w:ascii="Courier New" w:cs="Courier New" w:eastAsia="Courier New" w:hAnsi="Courier New"/>
          <w:sz w:val="15"/>
          <w:szCs w:val="15"/>
          <w:color w:val="auto"/>
        </w:rPr>
      </w:pPr>
    </w:p>
    <w:p>
      <w:pPr>
        <w:jc w:val="both"/>
        <w:ind w:left="610" w:right="100" w:hanging="610"/>
        <w:spacing w:after="0" w:line="239" w:lineRule="auto"/>
        <w:tabs>
          <w:tab w:leader="none" w:pos="6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EBITDA. EBITDA is the measure of profit or loss used to evaluate performance of all of the Company's operating segments and operating units within all of the Company's segments. EBITDA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EBITDA is frequently used as one of the bases for comparing the Company's operating performance with other companies in the Company's industries, although the Company's measure of EBITDA may not be directly comparable to similarly titled measures of other companies. EBITDA should not be considered as a substitute for operating income (loss), net income (loss), net cash provided by operating activities or other measures of performance or liquidity reported in accordance with GAAP.</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Corporate and</w:t>
            </w:r>
          </w:p>
        </w:tc>
        <w:tc>
          <w:tcPr>
            <w:tcW w:w="840" w:type="dxa"/>
            <w:vAlign w:val="bottom"/>
          </w:tcPr>
          <w:p>
            <w:pPr>
              <w:spacing w:after="0"/>
              <w:rPr>
                <w:sz w:val="14"/>
                <w:szCs w:val="14"/>
                <w:color w:val="auto"/>
              </w:rPr>
            </w:pPr>
          </w:p>
        </w:tc>
      </w:tr>
      <w:tr>
        <w:trPr>
          <w:trHeight w:val="170"/>
        </w:trPr>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$5,518</w:t>
            </w:r>
          </w:p>
        </w:tc>
      </w:tr>
      <w:tr>
        <w:trPr>
          <w:trHeight w:val="339"/>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1,165</w:t>
            </w:r>
          </w:p>
        </w:tc>
      </w:tr>
      <w:tr>
        <w:trPr>
          <w:trHeight w:val="170"/>
        </w:trPr>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971</w:t>
            </w:r>
          </w:p>
        </w:tc>
      </w:tr>
      <w:tr>
        <w:trPr>
          <w:trHeight w:val="678"/>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$2,667</w:t>
            </w:r>
          </w:p>
        </w:tc>
      </w:tr>
      <w:tr>
        <w:trPr>
          <w:trHeight w:val="339"/>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r>
      <w:tr>
        <w:trPr>
          <w:trHeight w:val="170"/>
        </w:trPr>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678"/>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$110,012</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30,258</w:t>
            </w:r>
          </w:p>
        </w:tc>
      </w:tr>
      <w:tr>
        <w:trPr>
          <w:trHeight w:val="678"/>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27,957</w:t>
            </w:r>
          </w:p>
        </w:tc>
      </w:tr>
    </w:tbl>
    <w:p>
      <w:pPr>
        <w:sectPr>
          <w:pgSz w:w="11900" w:h="16838" w:orient="portrait"/>
          <w:cols w:equalWidth="0" w:num="2">
            <w:col w:w="7150" w:space="440"/>
            <w:col w:w="2639"/>
          </w:cols>
          <w:pgMar w:left="230" w:top="791" w:right="1440" w:bottom="1440" w:gutter="0" w:footer="0" w:header="0"/>
        </w:sectPr>
      </w:pPr>
    </w:p>
    <w:bookmarkStart w:id="21" w:name="page22"/>
    <w:bookmarkEnd w:id="21"/>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ind w:left="7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CONSOLIDATING FINANCIAL INFORMATION</w:t>
      </w:r>
    </w:p>
    <w:p>
      <w:pPr>
        <w:spacing w:after="0" w:line="174" w:lineRule="exact"/>
        <w:rPr>
          <w:rFonts w:ascii="Courier New" w:cs="Courier New" w:eastAsia="Courier New" w:hAnsi="Courier New"/>
          <w:sz w:val="15"/>
          <w:szCs w:val="15"/>
          <w:color w:val="auto"/>
        </w:rPr>
      </w:pPr>
    </w:p>
    <w:p>
      <w:pPr>
        <w:jc w:val="both"/>
        <w:ind w:left="450" w:right="44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2002, in order to simplify the Company's capital structure, the Company and four of its cable holding company subsidiaries, Comcast Cable Communications, Inc. (Comcast Cable or "CCCI"), Comcast Cable Communications Holdings, Inc. (Comcast Cable Communications Holdings or "CCCH"), Comcast MO Group, Inc. ("Comcast MO Group"), and Comcast Cable Holdings, LLC (Comcast Cable Holdings or "CCH"), fully and unconditionally guaranteed each other's debt securities. Comcast MO of Delaware, Inc. ("Comcast MO of Delaware") was not originally a part of the Cross-Guarantee Structure. On March 12, 2003, the Company announced the successful completion of a bondholder consent solicitation related to Comcast MO of Delaware's $1.7 billion aggregate principal amount in debt securities to permit it to become part of the Cross-Guarantee Structure (see Note 7). Comcast MO Group and CCH (as of December 31, 2002) and Comcast MO Group, CCH and Comcast MO of Delaware (as of March 31, 2003 and for the 2003 interim period) are collectively referred to as the "Combined CCHMO Parents." Condensed consolidating financial information of the Company is as follows (in millions):</w:t>
      </w:r>
    </w:p>
    <w:p>
      <w:pPr>
        <w:spacing w:after="0" w:line="200" w:lineRule="exact"/>
        <w:rPr>
          <w:sz w:val="20"/>
          <w:szCs w:val="20"/>
          <w:color w:val="auto"/>
        </w:rPr>
      </w:pPr>
    </w:p>
    <w:p>
      <w:pPr>
        <w:spacing w:after="0" w:line="320" w:lineRule="exact"/>
        <w:rPr>
          <w:sz w:val="20"/>
          <w:szCs w:val="20"/>
          <w:color w:val="auto"/>
        </w:rPr>
      </w:pPr>
    </w:p>
    <w:p>
      <w:pPr>
        <w:jc w:val="center"/>
        <w:ind w:right="-89"/>
        <w:spacing w:after="0"/>
        <w:rPr>
          <w:sz w:val="20"/>
          <w:szCs w:val="20"/>
          <w:color w:val="auto"/>
        </w:rPr>
      </w:pPr>
      <w:r>
        <w:rPr>
          <w:rFonts w:ascii="Courier New" w:cs="Courier New" w:eastAsia="Courier New" w:hAnsi="Courier New"/>
          <w:sz w:val="15"/>
          <w:szCs w:val="15"/>
          <w:color w:val="auto"/>
        </w:rPr>
        <w:t>Comcast Corporation</w:t>
      </w:r>
    </w:p>
    <w:p>
      <w:pPr>
        <w:jc w:val="center"/>
        <w:ind w:right="-89"/>
        <w:spacing w:after="0"/>
        <w:rPr>
          <w:sz w:val="20"/>
          <w:szCs w:val="20"/>
          <w:color w:val="auto"/>
        </w:rPr>
      </w:pPr>
      <w:r>
        <w:rPr>
          <w:rFonts w:ascii="Courier New" w:cs="Courier New" w:eastAsia="Courier New" w:hAnsi="Courier New"/>
          <w:sz w:val="15"/>
          <w:szCs w:val="15"/>
          <w:color w:val="auto"/>
        </w:rPr>
        <w:t>Condensed Consolidating Balance Sheet</w:t>
      </w:r>
    </w:p>
    <w:tbl>
      <w:tblPr>
        <w:tblLayout w:type="fixed"/>
        <w:tblInd w:w="1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As of March 31, 2003</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9"/>
        </w:trPr>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Elimination</w:t>
            </w:r>
          </w:p>
        </w:tc>
        <w:tc>
          <w:tcPr>
            <w:tcW w:w="1260" w:type="dxa"/>
            <w:vAlign w:val="bottom"/>
          </w:tcPr>
          <w:p>
            <w:pPr>
              <w:spacing w:after="0"/>
              <w:rPr>
                <w:sz w:val="24"/>
                <w:szCs w:val="24"/>
                <w:color w:val="auto"/>
              </w:rPr>
            </w:pPr>
          </w:p>
        </w:tc>
      </w:tr>
      <w:tr>
        <w:trPr>
          <w:trHeight w:val="170"/>
        </w:trPr>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Combined</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9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Comcast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CCCI</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CCCH</w:t>
            </w:r>
          </w:p>
        </w:tc>
        <w:tc>
          <w:tcPr>
            <w:tcW w:w="9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CCHMO</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Consolidation</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9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Parent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Parent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Parent</w:t>
            </w:r>
          </w:p>
        </w:tc>
        <w:tc>
          <w:tcPr>
            <w:tcW w:w="9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Parents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Cash and cash equivalents................</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$1,024</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Investments..............................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3,122</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3,153</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Accounts receivable, net.................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1,323</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1,323</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Inventories, net.........................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Deferred income taxes....................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Other current assets.....................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current assets...................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6,447</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6,488</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INVESTMENTS..............................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13,188</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13,188</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AND AMOUNTS DUE FROM</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SUBSIDIARIES ELIMINATED UPON</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w w:val="98"/>
              </w:rPr>
              <w:t>CONSOLIDATION..........................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42,088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29,849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37,993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(144,746)</w:t>
            </w:r>
          </w:p>
        </w:tc>
        <w:tc>
          <w:tcPr>
            <w:tcW w:w="1260" w:type="dxa"/>
            <w:vAlign w:val="bottom"/>
          </w:tcPr>
          <w:p>
            <w:pPr>
              <w:spacing w:after="0"/>
              <w:rPr>
                <w:sz w:val="14"/>
                <w:szCs w:val="1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PROPERTY AND EQUIPMENT, net..............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18,961</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18,961</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FRANCHISE RIGHTS.........................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48,290</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48,290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GOODWILL.................................</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17,039</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17,039</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OTHER INTANGIBLE ASSETS, net.............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5,273</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5,273</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 net............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598</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773</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Total Assets.............................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$42,215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$21,068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$29,886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$37,993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$123,596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($144,746)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$110,012</w:t>
            </w:r>
          </w:p>
        </w:tc>
      </w:tr>
      <w:tr>
        <w:trPr>
          <w:trHeight w:val="170"/>
        </w:trPr>
        <w:tc>
          <w:tcPr>
            <w:tcW w:w="3920" w:type="dxa"/>
            <w:vAlign w:val="bottom"/>
          </w:tcPr>
          <w:p>
            <w:pPr>
              <w:spacing w:after="0"/>
              <w:rPr>
                <w:sz w:val="14"/>
                <w:szCs w:val="14"/>
                <w:color w:val="auto"/>
              </w:rPr>
            </w:pP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Accounts payable.........................</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$1,631</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$1,631</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w w:val="98"/>
              </w:rPr>
              <w:t>liabilities ...........................</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4,154</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Deferred income taxes....................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1,093</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1,093</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Current portion of long-term debt........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1,796</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2,652</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current liabilities..............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8,674</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10,246</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LONG-TERM DEBT, less current portion.....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3,670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5,998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6,815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6,682</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30,258</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DEFERRED INCOME TAXES....................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23,125</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23,125</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OTHER NONCURRENT LIABILITIES.............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5,121</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MINORITY INTEREST........................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2,729</w:t>
            </w: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2,729</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Common 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339"/>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Other stockholders' equity...............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38,029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23,832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29,849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77,265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(144,746)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38,029</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Stockholders' Equity.............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38,054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23,832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29,849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77,265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(144,746)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38,054</w:t>
            </w: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w w:val="99"/>
              </w:rPr>
              <w:t>Equity...............................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$42,215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$21,068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$29,886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$37,993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$123,596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($144,746)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$110,012</w:t>
            </w:r>
          </w:p>
        </w:tc>
      </w:tr>
      <w:tr>
        <w:trPr>
          <w:trHeight w:val="170"/>
        </w:trPr>
        <w:tc>
          <w:tcPr>
            <w:tcW w:w="3920" w:type="dxa"/>
            <w:vAlign w:val="bottom"/>
          </w:tcPr>
          <w:p>
            <w:pPr>
              <w:spacing w:after="0"/>
              <w:rPr>
                <w:sz w:val="14"/>
                <w:szCs w:val="14"/>
                <w:color w:val="auto"/>
              </w:rPr>
            </w:pP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920" w:type="dxa"/>
            <w:vAlign w:val="bottom"/>
          </w:tcPr>
          <w:p>
            <w:pPr>
              <w:ind w:left="3420"/>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50"/>
          </w:cols>
          <w:pgMar w:left="230" w:top="791" w:right="219" w:bottom="565"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9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7"/>
              </w:rPr>
              <w:t>COMCAST CORPORATION AND SUBSIDIARIES</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FORM 10-Q</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QUARTER ENDED MARCH 31,</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940" w:type="dxa"/>
            <w:vAlign w:val="bottom"/>
            <w:gridSpan w:val="6"/>
          </w:tcPr>
          <w:p>
            <w:pPr>
              <w:jc w:val="center"/>
              <w:ind w:left="2427"/>
              <w:spacing w:after="0"/>
              <w:rPr>
                <w:sz w:val="20"/>
                <w:szCs w:val="20"/>
                <w:color w:val="auto"/>
              </w:rPr>
            </w:pPr>
            <w:r>
              <w:rPr>
                <w:rFonts w:ascii="Courier New" w:cs="Courier New" w:eastAsia="Courier New" w:hAnsi="Courier New"/>
                <w:sz w:val="15"/>
                <w:szCs w:val="15"/>
                <w:color w:val="auto"/>
                <w:w w:val="97"/>
              </w:rPr>
              <w:t>NOTES TO CONDENSED CONSOLIDATED FINANCIAL STATEMENTS - CONTINUED</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9"/>
        </w:trPr>
        <w:tc>
          <w:tcPr>
            <w:tcW w:w="3780" w:type="dxa"/>
            <w:vAlign w:val="bottom"/>
          </w:tcPr>
          <w:p>
            <w:pPr>
              <w:spacing w:after="0"/>
              <w:rPr>
                <w:sz w:val="24"/>
                <w:szCs w:val="24"/>
                <w:color w:val="auto"/>
              </w:rPr>
            </w:pPr>
          </w:p>
        </w:tc>
        <w:tc>
          <w:tcPr>
            <w:tcW w:w="2780" w:type="dxa"/>
            <w:vAlign w:val="bottom"/>
            <w:gridSpan w:val="3"/>
          </w:tcPr>
          <w:p>
            <w:pPr>
              <w:jc w:val="center"/>
              <w:ind w:left="407"/>
              <w:spacing w:after="0"/>
              <w:rPr>
                <w:sz w:val="20"/>
                <w:szCs w:val="20"/>
                <w:color w:val="auto"/>
              </w:rPr>
            </w:pPr>
            <w:r>
              <w:rPr>
                <w:rFonts w:ascii="Courier New" w:cs="Courier New" w:eastAsia="Courier New" w:hAnsi="Courier New"/>
                <w:sz w:val="15"/>
                <w:szCs w:val="15"/>
                <w:color w:val="auto"/>
                <w:w w:val="97"/>
              </w:rPr>
              <w:t>Comcast Corporation</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3920" w:type="dxa"/>
            <w:vAlign w:val="bottom"/>
            <w:gridSpan w:val="4"/>
          </w:tcPr>
          <w:p>
            <w:pPr>
              <w:jc w:val="center"/>
              <w:ind w:right="587"/>
              <w:spacing w:after="0"/>
              <w:rPr>
                <w:sz w:val="20"/>
                <w:szCs w:val="20"/>
                <w:color w:val="auto"/>
              </w:rPr>
            </w:pPr>
            <w:r>
              <w:rPr>
                <w:rFonts w:ascii="Courier New" w:cs="Courier New" w:eastAsia="Courier New" w:hAnsi="Courier New"/>
                <w:sz w:val="15"/>
                <w:szCs w:val="15"/>
                <w:color w:val="auto"/>
                <w:w w:val="97"/>
              </w:rPr>
              <w:t>Condensed Consolidating Balance Sheet</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780" w:type="dxa"/>
            <w:vAlign w:val="bottom"/>
            <w:gridSpan w:val="3"/>
          </w:tcPr>
          <w:p>
            <w:pPr>
              <w:jc w:val="center"/>
              <w:ind w:left="407"/>
              <w:spacing w:after="0"/>
              <w:rPr>
                <w:sz w:val="20"/>
                <w:szCs w:val="20"/>
                <w:color w:val="auto"/>
              </w:rPr>
            </w:pPr>
            <w:r>
              <w:rPr>
                <w:rFonts w:ascii="Courier New" w:cs="Courier New" w:eastAsia="Courier New" w:hAnsi="Courier New"/>
                <w:sz w:val="15"/>
                <w:szCs w:val="15"/>
                <w:color w:val="auto"/>
                <w:w w:val="97"/>
              </w:rPr>
              <w:t>As of December 31, 2002</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8"/>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22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Comcast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CCCI</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CCCH</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CCHMO</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Consolidation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Parent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Parent</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Parents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Cash and cash equivalents................</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Investments..............................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3,236</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1,383</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Assets held for sale.....................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613</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Other current assets.....................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4"/>
              </w:rPr>
              <w:t>Total current assets...................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7,024</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7,076</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15,207</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AND AMOUNTS DUE FROM</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SUBSIDIARIES ELIMINATED UPON</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4"/>
              </w:rPr>
              <w:t>CONSOLIDATION..........................</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21,818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33,683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40,749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13,913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(149,519)</w:t>
            </w:r>
          </w:p>
        </w:tc>
        <w:tc>
          <w:tcPr>
            <w:tcW w:w="1220" w:type="dxa"/>
            <w:vAlign w:val="bottom"/>
          </w:tcPr>
          <w:p>
            <w:pPr>
              <w:spacing w:after="0"/>
              <w:rPr>
                <w:sz w:val="14"/>
                <w:szCs w:val="14"/>
                <w:color w:val="auto"/>
              </w:rPr>
            </w:pP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PROPERTY AND EQUIPMENT, net..............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18,866</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18,866</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FRANCHISE RIGHTS.........................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48,222</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48,222</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GOODWILL.................................</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17,397</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17,397</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INTANGIBLE ASSETS, net.............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5,599</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5,599</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 NONCURRENT ASSETS, net............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Total Assets.............................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$21,917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$33,804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$40,749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$126,672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($149,519)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Accounts payable.........................</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$1,662</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4"/>
              </w:rPr>
              <w:t>liabilities............................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4,819</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5,649</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Liabilities related to assets held</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 sale...............................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1,105</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1,105</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3,750</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3,203</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4"/>
              </w:rPr>
              <w:t>Total current liabilities..............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3,796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9,337</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15,383</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LONG-TERM DEBT, less current portion.....</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7,897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4,932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8,443</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27,957</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23,110</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23,110</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OTHER NONCURRENT LIABILITIES.............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5,188</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5,652</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2,674</w:t>
            </w: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2,674</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Common stock.............................</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Other stockholders' equity...............</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13,913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33,683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77,920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(149,519)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38,304</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4"/>
              </w:rPr>
              <w:t>Total Stockholders' Equity.............</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38,329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13,913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33,683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77,920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(149,519)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38,329</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780" w:type="dxa"/>
            <w:vAlign w:val="bottom"/>
          </w:tcPr>
          <w:p>
            <w:pPr>
              <w:ind w:left="880"/>
              <w:spacing w:after="0"/>
              <w:rPr>
                <w:sz w:val="20"/>
                <w:szCs w:val="20"/>
                <w:color w:val="auto"/>
              </w:rPr>
            </w:pPr>
            <w:r>
              <w:rPr>
                <w:rFonts w:ascii="Courier New" w:cs="Courier New" w:eastAsia="Courier New" w:hAnsi="Courier New"/>
                <w:sz w:val="15"/>
                <w:szCs w:val="15"/>
                <w:color w:val="auto"/>
                <w:w w:val="94"/>
              </w:rPr>
              <w:t>Equity............................</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$21,917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$33,804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$40,749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$126,672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($149,519)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88"/>
              </w:rPr>
              <w:t>22</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40"/>
          </w:cols>
          <w:pgMar w:left="240" w:top="961" w:right="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9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COMCAST CORPORATION AND SUBSIDIARIES</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6"/>
              </w:rPr>
              <w:t>FORM 10-Q</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QUARTER ENDED MARCH 31,</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6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CONDENSED CONSOLIDATED FINANCIAL</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STATEMENTS - CONTINUED</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8"/>
              </w:rPr>
              <w:t>(Unaudited)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Comcast Corporation</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5200" w:type="dxa"/>
            <w:vAlign w:val="bottom"/>
            <w:gridSpan w:val="6"/>
          </w:tcPr>
          <w:p>
            <w:pPr>
              <w:jc w:val="center"/>
              <w:ind w:right="987"/>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3960" w:type="dxa"/>
            <w:vAlign w:val="bottom"/>
            <w:gridSpan w:val="5"/>
          </w:tcPr>
          <w:p>
            <w:pPr>
              <w:jc w:val="center"/>
              <w:ind w:left="107"/>
              <w:spacing w:after="0"/>
              <w:rPr>
                <w:sz w:val="20"/>
                <w:szCs w:val="20"/>
                <w:color w:val="auto"/>
              </w:rPr>
            </w:pPr>
            <w:r>
              <w:rPr>
                <w:rFonts w:ascii="Courier New" w:cs="Courier New" w:eastAsia="Courier New" w:hAnsi="Courier New"/>
                <w:sz w:val="15"/>
                <w:szCs w:val="15"/>
                <w:color w:val="auto"/>
                <w:w w:val="98"/>
              </w:rPr>
              <w:t>For the Three Months Ended March 31, 2003</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Elimination</w:t>
            </w:r>
          </w:p>
        </w:tc>
        <w:tc>
          <w:tcPr>
            <w:tcW w:w="118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and</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Consolidated</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CCCI</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CCCH</w:t>
            </w:r>
          </w:p>
        </w:tc>
        <w:tc>
          <w:tcPr>
            <w:tcW w:w="1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CCHMO</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Guarantor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Consolidation</w:t>
            </w:r>
          </w:p>
        </w:tc>
        <w:tc>
          <w:tcPr>
            <w:tcW w:w="11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Parent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Parent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Parent</w:t>
            </w:r>
          </w:p>
        </w:tc>
        <w:tc>
          <w:tcPr>
            <w:tcW w:w="1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Parents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Subsidiaries</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Adjustments</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Service revenues.........................</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$4,456</w:t>
            </w: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$4,456</w:t>
            </w: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1,062</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1,062</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Management fee revenue...................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11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5,518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5,518</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1,930</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1,930</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8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retailing (excluding depreciation)....</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673</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Selling, general and administrative......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1,334</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1,277</w:t>
            </w: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799</w:t>
            </w: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5,045</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4"/>
              </w:rPr>
              <w:t>OPERATING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w:t>
            </w:r>
          </w:p>
        </w:tc>
        <w:tc>
          <w:tcPr>
            <w:tcW w:w="136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473</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w w:val="94"/>
              </w:rPr>
              <w:t>Interest expense.........................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w:t>
            </w:r>
          </w:p>
        </w:tc>
        <w:tc>
          <w:tcPr>
            <w:tcW w:w="13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w:t>
            </w: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loss, net.....................</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w:t>
            </w:r>
          </w:p>
        </w:tc>
        <w:tc>
          <w:tcPr>
            <w:tcW w:w="13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(337)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4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income.............................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(450)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w w:val="99"/>
              </w:rPr>
              <w:t>MINORITY INTEREST.........................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(450)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4"/>
              </w:rPr>
              <w:t>INCOME TAX BENEFIT (EXPENSE)................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4"/>
              </w:rPr>
              <w:t>INCOME (LOSS) BEFORE MINORITY INTEREST......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(410)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w:t>
            </w:r>
          </w:p>
        </w:tc>
        <w:tc>
          <w:tcPr>
            <w:tcW w:w="13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4"/>
              </w:rPr>
              <w:t>NET INCOME (LOSS)...........................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($410)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520"/>
          </w:cols>
          <w:pgMar w:left="240" w:top="961" w:right="139" w:bottom="1440" w:gutter="0" w:footer="0" w:header="0"/>
        </w:sectPr>
      </w:pPr>
    </w:p>
    <w:bookmarkStart w:id="24" w:name="page25"/>
    <w:bookmarkEnd w:id="24"/>
    <w:p>
      <w:pPr>
        <w:ind w:left="4140"/>
        <w:spacing w:after="0"/>
        <w:rPr>
          <w:sz w:val="20"/>
          <w:szCs w:val="20"/>
          <w:color w:val="auto"/>
        </w:rPr>
      </w:pPr>
      <w:r>
        <w:rPr>
          <w:rFonts w:ascii="Courier New" w:cs="Courier New" w:eastAsia="Courier New" w:hAnsi="Courier New"/>
          <w:sz w:val="15"/>
          <w:szCs w:val="15"/>
          <w:color w:val="auto"/>
        </w:rPr>
        <w:t>COMCAST CORPORATION AND SUBSIDIARIES</w:t>
      </w:r>
    </w:p>
    <w:p>
      <w:pPr>
        <w:ind w:left="5360"/>
        <w:spacing w:after="0"/>
        <w:rPr>
          <w:sz w:val="20"/>
          <w:szCs w:val="20"/>
          <w:color w:val="auto"/>
        </w:rPr>
      </w:pPr>
      <w:r>
        <w:rPr>
          <w:rFonts w:ascii="Courier New" w:cs="Courier New" w:eastAsia="Courier New" w:hAnsi="Courier New"/>
          <w:sz w:val="15"/>
          <w:szCs w:val="15"/>
          <w:color w:val="auto"/>
        </w:rPr>
        <w:t>FORM 10-Q</w:t>
      </w:r>
    </w:p>
    <w:p>
      <w:pPr>
        <w:ind w:left="4480"/>
        <w:spacing w:after="0"/>
        <w:rPr>
          <w:sz w:val="20"/>
          <w:szCs w:val="20"/>
          <w:color w:val="auto"/>
        </w:rPr>
      </w:pPr>
      <w:r>
        <w:rPr>
          <w:rFonts w:ascii="Courier New" w:cs="Courier New" w:eastAsia="Courier New" w:hAnsi="Courier New"/>
          <w:sz w:val="15"/>
          <w:szCs w:val="15"/>
          <w:color w:val="auto"/>
        </w:rPr>
        <w:t>QUARTER ENDED MARCH 31, 2003</w:t>
      </w:r>
    </w:p>
    <w:p>
      <w:pPr>
        <w:ind w:left="290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center"/>
              <w:ind w:left="47"/>
              <w:spacing w:after="0"/>
              <w:rPr>
                <w:sz w:val="20"/>
                <w:szCs w:val="20"/>
                <w:color w:val="auto"/>
              </w:rPr>
            </w:pPr>
            <w:r>
              <w:rPr>
                <w:rFonts w:ascii="Courier New" w:cs="Courier New" w:eastAsia="Courier New" w:hAnsi="Courier New"/>
                <w:sz w:val="15"/>
                <w:szCs w:val="15"/>
                <w:color w:val="auto"/>
                <w:w w:val="96"/>
              </w:rPr>
              <w:t>(Unaudited)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gridSpan w:val="2"/>
          </w:tcPr>
          <w:p>
            <w:pPr>
              <w:jc w:val="center"/>
              <w:ind w:left="47"/>
              <w:spacing w:after="0"/>
              <w:rPr>
                <w:sz w:val="20"/>
                <w:szCs w:val="20"/>
                <w:color w:val="auto"/>
              </w:rPr>
            </w:pPr>
            <w:r>
              <w:rPr>
                <w:rFonts w:ascii="Courier New" w:cs="Courier New" w:eastAsia="Courier New" w:hAnsi="Courier New"/>
                <w:sz w:val="15"/>
                <w:szCs w:val="15"/>
                <w:color w:val="auto"/>
                <w:w w:val="98"/>
              </w:rPr>
              <w:t>Comcast Corporation</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4980" w:type="dxa"/>
            <w:vAlign w:val="bottom"/>
            <w:gridSpan w:val="5"/>
          </w:tcPr>
          <w:p>
            <w:pPr>
              <w:jc w:val="center"/>
              <w:ind w:right="767"/>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96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9"/>
              </w:rPr>
              <w:t>For the Three Months Ended March 31, 2002</w:t>
            </w: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Elimination</w:t>
            </w:r>
          </w:p>
        </w:tc>
        <w:tc>
          <w:tcPr>
            <w:tcW w:w="124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Combined</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and</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Comcast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CCCH</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CCHMO</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Consolidation</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7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Parent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Parent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Parents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Subsidiar</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w w:val="92"/>
              </w:rPr>
              <w:t>Service revenues.........................</w:t>
            </w:r>
          </w:p>
        </w:tc>
        <w:tc>
          <w:tcPr>
            <w:tcW w:w="106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$1,679</w:t>
            </w: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988</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2,667</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2,667</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743</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retailing (excluding depreciation)....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629</w:t>
            </w: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Selling, general and administrative......</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w:t>
            </w: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Depreciation.............................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2,246</w:t>
            </w:r>
          </w:p>
        </w:tc>
        <w:tc>
          <w:tcPr>
            <w:tcW w:w="14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2,246</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w w:val="96"/>
              </w:rPr>
              <w:t>OPERATING INCOME............................</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w:t>
            </w:r>
          </w:p>
        </w:tc>
        <w:tc>
          <w:tcPr>
            <w:tcW w:w="144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14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Investment loss, net.....................</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w:t>
            </w:r>
          </w:p>
        </w:tc>
        <w:tc>
          <w:tcPr>
            <w:tcW w:w="14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affiliates.............................</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192</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Other expense............................</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14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AND MINORITY INTEREST....................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339"/>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w w:val="96"/>
              </w:rPr>
              <w:t>INCOME TAX BENEFIT (EXPENSE)................</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w:t>
            </w:r>
          </w:p>
        </w:tc>
        <w:tc>
          <w:tcPr>
            <w:tcW w:w="144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w w:val="96"/>
              </w:rPr>
              <w:t>INCOME (LOSS) BEFORE MINORITY INTEREST......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339"/>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w w:val="96"/>
              </w:rPr>
              <w:t>MINORITY INTEREST...........................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144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w w:val="96"/>
              </w:rPr>
              <w:t>NET INCOME (LOSS)...........................</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37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84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24</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60"/>
          </w:cols>
          <w:pgMar w:left="240" w:top="1130" w:right="299" w:bottom="1440" w:gutter="0" w:footer="0" w:header="0"/>
        </w:sectPr>
      </w:pPr>
    </w:p>
    <w:bookmarkStart w:id="25" w:name="page26"/>
    <w:bookmarkEnd w:id="25"/>
    <w:p>
      <w:pPr>
        <w:ind w:left="4220"/>
        <w:spacing w:after="0"/>
        <w:rPr>
          <w:sz w:val="20"/>
          <w:szCs w:val="20"/>
          <w:color w:val="auto"/>
        </w:rPr>
      </w:pPr>
      <w:r>
        <w:rPr>
          <w:rFonts w:ascii="Courier New" w:cs="Courier New" w:eastAsia="Courier New" w:hAnsi="Courier New"/>
          <w:sz w:val="15"/>
          <w:szCs w:val="15"/>
          <w:color w:val="auto"/>
        </w:rPr>
        <w:t>COMCAST CORPORATION AND SUBSIDIARIES</w:t>
      </w:r>
    </w:p>
    <w:p>
      <w:pPr>
        <w:ind w:left="5460"/>
        <w:spacing w:after="0"/>
        <w:rPr>
          <w:sz w:val="20"/>
          <w:szCs w:val="20"/>
          <w:color w:val="auto"/>
        </w:rPr>
      </w:pPr>
      <w:r>
        <w:rPr>
          <w:rFonts w:ascii="Courier New" w:cs="Courier New" w:eastAsia="Courier New" w:hAnsi="Courier New"/>
          <w:sz w:val="15"/>
          <w:szCs w:val="15"/>
          <w:color w:val="auto"/>
        </w:rPr>
        <w:t>FORM 10-Q</w:t>
      </w:r>
    </w:p>
    <w:p>
      <w:pPr>
        <w:ind w:left="4580"/>
        <w:spacing w:after="0"/>
        <w:rPr>
          <w:sz w:val="20"/>
          <w:szCs w:val="20"/>
          <w:color w:val="auto"/>
        </w:rPr>
      </w:pPr>
      <w:r>
        <w:rPr>
          <w:rFonts w:ascii="Courier New" w:cs="Courier New" w:eastAsia="Courier New" w:hAnsi="Courier New"/>
          <w:sz w:val="15"/>
          <w:szCs w:val="15"/>
          <w:color w:val="auto"/>
        </w:rPr>
        <w:t>QUARTER ENDED MARCH 31, 2003</w:t>
      </w:r>
    </w:p>
    <w:p>
      <w:pPr>
        <w:ind w:left="298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9"/>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Comcast Corporation</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7960" w:type="dxa"/>
            <w:vAlign w:val="bottom"/>
            <w:gridSpan w:val="5"/>
          </w:tcPr>
          <w:p>
            <w:pPr>
              <w:jc w:val="center"/>
              <w:ind w:left="3667"/>
              <w:spacing w:after="0"/>
              <w:rPr>
                <w:sz w:val="20"/>
                <w:szCs w:val="20"/>
                <w:color w:val="auto"/>
              </w:rPr>
            </w:pPr>
            <w:r>
              <w:rPr>
                <w:rFonts w:ascii="Courier New" w:cs="Courier New" w:eastAsia="Courier New" w:hAnsi="Courier New"/>
                <w:sz w:val="15"/>
                <w:szCs w:val="15"/>
                <w:color w:val="auto"/>
                <w:w w:val="97"/>
              </w:rPr>
              <w:t>Condensed Consolidating Statement of Cash Flows</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4000" w:type="dxa"/>
            <w:vAlign w:val="bottom"/>
            <w:gridSpan w:val="4"/>
          </w:tcPr>
          <w:p>
            <w:pPr>
              <w:jc w:val="center"/>
              <w:ind w:right="147"/>
              <w:spacing w:after="0"/>
              <w:rPr>
                <w:sz w:val="20"/>
                <w:szCs w:val="20"/>
                <w:color w:val="auto"/>
              </w:rPr>
            </w:pPr>
            <w:r>
              <w:rPr>
                <w:rFonts w:ascii="Courier New" w:cs="Courier New" w:eastAsia="Courier New" w:hAnsi="Courier New"/>
                <w:sz w:val="15"/>
                <w:szCs w:val="15"/>
                <w:color w:val="auto"/>
                <w:w w:val="98"/>
              </w:rPr>
              <w:t>For the Three Months Ended March 31, 2003</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9"/>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120" w:type="dxa"/>
            <w:vAlign w:val="bottom"/>
          </w:tcPr>
          <w:p>
            <w:pPr>
              <w:spacing w:after="0"/>
              <w:rPr>
                <w:sz w:val="24"/>
                <w:szCs w:val="24"/>
                <w:color w:val="auto"/>
              </w:rPr>
            </w:pP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Combined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Non-</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and</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w w:val="94"/>
              </w:rPr>
              <w:t>Consolidated</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Comcast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CCCI</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CCCH</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CCHMO</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Consolidation</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Parent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Parent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Parent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Parents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Subsidiaries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50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Net income (loss)............................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(used in)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Depreciation..............................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799</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Amortization..............................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366</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Non-cash interest (income) expense, net...</w:t>
            </w: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affiliates..............................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Losses (gains) on investments and other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(income) expense,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 income taxes.....................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Proceeds from sales of trading securities.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1,294</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Changes in working capital</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Decrease in accounts receivable,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Increase in inventories,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Increase in other current assets........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rPr>
              <w:t>payable, accrued expenses and other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339"/>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1,179</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borrowings..................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3,900</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Retirements and repayments of debt........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(3,750)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(608)</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(6,079)</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(3,750)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(608)</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(2,195)</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Net transactions with affiliates.............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912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(2,547)</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Proceeds from sales of (purchases of)</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Proceeds from restructuring of TWE investment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2,100</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Proceeds from sales of investments and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assets held for sale.....................</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668</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Purchases of investments.....................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Capital expenditures.........................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(971)</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(971)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Additions to intangible and other noncurrent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 investing</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912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(909)</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INCREASE IN CASH AND CASH EQUIVALENTS........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243</w:t>
            </w:r>
          </w:p>
        </w:tc>
        <w:tc>
          <w:tcPr>
            <w:tcW w:w="128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781</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$1,024</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w:t>
            </w:r>
          </w:p>
        </w:tc>
      </w:tr>
      <w:tr>
        <w:trPr>
          <w:trHeight w:val="170"/>
        </w:trPr>
        <w:tc>
          <w:tcPr>
            <w:tcW w:w="39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20"/>
          </w:cols>
          <w:pgMar w:left="240" w:top="961" w:right="139" w:bottom="565" w:gutter="0" w:footer="0" w:header="0"/>
        </w:sectPr>
      </w:pPr>
    </w:p>
    <w:bookmarkStart w:id="26" w:name="page27"/>
    <w:bookmarkEnd w:id="26"/>
    <w:p>
      <w:pPr>
        <w:ind w:left="4220"/>
        <w:spacing w:after="0"/>
        <w:rPr>
          <w:sz w:val="20"/>
          <w:szCs w:val="20"/>
          <w:color w:val="auto"/>
        </w:rPr>
      </w:pPr>
      <w:r>
        <w:rPr>
          <w:rFonts w:ascii="Courier New" w:cs="Courier New" w:eastAsia="Courier New" w:hAnsi="Courier New"/>
          <w:sz w:val="15"/>
          <w:szCs w:val="15"/>
          <w:color w:val="auto"/>
        </w:rPr>
        <w:t>COMCAST CORPORATION AND SUBSIDIARIES</w:t>
      </w:r>
    </w:p>
    <w:p>
      <w:pPr>
        <w:ind w:left="5460"/>
        <w:spacing w:after="0"/>
        <w:rPr>
          <w:sz w:val="20"/>
          <w:szCs w:val="20"/>
          <w:color w:val="auto"/>
        </w:rPr>
      </w:pPr>
      <w:r>
        <w:rPr>
          <w:rFonts w:ascii="Courier New" w:cs="Courier New" w:eastAsia="Courier New" w:hAnsi="Courier New"/>
          <w:sz w:val="15"/>
          <w:szCs w:val="15"/>
          <w:color w:val="auto"/>
        </w:rPr>
        <w:t>FORM 10-Q</w:t>
      </w:r>
    </w:p>
    <w:p>
      <w:pPr>
        <w:ind w:left="4580"/>
        <w:spacing w:after="0"/>
        <w:rPr>
          <w:sz w:val="20"/>
          <w:szCs w:val="20"/>
          <w:color w:val="auto"/>
        </w:rPr>
      </w:pPr>
      <w:r>
        <w:rPr>
          <w:rFonts w:ascii="Courier New" w:cs="Courier New" w:eastAsia="Courier New" w:hAnsi="Courier New"/>
          <w:sz w:val="15"/>
          <w:szCs w:val="15"/>
          <w:color w:val="auto"/>
        </w:rPr>
        <w:t>QUARTER ENDED MARCH 31, 2003</w:t>
      </w:r>
    </w:p>
    <w:p>
      <w:pPr>
        <w:ind w:left="298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CONCLUDED</w:t>
      </w:r>
    </w:p>
    <w:p>
      <w:pPr>
        <w:ind w:left="5360"/>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Comcast Corporation</w:t>
      </w:r>
    </w:p>
    <w:p>
      <w:pPr>
        <w:jc w:val="center"/>
        <w:ind w:left="280"/>
        <w:spacing w:after="0"/>
        <w:rPr>
          <w:sz w:val="20"/>
          <w:szCs w:val="20"/>
          <w:color w:val="auto"/>
        </w:rPr>
      </w:pPr>
      <w:r>
        <w:rPr>
          <w:rFonts w:ascii="Courier New" w:cs="Courier New" w:eastAsia="Courier New" w:hAnsi="Courier New"/>
          <w:sz w:val="15"/>
          <w:szCs w:val="15"/>
          <w:color w:val="auto"/>
        </w:rPr>
        <w:t>Condensed Consolidating Statement of Cash Flows</w:t>
      </w:r>
    </w:p>
    <w:p>
      <w:pPr>
        <w:jc w:val="center"/>
        <w:ind w:left="280"/>
        <w:spacing w:after="0"/>
        <w:rPr>
          <w:sz w:val="20"/>
          <w:szCs w:val="20"/>
          <w:color w:val="auto"/>
        </w:rPr>
      </w:pPr>
      <w:r>
        <w:rPr>
          <w:rFonts w:ascii="Courier New" w:cs="Courier New" w:eastAsia="Courier New" w:hAnsi="Courier New"/>
          <w:sz w:val="15"/>
          <w:szCs w:val="15"/>
          <w:color w:val="auto"/>
        </w:rPr>
        <w:t>For the Three Months Ended March 31, 2002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1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and</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w w:val="94"/>
              </w:rPr>
              <w:t>Consolidated</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CCCI</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CCCH</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CCHMO</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Consolidation</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39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Parent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Parent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Parents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Net income (loss)............................</w:t>
            </w: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(used in)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Depreciation..............................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Amortization..............................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Non-cash interest (income) expense, net...</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293</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Losses (gains) on investments and 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(income) expense, net...................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616</w:t>
            </w: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Changes in working capital</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Increase in accounts receivable, net....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Decrease in inventories.................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Increase in other current assets........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r>
      <w:tr>
        <w:trPr>
          <w:trHeight w:val="170"/>
        </w:trPr>
        <w:tc>
          <w:tcPr>
            <w:tcW w:w="39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Increase (decrease) in accounts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payable, accrued expenses and 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519</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borrowings..................</w:t>
            </w: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520</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Retirements and repayments of debt........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(451)</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Net transactions with affiliates..........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Acquisitions, net of cash required........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of (purchase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 net.............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sales of investments........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Purchases of investments..................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(399)</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Additions to intangible and 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noncurrent assets.......................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 investing</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INCREASE IN CASH AND CASH EQUIVALENTS........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w:t>
            </w:r>
          </w:p>
        </w:tc>
        <w:tc>
          <w:tcPr>
            <w:tcW w:w="1280" w:type="dxa"/>
            <w:vAlign w:val="bottom"/>
          </w:tcPr>
          <w:p>
            <w:pPr>
              <w:spacing w:after="0"/>
              <w:rPr>
                <w:sz w:val="24"/>
                <w:szCs w:val="2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28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w:t>
            </w:r>
          </w:p>
        </w:tc>
        <w:tc>
          <w:tcPr>
            <w:tcW w:w="12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3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678"/>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88"/>
              </w:rPr>
              <w:t>26</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20"/>
          </w:cols>
          <w:pgMar w:left="240" w:top="1130" w:right="139" w:bottom="735" w:gutter="0" w:footer="0" w:header="0"/>
        </w:sectPr>
      </w:pPr>
    </w:p>
    <w:bookmarkStart w:id="27" w:name="page28"/>
    <w:bookmarkEnd w:id="27"/>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left="700" w:right="3179" w:hanging="704"/>
        <w:spacing w:after="0" w:line="235" w:lineRule="auto"/>
        <w:rPr>
          <w:sz w:val="20"/>
          <w:szCs w:val="20"/>
          <w:color w:val="auto"/>
        </w:rPr>
      </w:pPr>
      <w:r>
        <w:rPr>
          <w:rFonts w:ascii="Courier New" w:cs="Courier New" w:eastAsia="Courier New" w:hAnsi="Courier New"/>
          <w:sz w:val="15"/>
          <w:szCs w:val="15"/>
          <w:color w:val="auto"/>
        </w:rPr>
        <w:t>ITEM 2.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have grown significantly in recent years through both strategic acquisitions and growth in our existing businesses. On November 18, 2002, we completed the acquisition of AT&amp;T Corp.'s broadband business (the "Broadband acquisition"). The Broadband acquisition substantially increased the size of our cable operations and caused significant changes in our capital structure, including a substantially higher amount of debt. As a result, direct comparisons of our results of operations for periods prior to November 18, 2002 to subsequent periods are not meaningful. See "Results of Operations" for a discussion of the effects of the Broadband acquisition on our results of operations.</w:t>
      </w:r>
    </w:p>
    <w:p>
      <w:pPr>
        <w:spacing w:after="0" w:line="180"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4 to our financial statements included in Item 1 for a discussion of our acquisitions and other significant events.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cable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Available sources of financing to fund these requirements include our existing cash and cash equivalents, amounts available under our and our subsidiaries' lines of credit, which total $4.763 billion, and through the future sales or monetizations of our investments.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addition, as more fully described in Note 4 to our financial statements included in Item 1 (see TWE Restructuring), upon closing of the TWE restructuring agreement, we received common-equivalent preferred stock of the AOL Time Warner, Inc., which will be converted into $1.5 billion of AOL Time Warner common stock upon completion of an effective registration statement filing with the SEC, and an approximate 21% economic interest in Time Warner Cable, Inc.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traditionally maintained significant levels of cash and cash equivalents to meet our short-term liquidity requirements. Our cash equivalents are recorded at fair value. Cash and cash equivalents as of March 31, 2003 were $1.024 billion, substantially all of which is unrestricted.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 significant portion of our investments are in publicly traded companies and are reflected at fair value which fluctuates with market changes.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5 to our financial statements included in Item 1 for a discussion of our investments.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As of March 31, 2003 and December 31, 2002, our debt, including capital lease obligations, was $32.910 billion and $34.910 billion, respectively.</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The $2.0 billion decrease from December 31, 2002 to March 31, 2003 results principally from the effects of our net repayments during 2003. Included in our debt as of March 31, 2003 and December 31, 2002 was short-term debt and current portion of long-term debt of $2.652 and $6.953 billion,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1" w:right="1440" w:bottom="57" w:gutter="0" w:footer="0" w:header="0"/>
        </w:sectPr>
      </w:pPr>
    </w:p>
    <w:bookmarkStart w:id="28" w:name="page29"/>
    <w:bookmarkEnd w:id="28"/>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January and March 2003, we sold an aggregate of $3.0 billion of public debt consisting of $600 million of 5.85% senior notes due 2010, $900 million of 6.50% senior notes due 2015, $750 million of 5.50% senior notes due 2011 and $750 million of 7.05% senior notes due 2033. We used all of the net proceeds from the offerings to repay a portion of our short-term debt.</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March 31, 2003, in connection with the closing of the TWE restructuring we received $2.1 billion in cash which was used to repay debt, including the remaining outstanding balance of our short-term debt.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April 9, 2003, we announced that we intend to redeem at their respective scheduled redemption price on May 9, 2003, the entire outstanding aggregate principal amount of certain of our senior notes and senior subordinated notes with maturities from 2003 to 2023 and interest rates ranging from 8 1/4% to 9.65%. We intend to refinance the redemptions with amounts available under our existing credit facilities. As of March 31, 2003, $451 million of these notes were outstanding.</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May 5, 2003, we borrowed an aggregate of $2.75 billion, representing all amounts available under two new credit agreements. Borrowings under the new credit agreements, which are due in 2006, were used to repay a portion of the $3.18 billion outstanding as of March 31, 2003 under our term loan due 2004. The new credit agreements replaced our 364-day credit facility which expired in May 2003.</w:t>
      </w:r>
    </w:p>
    <w:p>
      <w:pPr>
        <w:spacing w:after="0" w:line="176"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Excluding the effects of interest rate risk management instruments, 19.8% and 31.8% of our long- term debt, including short-term debt and current portion, as of March 31, 2003 and December 31, 2002, respectively, was at variable rates.</w:t>
      </w:r>
    </w:p>
    <w:p>
      <w:pPr>
        <w:spacing w:after="0" w:line="163"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63"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7 to our financial statements included in Item 1 for a discussion of our long-term debt.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 Management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the common stock of certain of our investments accounted for as trading securities.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change in the fair value of our investments accounted for as trading securities was substantially offset by the changes in the fair values of the Equity Collars and the derivative components of the ZONES, Exchangeable Notes and Prepaid Forward Sales. See "Results of Operations - Investment Loss, Net" below.</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increased $243 million as of March 31, 2003 from December 31, 2002. The increase in cash and cash equivalents resulted from cash flows from operating, financing and investing activities, which are explained below.</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Net cash provided by operating activities amounted to $800 million for the three months ended March 31, 2003, due principally to our operating income before depreciation and amortization (see "Results of Operations"), and by changes in working capital as a result of the timing of receipts and disbursements and the effects of interest and income tax payments.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Net cash used in financing activities consists primarily of borrowings and repayments of debt. Net cash used in financing activities was $2.195 billion for the three months ended March 31, 2003. During the three months ended March 31, 2003, we borrowed $3.900 billion, consisting of:</w:t>
      </w:r>
    </w:p>
    <w:p>
      <w:pPr>
        <w:spacing w:after="0" w:line="171" w:lineRule="exact"/>
        <w:rPr>
          <w:sz w:val="20"/>
          <w:szCs w:val="20"/>
          <w:color w:val="auto"/>
        </w:rPr>
      </w:pPr>
    </w:p>
    <w:p>
      <w:pPr>
        <w:ind w:left="880" w:hanging="449"/>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billion of senior notes,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$900 million under revolving credit facilities.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During the three months ended March 31, 2003, we repaid $6.079 billion of our debt, consisting of:</w:t>
      </w:r>
    </w:p>
    <w:p>
      <w:pPr>
        <w:spacing w:after="0" w:line="170" w:lineRule="exact"/>
        <w:rPr>
          <w:sz w:val="20"/>
          <w:szCs w:val="20"/>
          <w:color w:val="auto"/>
        </w:rPr>
      </w:pPr>
    </w:p>
    <w:p>
      <w:pPr>
        <w:ind w:left="880" w:hanging="449"/>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$3.750 billion of our short-term debt,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$1.710 billion on certain of our revolving credit facilities,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$608 million of our senior notes,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under capital leases and other.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791" w:right="1440" w:bottom="57" w:gutter="0" w:footer="0" w:header="0"/>
        </w:sectPr>
      </w:pPr>
    </w:p>
    <w:bookmarkStart w:id="29" w:name="page30"/>
    <w:bookmarkEnd w:id="29"/>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Net cash provided by investing activities was $1.638 billion for the three months ended March 31, 2003, including capital expenditures of $971 million, proceeds from the restructuring of our TWE investment of $2.100 billion, and proceeds from sales of investments and assets held for sale of $668 million.</w:t>
      </w:r>
    </w:p>
    <w:p>
      <w:pPr>
        <w:spacing w:after="0" w:line="15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effects of the Broadband acquisition were to increase our revenues and expenses, resulting in increases in our operating income before depreciation and amortization. The increase in our depreciation expense from the 2002 to 2003 interim period is primarily due to the effects of the Broadband acquisition and our increased levels of capital expenditures. The increases in our amortization expense and interest expense from the 2002 to 2003 interim period are primarily due to the effects of the Broadband acquisition.</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the effect of the Broadband acquisition was to substantially increase the size of our cable operations, direct comparisons of our results of operations for periods prior to November 18, 2002 to subsequent periods are not meaningful. Refer to "Pro Forma Results" below for additional information relating to our cable segment operating results as if the Broadband acquisition occurred on January 1, 2002.</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91" w:right="1440" w:bottom="1440" w:gutter="0" w:footer="0" w:header="0"/>
        </w:sectPr>
      </w:pPr>
    </w:p>
    <w:bookmarkStart w:id="30" w:name="page31"/>
    <w:bookmarkEnd w:id="30"/>
    <w:p>
      <w:pPr>
        <w:ind w:left="193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FORM 10-Q</w:t>
      </w:r>
    </w:p>
    <w:p>
      <w:pPr>
        <w:ind w:left="229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ind w:left="10" w:right="540" w:firstLine="441"/>
        <w:spacing w:after="0" w:line="235" w:lineRule="auto"/>
        <w:rPr>
          <w:sz w:val="20"/>
          <w:szCs w:val="20"/>
          <w:color w:val="auto"/>
        </w:rPr>
      </w:pPr>
      <w:r>
        <w:rPr>
          <w:rFonts w:ascii="Courier New" w:cs="Courier New" w:eastAsia="Courier New" w:hAnsi="Courier New"/>
          <w:sz w:val="15"/>
          <w:szCs w:val="15"/>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0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500" w:type="dxa"/>
            <w:vAlign w:val="bottom"/>
          </w:tcPr>
          <w:p>
            <w:pPr>
              <w:spacing w:after="0"/>
              <w:rPr>
                <w:sz w:val="14"/>
                <w:szCs w:val="14"/>
                <w:color w:val="auto"/>
              </w:rPr>
            </w:pPr>
          </w:p>
        </w:tc>
        <w:tc>
          <w:tcPr>
            <w:tcW w:w="20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$5,518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387</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Investment loss, net.........................................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Equity in net losses of affiliates...........................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tax benefit (expense).................................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540" w:hanging="450"/>
        <w:spacing w:after="0" w:line="239"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EBITDA. EBITDA is the measure of profit or loss used to evaluate performance of all of our operating segments and operating units within all of our segments. EBITDA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EBITDA is frequently used as one of the bases for comparing our operating performance with other companies in our industries, although our measure of EBITDA may not be directly comparable to similarly titled measures of other companies. Because we use EBITDA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Therefore, we believe our measure of EBITDA is not a Non-GAAP financial measure as contemplated by Regulation G adopted by the Securities and Exchange Commission. EBITDA should not be considered as a substitute for operating income (loss), net income (loss), net cash provided by operating activities or other measures of performance or liquidity reported in accordance with GAAP.</w:t>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Consolidated Operating Results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jc w:val="both"/>
        <w:ind w:left="10" w:right="540" w:firstLine="441"/>
        <w:spacing w:after="0" w:line="238" w:lineRule="auto"/>
        <w:rPr>
          <w:sz w:val="20"/>
          <w:szCs w:val="20"/>
          <w:color w:val="auto"/>
        </w:rPr>
      </w:pPr>
      <w:r>
        <w:rPr>
          <w:rFonts w:ascii="Courier New" w:cs="Courier New" w:eastAsia="Courier New" w:hAnsi="Courier New"/>
          <w:sz w:val="15"/>
          <w:szCs w:val="15"/>
          <w:color w:val="auto"/>
        </w:rPr>
        <w:t>The increase in consolidated revenues for the interim period from 2002 to 2003 is primarily attributable to an increase in service revenues in our Cable segment due to the effects of the Broadband acquisition and, to a lesser extent, to an increase in net sales in our Commerce segment (see "Operating Results by Business Segment" below). The remaining increase is primarily the result of increases in revenues from our content operations, principally due to increases in distribution of our cable channels.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75" w:lineRule="exact"/>
        <w:rPr>
          <w:sz w:val="20"/>
          <w:szCs w:val="20"/>
          <w:color w:val="auto"/>
        </w:rPr>
      </w:pPr>
    </w:p>
    <w:p>
      <w:pPr>
        <w:jc w:val="both"/>
        <w:ind w:left="10" w:right="540" w:firstLine="441"/>
        <w:spacing w:after="0" w:line="237"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 in cost of goods sold from electronic retailing.</w:t>
      </w:r>
    </w:p>
    <w:p>
      <w:pPr>
        <w:spacing w:after="0" w:line="175" w:lineRule="exact"/>
        <w:rPr>
          <w:sz w:val="20"/>
          <w:szCs w:val="20"/>
          <w:color w:val="auto"/>
        </w:rPr>
      </w:pPr>
    </w:p>
    <w:p>
      <w:pPr>
        <w:ind w:left="450" w:right="3100"/>
        <w:spacing w:after="0" w:line="235" w:lineRule="auto"/>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76" w:lineRule="exact"/>
        <w:rPr>
          <w:sz w:val="20"/>
          <w:szCs w:val="20"/>
          <w:color w:val="auto"/>
        </w:rPr>
      </w:pPr>
    </w:p>
    <w:p>
      <w:pPr>
        <w:jc w:val="both"/>
        <w:ind w:left="10" w:right="540" w:firstLine="441"/>
        <w:spacing w:after="0" w:line="260" w:lineRule="auto"/>
        <w:rPr>
          <w:sz w:val="20"/>
          <w:szCs w:val="20"/>
          <w:color w:val="auto"/>
        </w:rPr>
      </w:pPr>
      <w:r>
        <w:rPr>
          <w:rFonts w:ascii="Courier New" w:cs="Courier New" w:eastAsia="Courier New" w:hAnsi="Courier New"/>
          <w:sz w:val="14"/>
          <w:szCs w:val="14"/>
          <w:color w:val="auto"/>
        </w:rPr>
        <w:t>The increase in consolidated operating, selling, general and administrative expenses for the interim period from 2002 to 2003 is primarily attributable to increases in expenses in our Cable segment due to the effects of the</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 (Decrease)</w:t>
      </w:r>
    </w:p>
    <w:p>
      <w:pPr>
        <w:ind w:left="1420" w:hanging="1061"/>
        <w:spacing w:after="0"/>
        <w:tabs>
          <w:tab w:leader="none" w:pos="14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jc w:val="right"/>
        <w:ind w:right="539"/>
        <w:spacing w:after="0"/>
        <w:tabs>
          <w:tab w:leader="none" w:pos="500" w:val="left"/>
        </w:tabs>
        <w:rPr>
          <w:sz w:val="20"/>
          <w:szCs w:val="20"/>
          <w:color w:val="auto"/>
        </w:rPr>
      </w:pPr>
      <w:r>
        <w:rPr>
          <w:rFonts w:ascii="Courier New" w:cs="Courier New" w:eastAsia="Courier New" w:hAnsi="Courier New"/>
          <w:sz w:val="15"/>
          <w:szCs w:val="15"/>
          <w:color w:val="auto"/>
        </w:rPr>
        <w:t>$2,851</w:t>
      </w:r>
      <w:r>
        <w:rPr>
          <w:sz w:val="20"/>
          <w:szCs w:val="20"/>
          <w:color w:val="auto"/>
        </w:rPr>
        <w:tab/>
      </w:r>
      <w:r>
        <w:rPr>
          <w:rFonts w:ascii="Courier New" w:cs="Courier New" w:eastAsia="Courier New" w:hAnsi="Courier New"/>
          <w:sz w:val="14"/>
          <w:szCs w:val="14"/>
          <w:color w:val="auto"/>
        </w:rPr>
        <w:t>106.9%</w:t>
      </w:r>
    </w:p>
    <w:p>
      <w:pPr>
        <w:ind w:left="1600" w:hanging="888"/>
        <w:spacing w:after="0"/>
        <w:tabs>
          <w:tab w:leader="none" w:pos="1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1,977</w:t>
      </w:r>
      <w:r>
        <w:rPr>
          <w:rFonts w:ascii="Courier New" w:cs="Courier New" w:eastAsia="Courier New" w:hAnsi="Courier New"/>
          <w:sz w:val="14"/>
          <w:szCs w:val="14"/>
          <w:color w:val="auto"/>
        </w:rPr>
        <w:t>160.7</w:t>
      </w:r>
    </w:p>
    <w:p>
      <w:pPr>
        <w:ind w:left="1420" w:hanging="796"/>
        <w:spacing w:after="0"/>
        <w:tabs>
          <w:tab w:leader="none" w:pos="14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201.0</w:t>
      </w:r>
    </w:p>
    <w:p>
      <w:pPr>
        <w:spacing w:after="0"/>
        <w:tabs>
          <w:tab w:leader="none" w:pos="1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500" w:hanging="788"/>
        <w:spacing w:after="0" w:line="238" w:lineRule="auto"/>
        <w:tabs>
          <w:tab w:leader="none" w:pos="15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12.4</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420" w:hanging="796"/>
        <w:spacing w:after="0"/>
        <w:tabs>
          <w:tab w:leader="none" w:pos="14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180.7</w:t>
      </w:r>
    </w:p>
    <w:p>
      <w:pPr>
        <w:spacing w:after="0" w:line="5" w:lineRule="exact"/>
        <w:rPr>
          <w:sz w:val="20"/>
          <w:szCs w:val="20"/>
          <w:color w:val="auto"/>
        </w:rPr>
      </w:pPr>
    </w:p>
    <w:p>
      <w:pPr>
        <w:ind w:left="1500" w:hanging="876"/>
        <w:spacing w:after="0"/>
        <w:tabs>
          <w:tab w:leader="none" w:pos="15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233.7%</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590" w:space="160"/>
            <w:col w:w="2479"/>
          </w:cols>
          <w:pgMar w:left="230" w:top="791" w:right="1440" w:bottom="565" w:gutter="0" w:footer="0" w:header="0"/>
        </w:sectPr>
      </w:pPr>
    </w:p>
    <w:bookmarkStart w:id="31" w:name="page32"/>
    <w:bookmarkEnd w:id="31"/>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540"/>
        <w:spacing w:after="0" w:line="237" w:lineRule="auto"/>
        <w:rPr>
          <w:sz w:val="20"/>
          <w:szCs w:val="20"/>
          <w:color w:val="auto"/>
        </w:rPr>
      </w:pPr>
      <w:r>
        <w:rPr>
          <w:rFonts w:ascii="Courier New" w:cs="Courier New" w:eastAsia="Courier New" w:hAnsi="Courier New"/>
          <w:sz w:val="15"/>
          <w:szCs w:val="15"/>
          <w:color w:val="auto"/>
        </w:rPr>
        <w:t>Broadband acquisition and, to a lesser extent, to increases in expenses in our Commerce segment (see "Operating Results by Business Segment" below). The remaining increases are primarily the result of increased expenses in our content operations, principally due to growth in our historical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 and Amortization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increase</w:t>
            </w:r>
          </w:p>
        </w:tc>
        <w:tc>
          <w:tcPr>
            <w:tcW w:w="20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  depreciation  and</w:t>
            </w:r>
          </w:p>
        </w:tc>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amortization  expense for the interim</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period from 2002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is primarily</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attributable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to our Cable</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segment and is</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principally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due</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the</w:t>
            </w:r>
          </w:p>
        </w:tc>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effects of the</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Broadband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acquisition,</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as well as our</w:t>
            </w:r>
          </w:p>
        </w:tc>
      </w:tr>
      <w:tr>
        <w:trPr>
          <w:trHeight w:val="170"/>
        </w:trPr>
        <w:tc>
          <w:tcPr>
            <w:tcW w:w="5760" w:type="dxa"/>
            <w:vAlign w:val="bottom"/>
            <w:gridSpan w:val="8"/>
          </w:tcPr>
          <w:p>
            <w:pPr>
              <w:spacing w:after="0"/>
              <w:rPr>
                <w:sz w:val="20"/>
                <w:szCs w:val="20"/>
                <w:color w:val="auto"/>
              </w:rPr>
            </w:pPr>
            <w:r>
              <w:rPr>
                <w:rFonts w:ascii="Courier New" w:cs="Courier New" w:eastAsia="Courier New" w:hAnsi="Courier New"/>
                <w:sz w:val="15"/>
                <w:szCs w:val="15"/>
                <w:color w:val="auto"/>
                <w:w w:val="99"/>
              </w:rPr>
              <w:t>increased  levels  of  capital  expenditures.  As  a  result  of</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Broadband</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acquisition,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we</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recorded</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approximately $4</w:t>
            </w:r>
          </w:p>
        </w:tc>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billion of franchise related customer</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relationship</w:t>
            </w:r>
          </w:p>
        </w:tc>
        <w:tc>
          <w:tcPr>
            <w:tcW w:w="11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intangible</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assets  which we</w:t>
            </w: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are  amortizing  over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their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estimated useful</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life of</w:t>
            </w:r>
          </w:p>
        </w:tc>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approximately four years.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8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7"/>
              </w:rPr>
              <w:t>_______________________</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5" w:lineRule="exact"/>
        <w:rPr>
          <w:sz w:val="20"/>
          <w:szCs w:val="20"/>
          <w:color w:val="auto"/>
        </w:rPr>
      </w:pPr>
    </w:p>
    <w:p>
      <w:pPr>
        <w:jc w:val="both"/>
        <w:ind w:right="540" w:firstLine="441"/>
        <w:spacing w:after="0" w:line="258" w:lineRule="auto"/>
        <w:rPr>
          <w:sz w:val="20"/>
          <w:szCs w:val="20"/>
          <w:color w:val="auto"/>
        </w:rPr>
      </w:pPr>
      <w:r>
        <w:rPr>
          <w:rFonts w:ascii="Courier New" w:cs="Courier New" w:eastAsia="Courier New" w:hAnsi="Courier New"/>
          <w:sz w:val="14"/>
          <w:szCs w:val="14"/>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11 to our financial statements included in Item 1 for a summary of our financial data by business segment (dollars in millions).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540" w:firstLine="441"/>
        <w:spacing w:after="0" w:line="238" w:lineRule="auto"/>
        <w:rPr>
          <w:sz w:val="20"/>
          <w:szCs w:val="20"/>
          <w:color w:val="auto"/>
        </w:rPr>
      </w:pPr>
      <w:r>
        <w:rPr>
          <w:rFonts w:ascii="Courier New" w:cs="Courier New" w:eastAsia="Courier New" w:hAnsi="Courier New"/>
          <w:sz w:val="15"/>
          <w:szCs w:val="15"/>
          <w:color w:val="auto"/>
        </w:rPr>
        <w:t>The discussion of our cable segment operating results is presented as a historical comparison of the 2003 interim period and the pre-Broadband acquisition 2002 interim period. In order to provide additional information relating to our cable segment operating results, we also present a discussion comparing our cable segment operating results on a pro forma basis. 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or may be achieved by the combined businesses. In the opinion of management, this information is not indicative of what our results would have been had we operated Broadband since January 1, 2002, nor of our future results.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 Forma Results</w:t>
      </w:r>
    </w:p>
    <w:p>
      <w:pPr>
        <w:spacing w:after="0" w:line="175"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As previously described, the following discussion includes the pro forma results of our cable segment operations as if the Broadband acquisition had occurred on January 1,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540" w:type="dxa"/>
            <w:vAlign w:val="bottom"/>
          </w:tcPr>
          <w:p>
            <w:pPr>
              <w:spacing w:after="0"/>
              <w:rPr>
                <w:sz w:val="14"/>
                <w:szCs w:val="14"/>
                <w:color w:val="auto"/>
              </w:rPr>
            </w:pPr>
          </w:p>
        </w:tc>
        <w:tc>
          <w:tcPr>
            <w:tcW w:w="20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$2,827</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3,844</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2,798</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$1,046</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5"/>
          <w:szCs w:val="15"/>
          <w:color w:val="auto"/>
        </w:rPr>
        <w:t>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30.</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Increase/(Decrease)</w:t>
      </w:r>
    </w:p>
    <w:p>
      <w:pPr>
        <w:ind w:left="1420" w:hanging="1064"/>
        <w:spacing w:after="0"/>
        <w:tabs>
          <w:tab w:leader="none" w:pos="14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w:t>
            </w:r>
          </w:p>
        </w:tc>
      </w:tr>
      <w:tr>
        <w:trPr>
          <w:trHeight w:val="170"/>
        </w:trPr>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w:t>
            </w:r>
          </w:p>
        </w:tc>
      </w:tr>
      <w:tr>
        <w:trPr>
          <w:trHeight w:val="170"/>
        </w:trPr>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bl>
    <w:p>
      <w:pPr>
        <w:spacing w:after="0" w:line="5" w:lineRule="exact"/>
        <w:rPr>
          <w:sz w:val="20"/>
          <w:szCs w:val="20"/>
          <w:color w:val="auto"/>
        </w:rPr>
      </w:pPr>
    </w:p>
    <w:p>
      <w:pPr>
        <w:ind w:left="1420" w:hanging="888"/>
        <w:spacing w:after="0"/>
        <w:tabs>
          <w:tab w:leader="none" w:pos="14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(10.9)</w:t>
      </w:r>
    </w:p>
    <w:p>
      <w:pPr>
        <w:spacing w:after="0" w:line="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32.0</w:t>
      </w:r>
    </w:p>
    <w:p>
      <w:pPr>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00" w:hanging="968"/>
        <w:spacing w:after="0" w:line="238" w:lineRule="auto"/>
        <w:tabs>
          <w:tab w:leader="none" w:pos="15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w:t>
      </w:r>
    </w:p>
    <w:p>
      <w:pPr>
        <w:ind w:left="1580" w:hanging="960"/>
        <w:spacing w:after="0"/>
        <w:tabs>
          <w:tab w:leader="none" w:pos="15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0.4</w:t>
      </w:r>
    </w:p>
    <w:p>
      <w:pPr>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8" w:lineRule="exact"/>
        <w:rPr>
          <w:sz w:val="20"/>
          <w:szCs w:val="20"/>
          <w:color w:val="auto"/>
        </w:rPr>
      </w:pPr>
    </w:p>
    <w:p>
      <w:pPr>
        <w:jc w:val="right"/>
        <w:ind w:right="359"/>
        <w:spacing w:after="0"/>
        <w:tabs>
          <w:tab w:leader="none" w:pos="420" w:val="left"/>
        </w:tabs>
        <w:rPr>
          <w:sz w:val="20"/>
          <w:szCs w:val="20"/>
          <w:color w:val="auto"/>
        </w:rPr>
      </w:pPr>
      <w:r>
        <w:rPr>
          <w:rFonts w:ascii="Courier New" w:cs="Courier New" w:eastAsia="Courier New" w:hAnsi="Courier New"/>
          <w:sz w:val="15"/>
          <w:szCs w:val="15"/>
          <w:color w:val="auto"/>
        </w:rPr>
        <w:t>$375</w:t>
      </w:r>
      <w:r>
        <w:rPr>
          <w:sz w:val="20"/>
          <w:szCs w:val="20"/>
          <w:color w:val="auto"/>
        </w:rPr>
        <w:tab/>
      </w:r>
      <w:r>
        <w:rPr>
          <w:rFonts w:ascii="Courier New" w:cs="Courier New" w:eastAsia="Courier New" w:hAnsi="Courier New"/>
          <w:sz w:val="14"/>
          <w:szCs w:val="14"/>
          <w:color w:val="auto"/>
        </w:rPr>
        <w:t>35.8%</w:t>
      </w:r>
    </w:p>
    <w:p>
      <w:pPr>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580" w:space="340"/>
            <w:col w:w="2299"/>
          </w:cols>
          <w:pgMar w:left="240" w:top="791" w:right="1440" w:bottom="1440" w:gutter="0" w:footer="0" w:header="0"/>
        </w:sectPr>
      </w:pPr>
    </w:p>
    <w:bookmarkStart w:id="32" w:name="page33"/>
    <w:bookmarkEnd w:id="32"/>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540" w:firstLine="441"/>
        <w:spacing w:after="0" w:line="238" w:lineRule="auto"/>
        <w:rPr>
          <w:sz w:val="20"/>
          <w:szCs w:val="20"/>
          <w:color w:val="auto"/>
        </w:rPr>
      </w:pPr>
      <w:r>
        <w:rPr>
          <w:rFonts w:ascii="Courier New" w:cs="Courier New" w:eastAsia="Courier New" w:hAnsi="Courier New"/>
          <w:sz w:val="15"/>
          <w:szCs w:val="15"/>
          <w:color w:val="auto"/>
        </w:rPr>
        <w:t>Video revenue consists of our basic, expanded basic, premium, pay-per-view, equipment and digital cable services. The increase in video revenue for the interim period from 2002 to 2003 is primarily due to the effects of rate increases in our traditional analog video service and growth in digital subscribers, offset by subscriber losses in the newly acquired cable systems during 2002. From March 31, 2002 to March 31, 2003, we added approximately 1,289,000 digital subscribers, or a 23.4% increase in digital subscribers.</w:t>
      </w:r>
    </w:p>
    <w:p>
      <w:pPr>
        <w:spacing w:after="0" w:line="177"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The increase in high-speed Internet revenue for the interim period from 2002 to 2003 is primarily due to the addition of approximately 1,387,000 high-speed Internet subscribers from March 31, 2002 to March 31, 2003, or a 52.3% increase in high-speed Internet subscribers, as well as to the effects of rate increases and less promotional discounting.</w:t>
      </w:r>
    </w:p>
    <w:p>
      <w:pPr>
        <w:spacing w:after="0" w:line="178"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The increase in phone revenue for the interim period from 2002 to 2003 is primarily due to the addition of approximately 262,000 phone subscribers from March 31, 2002 to March 31, 2003, or a 22.7% increase in phone subscribers.</w:t>
      </w:r>
    </w:p>
    <w:p>
      <w:pPr>
        <w:spacing w:after="0" w:line="175"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The increase in advertising sales revenue for the interim period from 2002 to 2003 is primarily due to the effects of a stronger advertising market and the continued leveraging of our market-wide fiber interconnects.</w:t>
      </w:r>
    </w:p>
    <w:p>
      <w:pPr>
        <w:spacing w:after="0" w:line="175" w:lineRule="exact"/>
        <w:rPr>
          <w:sz w:val="20"/>
          <w:szCs w:val="20"/>
          <w:color w:val="auto"/>
        </w:rPr>
      </w:pPr>
    </w:p>
    <w:p>
      <w:pPr>
        <w:jc w:val="both"/>
        <w:ind w:right="540" w:firstLine="441"/>
        <w:spacing w:after="0" w:line="260" w:lineRule="auto"/>
        <w:rPr>
          <w:sz w:val="20"/>
          <w:szCs w:val="20"/>
          <w:color w:val="auto"/>
        </w:rPr>
      </w:pPr>
      <w:r>
        <w:rPr>
          <w:rFonts w:ascii="Courier New" w:cs="Courier New" w:eastAsia="Courier New" w:hAnsi="Courier New"/>
          <w:sz w:val="14"/>
          <w:szCs w:val="14"/>
          <w:color w:val="auto"/>
        </w:rPr>
        <w:t>Other revenue includes installation revenues, guide revenues, commissions from electronic retailing, revenues of our digital media center, revenues of our regional sports programming networks and revenue from other product offerings.</w:t>
      </w:r>
    </w:p>
    <w:p>
      <w:pPr>
        <w:spacing w:after="0" w:line="163"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The increase in franchise fees collected from our cable subscribers for the interim period from 2002 to 2003 is primarily attributable to the increase in our revenues upon which the fees apply.</w:t>
      </w:r>
    </w:p>
    <w:p>
      <w:pPr>
        <w:spacing w:after="0" w:line="175" w:lineRule="exact"/>
        <w:rPr>
          <w:sz w:val="20"/>
          <w:szCs w:val="20"/>
          <w:color w:val="auto"/>
        </w:rPr>
      </w:pPr>
    </w:p>
    <w:p>
      <w:pPr>
        <w:jc w:val="both"/>
        <w:ind w:right="540" w:firstLine="441"/>
        <w:spacing w:after="0" w:line="238" w:lineRule="auto"/>
        <w:rPr>
          <w:sz w:val="20"/>
          <w:szCs w:val="20"/>
          <w:color w:val="auto"/>
        </w:rPr>
      </w:pPr>
      <w:r>
        <w:rPr>
          <w:rFonts w:ascii="Courier New" w:cs="Courier New" w:eastAsia="Courier New" w:hAnsi="Courier New"/>
          <w:sz w:val="15"/>
          <w:szCs w:val="15"/>
          <w:color w:val="auto"/>
        </w:rPr>
        <w:t>Operating, selling, general and administrative expense for the 2003 interim period did not increase significantly from 2002 primarily because the effects of approximately $88 million of acquisition and employee termination related costs recorded by Broadband during the 2002 interim period offset the effects of increases in the costs of cable programming, high-speed Internet subscriber growth, and increases in labor costs and other volume related expenses in our operations.</w:t>
      </w:r>
    </w:p>
    <w:p>
      <w:pPr>
        <w:spacing w:after="0" w:line="177" w:lineRule="exact"/>
        <w:rPr>
          <w:sz w:val="20"/>
          <w:szCs w:val="20"/>
          <w:color w:val="auto"/>
        </w:rPr>
      </w:pPr>
    </w:p>
    <w:p>
      <w:pPr>
        <w:jc w:val="both"/>
        <w:ind w:right="540" w:firstLine="441"/>
        <w:spacing w:after="0" w:line="237"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Historical Results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540" w:type="dxa"/>
            <w:vAlign w:val="bottom"/>
          </w:tcPr>
          <w:p>
            <w:pPr>
              <w:spacing w:after="0"/>
              <w:rPr>
                <w:sz w:val="14"/>
                <w:szCs w:val="14"/>
                <w:color w:val="auto"/>
              </w:rPr>
            </w:pPr>
          </w:p>
        </w:tc>
        <w:tc>
          <w:tcPr>
            <w:tcW w:w="20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1,469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$597</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30.</w:t>
      </w:r>
    </w:p>
    <w:p>
      <w:pPr>
        <w:spacing w:after="0" w:line="200" w:lineRule="exact"/>
        <w:rPr>
          <w:sz w:val="20"/>
          <w:szCs w:val="20"/>
          <w:color w:val="auto"/>
        </w:rPr>
      </w:pPr>
    </w:p>
    <w:p>
      <w:pPr>
        <w:spacing w:after="0" w:line="314" w:lineRule="exact"/>
        <w:rPr>
          <w:sz w:val="20"/>
          <w:szCs w:val="20"/>
          <w:color w:val="auto"/>
        </w:rPr>
      </w:pPr>
    </w:p>
    <w:p>
      <w:pPr>
        <w:jc w:val="both"/>
        <w:ind w:right="540" w:firstLine="441"/>
        <w:spacing w:after="0" w:line="238" w:lineRule="auto"/>
        <w:rPr>
          <w:sz w:val="20"/>
          <w:szCs w:val="20"/>
          <w:color w:val="auto"/>
        </w:rPr>
      </w:pPr>
      <w:r>
        <w:rPr>
          <w:rFonts w:ascii="Courier New" w:cs="Courier New" w:eastAsia="Courier New" w:hAnsi="Courier New"/>
          <w:sz w:val="15"/>
          <w:szCs w:val="15"/>
          <w:color w:val="auto"/>
        </w:rPr>
        <w:t>Of the $1.832 billion increase in video revenues for the interim period from 2002 to 2003, $1.752 billion is attributable to the effects of our acquisition of Broadband and $80 million relates to changes in rates and subscriber growth in our historical operations, driven principally by growth in digital subscribers. From March 31, 2002 to March 31, 2003, we added approximately 466,000 digital subscribers in our historical operations, or a 25.1% increase in digital subscribers. During the 2003 interim period, we added approximately 169,000 digital subscribers.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increase in high-speed Internet revenue for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Increase</w:t>
      </w:r>
    </w:p>
    <w:p>
      <w:pPr>
        <w:ind w:left="1420" w:hanging="1064"/>
        <w:spacing w:after="0"/>
        <w:tabs>
          <w:tab w:leader="none" w:pos="14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159.3%</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313.4</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191.4</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188.0</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222.4</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137.9%</w:t>
            </w:r>
          </w:p>
        </w:tc>
      </w:tr>
      <w:tr>
        <w:trPr>
          <w:trHeight w:val="170"/>
        </w:trPr>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580" w:space="340"/>
            <w:col w:w="2299"/>
          </w:cols>
          <w:pgMar w:left="240" w:top="791" w:right="1440" w:bottom="565" w:gutter="0" w:footer="0" w:header="0"/>
        </w:sectPr>
      </w:pPr>
    </w:p>
    <w:bookmarkStart w:id="33" w:name="page34"/>
    <w:bookmarkEnd w:id="33"/>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interim period from 2002 to 2003 is primarily due to the effects of the Broadband acquisition and growth in high- speed Internet subscribers. From March 31, 2002 to March 31, 2003, we added approximately 678,000 high- speed Internet subscribers in our historical operations, or a 65.1% increase in high-speed Internet subscribers. During the 2003 interim period, we added approximately 417,000 high-speed Internet subscribers.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increase in phone revenue is attributable to the effects of our acquisition of Broadband.</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advertising sales revenue for the interim period from 2002 to 2003 is primarily due to the effects of the Broadband acquisition, as well as to the effects of a stronger advertising market and the continued leveraging of our market-wide fiber interconnects.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increase in other revenue for the interim period from 2002 to 2003 is primarily attributable to the effects of the Broadband acquisition.</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franchise fees collected from our cable subscribers for the interim period from 2002 to 2003 is primarily attributable to the increase in our revenues upon which the fees apply.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 in operating, selling, general and administrative expense for the interim period from 2002 to 2003 is primarily due to the effects of the Broadband acquisition, as well as to the effects of increases in the costs of cable programming, high-speed Internet subscriber growth, and, to a lesser extent, increases in labor costs and other volume related expenses in our historical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Commerce (QVC, Inc. and Subsidiaries)</w:t>
            </w:r>
          </w:p>
        </w:tc>
        <w:tc>
          <w:tcPr>
            <w:tcW w:w="2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spacing w:after="0"/>
              <w:rPr>
                <w:sz w:val="14"/>
                <w:szCs w:val="14"/>
                <w:color w:val="auto"/>
              </w:rPr>
            </w:pPr>
          </w:p>
        </w:tc>
        <w:tc>
          <w:tcPr>
            <w:tcW w:w="226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$1,062</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673</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 (a)....</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36.4%</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30.</w:t>
      </w:r>
    </w:p>
    <w:p>
      <w:pPr>
        <w:spacing w:after="0" w:line="200" w:lineRule="exact"/>
        <w:rPr>
          <w:sz w:val="20"/>
          <w:szCs w:val="20"/>
          <w:color w:val="auto"/>
        </w:rPr>
      </w:pPr>
    </w:p>
    <w:p>
      <w:pPr>
        <w:spacing w:after="0" w:line="31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$74 million increase in net sales from electronic retailing for the interim period from 2002 to 2003 is attributable to increases in net sales in Germany, Japan, and the United Kingdom, and to the effects of fluctuations in foreign currency exchange rates during the interim periods. Net sales from electronic retailing in the United States for the interim period in 2003 were flat as compared to the prior year period, principally as a result of a decrease in net sales per home. Changes in the average number of homes receiving QVC services and net sales per home in the United States as compared to the prior year interim period are as follows:</w:t>
      </w:r>
    </w:p>
    <w:p>
      <w:pPr>
        <w:spacing w:after="0" w:line="173"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Three Months Ended</w:t>
      </w:r>
    </w:p>
    <w:p>
      <w:pPr>
        <w:ind w:left="5540"/>
        <w:spacing w:after="0"/>
        <w:rPr>
          <w:sz w:val="20"/>
          <w:szCs w:val="20"/>
          <w:color w:val="auto"/>
        </w:rPr>
      </w:pPr>
      <w:r>
        <w:rPr>
          <w:rFonts w:ascii="Courier New" w:cs="Courier New" w:eastAsia="Courier New" w:hAnsi="Courier New"/>
          <w:sz w:val="15"/>
          <w:szCs w:val="15"/>
          <w:color w:val="auto"/>
        </w:rPr>
        <w:t>March 31, 2003</w:t>
      </w:r>
    </w:p>
    <w:p>
      <w:pPr>
        <w:ind w:left="5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791" w:right="1440" w:bottom="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average number of homes..........................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sectPr>
          <w:pgSz w:w="11900" w:h="16838" w:orient="portrait"/>
          <w:cols w:equalWidth="0" w:num="2">
            <w:col w:w="5520" w:space="720"/>
            <w:col w:w="3979"/>
          </w:cols>
          <w:pgMar w:left="240" w:top="791"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in net sales per home...............................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ectPr>
          <w:pgSz w:w="11900" w:h="16838" w:orient="portrait"/>
          <w:cols w:equalWidth="0" w:num="2">
            <w:col w:w="5520" w:space="720"/>
            <w:col w:w="3979"/>
          </w:cols>
          <w:pgMar w:left="240" w:top="791" w:right="1440" w:bottom="0" w:gutter="0" w:footer="0" w:header="0"/>
          <w:type w:val="continuous"/>
        </w:sectPr>
      </w:pPr>
    </w:p>
    <w:p>
      <w:pPr>
        <w:spacing w:after="0" w:line="1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sales will depend increasingly on continued additions of new customers from homes already receiving the QVC service and growth in repeat sales to existing customers.</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cost of goods sold is primarily related to the growth in net sales. The increase in gross margin is primarily due to the effects of a shift in sales mix.</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operating, selling, general and administrative expenses is primarily attributable to higher variable costs and personnel costs associated with the</w:t>
      </w:r>
    </w:p>
    <w:p>
      <w:pPr>
        <w:sectPr>
          <w:pgSz w:w="11900" w:h="16838" w:orient="portrait"/>
          <w:cols w:equalWidth="0" w:num="1">
            <w:col w:w="10219"/>
          </w:cols>
          <w:pgMar w:left="240" w:top="791" w:right="1440" w:bottom="0" w:gutter="0" w:footer="0" w:header="0"/>
          <w:type w:val="continuous"/>
        </w:sectPr>
      </w:pPr>
    </w:p>
    <w:bookmarkStart w:id="34" w:name="page35"/>
    <w:bookmarkEnd w:id="34"/>
    <w:p>
      <w:pPr>
        <w:ind w:left="22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019"/>
          </w:cols>
          <w:pgMar w:left="1440" w:top="136" w:right="1440" w:bottom="1440" w:gutter="0" w:footer="0" w:header="0"/>
        </w:sectPr>
      </w:pPr>
    </w:p>
    <w:bookmarkStart w:id="35" w:name="page36"/>
    <w:bookmarkEnd w:id="35"/>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sales volume.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interest expense for the interim period from 2002 to 2003 is due to the effects of our increased amount of debt outstanding as a result of the Broadband acquisition.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anticipate that, for the foreseeable future, interest expense will be significant. We believe we will continue to be able to meet our obligations through our ability both to generate cash flow from operations and to obtain external financing.</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Loss, Net</w:t>
      </w:r>
    </w:p>
    <w:p>
      <w:pPr>
        <w:ind w:left="440"/>
        <w:spacing w:after="0"/>
        <w:tabs>
          <w:tab w:leader="none" w:pos="1460" w:val="left"/>
          <w:tab w:leader="none" w:pos="2080" w:val="left"/>
          <w:tab w:leader="none" w:pos="3940" w:val="left"/>
          <w:tab w:leader="none" w:pos="4740" w:val="left"/>
        </w:tabs>
        <w:rPr>
          <w:sz w:val="20"/>
          <w:szCs w:val="20"/>
          <w:color w:val="auto"/>
        </w:rPr>
      </w:pPr>
      <w:r>
        <w:rPr>
          <w:rFonts w:ascii="Courier New" w:cs="Courier New" w:eastAsia="Courier New" w:hAnsi="Courier New"/>
          <w:sz w:val="15"/>
          <w:szCs w:val="15"/>
          <w:color w:val="auto"/>
        </w:rPr>
        <w:t>Investment</w:t>
        <w:tab/>
        <w:t>loss,</w:t>
        <w:tab/>
        <w:t>net for the interim</w:t>
        <w:tab/>
        <w:t>periods</w:t>
      </w:r>
      <w:r>
        <w:rPr>
          <w:sz w:val="20"/>
          <w:szCs w:val="20"/>
          <w:color w:val="auto"/>
        </w:rPr>
        <w:tab/>
      </w:r>
      <w:r>
        <w:rPr>
          <w:rFonts w:ascii="Courier New" w:cs="Courier New" w:eastAsia="Courier New" w:hAnsi="Courier New"/>
          <w:sz w:val="14"/>
          <w:szCs w:val="14"/>
          <w:color w:val="auto"/>
        </w:rPr>
        <w:t>includes the following (in</w:t>
      </w: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8"/>
        </w:trPr>
        <w:tc>
          <w:tcPr>
            <w:tcW w:w="5540" w:type="dxa"/>
            <w:vAlign w:val="bottom"/>
          </w:tcPr>
          <w:p>
            <w:pPr>
              <w:spacing w:after="0"/>
              <w:rPr>
                <w:sz w:val="24"/>
                <w:szCs w:val="24"/>
                <w:color w:val="auto"/>
              </w:rPr>
            </w:pPr>
          </w:p>
        </w:tc>
        <w:tc>
          <w:tcPr>
            <w:tcW w:w="19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54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5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5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and dividend income...................................</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7"/>
              </w:rPr>
              <w:t>Gains on sales and exchanges of investments, net...............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 impairment losses...................................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7"/>
              </w:rPr>
              <w:t>Unrealized losses on trading securities........................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related</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to trading securities.....................................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w:t>
            </w:r>
          </w:p>
        </w:tc>
      </w:tr>
      <w:tr>
        <w:trPr>
          <w:trHeight w:val="170"/>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55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Investment loss, net......................................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55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Investment loss during the 2003 interim period of $197 million resulting from the fair value adjustment of the derivative component of the Comcast exchangeable notes was not offset in our statement of operations by the corresponding increase in the fair value of the Comcast Class A Special common stock held in treasury during the period since the Comcast common stock will continue to be carried at our historical cost and not adjusted for changes in fair value between measurement dates. Accordingly, our future results of operations may be affected by fluctuations in the fair value of the derivative component of the Comcast exchangeable notes in future periods.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Benefit (Expense)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change in income tax benefit (expense) for the interim period from 2002 to 2003 is primarily the result of the effects of changes in our loss before taxes and minority interest.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minority interest for the interim period from 2002 to 2003 is attributable to the effects of changes in the net income or loss of our less than wholly owned consolidated subsidiaries, as well as to the minority interests in certain subsidiaries acquired in connection with the Broadband acquisition.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791" w:right="1440" w:bottom="1440" w:gutter="0" w:footer="0" w:header="0"/>
        </w:sectPr>
      </w:pPr>
    </w:p>
    <w:bookmarkStart w:id="36" w:name="page37"/>
    <w:bookmarkEnd w:id="36"/>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5" w:lineRule="exact"/>
        <w:rPr>
          <w:sz w:val="20"/>
          <w:szCs w:val="20"/>
          <w:color w:val="auto"/>
        </w:rPr>
      </w:pPr>
    </w:p>
    <w:p>
      <w:pPr>
        <w:jc w:val="both"/>
        <w:ind w:left="1220" w:right="3179" w:hanging="436"/>
        <w:spacing w:after="0" w:line="257" w:lineRule="auto"/>
        <w:tabs>
          <w:tab w:leader="none" w:pos="12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quarterly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166" w:lineRule="exact"/>
        <w:rPr>
          <w:rFonts w:ascii="Courier New" w:cs="Courier New" w:eastAsia="Courier New" w:hAnsi="Courier New"/>
          <w:sz w:val="14"/>
          <w:szCs w:val="14"/>
          <w:color w:val="auto"/>
        </w:rPr>
      </w:pPr>
    </w:p>
    <w:p>
      <w:pPr>
        <w:jc w:val="both"/>
        <w:ind w:left="1220" w:right="3179" w:hanging="436"/>
        <w:spacing w:after="0" w:line="237" w:lineRule="auto"/>
        <w:tabs>
          <w:tab w:leader="none" w:pos="12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5"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Litigation has been filed against us as a result of alleged conduct with respect to our investment in and distribution relationship with At Home Corporation. At Home was a provider of high-speed Internet access and content services which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9"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actions against AT&amp;T described above, where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was denied on April 25, 2003.</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791" w:right="1440" w:bottom="1440" w:gutter="0" w:footer="0" w:header="0"/>
        </w:sectPr>
      </w:pPr>
    </w:p>
    <w:bookmarkStart w:id="37" w:name="page38"/>
    <w:bookmarkEnd w:id="37"/>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such consolidated financial position.</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Management is continuing to evaluate this litigation and is unable to currently determine what impact, if any, that our 50% share of the AT&amp;T At Home potential liabilities would have on our consolidated financial position or results of operations. No assurance can be given that any adverse outcome would not be material.</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Some of the entities formerly attributed to Broadband which are now our subsidiaries are parties to an affiliation term sheet with Starz Encore Group LLC, an affiliate of Liberty Media Corporation, which extends to 2022. The term sheet requires annual fixed price payments, subject to adjustment for various factors, including inflation. The term sheet also requires us to pay two-thirds of Starz Encore's programming costs above levels designated in the term sheet. Excess programming costs that may be payable by us in future years are not presently estimable, and could be significant.</w:t>
      </w:r>
    </w:p>
    <w:p>
      <w:pPr>
        <w:spacing w:after="0" w:line="179"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34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18, 2002, we filed suit against Starz Encore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programming is acquired and transmitted by our cable systems. On January 8, 2003, Starz Encore filed a motion to dismiss the lawsuit on the grounds that claims asserted by us raised issues of state law that the United States District Court should decline to decide. We have responded contesting these assertions. That motion has been submitted to the Court for decision.</w:t>
      </w:r>
    </w:p>
    <w:p>
      <w:pPr>
        <w:spacing w:after="0" w:line="181"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January 31, 2003, Starz Encore filed an amended complaint in its lawsuit against Broadband in Colorado state court. The amended complaint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now provides the terms under which Starz Encore programming is acquired and transmitted by our cable systems.</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779"/>
          </w:cols>
          <w:pgMar w:left="680" w:top="791" w:right="1440" w:bottom="1074" w:gutter="0" w:footer="0" w:header="0"/>
        </w:sectPr>
      </w:pPr>
    </w:p>
    <w:bookmarkStart w:id="38" w:name="page39"/>
    <w:bookmarkEnd w:id="38"/>
    <w:p>
      <w:pPr>
        <w:ind w:left="148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rPr>
          <w:sz w:val="20"/>
          <w:szCs w:val="20"/>
          <w:color w:val="auto"/>
        </w:rPr>
      </w:pPr>
      <w:r>
        <w:rPr>
          <w:rFonts w:ascii="Courier New" w:cs="Courier New" w:eastAsia="Courier New" w:hAnsi="Courier New"/>
          <w:sz w:val="15"/>
          <w:szCs w:val="15"/>
          <w:color w:val="auto"/>
        </w:rPr>
        <w:t>FORM 10-Q</w:t>
      </w:r>
    </w:p>
    <w:p>
      <w:pPr>
        <w:ind w:left="1840"/>
        <w:spacing w:after="0"/>
        <w:rPr>
          <w:sz w:val="20"/>
          <w:szCs w:val="20"/>
          <w:color w:val="auto"/>
        </w:rPr>
      </w:pPr>
      <w:r>
        <w:rPr>
          <w:rFonts w:ascii="Courier New" w:cs="Courier New" w:eastAsia="Courier New" w:hAnsi="Courier New"/>
          <w:sz w:val="15"/>
          <w:szCs w:val="15"/>
          <w:color w:val="auto"/>
        </w:rPr>
        <w:t>QUARTER ENDED MARCH 31, 2003</w:t>
      </w:r>
    </w:p>
    <w:p>
      <w:pPr>
        <w:spacing w:after="0" w:line="34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second amended complaint and, in light of Starz Encore's pending motion for leave to amend, have sought an extension of time from the Court to respond to Starz Encore's amended complaint.</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April 3, 2003, we and Comcast Holdings filed a motion for summary judgment in the federal action in Pennsylvania. On April 16, 2003, Starz Encore filed a motion seeking (i) to strike the affidavit supporting the summary judgment motion or, in the alternative, (ii) a general postponement of Starz Encore's response date (or at a minimum a three week extension). On April 29, 2003, we and Comcast Holdings filed an opposition to Starz Encore's motion. The Court has not yet ruled on either motion.</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we are now bound by the master agreement to use CSG as our exclusive provider for certain billing and customer care services; (iii) tortious interference with prospective contractual relations; and (iv) civil conspiracy. A hearing in the arbitration is scheduled to commence on May 9, 2003.</w:t>
      </w:r>
    </w:p>
    <w:p>
      <w:pPr>
        <w:spacing w:after="0" w:line="181"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owned by us may be added to a billing service agreement between us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33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January 8, 2003, Liberty Digital, Inc. filed a complaint in Colorado state court against us and Comcast Cable Holdings, LLC (formerly AT&amp;T Broadband LLC and Tele-Communications, Inc.), our wholly 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and Comcast Cable Holdings denied the essential allegations of the complaint and asserted various affirmative defenses.</w:t>
      </w:r>
    </w:p>
    <w:p>
      <w:pPr>
        <w:spacing w:after="0" w:line="182"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management's opinion, the final disposition of the Starz Encore, CSG and Liberty Digital contractual disputes is not expected to have a material adverse effect on our consolidated financial position or results of operations. However, no assurance can be given that any adverse outcome would not be material to such consolidated financial position or results of operations.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We are subject to other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200" w:lineRule="exact"/>
        <w:rPr>
          <w:sz w:val="20"/>
          <w:szCs w:val="20"/>
          <w:color w:val="auto"/>
        </w:rPr>
      </w:pPr>
    </w:p>
    <w:p>
      <w:pPr>
        <w:spacing w:after="0" w:line="31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79"/>
          </w:cols>
          <w:pgMar w:left="680" w:top="791" w:right="1440" w:bottom="1440" w:gutter="0" w:footer="0" w:header="0"/>
        </w:sectPr>
      </w:pPr>
    </w:p>
    <w:bookmarkStart w:id="39" w:name="page40"/>
    <w:bookmarkEnd w:id="39"/>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 required to be filed by Item 601 of Regulation S-K:</w:t>
      </w:r>
    </w:p>
    <w:p>
      <w:pPr>
        <w:spacing w:after="0" w:line="175" w:lineRule="exact"/>
        <w:rPr>
          <w:sz w:val="20"/>
          <w:szCs w:val="20"/>
          <w:color w:val="auto"/>
        </w:rPr>
      </w:pPr>
    </w:p>
    <w:p>
      <w:pPr>
        <w:jc w:val="both"/>
        <w:ind w:left="1220" w:right="3179" w:hanging="528"/>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10.1</w:t>
        <w:tab/>
        <w:t>Term Life Insurance Premium and Tax Bonus Agreement between Comcast Holdings Corporation and Brian L. Roberts, dated as of September 23, 1998.</w:t>
      </w:r>
    </w:p>
    <w:p>
      <w:pPr>
        <w:spacing w:after="0" w:line="169" w:lineRule="exact"/>
        <w:rPr>
          <w:sz w:val="20"/>
          <w:szCs w:val="20"/>
          <w:color w:val="auto"/>
        </w:rPr>
      </w:pPr>
    </w:p>
    <w:p>
      <w:pPr>
        <w:ind w:left="780" w:hanging="349"/>
        <w:spacing w:after="0"/>
        <w:tabs>
          <w:tab w:leader="none" w:pos="7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220" w:right="3179" w:hanging="524"/>
        <w:spacing w:after="0" w:line="237" w:lineRule="auto"/>
        <w:tabs>
          <w:tab w:leader="none" w:pos="12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Items 5 and 7(c) on January 10, 2003 announcing the closing of a $1.5 billion note offering and announcing a shareholder proposal deadline for our 2003 Annual Meeting of Shareholders.</w:t>
      </w:r>
    </w:p>
    <w:p>
      <w:pPr>
        <w:spacing w:after="0" w:line="176" w:lineRule="exact"/>
        <w:rPr>
          <w:rFonts w:ascii="Courier New" w:cs="Courier New" w:eastAsia="Courier New" w:hAnsi="Courier New"/>
          <w:sz w:val="15"/>
          <w:szCs w:val="15"/>
          <w:color w:val="auto"/>
        </w:rPr>
      </w:pPr>
    </w:p>
    <w:p>
      <w:pPr>
        <w:jc w:val="both"/>
        <w:ind w:left="1220" w:right="3179" w:hanging="524"/>
        <w:spacing w:after="0" w:line="237" w:lineRule="auto"/>
        <w:tabs>
          <w:tab w:leader="none" w:pos="12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on February 5, 2003 announcing the resignation of a member of our Board of Directors and his subsequent replacement.</w:t>
      </w:r>
    </w:p>
    <w:p>
      <w:pPr>
        <w:spacing w:after="0" w:line="174" w:lineRule="exact"/>
        <w:rPr>
          <w:rFonts w:ascii="Courier New" w:cs="Courier New" w:eastAsia="Courier New" w:hAnsi="Courier New"/>
          <w:sz w:val="15"/>
          <w:szCs w:val="15"/>
          <w:color w:val="auto"/>
        </w:rPr>
      </w:pPr>
    </w:p>
    <w:p>
      <w:pPr>
        <w:jc w:val="both"/>
        <w:ind w:left="1220" w:right="3179" w:hanging="524"/>
        <w:spacing w:after="0" w:line="237" w:lineRule="auto"/>
        <w:tabs>
          <w:tab w:leader="none" w:pos="12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Items 5 and 7(c) on March 6, 2003 announcing our results of operations for the year ended December 31, 2002 and announcing that Liberty Media Corporation delivered a notice to us that triggers an exit rights process with respect to QVC,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791" w:right="1440" w:bottom="1440" w:gutter="0" w:footer="0" w:header="0"/>
        </w:sectPr>
      </w:pPr>
    </w:p>
    <w:bookmarkStart w:id="40" w:name="page41"/>
    <w:bookmarkEnd w:id="40"/>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ind w:left="3160"/>
        <w:spacing w:after="0"/>
        <w:rPr>
          <w:sz w:val="20"/>
          <w:szCs w:val="20"/>
          <w:color w:val="auto"/>
        </w:rPr>
      </w:pPr>
      <w:r>
        <w:rPr>
          <w:rFonts w:ascii="Courier New" w:cs="Courier New" w:eastAsia="Courier New" w:hAnsi="Courier New"/>
          <w:sz w:val="15"/>
          <w:szCs w:val="15"/>
          <w:color w:val="auto"/>
        </w:rPr>
        <w:t>FORM 10-Q</w:t>
      </w:r>
    </w:p>
    <w:p>
      <w:pPr>
        <w:ind w:left="2280"/>
        <w:spacing w:after="0"/>
        <w:rPr>
          <w:sz w:val="20"/>
          <w:szCs w:val="20"/>
          <w:color w:val="auto"/>
        </w:rPr>
      </w:pPr>
      <w:r>
        <w:rPr>
          <w:rFonts w:ascii="Courier New" w:cs="Courier New" w:eastAsia="Courier New" w:hAnsi="Courier New"/>
          <w:sz w:val="15"/>
          <w:szCs w:val="15"/>
          <w:color w:val="auto"/>
        </w:rPr>
        <w:t>QUARTER ENDED MARCH 31, 2003</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Lawrence J. Salva</w:t>
      </w:r>
    </w:p>
    <w:p>
      <w:pPr>
        <w:ind w:left="3520"/>
        <w:spacing w:after="0"/>
        <w:rPr>
          <w:sz w:val="20"/>
          <w:szCs w:val="20"/>
          <w:color w:val="auto"/>
        </w:rPr>
      </w:pPr>
      <w:r>
        <w:rPr>
          <w:rFonts w:ascii="Courier New" w:cs="Courier New" w:eastAsia="Courier New" w:hAnsi="Courier New"/>
          <w:sz w:val="15"/>
          <w:szCs w:val="15"/>
          <w:color w:val="auto"/>
        </w:rPr>
        <w:t>Senior Vice President and Controller</w:t>
      </w:r>
    </w:p>
    <w:p>
      <w:pPr>
        <w:ind w:left="3520"/>
        <w:spacing w:after="0"/>
        <w:rPr>
          <w:sz w:val="20"/>
          <w:szCs w:val="20"/>
          <w:color w:val="auto"/>
        </w:rPr>
      </w:pPr>
      <w:r>
        <w:rPr>
          <w:rFonts w:ascii="Courier New" w:cs="Courier New" w:eastAsia="Courier New" w:hAnsi="Courier New"/>
          <w:sz w:val="15"/>
          <w:szCs w:val="15"/>
          <w:color w:val="auto"/>
        </w:rPr>
        <w:t>(Principal Accounting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791" w:right="1440" w:bottom="1440" w:gutter="0" w:footer="0" w:header="0"/>
        </w:sectPr>
      </w:pPr>
    </w:p>
    <w:bookmarkStart w:id="41" w:name="page42"/>
    <w:bookmarkEnd w:id="41"/>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Brian L. Roberts, certify that:</w:t>
      </w:r>
    </w:p>
    <w:p>
      <w:pPr>
        <w:spacing w:after="0" w:line="175" w:lineRule="exact"/>
        <w:rPr>
          <w:sz w:val="20"/>
          <w:szCs w:val="20"/>
          <w:color w:val="auto"/>
        </w:rPr>
      </w:pPr>
    </w:p>
    <w:p>
      <w:pPr>
        <w:ind w:left="450" w:hanging="450"/>
        <w:spacing w:after="0"/>
        <w:tabs>
          <w:tab w:leader="none" w:pos="45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May 9,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BRIAN L. ROBERTS</w:t>
      </w:r>
    </w:p>
    <w:p>
      <w:pPr>
        <w:ind w:left="170" w:hanging="170"/>
        <w:spacing w:after="0"/>
        <w:tabs>
          <w:tab w:leader="none" w:pos="17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1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961" w:right="1440" w:bottom="1440" w:gutter="0" w:footer="0" w:header="0"/>
        </w:sectPr>
      </w:pPr>
    </w:p>
    <w:bookmarkStart w:id="42" w:name="page43"/>
    <w:bookmarkEnd w:id="42"/>
    <w:p>
      <w:pPr>
        <w:ind w:left="10"/>
        <w:spacing w:after="0"/>
        <w:rPr>
          <w:sz w:val="20"/>
          <w:szCs w:val="20"/>
          <w:color w:val="auto"/>
        </w:rPr>
      </w:pPr>
      <w:r>
        <w:rPr>
          <w:rFonts w:ascii="Courier New" w:cs="Courier New" w:eastAsia="Courier New" w:hAnsi="Courier New"/>
          <w:sz w:val="15"/>
          <w:szCs w:val="15"/>
          <w:color w:val="auto"/>
        </w:rPr>
        <w:t>I, Lawrence S. Smith, certify that:</w:t>
      </w:r>
    </w:p>
    <w:p>
      <w:pPr>
        <w:spacing w:after="0" w:line="175" w:lineRule="exact"/>
        <w:rPr>
          <w:sz w:val="20"/>
          <w:szCs w:val="20"/>
          <w:color w:val="auto"/>
        </w:rPr>
      </w:pPr>
    </w:p>
    <w:p>
      <w:pPr>
        <w:ind w:left="450" w:hanging="450"/>
        <w:spacing w:after="0"/>
        <w:tabs>
          <w:tab w:leader="none" w:pos="4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May 9,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LAWRENCE S. SMITH</w:t>
      </w:r>
    </w:p>
    <w:p>
      <w:pPr>
        <w:ind w:left="170" w:hanging="170"/>
        <w:spacing w:after="0"/>
        <w:tabs>
          <w:tab w:leader="none" w:pos="17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Lawrence S. Smith Co-Chief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961" w:right="1440" w:bottom="1440" w:gutter="0" w:footer="0" w:header="0"/>
        </w:sectPr>
      </w:pPr>
    </w:p>
    <w:bookmarkStart w:id="43" w:name="page44"/>
    <w:bookmarkEnd w:id="43"/>
    <w:p>
      <w:pPr>
        <w:ind w:left="10"/>
        <w:spacing w:after="0"/>
        <w:rPr>
          <w:sz w:val="20"/>
          <w:szCs w:val="20"/>
          <w:color w:val="auto"/>
        </w:rPr>
      </w:pPr>
      <w:r>
        <w:rPr>
          <w:rFonts w:ascii="Courier New" w:cs="Courier New" w:eastAsia="Courier New" w:hAnsi="Courier New"/>
          <w:sz w:val="15"/>
          <w:szCs w:val="15"/>
          <w:color w:val="auto"/>
        </w:rPr>
        <w:t>I, John R. Alchin, certify that:</w:t>
      </w:r>
    </w:p>
    <w:p>
      <w:pPr>
        <w:spacing w:after="0" w:line="175" w:lineRule="exact"/>
        <w:rPr>
          <w:sz w:val="20"/>
          <w:szCs w:val="20"/>
          <w:color w:val="auto"/>
        </w:rPr>
      </w:pPr>
    </w:p>
    <w:p>
      <w:pPr>
        <w:ind w:left="450" w:hanging="450"/>
        <w:spacing w:after="0"/>
        <w:tabs>
          <w:tab w:leader="none" w:pos="4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May 9,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JOHN R. ALCHIN</w:t>
      </w:r>
    </w:p>
    <w:p>
      <w:pPr>
        <w:ind w:left="170" w:hanging="170"/>
        <w:spacing w:after="0"/>
        <w:tabs>
          <w:tab w:leader="none" w:pos="1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John R. Alchin Co-Chief Financial Officer</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791" w:right="1440" w:bottom="1440" w:gutter="0" w:footer="0" w:header="0"/>
        </w:sectPr>
      </w:pPr>
    </w:p>
    <w:bookmarkStart w:id="44" w:name="page45"/>
    <w:bookmarkEnd w:id="44"/>
    <w:p>
      <w:pPr>
        <w:ind w:left="1220"/>
        <w:spacing w:after="0"/>
        <w:rPr>
          <w:sz w:val="20"/>
          <w:szCs w:val="20"/>
          <w:color w:val="auto"/>
        </w:rPr>
      </w:pPr>
      <w:r>
        <w:rPr>
          <w:rFonts w:ascii="Courier New" w:cs="Courier New" w:eastAsia="Courier New" w:hAnsi="Courier New"/>
          <w:sz w:val="15"/>
          <w:szCs w:val="15"/>
          <w:color w:val="auto"/>
        </w:rPr>
        <w:t>TERM LIFE INSURANCE PREMIUM AND TAX BONUS AGREEMENT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THIS AGREEMENT is made as of the 23 day of September, 1998, by and between Comcast Corporation, a Pennsylvania corporation (the "Company") and Brian L. Roberts ("Roberts"), the President of the Company.</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ind w:left="3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WHEREAS, Roberts has rendered loyal and valuable service to the Company since January 1, 1984; and</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WHEREAS, the Company's Board of Directors (the "Board") recognize that Roberts' contribution to the growth and success of the Company has continued to be substantial throughout his service with the Company and that without his continued leadership and vision the Company would not have achieved and maintained its current preeminent status in the cable television and cellular communications industries nor would the Company have achieved its performance levels or successfully consummated the many strategic transactions that have closed during the past several years, including the recent capital investment into the Company by Microsoft Corp.;</w:t>
      </w:r>
    </w:p>
    <w:p>
      <w:pPr>
        <w:spacing w:after="0" w:line="179"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WHEREAS, in recognition of the foregoing, the Company, in addition to other forms of compensation afforded Roberts, wishes to provide funding for additional life insurance protection of (i) $150,000,000 under policies of life insurance insuring the life of Roberts, which are described on the attached Schedule A and which were issued by the insurance companies identified in Schedule A and (ii) $20,000,000 under policies of life insurance insuring the life of Roberts, which are described on the attached Schedule B and which were issued by the insurance companies identified in Schedule B (the policies described in Schedule A and Schedule B are hereinafter individually referred to as a "Policy" and collectively as the "Policies" and the insurance companies identified in Schedule A and Schedule B are hereinafter individually referred to as the "Insurer" and collectively as the "Insurers"):</w:t>
      </w:r>
    </w:p>
    <w:p>
      <w:pPr>
        <w:spacing w:after="0" w:line="182"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hereby, agree as follows</w:t>
      </w:r>
    </w:p>
    <w:p>
      <w:pPr>
        <w:spacing w:after="0" w:line="175" w:lineRule="exact"/>
        <w:rPr>
          <w:sz w:val="20"/>
          <w:szCs w:val="20"/>
          <w:color w:val="auto"/>
        </w:rPr>
      </w:pPr>
    </w:p>
    <w:p>
      <w:pPr>
        <w:jc w:val="both"/>
        <w:ind w:right="3179" w:firstLine="784"/>
        <w:spacing w:after="0" w:line="237" w:lineRule="auto"/>
        <w:tabs>
          <w:tab w:leader="none" w:pos="105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Premiums. No later than thirty business days before the due date of each annual premium under each Policy, the Company or the "Trust" (as defined herein) shall pay to Roberts (the full amount of the animal premiums under the Policies (the Premium Payments)</w:t>
      </w:r>
    </w:p>
    <w:p>
      <w:pPr>
        <w:spacing w:after="0" w:line="176" w:lineRule="exact"/>
        <w:rPr>
          <w:rFonts w:ascii="Courier New" w:cs="Courier New" w:eastAsia="Courier New" w:hAnsi="Courier New"/>
          <w:sz w:val="15"/>
          <w:szCs w:val="15"/>
          <w:color w:val="auto"/>
        </w:rPr>
      </w:pPr>
    </w:p>
    <w:p>
      <w:pPr>
        <w:jc w:val="both"/>
        <w:ind w:right="3179" w:firstLine="784"/>
        <w:spacing w:after="0" w:line="237" w:lineRule="auto"/>
        <w:tabs>
          <w:tab w:leader="none" w:pos="105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(a) In addition to the Premium Payments, the Company or the Trust shall pay to Roberts, thirty days prior to the time the Premium Payments arc made under Section 1 hereof, the following supplemental amounts (none of which shall be considered advances) (the "Bonus"): An income tax gross-up amount equal to (i) the product of the Premium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paid under Section 1 hereof times the highest marginal income tax rate, (ii) divided by one minus the highest marginal income tax rate. For purposes of this Section 2, the term "highest marginal income tax rate" shall mean the sum of the highest marginal combined local, state and federal personal income tax rates (including any state unemployment compensation tax rate, any surtax rate as well as the Medicare hospital insurance tax rate imposed on employees under the Federal Insurance Contributions Act), as in effect for the calendar year as to which the Bonus relates, provided that in determining such tax rate the highest marginal state and local income tax rates shall be reduced by such number of percentage points as will give effect to the tax benefit obtained by Roberts in connection with his deduction of state and local income taxes for federal income tax proposes.</w:t>
      </w:r>
    </w:p>
    <w:p>
      <w:pPr>
        <w:spacing w:after="0" w:line="182" w:lineRule="exact"/>
        <w:rPr>
          <w:sz w:val="20"/>
          <w:szCs w:val="20"/>
          <w:color w:val="auto"/>
        </w:rPr>
      </w:pPr>
    </w:p>
    <w:p>
      <w:pPr>
        <w:ind w:right="3179" w:firstLine="1224"/>
        <w:spacing w:after="0" w:line="235" w:lineRule="auto"/>
        <w:tabs>
          <w:tab w:leader="none" w:pos="158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Bonuses to be paid under this Agreement are subject to applicable tax withholding requirements.</w:t>
      </w:r>
    </w:p>
    <w:p>
      <w:pPr>
        <w:spacing w:after="0" w:line="170" w:lineRule="exact"/>
        <w:rPr>
          <w:rFonts w:ascii="Courier New" w:cs="Courier New" w:eastAsia="Courier New" w:hAnsi="Courier New"/>
          <w:sz w:val="15"/>
          <w:szCs w:val="15"/>
          <w:color w:val="auto"/>
        </w:rPr>
      </w:pPr>
    </w:p>
    <w:p>
      <w:pPr>
        <w:ind w:left="1040" w:hanging="256"/>
        <w:spacing w:after="0"/>
        <w:tabs>
          <w:tab w:leader="none" w:pos="10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 Trust.</w:t>
      </w:r>
    </w:p>
    <w:p>
      <w:pPr>
        <w:spacing w:after="0" w:line="174" w:lineRule="exact"/>
        <w:rPr>
          <w:rFonts w:ascii="Courier New" w:cs="Courier New" w:eastAsia="Courier New" w:hAnsi="Courier New"/>
          <w:sz w:val="15"/>
          <w:szCs w:val="15"/>
          <w:color w:val="auto"/>
        </w:rPr>
      </w:pPr>
    </w:p>
    <w:p>
      <w:pPr>
        <w:jc w:val="both"/>
        <w:ind w:right="3179" w:firstLine="1224"/>
        <w:spacing w:after="0" w:line="257" w:lineRule="auto"/>
        <w:tabs>
          <w:tab w:leader="none" w:pos="167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 "Change of Control" (as hereinafter defined), the Company shall establish a grantor trust (the "Trust"), the terms of which shall be consistent with the requirements applicable under the Code in order to avoid the constructive receipt of the assets held in the Trust by Roberts or his family. The trust document for the Trust shall be in a form that is satisfactory to both the Company and Roberts, and may, but need not, be in substantially the same form, as the model trust agreement published by the Internet Revenue Service in Revenue Procedure 92-64. The trustee of the Trust shall be such person or institution acceptable both to the Company and Roberts. The Company shall contribute such amounts in cash or such assets as it deems appropriate for the purpose of funding Promotion Payments and the Bonus payable under the terms of this Agreement. Upon the occurrence of a Change of Control, the Trust, if not already irrevocable, shall become irrevocable. The Company shall be required immediately prior to a Change of Control (or in the event that the Company does not receive notice of a proposed Change of Control prior to such event, immediately upon a Change of Control to contribute (the "Change of Control Payment") to the Trust an amount equal to the "Present Value" (as hereinafter defined) of:</w:t>
      </w:r>
    </w:p>
    <w:p>
      <w:pPr>
        <w:sectPr>
          <w:pgSz w:w="11900" w:h="16838" w:orient="portrait"/>
          <w:cols w:equalWidth="0" w:num="1">
            <w:col w:w="10219"/>
          </w:cols>
          <w:pgMar w:left="240" w:top="814" w:right="1440" w:bottom="46" w:gutter="0" w:footer="0" w:header="0"/>
        </w:sectPr>
      </w:pPr>
    </w:p>
    <w:bookmarkStart w:id="45" w:name="page46"/>
    <w:bookmarkEnd w:id="45"/>
    <w:p>
      <w:pPr>
        <w:ind w:left="-1200" w:right="3179" w:firstLine="1224"/>
        <w:spacing w:after="0" w:line="235" w:lineRule="auto"/>
        <w:tabs>
          <w:tab w:leader="none" w:pos="3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Premium Payments that the Company is obligated to pay until the death of Roberts under Section I hereof; and</w:t>
      </w:r>
    </w:p>
    <w:p>
      <w:pPr>
        <w:spacing w:after="0" w:line="175" w:lineRule="exact"/>
        <w:rPr>
          <w:rFonts w:ascii="Courier New" w:cs="Courier New" w:eastAsia="Courier New" w:hAnsi="Courier New"/>
          <w:sz w:val="15"/>
          <w:szCs w:val="15"/>
          <w:color w:val="auto"/>
        </w:rPr>
      </w:pPr>
    </w:p>
    <w:p>
      <w:pPr>
        <w:ind w:left="-1200" w:right="3179" w:firstLine="1224"/>
        <w:spacing w:after="0" w:line="235" w:lineRule="auto"/>
        <w:tabs>
          <w:tab w:leader="none" w:pos="4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Bonuses that the Company is obligated to pay to Roberts pursuant to the provisions of Section 2 hereof,</w:t>
      </w:r>
    </w:p>
    <w:p>
      <w:pPr>
        <w:spacing w:after="0" w:line="176" w:lineRule="exact"/>
        <w:rPr>
          <w:sz w:val="20"/>
          <w:szCs w:val="20"/>
          <w:color w:val="auto"/>
        </w:rPr>
      </w:pPr>
    </w:p>
    <w:p>
      <w:pPr>
        <w:jc w:val="both"/>
        <w:ind w:left="-1200" w:right="3179" w:firstLine="1224"/>
        <w:spacing w:after="0" w:line="238" w:lineRule="auto"/>
        <w:tabs>
          <w:tab w:leader="none" w:pos="3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(i) a "Charge of Control" shall be deemed to have occurred on the date that Roberts and members of his immediate family (or trusts for their benefit) first cease to beneficially own at least 50% of the voting power of the Company; and (ii) "Present Value" shall mean that sum of the remaining Premium Payments and Bonus amounts that the Company is obligated to pay for the remainder of the respective premium periods under the policies discounted from the respective dates on which those payments will become due to the date of fee Change of Control Payment, at the then current yields of U.S.</w:t>
      </w:r>
    </w:p>
    <w:p>
      <w:pPr>
        <w:spacing w:after="0" w:line="34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46" w:name="page47"/>
    <w:bookmarkEnd w:id="46"/>
    <w:p>
      <w:pPr>
        <w:ind w:right="3179"/>
        <w:spacing w:after="0" w:line="235" w:lineRule="auto"/>
        <w:rPr>
          <w:sz w:val="20"/>
          <w:szCs w:val="20"/>
          <w:color w:val="auto"/>
        </w:rPr>
      </w:pPr>
      <w:r>
        <w:rPr>
          <w:rFonts w:ascii="Courier New" w:cs="Courier New" w:eastAsia="Courier New" w:hAnsi="Courier New"/>
          <w:sz w:val="15"/>
          <w:szCs w:val="15"/>
          <w:color w:val="auto"/>
        </w:rPr>
        <w:t>Treasury Bonds maturing on the respective dates on which the Premium Payments and Bonuses will become due.</w:t>
      </w:r>
    </w:p>
    <w:p>
      <w:pPr>
        <w:spacing w:after="0" w:line="176" w:lineRule="exact"/>
        <w:rPr>
          <w:sz w:val="20"/>
          <w:szCs w:val="20"/>
          <w:color w:val="auto"/>
        </w:rPr>
      </w:pPr>
    </w:p>
    <w:p>
      <w:pPr>
        <w:jc w:val="both"/>
        <w:ind w:right="3179" w:firstLine="784"/>
        <w:spacing w:after="0" w:line="237" w:lineRule="auto"/>
        <w:tabs>
          <w:tab w:leader="none" w:pos="10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 All Events. The Company shall satisfy during the terms of the Policies and continue to satisfy thereafter its obligations under this Agreement for all benefits granted to Roberts until the death of Roberts.</w:t>
      </w:r>
    </w:p>
    <w:p>
      <w:pPr>
        <w:spacing w:after="0" w:line="174" w:lineRule="exact"/>
        <w:rPr>
          <w:rFonts w:ascii="Courier New" w:cs="Courier New" w:eastAsia="Courier New" w:hAnsi="Courier New"/>
          <w:sz w:val="15"/>
          <w:szCs w:val="15"/>
          <w:color w:val="auto"/>
        </w:rPr>
      </w:pPr>
    </w:p>
    <w:p>
      <w:pPr>
        <w:jc w:val="both"/>
        <w:ind w:right="3179" w:firstLine="784"/>
        <w:spacing w:after="0" w:line="258" w:lineRule="auto"/>
        <w:tabs>
          <w:tab w:leader="none" w:pos="105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Policy Proceeds. Upon the death of Roberts, the Policies shall be paid directly to the beneficiary or beneficiaries designated by Roberts (or the owner of the Policies, if assigned by, Roberts) in the manner and in the amount or amounts provided in the beneficiary designation provision of the applicable Policy. The Company shall have no claim with respect to the proceeds of the Policies, whether on account of the Premium Payments, the Bonuses or otherwise.</w:t>
      </w:r>
    </w:p>
    <w:p>
      <w:pPr>
        <w:spacing w:after="0" w:line="163" w:lineRule="exact"/>
        <w:rPr>
          <w:rFonts w:ascii="Courier New" w:cs="Courier New" w:eastAsia="Courier New" w:hAnsi="Courier New"/>
          <w:sz w:val="14"/>
          <w:szCs w:val="14"/>
          <w:color w:val="auto"/>
        </w:rPr>
      </w:pPr>
    </w:p>
    <w:p>
      <w:pPr>
        <w:jc w:val="both"/>
        <w:ind w:right="3179" w:firstLine="784"/>
        <w:spacing w:after="0" w:line="237" w:lineRule="auto"/>
        <w:tabs>
          <w:tab w:leader="none" w:pos="10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Roberts may terminate this Agreement by written notice to the Company. Such termination shall be effective as of the date of such notice. The Company may not terminate this Agreement.</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0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Agreement may not be amended, altered or modified, except by a written instrument signed by the parties to this Agreement, or their respective successors or assigns, and may not otherwise be terminated except as provided herein.</w:t>
      </w:r>
    </w:p>
    <w:p>
      <w:pPr>
        <w:spacing w:after="0" w:line="176" w:lineRule="exact"/>
        <w:rPr>
          <w:rFonts w:ascii="Courier New" w:cs="Courier New" w:eastAsia="Courier New" w:hAnsi="Courier New"/>
          <w:sz w:val="15"/>
          <w:szCs w:val="15"/>
          <w:color w:val="auto"/>
        </w:rPr>
      </w:pPr>
    </w:p>
    <w:p>
      <w:pPr>
        <w:jc w:val="both"/>
        <w:ind w:right="3179" w:firstLine="784"/>
        <w:spacing w:after="0" w:line="237" w:lineRule="auto"/>
        <w:tabs>
          <w:tab w:leader="none" w:pos="10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Succession. This Agreement shall be binding upon and shall inure to the benefit of the Company and its successors and assigns, and Roberts and his successors, assigns, heirs, executors, administrators and beneficiaries.</w:t>
      </w:r>
    </w:p>
    <w:p>
      <w:pPr>
        <w:spacing w:after="0" w:line="174" w:lineRule="exact"/>
        <w:rPr>
          <w:rFonts w:ascii="Courier New" w:cs="Courier New" w:eastAsia="Courier New" w:hAnsi="Courier New"/>
          <w:sz w:val="15"/>
          <w:szCs w:val="15"/>
          <w:color w:val="auto"/>
        </w:rPr>
      </w:pPr>
    </w:p>
    <w:p>
      <w:pPr>
        <w:jc w:val="both"/>
        <w:ind w:right="3179" w:firstLine="784"/>
        <w:spacing w:after="0" w:line="238" w:lineRule="auto"/>
        <w:tabs>
          <w:tab w:leader="none" w:pos="105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consent or demand required or permitted to be given under the previsions of this Agreement shall be in writing, and shall be signed by the party making the same. If such notice, consent or demand is mailed to a party hereto, it shall be sent by certified mail, postage prepaid, or delivered by a nationally recognized overnight courier service addressed to such party's last known address as shown on the records of the Company. The date of such mailing or delivery to such service shall be deemed date of notice, consent or demand.</w:t>
      </w:r>
    </w:p>
    <w:p>
      <w:pPr>
        <w:spacing w:after="0" w:line="177" w:lineRule="exact"/>
        <w:rPr>
          <w:rFonts w:ascii="Courier New" w:cs="Courier New" w:eastAsia="Courier New" w:hAnsi="Courier New"/>
          <w:sz w:val="15"/>
          <w:szCs w:val="15"/>
          <w:color w:val="auto"/>
        </w:rPr>
      </w:pPr>
    </w:p>
    <w:p>
      <w:pPr>
        <w:jc w:val="both"/>
        <w:ind w:right="3179" w:firstLine="784"/>
        <w:spacing w:after="0" w:line="237" w:lineRule="auto"/>
        <w:tabs>
          <w:tab w:leader="none" w:pos="123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of the Sections herein are inserted as a matter of convenience of reference only and in no way define, limit or describe the scope of this Agreement or any provisions hereof.</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23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Agreement, and the rights of the parties hereunder, shall be governed by and construed in accordance with the internal laws of the Commonwealth of Pennsylvania and shall be enforced in the Commonwealth of Pennsylvania,</w:t>
      </w:r>
    </w:p>
    <w:p>
      <w:pPr>
        <w:spacing w:after="0" w:line="176"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The Company has the corporate power and authority to enter into and deliver this Agreement and to perform its obligations hereunder. The execution, delivery and performance of this Agreement by the Company has been duly authorized by all necessary corporate action required to have been taken under applicable law and the Company's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47" w:name="page48"/>
    <w:bookmarkEnd w:id="47"/>
    <w:p>
      <w:pPr>
        <w:jc w:val="both"/>
        <w:ind w:right="3179"/>
        <w:spacing w:after="0" w:line="238" w:lineRule="auto"/>
        <w:rPr>
          <w:sz w:val="20"/>
          <w:szCs w:val="20"/>
          <w:color w:val="auto"/>
        </w:rPr>
      </w:pPr>
      <w:r>
        <w:rPr>
          <w:rFonts w:ascii="Courier New" w:cs="Courier New" w:eastAsia="Courier New" w:hAnsi="Courier New"/>
          <w:sz w:val="15"/>
          <w:szCs w:val="15"/>
          <w:color w:val="auto"/>
        </w:rPr>
        <w:t>organizational documents. This Agreement has been duly executed and delivered by the Company and constitutes the legal, valid and binding obligation of the Company, enforceable against it in accordance with its terms. Neither the execution nor performance of this Agreement by the Company will conflict with or result in to breach of the provisions of the Company's Articles of Incorporation or Bylaws or any agreement to which the Company is a party, or violate or require any consent under any law, regulation, order or decree.</w:t>
      </w:r>
    </w:p>
    <w:p>
      <w:pPr>
        <w:spacing w:after="0" w:line="177"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IN WITNESS WHEREOF, the parties have cause this Agreement to be duty executed as of the date first above written.</w:t>
      </w:r>
    </w:p>
    <w:p>
      <w:pPr>
        <w:sectPr>
          <w:pgSz w:w="11900" w:h="16838" w:orient="portrait"/>
          <w:cols w:equalWidth="0" w:num="1">
            <w:col w:w="10219"/>
          </w:cols>
          <w:pgMar w:left="240" w:top="966"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sectPr>
          <w:pgSz w:w="11900" w:h="16838" w:orient="portrait"/>
          <w:cols w:equalWidth="0" w:num="2">
            <w:col w:w="4120" w:space="720"/>
            <w:col w:w="5379"/>
          </w:cols>
          <w:pgMar w:left="240" w:top="96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Stanley Wang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Stanley Wang</w:t>
      </w:r>
    </w:p>
    <w:p>
      <w:pPr>
        <w:spacing w:after="0" w:line="175" w:lineRule="exact"/>
        <w:rPr>
          <w:sz w:val="20"/>
          <w:szCs w:val="20"/>
          <w:color w:val="auto"/>
        </w:rPr>
      </w:pPr>
    </w:p>
    <w:p>
      <w:pPr>
        <w:sectPr>
          <w:pgSz w:w="11900" w:h="16838" w:orient="portrait"/>
          <w:cols w:equalWidth="0" w:num="2">
            <w:col w:w="3320" w:space="720"/>
            <w:col w:w="6179"/>
          </w:cols>
          <w:pgMar w:left="240" w:top="966"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Title: _____________________</w:t>
      </w:r>
    </w:p>
    <w:p>
      <w:pPr>
        <w:spacing w:after="0" w:line="20" w:lineRule="exact"/>
        <w:rPr>
          <w:sz w:val="20"/>
          <w:szCs w:val="20"/>
          <w:color w:val="auto"/>
        </w:rPr>
      </w:pPr>
      <w:r>
        <w:rPr>
          <w:sz w:val="20"/>
          <w:szCs w:val="20"/>
          <w:color w:val="auto"/>
        </w:rPr>
        <w:br w:type="column"/>
      </w:r>
    </w:p>
    <w:p>
      <w:pPr>
        <w:jc w:val="right"/>
        <w:ind w:right="3439"/>
        <w:spacing w:after="0"/>
        <w:rPr>
          <w:sz w:val="20"/>
          <w:szCs w:val="20"/>
          <w:color w:val="auto"/>
        </w:rPr>
      </w:pPr>
      <w:r>
        <w:rPr>
          <w:rFonts w:ascii="Courier New" w:cs="Courier New" w:eastAsia="Courier New" w:hAnsi="Courier New"/>
          <w:sz w:val="14"/>
          <w:szCs w:val="14"/>
          <w:color w:val="auto"/>
        </w:rPr>
        <w:t>Title: Senior Vice President</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3580" w:space="720"/>
            <w:col w:w="5919"/>
          </w:cols>
          <w:pgMar w:left="240" w:top="966"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5"/>
          <w:szCs w:val="15"/>
          <w:color w:val="auto"/>
        </w:rPr>
        <w:t>/s/ Brian L. Roberts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Brian L. Roberts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6" w:right="1440" w:bottom="1440" w:gutter="0" w:footer="0" w:header="0"/>
          <w:type w:val="continuous"/>
        </w:sectPr>
      </w:pPr>
    </w:p>
    <w:bookmarkStart w:id="48" w:name="page49"/>
    <w:bookmarkEnd w:id="48"/>
    <w:p>
      <w:pPr>
        <w:ind w:left="3080"/>
        <w:spacing w:after="0"/>
        <w:rPr>
          <w:sz w:val="20"/>
          <w:szCs w:val="20"/>
          <w:color w:val="auto"/>
        </w:rPr>
      </w:pPr>
      <w:r>
        <w:rPr>
          <w:rFonts w:ascii="Courier New" w:cs="Courier New" w:eastAsia="Courier New" w:hAnsi="Courier New"/>
          <w:sz w:val="15"/>
          <w:szCs w:val="15"/>
          <w:color w:val="auto"/>
        </w:rPr>
        <w:t>SCHEDULE A</w:t>
      </w: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Summary of Term Life Insurance Reserved for Brian Roberts</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8"/>
        </w:trPr>
        <w:tc>
          <w:tcPr>
            <w:tcW w:w="2020" w:type="dxa"/>
            <w:vAlign w:val="bottom"/>
          </w:tcPr>
          <w:p>
            <w:pPr>
              <w:spacing w:after="0"/>
              <w:rPr>
                <w:sz w:val="20"/>
                <w:szCs w:val="20"/>
                <w:color w:val="auto"/>
              </w:rPr>
            </w:pPr>
            <w:r>
              <w:rPr>
                <w:rFonts w:ascii="Courier New" w:cs="Courier New" w:eastAsia="Courier New" w:hAnsi="Courier New"/>
                <w:sz w:val="15"/>
                <w:szCs w:val="15"/>
                <w:color w:val="auto"/>
              </w:rPr>
              <w:t>20 Year Level Term</w:t>
            </w:r>
          </w:p>
        </w:tc>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Insurance</w:t>
            </w:r>
          </w:p>
        </w:tc>
        <w:tc>
          <w:tcPr>
            <w:tcW w:w="2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Policy</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Policy</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Death</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Carrier</w:t>
            </w:r>
          </w:p>
        </w:tc>
        <w:tc>
          <w:tcPr>
            <w:tcW w:w="2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Number</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Date</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Benefit</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Premium</w:t>
            </w:r>
          </w:p>
        </w:tc>
      </w:tr>
      <w:tr>
        <w:trPr>
          <w:trHeight w:val="170"/>
        </w:trPr>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509"/>
        </w:trPr>
        <w:tc>
          <w:tcPr>
            <w:tcW w:w="2020" w:type="dxa"/>
            <w:vAlign w:val="bottom"/>
          </w:tcPr>
          <w:p>
            <w:pPr>
              <w:spacing w:after="0"/>
              <w:rPr>
                <w:sz w:val="20"/>
                <w:szCs w:val="20"/>
                <w:color w:val="auto"/>
              </w:rPr>
            </w:pPr>
            <w:r>
              <w:rPr>
                <w:rFonts w:ascii="Courier New" w:cs="Courier New" w:eastAsia="Courier New" w:hAnsi="Courier New"/>
                <w:sz w:val="15"/>
                <w:szCs w:val="15"/>
                <w:color w:val="auto"/>
              </w:rPr>
              <w:t>CNA (Valley Forge)</w:t>
            </w: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VINY010673</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10/07/98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17,516,40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VINY011691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10/07/98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17,516.40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VINY011693</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10/07/98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17,516.40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VINY011701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10/07/98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17,516.40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70,065.60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Lincoln Benefit</w:t>
            </w: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01TI050038</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8,910.00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01TI050059</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8,910.00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01T1050060</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8,910.00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01T1050061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8,910.00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35,640.00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Mass Mutual</w:t>
            </w: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6282675</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3,847.20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6282682</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3,847.20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6282676</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3,847.20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6282651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3,847.20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15,388.80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Prudential</w:t>
            </w: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77377372</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7,360.00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77377370</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7,360.00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B4002956</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7,360.00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B4002962</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7,360.00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29,440.00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Manulife</w:t>
            </w: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55624191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497.50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55624217</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497.50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55624209</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497.50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54417969</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497.50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1,990.00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Travelers</w:t>
            </w: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4790587</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3,175.00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4790588</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3,175.00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4790589</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3,175.00</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4790591</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09/25/98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3,175.00</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25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Subtotal:</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12,700.00</w:t>
            </w:r>
          </w:p>
        </w:tc>
      </w:tr>
      <w:tr>
        <w:trPr>
          <w:trHeight w:val="509"/>
        </w:trPr>
        <w:tc>
          <w:tcPr>
            <w:tcW w:w="2020" w:type="dxa"/>
            <w:vAlign w:val="bottom"/>
          </w:tcPr>
          <w:p>
            <w:pPr>
              <w:spacing w:after="0"/>
              <w:rPr>
                <w:sz w:val="20"/>
                <w:szCs w:val="20"/>
                <w:color w:val="auto"/>
              </w:rPr>
            </w:pPr>
            <w:r>
              <w:rPr>
                <w:rFonts w:ascii="Courier New" w:cs="Courier New" w:eastAsia="Courier New" w:hAnsi="Courier New"/>
                <w:sz w:val="15"/>
                <w:szCs w:val="15"/>
                <w:color w:val="auto"/>
              </w:rPr>
              <w:t>Grand Total</w:t>
            </w:r>
          </w:p>
        </w:tc>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165,244.40</w:t>
            </w:r>
          </w:p>
        </w:tc>
      </w:tr>
    </w:tbl>
    <w:p>
      <w:pPr>
        <w:sectPr>
          <w:pgSz w:w="11900" w:h="16838" w:orient="portrait"/>
          <w:cols w:equalWidth="0" w:num="1">
            <w:col w:w="10219"/>
          </w:cols>
          <w:pgMar w:left="240" w:top="961" w:right="1440" w:bottom="1440" w:gutter="0" w:footer="0" w:header="0"/>
        </w:sectPr>
      </w:pPr>
    </w:p>
    <w:bookmarkStart w:id="49" w:name="page50"/>
    <w:bookmarkEnd w:id="49"/>
    <w:p>
      <w:pPr>
        <w:ind w:left="3080"/>
        <w:spacing w:after="0"/>
        <w:rPr>
          <w:sz w:val="20"/>
          <w:szCs w:val="20"/>
          <w:color w:val="auto"/>
        </w:rPr>
      </w:pPr>
      <w:r>
        <w:rPr>
          <w:rFonts w:ascii="Courier New" w:cs="Courier New" w:eastAsia="Courier New" w:hAnsi="Courier New"/>
          <w:sz w:val="15"/>
          <w:szCs w:val="15"/>
          <w:color w:val="auto"/>
        </w:rPr>
        <w:t>SCHEDULE B</w:t>
      </w: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gridSpan w:val="3"/>
          </w:tcPr>
          <w:p>
            <w:pPr>
              <w:spacing w:after="0"/>
              <w:rPr>
                <w:sz w:val="20"/>
                <w:szCs w:val="20"/>
                <w:color w:val="auto"/>
              </w:rPr>
            </w:pPr>
            <w:r>
              <w:rPr>
                <w:rFonts w:ascii="Courier New" w:cs="Courier New" w:eastAsia="Courier New" w:hAnsi="Courier New"/>
                <w:sz w:val="15"/>
                <w:szCs w:val="15"/>
                <w:color w:val="auto"/>
              </w:rPr>
              <w:t>Summary of Term Life Insurance Reserved for Brian Roberts</w:t>
            </w:r>
          </w:p>
        </w:tc>
        <w:tc>
          <w:tcPr>
            <w:tcW w:w="2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10 Year Level Term</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9"/>
        </w:trPr>
        <w:tc>
          <w:tcPr>
            <w:tcW w:w="2720" w:type="dxa"/>
            <w:vAlign w:val="bottom"/>
          </w:tcPr>
          <w:p>
            <w:pPr>
              <w:ind w:left="600"/>
              <w:spacing w:after="0"/>
              <w:rPr>
                <w:sz w:val="20"/>
                <w:szCs w:val="20"/>
                <w:color w:val="auto"/>
              </w:rPr>
            </w:pPr>
            <w:r>
              <w:rPr>
                <w:rFonts w:ascii="Courier New" w:cs="Courier New" w:eastAsia="Courier New" w:hAnsi="Courier New"/>
                <w:sz w:val="15"/>
                <w:szCs w:val="15"/>
                <w:color w:val="auto"/>
              </w:rPr>
              <w:t>Insurance</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Policy</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Policy</w:t>
            </w:r>
          </w:p>
        </w:tc>
        <w:tc>
          <w:tcPr>
            <w:tcW w:w="20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Death</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2720" w:type="dxa"/>
            <w:vAlign w:val="bottom"/>
          </w:tcPr>
          <w:p>
            <w:pPr>
              <w:ind w:left="600"/>
              <w:spacing w:after="0"/>
              <w:rPr>
                <w:sz w:val="20"/>
                <w:szCs w:val="20"/>
                <w:color w:val="auto"/>
              </w:rPr>
            </w:pPr>
            <w:r>
              <w:rPr>
                <w:rFonts w:ascii="Courier New" w:cs="Courier New" w:eastAsia="Courier New" w:hAnsi="Courier New"/>
                <w:sz w:val="15"/>
                <w:szCs w:val="15"/>
                <w:color w:val="auto"/>
              </w:rPr>
              <w:t>Carrier</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Number</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Benefit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Premium</w:t>
            </w:r>
          </w:p>
        </w:tc>
      </w:tr>
      <w:tr>
        <w:trPr>
          <w:trHeight w:val="170"/>
        </w:trPr>
        <w:tc>
          <w:tcPr>
            <w:tcW w:w="27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Prudential</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B4004939</w:t>
            </w:r>
          </w:p>
        </w:tc>
        <w:tc>
          <w:tcPr>
            <w:tcW w:w="17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09/25/98</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8,500,000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7,700</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CIGNA</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N/A</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11,500,000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11,575</w:t>
            </w:r>
          </w:p>
        </w:tc>
      </w:tr>
      <w:tr>
        <w:trPr>
          <w:trHeight w:val="339"/>
        </w:trPr>
        <w:tc>
          <w:tcPr>
            <w:tcW w:w="2720" w:type="dxa"/>
            <w:vAlign w:val="bottom"/>
          </w:tcPr>
          <w:p>
            <w:pPr>
              <w:ind w:left="1480"/>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19,275</w:t>
            </w:r>
          </w:p>
        </w:tc>
      </w:tr>
    </w:tbl>
    <w:p>
      <w:pPr>
        <w:spacing w:after="0" w:line="1" w:lineRule="exact"/>
        <w:rPr>
          <w:sz w:val="20"/>
          <w:szCs w:val="20"/>
          <w:color w:val="auto"/>
        </w:rPr>
      </w:pPr>
    </w:p>
    <w:sectPr>
      <w:pgSz w:w="11900" w:h="16838" w:orient="portrait"/>
      <w:cols w:equalWidth="0" w:num="1">
        <w:col w:w="10219"/>
      </w:cols>
      <w:pgMar w:left="240" w:top="1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o"/>
      <w:numFmt w:val="bullet"/>
      <w:start w:val="1"/>
    </w:lvl>
  </w:abstractNum>
  <w:abstractNum w:abstractNumId="4">
    <w:nsid w:val="4353D0CD"/>
    <w:multiLevelType w:val="hybridMultilevel"/>
    <w:lvl w:ilvl="0">
      <w:lvlJc w:val="left"/>
      <w:lvlText w:val="o"/>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lvl w:ilvl="1">
      <w:lvlJc w:val="left"/>
      <w:lvlText w:val="%2"/>
      <w:numFmt w:val="decimal"/>
      <w:start w:val="45"/>
    </w:lvl>
  </w:abstractNum>
  <w:abstractNum w:abstractNumId="7">
    <w:nsid w:val="54E49EB4"/>
    <w:multiLevelType w:val="hybridMultilevel"/>
    <w:lvl w:ilvl="0">
      <w:lvlJc w:val="left"/>
      <w:lvlText w:val="%1"/>
      <w:numFmt w:val="decimal"/>
      <w:start w:val="1"/>
    </w:lvl>
    <w:lvl w:ilvl="1">
      <w:lvlJc w:val="left"/>
      <w:lvlText w:val="%2"/>
      <w:numFmt w:val="decimal"/>
      <w:start w:val="45"/>
    </w:lvl>
  </w:abstractNum>
  <w:abstractNum w:abstractNumId="8">
    <w:nsid w:val="71F32454"/>
    <w:multiLevelType w:val="hybridMultilevel"/>
    <w:lvl w:ilvl="0">
      <w:lvlJc w:val="left"/>
      <w:lvlText w:val="%1."/>
      <w:numFmt w:val="decimal"/>
      <w:start w:val="3"/>
    </w:lvl>
    <w:lvl w:ilvl="1">
      <w:lvlJc w:val="left"/>
      <w:lvlText w:val="%2"/>
      <w:numFmt w:val="decimal"/>
      <w:start w:val="1"/>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1."/>
      <w:numFmt w:val="decimal"/>
      <w:start w:val="5"/>
    </w:lvl>
  </w:abstractNum>
  <w:abstractNum w:abstractNumId="11">
    <w:nsid w:val="2901D82"/>
    <w:multiLevelType w:val="hybridMultilevel"/>
    <w:lvl w:ilvl="0">
      <w:lvlJc w:val="left"/>
      <w:lvlText w:val="%1."/>
      <w:numFmt w:val="decimal"/>
      <w:start w:val="6"/>
    </w:lvl>
  </w:abstractNum>
  <w:abstractNum w:abstractNumId="12">
    <w:nsid w:val="3A95F874"/>
    <w:multiLevelType w:val="hybridMultilevel"/>
    <w:lvl w:ilvl="0">
      <w:lvlJc w:val="left"/>
      <w:lvlText w:val="%1."/>
      <w:numFmt w:val="decimal"/>
      <w:start w:val="8"/>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1."/>
      <w:numFmt w:val="decimal"/>
      <w:start w:val="10"/>
    </w:lvl>
  </w:abstractNum>
  <w:abstractNum w:abstractNumId="15">
    <w:nsid w:val="7C3DBD3D"/>
    <w:multiLevelType w:val="hybridMultilevel"/>
    <w:lvl w:ilvl="0">
      <w:lvlJc w:val="left"/>
      <w:lvlText w:val="%1."/>
      <w:numFmt w:val="decimal"/>
      <w:start w:val="1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o"/>
      <w:numFmt w:val="bullet"/>
      <w:start w:val="1"/>
    </w:lvl>
  </w:abstractNum>
  <w:abstractNum w:abstractNumId="19">
    <w:nsid w:val="4516DDE9"/>
    <w:multiLevelType w:val="hybridMultilevel"/>
    <w:lvl w:ilvl="0">
      <w:lvlJc w:val="left"/>
      <w:lvlText w:val="o"/>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44"/>
    </w:lvl>
  </w:abstractNum>
  <w:abstractNum w:abstractNumId="23">
    <w:nsid w:val="5577F8E1"/>
    <w:multiLevelType w:val="hybridMultilevel"/>
    <w:lvl w:ilvl="0">
      <w:lvlJc w:val="left"/>
      <w:lvlText w:val="%1"/>
      <w:numFmt w:val="decimal"/>
      <w:start w:val="778"/>
    </w:lvl>
  </w:abstractNum>
  <w:abstractNum w:abstractNumId="24">
    <w:nsid w:val="440BADFC"/>
    <w:multiLevelType w:val="hybridMultilevel"/>
    <w:lvl w:ilvl="0">
      <w:lvlJc w:val="left"/>
      <w:lvlText w:val="%1"/>
      <w:numFmt w:val="decimal"/>
      <w:start w:val="52"/>
    </w:lvl>
  </w:abstractNum>
  <w:abstractNum w:abstractNumId="25">
    <w:nsid w:val="5072367"/>
    <w:multiLevelType w:val="hybridMultilevel"/>
    <w:lvl w:ilvl="0">
      <w:lvlJc w:val="left"/>
      <w:lvlText w:val="%1"/>
      <w:numFmt w:val="decimal"/>
      <w:start w:val="338"/>
    </w:lvl>
  </w:abstractNum>
  <w:abstractNum w:abstractNumId="26">
    <w:nsid w:val="3804823E"/>
    <w:multiLevelType w:val="hybridMultilevel"/>
    <w:lvl w:ilvl="0">
      <w:lvlJc w:val="left"/>
      <w:lvlText w:val="(%1)"/>
      <w:numFmt w:val="decimal"/>
      <w:start w:val="18"/>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8"/>
    </w:lvl>
  </w:abstractNum>
  <w:abstractNum w:abstractNumId="29">
    <w:nsid w:val="5C482A97"/>
    <w:multiLevelType w:val="hybridMultilevel"/>
    <w:lvl w:ilvl="0">
      <w:lvlJc w:val="left"/>
      <w:lvlText w:val="%1"/>
      <w:numFmt w:val="decimal"/>
      <w:start w:val="387"/>
    </w:lvl>
  </w:abstractNum>
  <w:abstractNum w:abstractNumId="30">
    <w:nsid w:val="2463B9EA"/>
    <w:multiLevelType w:val="hybridMultilevel"/>
    <w:lvl w:ilvl="0">
      <w:lvlJc w:val="left"/>
      <w:lvlText w:val="%1"/>
      <w:numFmt w:val="decimal"/>
      <w:start w:val="12"/>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2"/>
    </w:lvl>
    <w:lvl w:ilvl="1">
      <w:lvlJc w:val="left"/>
      <w:lvlText w:val="(%2)"/>
      <w:numFmt w:val="lowerRoman"/>
      <w:start w:val="1"/>
    </w:lvl>
  </w:abstractNum>
  <w:abstractNum w:abstractNumId="34">
    <w:nsid w:val="580BD78F"/>
    <w:multiLevelType w:val="hybridMultilevel"/>
    <w:lvl w:ilvl="0">
      <w:lvlJc w:val="left"/>
      <w:lvlText w:val="%1."/>
      <w:numFmt w:val="decimal"/>
      <w:start w:val="1"/>
    </w:lvl>
    <w:lvl w:ilvl="1">
      <w:lvlJc w:val="left"/>
      <w:lvlText w:val="%2)"/>
      <w:numFmt w:val="lowerLetter"/>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lvl w:ilvl="1">
      <w:lvlJc w:val="left"/>
      <w:lvlText w:val="%2)"/>
      <w:numFmt w:val="lowerLetter"/>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lvl w:ilvl="1">
      <w:lvlJc w:val="left"/>
      <w:lvlText w:val="(%2)"/>
      <w:numFmt w:val="lowerLetter"/>
      <w:start w:val="2"/>
    </w:lvl>
  </w:abstractNum>
  <w:abstractNum w:abstractNumId="42">
    <w:nsid w:val="2CD89A32"/>
    <w:multiLevelType w:val="hybridMultilevel"/>
    <w:lvl w:ilvl="0">
      <w:lvlJc w:val="left"/>
      <w:lvlText w:val="%1."/>
      <w:numFmt w:val="decimal"/>
      <w:start w:val="3"/>
    </w:lvl>
    <w:lvl w:ilvl="1">
      <w:lvlJc w:val="left"/>
      <w:lvlText w:val="(%2)"/>
      <w:numFmt w:val="lowerLetter"/>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lowerLetter"/>
      <w:start w:val="2"/>
    </w:lvl>
  </w:abstractNum>
  <w:abstractNum w:abstractNumId="45">
    <w:nsid w:val="4B588F5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2019-12-15T05:16:35Z</dcterms:created>
  <dcterms:modified xsi:type="dcterms:W3CDTF">2019-12-15T05:16:35Z</dcterms:modified>
</cp:coreProperties>
</file>