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26, 2007</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w:t>
      </w:r>
    </w:p>
    <w:p>
      <w:pPr>
        <w:jc w:val="center"/>
        <w:ind w:right="-19"/>
        <w:spacing w:after="0"/>
        <w:rPr>
          <w:sz w:val="20"/>
          <w:szCs w:val="20"/>
          <w:color w:val="auto"/>
        </w:rPr>
      </w:pPr>
      <w:r>
        <w:rPr>
          <w:rFonts w:ascii="Arial" w:cs="Arial" w:eastAsia="Arial" w:hAnsi="Arial"/>
          <w:sz w:val="14"/>
          <w:szCs w:val="14"/>
          <w:b w:val="1"/>
          <w:bCs w:val="1"/>
          <w:color w:val="auto"/>
        </w:rPr>
        <w:t>as Specified in Charter)</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120015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July 26, 2007, Comcast Corporation (“Comcast”) issued a press release reporting the results of its operations for the three and six months ended June 30, 2007.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the press release, Comcast presented non-GAAP financial measures, as defined in Regulation G and Item 10(e) of Regulation S-K promulgated by the Securities and Exchange Commission, as well as other financial measures. Non-GAAP financial measures differ from financial measures reported in conformity with U.S. generally accepted accounting principles (“GAAP”). Comcast provided reconciliations of the non-GAAP financial measures to the most directly comparable financial GAAP measures in the tables accompanying the press release. In addition, in Table 7, entitled </w:t>
      </w:r>
      <w:r>
        <w:rPr>
          <w:rFonts w:ascii="Arial" w:cs="Arial" w:eastAsia="Arial" w:hAnsi="Arial"/>
          <w:sz w:val="18"/>
          <w:szCs w:val="18"/>
          <w:i w:val="1"/>
          <w:iCs w:val="1"/>
          <w:color w:val="auto"/>
        </w:rPr>
        <w:t>Non-GAAP and Other Financial Measures</w:t>
      </w:r>
      <w:r>
        <w:rPr>
          <w:rFonts w:ascii="Arial" w:cs="Arial" w:eastAsia="Arial" w:hAnsi="Arial"/>
          <w:sz w:val="18"/>
          <w:szCs w:val="18"/>
          <w:color w:val="auto"/>
        </w:rPr>
        <w:t>, Comcast disclosed why management believes the presentation of the non-GAAP financial measures it customarily presents provided useful information to investors in understanding Comcast’s financial condition and results of operations as well as any additional purposes for which Comcast’s management uses these as performance measures.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the press release, Comcast provided one additional non-GAAP financial measure to those described in Table 7, along with a reconciliation of this measure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 7-B:</w:t>
      </w:r>
    </w:p>
    <w:p>
      <w:pPr>
        <w:spacing w:after="0" w:line="84" w:lineRule="exact"/>
        <w:rPr>
          <w:sz w:val="20"/>
          <w:szCs w:val="20"/>
          <w:color w:val="auto"/>
        </w:rPr>
      </w:pPr>
    </w:p>
    <w:p>
      <w:pPr>
        <w:jc w:val="both"/>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Adjusted Net Income for the three and six months ended June 30, 2007 and 2006 </w:t>
      </w:r>
      <w:r>
        <w:rPr>
          <w:rFonts w:ascii="Arial" w:cs="Arial" w:eastAsia="Arial" w:hAnsi="Arial"/>
          <w:sz w:val="18"/>
          <w:szCs w:val="18"/>
          <w:color w:val="auto"/>
        </w:rPr>
        <w:t>- For 2007, Adjusted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a significant non-operating gain included in Other Income (Expense) (as presented in our Consolidated Statement of Operations) related to the dissolution of our Texas and Kansas City Cable Partnership.</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believes this additional non-GAAP measure provides useful information to investors. Among other things, it may help investors evaluate Comcast’s ongoing operations, can assist in making meaningful period-over-period comparisons and can help identify trends that could otherwise be masked or distorted by the excluded items. In particular, the six months ended June 30, 2007 includes a significant non-operating gain resulting from the dissolution of our Texas and Kansas City Cable Partnership that did not occur in 2006.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635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4"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July 26, 2007.</w:t>
      </w:r>
    </w:p>
    <w:p>
      <w:pPr>
        <w:sectPr>
          <w:pgSz w:w="11900" w:h="16838" w:orient="portrait"/>
          <w:cols w:equalWidth="0" w:num="1">
            <w:col w:w="11420"/>
          </w:cols>
          <w:pgMar w:left="240" w:top="2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780" w:type="dxa"/>
            <w:vAlign w:val="bottom"/>
          </w:tcPr>
          <w:p>
            <w:pPr>
              <w:spacing w:after="0"/>
              <w:rPr>
                <w:sz w:val="24"/>
                <w:szCs w:val="24"/>
                <w:color w:val="auto"/>
              </w:rPr>
            </w:pPr>
          </w:p>
        </w:tc>
        <w:tc>
          <w:tcPr>
            <w:tcW w:w="7640" w:type="dxa"/>
            <w:vAlign w:val="bottom"/>
            <w:gridSpan w:val="2"/>
          </w:tcPr>
          <w:p>
            <w:pPr>
              <w:ind w:left="2260"/>
              <w:spacing w:after="0"/>
              <w:rPr>
                <w:sz w:val="20"/>
                <w:szCs w:val="20"/>
                <w:color w:val="auto"/>
              </w:rPr>
            </w:pPr>
            <w:r>
              <w:rPr>
                <w:rFonts w:ascii="Arial" w:cs="Arial" w:eastAsia="Arial" w:hAnsi="Arial"/>
                <w:sz w:val="22"/>
                <w:szCs w:val="22"/>
                <w:b w:val="1"/>
                <w:bCs w:val="1"/>
                <w:color w:val="auto"/>
              </w:rPr>
              <w:t>COMCAST CORPORATION</w:t>
            </w:r>
          </w:p>
        </w:tc>
      </w:tr>
      <w:tr>
        <w:trPr>
          <w:trHeight w:val="421"/>
        </w:trPr>
        <w:tc>
          <w:tcPr>
            <w:tcW w:w="3780" w:type="dxa"/>
            <w:vAlign w:val="bottom"/>
          </w:tcPr>
          <w:p>
            <w:pPr>
              <w:spacing w:after="0"/>
              <w:rPr>
                <w:sz w:val="20"/>
                <w:szCs w:val="20"/>
                <w:color w:val="auto"/>
              </w:rPr>
            </w:pPr>
            <w:r>
              <w:rPr>
                <w:rFonts w:ascii="Arial" w:cs="Arial" w:eastAsia="Arial" w:hAnsi="Arial"/>
                <w:sz w:val="18"/>
                <w:szCs w:val="18"/>
                <w:color w:val="auto"/>
              </w:rPr>
              <w:t>Date:  July 26, 2007</w:t>
            </w: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By: /s/ LAWRENCE J. SALVA</w:t>
            </w:r>
          </w:p>
        </w:tc>
      </w:tr>
      <w:tr>
        <w:trPr>
          <w:trHeight w:val="202"/>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22"/>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5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665"/>
        </w:trPr>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32"/>
                <w:szCs w:val="32"/>
                <w:b w:val="1"/>
                <w:bCs w:val="1"/>
                <w:color w:val="auto"/>
              </w:rPr>
              <w:t>PRESS RELEASE</w:t>
            </w:r>
          </w:p>
        </w:tc>
      </w:tr>
      <w:tr>
        <w:trPr>
          <w:trHeight w:val="296"/>
        </w:trPr>
        <w:tc>
          <w:tcPr>
            <w:tcW w:w="2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2"/>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Arial" w:cs="Arial" w:eastAsia="Arial" w:hAnsi="Arial"/>
                <w:sz w:val="22"/>
                <w:szCs w:val="22"/>
                <w:b w:val="1"/>
                <w:bCs w:val="1"/>
                <w:color w:val="auto"/>
              </w:rPr>
              <w:t>Investor Contacts:</w:t>
            </w:r>
          </w:p>
        </w:tc>
        <w:tc>
          <w:tcPr>
            <w:tcW w:w="3200" w:type="dxa"/>
            <w:vAlign w:val="bottom"/>
          </w:tcPr>
          <w:p>
            <w:pPr>
              <w:spacing w:after="0"/>
              <w:rPr>
                <w:sz w:val="24"/>
                <w:szCs w:val="24"/>
                <w:color w:val="auto"/>
              </w:rPr>
            </w:pPr>
          </w:p>
        </w:tc>
        <w:tc>
          <w:tcPr>
            <w:tcW w:w="5940" w:type="dxa"/>
            <w:vAlign w:val="bottom"/>
            <w:gridSpan w:val="2"/>
          </w:tcPr>
          <w:p>
            <w:pPr>
              <w:ind w:left="1740"/>
              <w:spacing w:after="0"/>
              <w:rPr>
                <w:sz w:val="20"/>
                <w:szCs w:val="20"/>
                <w:color w:val="auto"/>
              </w:rPr>
            </w:pPr>
            <w:r>
              <w:rPr>
                <w:rFonts w:ascii="Arial" w:cs="Arial" w:eastAsia="Arial" w:hAnsi="Arial"/>
                <w:sz w:val="22"/>
                <w:szCs w:val="22"/>
                <w:b w:val="1"/>
                <w:bCs w:val="1"/>
                <w:color w:val="auto"/>
              </w:rPr>
              <w:t>Press Contacts: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Marlene S. Dooner</w:t>
            </w:r>
          </w:p>
        </w:tc>
        <w:tc>
          <w:tcPr>
            <w:tcW w:w="3200" w:type="dxa"/>
            <w:vAlign w:val="bottom"/>
          </w:tcPr>
          <w:p>
            <w:pPr>
              <w:jc w:val="right"/>
              <w:ind w:right="1652"/>
              <w:spacing w:after="0"/>
              <w:rPr>
                <w:sz w:val="20"/>
                <w:szCs w:val="20"/>
                <w:color w:val="auto"/>
              </w:rPr>
            </w:pPr>
            <w:r>
              <w:rPr>
                <w:rFonts w:ascii="Arial" w:cs="Arial" w:eastAsia="Arial" w:hAnsi="Arial"/>
                <w:sz w:val="18"/>
                <w:szCs w:val="18"/>
                <w:color w:val="auto"/>
              </w:rPr>
              <w:t>(215) 981-7392</w:t>
            </w:r>
          </w:p>
        </w:tc>
        <w:tc>
          <w:tcPr>
            <w:tcW w:w="3040" w:type="dxa"/>
            <w:vAlign w:val="bottom"/>
          </w:tcPr>
          <w:p>
            <w:pPr>
              <w:ind w:left="1740"/>
              <w:spacing w:after="0"/>
              <w:rPr>
                <w:sz w:val="20"/>
                <w:szCs w:val="20"/>
                <w:color w:val="auto"/>
              </w:rPr>
            </w:pPr>
            <w:r>
              <w:rPr>
                <w:rFonts w:ascii="Arial" w:cs="Arial" w:eastAsia="Arial" w:hAnsi="Arial"/>
                <w:sz w:val="18"/>
                <w:szCs w:val="18"/>
                <w:color w:val="auto"/>
              </w:rPr>
              <w:t>D’Arcy Rudnay</w:t>
            </w:r>
          </w:p>
        </w:tc>
        <w:tc>
          <w:tcPr>
            <w:tcW w:w="2900" w:type="dxa"/>
            <w:vAlign w:val="bottom"/>
          </w:tcPr>
          <w:p>
            <w:pPr>
              <w:jc w:val="right"/>
              <w:ind w:right="727"/>
              <w:spacing w:after="0"/>
              <w:rPr>
                <w:sz w:val="20"/>
                <w:szCs w:val="20"/>
                <w:color w:val="auto"/>
              </w:rPr>
            </w:pPr>
            <w:r>
              <w:rPr>
                <w:rFonts w:ascii="Arial" w:cs="Arial" w:eastAsia="Arial" w:hAnsi="Arial"/>
                <w:sz w:val="18"/>
                <w:szCs w:val="18"/>
                <w:color w:val="auto"/>
              </w:rPr>
              <w:t>(215) 981-8582</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Daniel J. Goodwin</w:t>
            </w:r>
          </w:p>
        </w:tc>
        <w:tc>
          <w:tcPr>
            <w:tcW w:w="3200" w:type="dxa"/>
            <w:vAlign w:val="bottom"/>
          </w:tcPr>
          <w:p>
            <w:pPr>
              <w:jc w:val="right"/>
              <w:ind w:right="1652"/>
              <w:spacing w:after="0"/>
              <w:rPr>
                <w:sz w:val="20"/>
                <w:szCs w:val="20"/>
                <w:color w:val="auto"/>
              </w:rPr>
            </w:pPr>
            <w:r>
              <w:rPr>
                <w:rFonts w:ascii="Arial" w:cs="Arial" w:eastAsia="Arial" w:hAnsi="Arial"/>
                <w:sz w:val="18"/>
                <w:szCs w:val="18"/>
                <w:color w:val="auto"/>
              </w:rPr>
              <w:t>(215) 981-7518</w:t>
            </w:r>
          </w:p>
        </w:tc>
        <w:tc>
          <w:tcPr>
            <w:tcW w:w="3040" w:type="dxa"/>
            <w:vAlign w:val="bottom"/>
          </w:tcPr>
          <w:p>
            <w:pPr>
              <w:spacing w:after="0"/>
              <w:rPr>
                <w:sz w:val="19"/>
                <w:szCs w:val="19"/>
                <w:color w:val="auto"/>
              </w:rPr>
            </w:pP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-1061720</wp:posOffset>
            </wp:positionV>
            <wp:extent cx="138938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93"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COMCAST REPORTS SECOND QUARTER 2007 RESULTS</w:t>
      </w:r>
    </w:p>
    <w:p>
      <w:pPr>
        <w:spacing w:after="0" w:line="152"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Highest level of second quarter RGU additions in Comcast history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RGU additions up 94% to 1.6 million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Surpassed 3 million Comcast Digital Voice customers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the Triple Play powers record quarterly additions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12% growth in Cable Revenue and 13% growth in Cable Operating Cash Flow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Repurchased $752 million or 28 million Comcast shares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Philadelphia, PA – July 26, 2007…Comcast Corporation (NASDAQ: CMCSA, CMCSK) today reported results for the quarter ended June 30, 2007. The following table highlights financial and operational results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9"/>
              </w:rPr>
              <w:t>Growth</w:t>
            </w:r>
          </w:p>
        </w:tc>
        <w:tc>
          <w:tcPr>
            <w:tcW w:w="34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0" w:type="dxa"/>
            <w:vAlign w:val="bottom"/>
            <w:vMerge w:val="restart"/>
          </w:tcPr>
          <w:p>
            <w:pPr>
              <w:ind w:left="920"/>
              <w:spacing w:after="0"/>
              <w:rPr>
                <w:sz w:val="20"/>
                <w:szCs w:val="20"/>
                <w:color w:val="auto"/>
              </w:rPr>
            </w:pPr>
            <w:r>
              <w:rPr>
                <w:rFonts w:ascii="Arial" w:cs="Arial" w:eastAsia="Arial" w:hAnsi="Arial"/>
                <w:sz w:val="18"/>
                <w:szCs w:val="18"/>
                <w:b w:val="1"/>
                <w:bCs w:val="1"/>
                <w:i w:val="1"/>
                <w:iCs w:val="1"/>
                <w:color w:val="auto"/>
              </w:rPr>
              <w:t>Consolidated</w:t>
            </w:r>
          </w:p>
        </w:tc>
        <w:tc>
          <w:tcPr>
            <w:tcW w:w="104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2Q07</w:t>
            </w:r>
          </w:p>
        </w:tc>
        <w:tc>
          <w:tcPr>
            <w:tcW w:w="9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YTD</w:t>
            </w:r>
          </w:p>
        </w:tc>
        <w:tc>
          <w:tcPr>
            <w:tcW w:w="980" w:type="dxa"/>
            <w:vAlign w:val="bottom"/>
            <w:tcBorders>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90"/>
              </w:rPr>
              <w:t>Quarter</w:t>
            </w:r>
          </w:p>
        </w:tc>
        <w:tc>
          <w:tcPr>
            <w:tcW w:w="3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9"/>
              </w:rPr>
              <w:t>YTD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72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920"/>
              <w:spacing w:after="0"/>
              <w:rPr>
                <w:sz w:val="20"/>
                <w:szCs w:val="20"/>
                <w:color w:val="auto"/>
              </w:rPr>
            </w:pPr>
            <w:r>
              <w:rPr>
                <w:rFonts w:ascii="Arial" w:cs="Arial" w:eastAsia="Arial" w:hAnsi="Arial"/>
                <w:sz w:val="18"/>
                <w:szCs w:val="18"/>
                <w:color w:val="auto"/>
              </w:rPr>
              <w:t>Revenue</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$7,712</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$15,100</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31%</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920"/>
              <w:spacing w:after="0"/>
              <w:rPr>
                <w:sz w:val="20"/>
                <w:szCs w:val="20"/>
                <w:color w:val="auto"/>
              </w:rPr>
            </w:pPr>
            <w:r>
              <w:rPr>
                <w:rFonts w:ascii="Arial" w:cs="Arial" w:eastAsia="Arial" w:hAnsi="Arial"/>
                <w:sz w:val="18"/>
                <w:szCs w:val="18"/>
                <w:color w:val="auto"/>
              </w:rPr>
              <w:t>Operating Cash Flow</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$3,012</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$5,775</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30%</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920"/>
              <w:spacing w:after="0"/>
              <w:rPr>
                <w:sz w:val="20"/>
                <w:szCs w:val="20"/>
                <w:color w:val="auto"/>
              </w:rPr>
            </w:pPr>
            <w:r>
              <w:rPr>
                <w:rFonts w:ascii="Arial" w:cs="Arial" w:eastAsia="Arial" w:hAnsi="Arial"/>
                <w:sz w:val="18"/>
                <w:szCs w:val="18"/>
                <w:color w:val="auto"/>
              </w:rPr>
              <w:t>Operating Income</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$1,468</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$2,729</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25%</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25%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92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$588</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$1,425</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28%</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54%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920"/>
              <w:spacing w:after="0"/>
              <w:rPr>
                <w:sz w:val="20"/>
                <w:szCs w:val="20"/>
                <w:color w:val="auto"/>
              </w:rPr>
            </w:pPr>
            <w:r>
              <w:rPr>
                <w:rFonts w:ascii="Arial" w:cs="Arial" w:eastAsia="Arial" w:hAnsi="Arial"/>
                <w:sz w:val="18"/>
                <w:szCs w:val="18"/>
                <w:color w:val="auto"/>
              </w:rPr>
              <w:t>Earnings per Share</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$0.19</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$0.45</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28%</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54%</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7200" w:type="dxa"/>
            <w:vAlign w:val="bottom"/>
          </w:tcPr>
          <w:p>
            <w:pPr>
              <w:ind w:left="920"/>
              <w:spacing w:after="0"/>
              <w:rPr>
                <w:sz w:val="20"/>
                <w:szCs w:val="20"/>
                <w:color w:val="auto"/>
              </w:rPr>
            </w:pPr>
            <w:r>
              <w:rPr>
                <w:rFonts w:ascii="Arial" w:cs="Arial" w:eastAsia="Arial" w:hAnsi="Arial"/>
                <w:sz w:val="18"/>
                <w:szCs w:val="18"/>
                <w:b w:val="1"/>
                <w:bCs w:val="1"/>
                <w:i w:val="1"/>
                <w:iCs w:val="1"/>
                <w:color w:val="auto"/>
              </w:rPr>
              <w:t>Pro forma Cable</w:t>
            </w:r>
            <w:r>
              <w:rPr>
                <w:rFonts w:ascii="Arial" w:cs="Arial" w:eastAsia="Arial" w:hAnsi="Arial"/>
                <w:sz w:val="22"/>
                <w:szCs w:val="22"/>
                <w:b w:val="1"/>
                <w:bCs w:val="1"/>
                <w:i w:val="1"/>
                <w:iCs w:val="1"/>
                <w:color w:val="auto"/>
                <w:vertAlign w:val="superscript"/>
              </w:rPr>
              <w:t>1</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920"/>
              <w:spacing w:after="0"/>
              <w:rPr>
                <w:sz w:val="20"/>
                <w:szCs w:val="20"/>
                <w:color w:val="auto"/>
              </w:rPr>
            </w:pPr>
            <w:r>
              <w:rPr>
                <w:rFonts w:ascii="Arial" w:cs="Arial" w:eastAsia="Arial" w:hAnsi="Arial"/>
                <w:sz w:val="18"/>
                <w:szCs w:val="18"/>
                <w:color w:val="auto"/>
              </w:rPr>
              <w:t>Revenue</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$7,330</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$14,328</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12%</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12%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920"/>
              <w:spacing w:after="0"/>
              <w:rPr>
                <w:sz w:val="20"/>
                <w:szCs w:val="20"/>
                <w:color w:val="auto"/>
              </w:rPr>
            </w:pPr>
            <w:r>
              <w:rPr>
                <w:rFonts w:ascii="Arial" w:cs="Arial" w:eastAsia="Arial" w:hAnsi="Arial"/>
                <w:sz w:val="18"/>
                <w:szCs w:val="18"/>
                <w:color w:val="auto"/>
              </w:rPr>
              <w:t>Operating Cash Flow</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$3,031</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$5,824</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13%</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920"/>
              <w:spacing w:after="0"/>
              <w:rPr>
                <w:sz w:val="20"/>
                <w:szCs w:val="20"/>
                <w:color w:val="auto"/>
              </w:rPr>
            </w:pPr>
            <w:r>
              <w:rPr>
                <w:rFonts w:ascii="Arial" w:cs="Arial" w:eastAsia="Arial" w:hAnsi="Arial"/>
                <w:sz w:val="18"/>
                <w:szCs w:val="18"/>
                <w:color w:val="auto"/>
              </w:rPr>
              <w:t>Revenue Generating Unit Additions</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1,613</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3,372</w:t>
            </w:r>
          </w:p>
        </w:tc>
        <w:tc>
          <w:tcPr>
            <w:tcW w:w="980" w:type="dxa"/>
            <w:vAlign w:val="bottom"/>
          </w:tcPr>
          <w:p>
            <w:pPr>
              <w:jc w:val="center"/>
              <w:ind w:right="76"/>
              <w:spacing w:after="0"/>
              <w:rPr>
                <w:sz w:val="20"/>
                <w:szCs w:val="20"/>
                <w:color w:val="auto"/>
              </w:rPr>
            </w:pPr>
            <w:r>
              <w:rPr>
                <w:rFonts w:ascii="Arial" w:cs="Arial" w:eastAsia="Arial" w:hAnsi="Arial"/>
                <w:sz w:val="18"/>
                <w:szCs w:val="18"/>
                <w:color w:val="auto"/>
                <w:w w:val="94"/>
              </w:rPr>
              <w:t>94%</w:t>
            </w:r>
          </w:p>
        </w:tc>
        <w:tc>
          <w:tcPr>
            <w:tcW w:w="340" w:type="dxa"/>
            <w:vAlign w:val="bottom"/>
          </w:tcPr>
          <w:p>
            <w:pPr>
              <w:ind w:left="20"/>
              <w:spacing w:after="0"/>
              <w:rPr>
                <w:sz w:val="20"/>
                <w:szCs w:val="20"/>
                <w:color w:val="auto"/>
              </w:rPr>
            </w:pPr>
            <w:r>
              <w:rPr>
                <w:rFonts w:ascii="Arial" w:cs="Arial" w:eastAsia="Arial" w:hAnsi="Arial"/>
                <w:sz w:val="18"/>
                <w:szCs w:val="18"/>
                <w:color w:val="auto"/>
                <w:w w:val="83"/>
              </w:rPr>
              <w:t>77%</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Brian L. Roberts, Chairman and CEO of Comcast Corporation, said, “We are again reporting double-digit growth in cable revenue, our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quarter of double-digit OCF growth and our fourth consecutive quarter of record-breaking RGU additions.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Demonstrating the appeal of our superior products and our Triple Play package, our cable division delivered 1.6 million RGU additions, 94% above last year’s second quarter additions. To achieve this record-breaking performance, we added more than 670,000 Comcast Digital Voice customers and, in just 2 years, have surpassed 3 million digital voice customers. We also successfully completed the immense operational task of deploying an unprecedented 2.1 million digital set-top boxes in the second quarter in advance of a July 1 regulatory deadline.</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on track for another outstanding year as we continue to execute on our time-to-market advantage. We see cable growth accelerating in the second half of 2007 as we remain focused on delivering superior products and services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5</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Segment Results</w:t>
      </w:r>
      <w:r>
        <w:rPr>
          <w:rFonts w:ascii="Arial" w:cs="Arial" w:eastAsia="Arial" w:hAnsi="Arial"/>
          <w:sz w:val="11"/>
          <w:szCs w:val="11"/>
          <w:b w:val="1"/>
          <w:bCs w:val="1"/>
          <w:color w:val="auto"/>
        </w:rPr>
        <w:t>1</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12% to $7.3 billion for the second quarter of 2007 reflecting continued strong consumer demand for Comcast’s services and the success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Comcast Triple Play. Cable revenue increased 12% to $14.3 billion for the six months ended June 30, 2007.</w:t>
      </w:r>
    </w:p>
    <w:p>
      <w:pPr>
        <w:spacing w:after="0" w:line="14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Revenue generating unit </w:t>
      </w:r>
      <w:r>
        <w:rPr>
          <w:rFonts w:ascii="Arial" w:cs="Arial" w:eastAsia="Arial" w:hAnsi="Arial"/>
          <w:sz w:val="18"/>
          <w:szCs w:val="18"/>
          <w:color w:val="auto"/>
        </w:rPr>
        <w:t>(RGU)</w:t>
      </w:r>
      <w:r>
        <w:rPr>
          <w:rFonts w:ascii="Arial" w:cs="Arial" w:eastAsia="Arial" w:hAnsi="Arial"/>
          <w:sz w:val="22"/>
          <w:szCs w:val="22"/>
          <w:color w:val="auto"/>
          <w:vertAlign w:val="super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increased 94% to a second quarter record of 1.6 million in 2007 from the 830,000 RGUs added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2006. The Company ended the quarter with 54.2 million RGUs, an increase of 6.5 million units from one year ago. Year to date through June 30, 2007, Comcast added 3.4 million RGUs, a 77% increase from the same period last year.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(as defined in Table 7) grew 13% to $3.0 billion in the second quarter of 2007 resulting in an Operating Cash Flow margin of 41.3%,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from the 40.9% reported in the second quarter of 2006. The margin improvement reflects strong revenue growth and our continuing success in controlling the growth of operating costs, even as we experience an extraordinary level of activity from the growth in RGUs, led by growth in digital cable services and the continuing acceleration in Comcast Digital Voice additions. Comcast installed 2.1 million digital set-top boxes during the second quarter of 2007 as the Company accelerated digital cable deployment in advance of a July 1 regulatory deadline. This represents a four-fold increase in the number of set-top boxes deployed compared to one year ago.</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Year to date through June 30, 2007, Operating Cash Flow increased 14% to $5.8 billion from the $5.1 billion reported in the same period last year. Operating Cash Flow margin increased to 40.6% for the six months ended June 30, 2007 from 40.0% in the prior year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8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Added 823,000 new digital cable subscribers in the second quarter of 2007 – the highest level of quarterly digital additions in Company history</w:t>
      </w:r>
    </w:p>
    <w:p>
      <w:pPr>
        <w:spacing w:after="0" w:line="113" w:lineRule="exact"/>
        <w:rPr>
          <w:rFonts w:ascii="Arial" w:cs="Arial" w:eastAsia="Arial" w:hAnsi="Arial"/>
          <w:sz w:val="16"/>
          <w:szCs w:val="16"/>
          <w:i w:val="1"/>
          <w:iCs w:val="1"/>
          <w:color w:val="auto"/>
        </w:rPr>
      </w:pPr>
    </w:p>
    <w:p>
      <w:pPr>
        <w:ind w:left="220" w:hanging="212"/>
        <w:spacing w:after="0"/>
        <w:tabs>
          <w:tab w:leader="none" w:pos="2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Ended the quarter with more than 14 million or 59% of video subscribers taking digital services – an increase from 48% digital penetration one year ago</w:t>
      </w:r>
    </w:p>
    <w:p>
      <w:pPr>
        <w:spacing w:after="0" w:line="113" w:lineRule="exact"/>
        <w:rPr>
          <w:rFonts w:ascii="Arial" w:cs="Arial" w:eastAsia="Arial" w:hAnsi="Arial"/>
          <w:sz w:val="16"/>
          <w:szCs w:val="16"/>
          <w:i w:val="1"/>
          <w:iCs w:val="1"/>
          <w:color w:val="auto"/>
        </w:rPr>
      </w:pPr>
    </w:p>
    <w:p>
      <w:pPr>
        <w:ind w:left="220" w:hanging="212"/>
        <w:spacing w:after="0"/>
        <w:tabs>
          <w:tab w:leader="none" w:pos="2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Installed a record 2.1 million digital set-top boxes in the second quarter of 2007 – roughly equal to that deployed in the previous six months combined</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Video revenue increased 7% to $4.5 billion in the second quarter of 2007, reflecting growth in digital cable customers and increased demand for digital features including ON DEMAND, digital video recorders (DVR) and high-definition television (HDTV), as well as higher basic cable pricing.</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expected, basic cable subscribers decreased by 95,000 to 24.1 million during the second quarter of 2007 in what is historically a weak quarter for basic subscriber additions. This compares to a 91,000 subscriber decline in the second quarter of 2006. Year to date through June 30, 2007, basic subscribers decreased 20,000 compared to a decrease of 40,000 in the same period last year.</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added 823,000 digital cable customers during the second quarter of 2007, almost 2.5 times more than the 337,000 digital cable customers added in the same period one year ago. Year to date through June 30, 2007, reflects this growth trend, as Comcast added 1.5 million digital cable subscribers, more than two times the 692,000 added in the same period of 2006.</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digital cable customer additions in the second quarter of 2007 include 202,000 full digital cable and 621,000 digital starter subscribers. During the quarter, 441,000 digital cable customers added advanced services, like DVR and HDTV, to their digital service either by upgrading or as new customers. This compares to 294,000 additions in the same quarter one year ago. As of June 30, 2007, 80% of digital cable customers receive full digital cable or digital cable with advanced services, and 20% are digital starter subscribers. Pay-per-view revenue increased 25% to $211 million in the second quarter of 2007 driven by increasing ON DEMAND movie and event purchases. Pay-per-view revenue has increased more than 20% on average over each of the past 10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903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High-Speed Internet</w:t>
      </w:r>
    </w:p>
    <w:p>
      <w:pPr>
        <w:spacing w:after="0" w:line="8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Added 330,000 high-speed Internet subscribers during the second quarter – penetration now exceeds 26%</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High-speed Internet revenues increased 20% to $1.6 billion in the second quarter of 2007, reflecting a 1.9 million or 18% increase in subscribers from the prior year and stable average monthly revenue per subscriber of approximately $43.</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 to date through June 30, 2007, Comcast added 893,000 high-speed Internet subscribers, a 6% increase from the 844,000 customers added during the same period one year ago. Comcast ended the second quarter of 2007 with 12.4 million high-speed Internet subscribers.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8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Added 671,000 Comcast Digital Voice (CDV) customers during the quarter and surpassed 3 million CDV customers and 8% penetration</w:t>
      </w:r>
    </w:p>
    <w:p>
      <w:pPr>
        <w:spacing w:after="0" w:line="90" w:lineRule="exact"/>
        <w:rPr>
          <w:rFonts w:ascii="Arial" w:cs="Arial" w:eastAsia="Arial" w:hAnsi="Arial"/>
          <w:sz w:val="18"/>
          <w:szCs w:val="18"/>
          <w:i w:val="1"/>
          <w:iCs w:val="1"/>
          <w:color w:val="auto"/>
        </w:rPr>
      </w:pPr>
    </w:p>
    <w:p>
      <w:pPr>
        <w:ind w:left="220" w:hanging="212"/>
        <w:spacing w:after="0"/>
        <w:tabs>
          <w:tab w:leader="none" w:pos="2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CDV service now marketed to 38 million homes representing 79% of Comcast’s footprint</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Phone revenue increased 98% to $420 million in the second quarter of 2007 reflecting a $264 million increase in CDV revenues from the prior year as a result of the significant growth in CDV subscribers. The increase in phone revenue was partially offset by a $56 million or 46% decline in circuit-switched phone revenues as the number of circuit-switched phone customers continues to decline as Comcast focuses on marketing CDV service in most markets. Excluding the decline in circuit-switched phone revenue, Comcast Cable revenue increased 13% in the second quarter of 2007.</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Year to date through June 30, 2007, phone revenue increased 94% to $773 million reflecting a 2.2 million increase in CDV customers since June 2006 and partially offset by a $106 million decline in circuit-switched phone revenues.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Advertising </w:t>
      </w:r>
      <w:r>
        <w:rPr>
          <w:rFonts w:ascii="Arial" w:cs="Arial" w:eastAsia="Arial" w:hAnsi="Arial"/>
          <w:sz w:val="16"/>
          <w:szCs w:val="16"/>
          <w:color w:val="auto"/>
        </w:rPr>
        <w:t>revenue decreased 1% to $399 million in the second quarter of 2007, reflecting the continued weakness in political and regional advertising.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second quarter of 2007, year to date through June 30, 2007 advertising revenue decreased 2% to $712 million.</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52% to $1.6 billion in the second quarter of 2007, reflecting a 94% increase in RGU additions and a 50% increase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digital customers added with advanced services.</w:t>
      </w:r>
    </w:p>
    <w:p>
      <w:pPr>
        <w:spacing w:after="0" w:line="1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Year-to-date cable capital expenditures totaled approximately $3.0 billion and are expected to decline in the second half of 2007 due to a lower number of set-top box purchases. Set-top box inventory levels as of June 30, 2007 are sufficient to satisfy expected demand in the second half of 2007. In addition, network improvements and integration of the acquired systems from Adelphia and Time Warner were substantially completed by the end of the second quarter of 2007.</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historical trends, approximately 75% of cable capital expenditures in the second quarter of 2007 were variable and directly associated with demand for new products and deliver over a 30% incremental return on the investment. (See footnote 3 to Table 5 for further details on the components of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Comcast’s Programming segment consists of our national programming networks E! Entertainment Television and Style Network (E! Networks), The Golf Channel, VERSUS, G4 and AZN.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Programming segment reported second quarter 2007 revenue of $334 million, a 22% increase from the second quarter of 2006 and Operating Cash Flow of $75 million, or a 27% increase, reflecting higher viewership and higher advertising and distribution revenue.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Year to date through June 30, 2007, Programming segment revenue increased 24% to $636 million from the same period one year ago. During the same period, Operating Cash Flow increased 28% to $140 million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903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and Other</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and Other includes corporate overhead, Comcast Spectacor, Comcast Interactive Media (CIM), and other operations and eliminations between Comcast's businesses. For the second quarter of 2007, Corporate and Other revenue increased to $48 million from $37 million in the second quarter of 2006 primarily due to acquisitions at CIM. The Operating Cash Flow loss for the second quarter of 2007 was $94 million compared to a loss of $74 million for the same period in 2006.</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Year to date through June 30, 2007, Corporate and Other revenue increased 10% to $136 million from $124 million in the same period of 2006. Operating Cash Flow loss for Corporate and Other increased to $189 million for the six months ended June 30, 2007 compared to $130 million in 2006.</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increased 25% to $1.5 billion in the second quarter of 2007 reflecting strong results at Comcast Cable and the impact of cable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Similarly, consolidated operating income increased 25% to $2.7 billion for the six months ended June 30, 2007.</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increased 28% to $588 million, or $0.19 per share, in the second quarter of 2007, compared to net income of $460 million or $0.15 per share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 quarter of 2006. In addition to strong operating results at Comcast Cable, the current quarter also includes $126 million of investment income driven by an increase in the fair market value of our investment portfolio and income related to the sale of certain investments.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increased 54% to $1.4 billion, or $0.45 per share in the six months ended June 30, 2007, compared to net income of $926 million, or $0.29 per share, in the prior year. In addition to strong operating results at Comcast Cable, year-to-date net income includes $300 million of investment income driven by an increase in the fair market value of our investment portfolio and income related to the sale of certain investments, and a one-time gain, included in other income, of $500 million (or $300 million net of tax) related to the dissolution of our Texas/Kansas City Cable Partnership in the first quarter of 2007. Excluding the gain associated with the partnership dissolution and reconciled in Table 7-B, Adjusted Net Income for the first half of the year would be $1.1 billion, or $0.36 per share.</w:t>
      </w:r>
    </w:p>
    <w:p>
      <w:pPr>
        <w:spacing w:after="0" w:line="136" w:lineRule="exact"/>
        <w:rPr>
          <w:sz w:val="20"/>
          <w:szCs w:val="20"/>
          <w:color w:val="auto"/>
        </w:rPr>
      </w:pPr>
    </w:p>
    <w:p>
      <w:pPr>
        <w:jc w:val="both"/>
        <w:spacing w:after="0" w:line="343" w:lineRule="auto"/>
        <w:rPr>
          <w:sz w:val="20"/>
          <w:szCs w:val="20"/>
          <w:color w:val="auto"/>
        </w:rPr>
      </w:pPr>
      <w:r>
        <w:rPr>
          <w:rFonts w:ascii="Arial" w:cs="Arial" w:eastAsia="Arial" w:hAnsi="Arial"/>
          <w:sz w:val="16"/>
          <w:szCs w:val="16"/>
          <w:b w:val="1"/>
          <w:bCs w:val="1"/>
          <w:i w:val="1"/>
          <w:iCs w:val="1"/>
          <w:color w:val="auto"/>
        </w:rPr>
        <w:t xml:space="preserve">Net Cash Provided by Operating Activities </w:t>
      </w:r>
      <w:r>
        <w:rPr>
          <w:rFonts w:ascii="Arial" w:cs="Arial" w:eastAsia="Arial" w:hAnsi="Arial"/>
          <w:sz w:val="16"/>
          <w:szCs w:val="16"/>
          <w:color w:val="auto"/>
        </w:rPr>
        <w:t>increased to $4.4 billion for the six months ended June 30, 2007 from $3.2 billion in 2006 due primarily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strong year-to-date operating results and $483 million related to the proceeds from sales of trading securities in the second quarter of 2007.</w:t>
      </w:r>
    </w:p>
    <w:p>
      <w:pPr>
        <w:spacing w:after="0" w:line="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Free Cash Flow </w:t>
      </w:r>
      <w:r>
        <w:rPr>
          <w:rFonts w:ascii="Arial" w:cs="Arial" w:eastAsia="Arial" w:hAnsi="Arial"/>
          <w:sz w:val="16"/>
          <w:szCs w:val="16"/>
          <w:color w:val="auto"/>
        </w:rPr>
        <w:t>(described further on Table 4) totaled $368 million for the quarter and $810 million for the six months ended June 30, 2007 compared to $462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and $1.3 billion, respectively, in the same periods of 2006. Free Cash Flow reflects growth in consolidated Operating Cash Flow offset by increased capital expenditures driven by record-setting RGU additions. The continued growth of Operating Cash Flow and an expected reduction in cable capital expenditures in the second half of the year should result in increased Free Cash Flow in the remaining two quarters of 2007.</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repurchased $752 million of its Class A Special Common Stock, or 27.9 million shares, during the second quarter of 2007. Year to date through June 30, 2007, Comcast repurchased $1.25 billion of its common stock or 46.6 million shares. Remaining availability, as of June 30, 2007, under the Company’s stock repurchase program is $1.8 billion. Comcast expects such repurchases to occur from time to time in the open market or in private transactions, subject to market conditions.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the repurchase program in December 2003, the Company has invested $8.6 billion in its common stock and related securities, reducing the number of shares outstanding by 12%. These investments include repurchasing $7.2 billion or 350.0 million shares of its common stock and paying $1.4 billion to redeem several debt issues exchangeable into 70.9 million shares of Comcast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2007 Financial Outlook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For 2007, Comcast reaffirms the following previously issued guidance:</w:t>
      </w:r>
    </w:p>
    <w:p>
      <w:pPr>
        <w:spacing w:after="0" w:line="90"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 revenue growth of at least 12%</w:t>
      </w:r>
      <w:r>
        <w:rPr>
          <w:rFonts w:ascii="Arial" w:cs="Arial" w:eastAsia="Arial" w:hAnsi="Arial"/>
          <w:sz w:val="22"/>
          <w:szCs w:val="22"/>
          <w:color w:val="auto"/>
          <w:vertAlign w:val="superscript"/>
        </w:rPr>
        <w:t>1</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 Operating Cash Flow growth of at least 14%</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7" w:name="page8"/>
    <w:bookmarkEnd w:id="7"/>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RGU net additions of approximately 6.5 million, 30% above 2006 RGU net additions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of 5 million</w:t>
      </w:r>
    </w:p>
    <w:p>
      <w:pPr>
        <w:spacing w:after="0" w:line="44" w:lineRule="exact"/>
        <w:rPr>
          <w:rFonts w:ascii="Arial" w:cs="Arial" w:eastAsia="Arial" w:hAnsi="Arial"/>
          <w:sz w:val="18"/>
          <w:szCs w:val="18"/>
          <w:color w:val="auto"/>
        </w:rPr>
      </w:pPr>
    </w:p>
    <w:p>
      <w:pPr>
        <w:ind w:left="900" w:hanging="325"/>
        <w:spacing w:after="0" w:line="197" w:lineRule="auto"/>
        <w:tabs>
          <w:tab w:leader="none" w:pos="900" w:val="left"/>
        </w:tabs>
        <w:numPr>
          <w:ilvl w:val="1"/>
          <w:numId w:val="6"/>
        </w:numPr>
        <w:rPr>
          <w:rFonts w:ascii="Arial" w:cs="Arial" w:eastAsia="Arial" w:hAnsi="Arial"/>
          <w:sz w:val="22"/>
          <w:szCs w:val="22"/>
          <w:color w:val="auto"/>
          <w:vertAlign w:val="superscript"/>
        </w:rPr>
      </w:pPr>
      <w:r>
        <w:rPr>
          <w:rFonts w:ascii="Arial" w:cs="Arial" w:eastAsia="Arial" w:hAnsi="Arial"/>
          <w:sz w:val="18"/>
          <w:szCs w:val="18"/>
          <w:color w:val="auto"/>
        </w:rPr>
        <w:t>RGU outlook includes an expected decrease of 500,000 circuit-switched phone RGUs</w:t>
      </w:r>
    </w:p>
    <w:p>
      <w:pPr>
        <w:spacing w:after="0" w:line="75" w:lineRule="exact"/>
        <w:rPr>
          <w:rFonts w:ascii="Arial" w:cs="Arial" w:eastAsia="Arial" w:hAnsi="Arial"/>
          <w:sz w:val="22"/>
          <w:szCs w:val="22"/>
          <w:color w:val="auto"/>
          <w:vertAlign w:val="superscript"/>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capital expenditures of approximately $5.7 billion, including commercial services capital expenditures of approximately $250 million</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capital expenditures of approximately $250 million primarily due to the relocation of Comcast’s headquarters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revenue growth of at least 11%</w:t>
      </w:r>
      <w:r>
        <w:rPr>
          <w:rFonts w:ascii="Arial" w:cs="Arial" w:eastAsia="Arial" w:hAnsi="Arial"/>
          <w:sz w:val="22"/>
          <w:szCs w:val="22"/>
          <w:color w:val="auto"/>
          <w:vertAlign w:val="superscript"/>
        </w:rPr>
        <w:t>3</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Operating Cash Flow growth of at least 13%</w:t>
      </w:r>
      <w:r>
        <w:rPr>
          <w:rFonts w:ascii="Arial" w:cs="Arial" w:eastAsia="Arial" w:hAnsi="Arial"/>
          <w:sz w:val="22"/>
          <w:szCs w:val="22"/>
          <w:color w:val="auto"/>
          <w:vertAlign w:val="superscript"/>
        </w:rPr>
        <w:t>3</w:t>
      </w:r>
    </w:p>
    <w:p>
      <w:pPr>
        <w:spacing w:after="0" w:line="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Free Cash Flow approximately the same as 2006</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w:t>
      </w:r>
    </w:p>
    <w:p>
      <w:pPr>
        <w:spacing w:after="0" w:line="95" w:lineRule="exact"/>
        <w:rPr>
          <w:sz w:val="20"/>
          <w:szCs w:val="20"/>
          <w:color w:val="auto"/>
        </w:rPr>
      </w:pPr>
    </w:p>
    <w:p>
      <w:pPr>
        <w:jc w:val="both"/>
        <w:ind w:left="46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Cable results are presented on a pro forma basis. Pro forma results adjust only for certain acquisitions and dispositions, including Susquehanna Communications (April 2006), the Adelphia/Time Warner transactions (July 2006) and the dissolution of the Texas/Kansas City Cable Partnership (January 2007). Cable results are presented as if the transactions noted above were effective on January 1, 2006. The net impact of these transactions was to increase the number of basic cable subscribers by 2.6 million. Please refer to Table 7-A for a reconciliation of pro forma financial data.</w:t>
      </w:r>
    </w:p>
    <w:p>
      <w:pPr>
        <w:spacing w:after="0" w:line="32" w:lineRule="exact"/>
        <w:rPr>
          <w:sz w:val="20"/>
          <w:szCs w:val="20"/>
          <w:color w:val="auto"/>
        </w:rPr>
      </w:pPr>
    </w:p>
    <w:p>
      <w:pPr>
        <w:ind w:left="460" w:right="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sum of basic and digital cable, high-speed Internet and net phone subscribers, excluding additional outlets. Subscriptions to DVR and/or HDTV services do not result in additional RGUs.</w:t>
      </w:r>
    </w:p>
    <w:p>
      <w:pPr>
        <w:spacing w:after="0" w:line="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Presented on a pro forma basis as described in note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Corporation will host a conference call with the financial community today July 26, 2007 at 8:30 a.m. Eastern Time (ET). The conference call will be broadcast live on the Company’s Investor Relations website at www.cmcsa.com or www.cmcsk.com. A recording of the call will be available on the Investor Relations website starting at 12:30 p.m. ET on July 26, 2007. Those parties interested in participating via telephone should dial (800) 263-8495 with the conference ID number 4170247. A telephone replay will begin immediately following the call until July 27, 2007 at midnight ET. To access the rebroadcast, please dial (800) 642-1687 and enter passcode number 4170247. To automatically receive Comcast financial news by email, please visit www.cmcsa.com or www.cmcsk.com and subscribe to email alerts.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 are calculated based on actual amounts. Minor differences may exist due to rounding.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8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Corporation (Nasdaq: CMCSA, CMCSK) (http://www.comcast.com) is the nation's leading provider of cable, entertainment and communications products and services. With 24.1 million cable customers, 12.4 million high-speed Internet customers, and 3.5 million voice customers, Comcast is principally involved in the development, management and operation of broadband cable systems and in the delivery of programming content.</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Comcast’s content networks and investments include E! Entertainment Television, Style Network, The Golf Channel, VERSUS, G4, AZN Television, PBS KIDS Sprout, TV One, Comcast SportsNet and Comcast Interactive Media, which develops and operates Comcast's Internet business. Comcast also has a majority ownership in Comcast Spectacor, whose major holdings include the Philadelphia Flyers NHL hockey team, the Philadelphia 76ers NBA basketball team and two large multipurpose arenas in Philadelphia.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2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w w:val="82"/>
              </w:rPr>
              <w:t>June 30,</w:t>
            </w:r>
          </w:p>
        </w:tc>
        <w:tc>
          <w:tcPr>
            <w:tcW w:w="1940" w:type="dxa"/>
            <w:vAlign w:val="bottom"/>
            <w:tcBorders>
              <w:bottom w:val="single" w:sz="8" w:color="auto"/>
            </w:tcBorders>
            <w:gridSpan w:val="2"/>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280" w:type="dxa"/>
            <w:vAlign w:val="bottom"/>
            <w:gridSpan w:val="2"/>
            <w:vMerge w:val="continue"/>
          </w:tcPr>
          <w:p>
            <w:pPr>
              <w:spacing w:after="0"/>
              <w:rPr>
                <w:sz w:val="12"/>
                <w:szCs w:val="12"/>
                <w:color w:val="auto"/>
              </w:rPr>
            </w:pPr>
          </w:p>
        </w:tc>
        <w:tc>
          <w:tcPr>
            <w:tcW w:w="9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126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2006</w:t>
            </w:r>
          </w:p>
        </w:tc>
        <w:tc>
          <w:tcPr>
            <w:tcW w:w="106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2007</w:t>
            </w:r>
          </w:p>
        </w:tc>
        <w:tc>
          <w:tcPr>
            <w:tcW w:w="8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$ 7,712</w:t>
            </w:r>
          </w:p>
        </w:tc>
        <w:tc>
          <w:tcPr>
            <w:tcW w:w="126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$ 5,908</w:t>
            </w:r>
          </w:p>
        </w:tc>
        <w:tc>
          <w:tcPr>
            <w:tcW w:w="106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$15,100</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2,130</w:t>
            </w:r>
          </w:p>
        </w:tc>
        <w:tc>
          <w:tcPr>
            <w:tcW w:w="1060" w:type="dxa"/>
            <w:vAlign w:val="bottom"/>
          </w:tcPr>
          <w:p>
            <w:pPr>
              <w:jc w:val="right"/>
              <w:ind w:right="157"/>
              <w:spacing w:after="0"/>
              <w:rPr>
                <w:sz w:val="20"/>
                <w:szCs w:val="20"/>
                <w:color w:val="auto"/>
              </w:rPr>
            </w:pPr>
            <w:r>
              <w:rPr>
                <w:rFonts w:ascii="Arial" w:cs="Arial" w:eastAsia="Arial" w:hAnsi="Arial"/>
                <w:sz w:val="18"/>
                <w:szCs w:val="18"/>
                <w:b w:val="1"/>
                <w:bCs w:val="1"/>
                <w:color w:val="auto"/>
              </w:rPr>
              <w:t>5,513</w:t>
            </w:r>
          </w:p>
        </w:tc>
        <w:tc>
          <w:tcPr>
            <w:tcW w:w="880" w:type="dxa"/>
            <w:vAlign w:val="bottom"/>
          </w:tcPr>
          <w:p>
            <w:pPr>
              <w:jc w:val="right"/>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1,946</w:t>
            </w:r>
          </w:p>
        </w:tc>
        <w:tc>
          <w:tcPr>
            <w:tcW w:w="12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1,467</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3,812</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4,700</w:t>
            </w: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3,597</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9,325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3,012</w:t>
            </w:r>
          </w:p>
        </w:tc>
        <w:tc>
          <w:tcPr>
            <w:tcW w:w="12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2,311</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5,775</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1,252</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905</w:t>
            </w:r>
          </w:p>
        </w:tc>
        <w:tc>
          <w:tcPr>
            <w:tcW w:w="1060" w:type="dxa"/>
            <w:vAlign w:val="bottom"/>
          </w:tcPr>
          <w:p>
            <w:pPr>
              <w:jc w:val="right"/>
              <w:ind w:right="157"/>
              <w:spacing w:after="0"/>
              <w:rPr>
                <w:sz w:val="20"/>
                <w:szCs w:val="20"/>
                <w:color w:val="auto"/>
              </w:rPr>
            </w:pPr>
            <w:r>
              <w:rPr>
                <w:rFonts w:ascii="Arial" w:cs="Arial" w:eastAsia="Arial" w:hAnsi="Arial"/>
                <w:sz w:val="18"/>
                <w:szCs w:val="18"/>
                <w:b w:val="1"/>
                <w:bCs w:val="1"/>
                <w:color w:val="auto"/>
              </w:rPr>
              <w:t>2,477</w:t>
            </w:r>
          </w:p>
        </w:tc>
        <w:tc>
          <w:tcPr>
            <w:tcW w:w="880" w:type="dxa"/>
            <w:vAlign w:val="bottom"/>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 expense</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292</w:t>
            </w:r>
          </w:p>
        </w:tc>
        <w:tc>
          <w:tcPr>
            <w:tcW w:w="12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233</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569</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w:t>
            </w: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1,138</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3,046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w:t>
            </w:r>
            <w:r>
              <w:rPr>
                <w:rFonts w:ascii="Arial" w:cs="Arial" w:eastAsia="Arial" w:hAnsi="Arial"/>
                <w:sz w:val="18"/>
                <w:szCs w:val="18"/>
                <w:b w:val="1"/>
                <w:bCs w:val="1"/>
                <w:color w:val="auto"/>
              </w:rPr>
              <w:t>e</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1,468</w:t>
            </w:r>
          </w:p>
        </w:tc>
        <w:tc>
          <w:tcPr>
            <w:tcW w:w="12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1,173</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2,729</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1201" w:right="239" w:bottom="1440" w:gutter="0" w:footer="0" w:header="0"/>
        </w:sectPr>
      </w:pPr>
    </w:p>
    <w:p>
      <w:pPr>
        <w:spacing w:after="0"/>
        <w:rPr>
          <w:sz w:val="20"/>
          <w:szCs w:val="20"/>
          <w:color w:val="auto"/>
        </w:rPr>
      </w:pPr>
      <w:r>
        <w:rPr>
          <w:rFonts w:ascii="Arial" w:cs="Arial" w:eastAsia="Arial" w:hAnsi="Arial"/>
          <w:sz w:val="18"/>
          <w:szCs w:val="18"/>
          <w:color w:val="auto"/>
        </w:rPr>
        <w:t>Other income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 income (loss),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net (losses) income of affiliates,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income (expense)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minority interest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minority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continuing operations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(550)</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(496)</w:t>
            </w: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(1,118)</w:t>
            </w:r>
          </w:p>
        </w:tc>
        <w:tc>
          <w:tcPr>
            <w:tcW w:w="76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16"/>
        </w:trPr>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126</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300</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(16)</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(12)</w:t>
            </w: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(37)</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w:t>
            </w: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85</w:t>
            </w: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514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11"/>
        </w:trPr>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(439)</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(409)</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(341)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22"/>
        </w:trPr>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1,029</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764</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2,388</w:t>
            </w:r>
          </w:p>
        </w:tc>
        <w:tc>
          <w:tcPr>
            <w:tcW w:w="76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311"/>
        </w:trPr>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(453)</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(369)</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(979)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317"/>
        </w:trPr>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576</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395</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1,409</w:t>
            </w:r>
          </w:p>
        </w:tc>
        <w:tc>
          <w:tcPr>
            <w:tcW w:w="76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325"/>
        </w:trPr>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12</w:t>
            </w: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w:t>
            </w: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588</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399</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1,425</w:t>
            </w:r>
          </w:p>
        </w:tc>
        <w:tc>
          <w:tcPr>
            <w:tcW w:w="760" w:type="dxa"/>
            <w:vAlign w:val="bottom"/>
          </w:tcPr>
          <w:p>
            <w:pPr>
              <w:jc w:val="right"/>
              <w:spacing w:after="0"/>
              <w:rPr>
                <w:sz w:val="20"/>
                <w:szCs w:val="20"/>
                <w:color w:val="auto"/>
              </w:rPr>
            </w:pPr>
            <w:r>
              <w:rPr>
                <w:rFonts w:ascii="Arial" w:cs="Arial" w:eastAsia="Arial" w:hAnsi="Arial"/>
                <w:sz w:val="18"/>
                <w:szCs w:val="18"/>
                <w:color w:val="auto"/>
              </w:rPr>
              <w:t>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-1619250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-1344930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-1061720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-710565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-290195</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6560" w:space="720"/>
            <w:col w:w="4140"/>
          </w:cols>
          <w:pgMar w:left="240" w:top="120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25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25"/>
        </w:trPr>
        <w:tc>
          <w:tcPr>
            <w:tcW w:w="4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588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460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w w:val="93"/>
              </w:rPr>
              <w:t>1,425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Basic earnings per common share</w:t>
            </w:r>
          </w:p>
        </w:tc>
        <w:tc>
          <w:tcPr>
            <w:tcW w:w="2580" w:type="dxa"/>
            <w:vAlign w:val="bottom"/>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0.19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0.13</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0.46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Income from discontinued operations</w:t>
            </w:r>
          </w:p>
        </w:tc>
        <w:tc>
          <w:tcPr>
            <w:tcW w:w="25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0.02</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0.19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0.15</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0.46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Diluted earnings per common share</w:t>
            </w:r>
          </w:p>
        </w:tc>
        <w:tc>
          <w:tcPr>
            <w:tcW w:w="2580" w:type="dxa"/>
            <w:vAlign w:val="bottom"/>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0.19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0.13</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0.45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Income from discontinued operations</w:t>
            </w:r>
          </w:p>
        </w:tc>
        <w:tc>
          <w:tcPr>
            <w:tcW w:w="25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0.02</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0.19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0.15</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0.45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Basic weighted-average number of common shares</w:t>
            </w:r>
          </w:p>
        </w:tc>
        <w:tc>
          <w:tcPr>
            <w:tcW w:w="258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8"/>
              </w:rPr>
              <w:t>3,113</w:t>
            </w:r>
          </w:p>
        </w:tc>
        <w:tc>
          <w:tcPr>
            <w:tcW w:w="36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8"/>
              </w:rPr>
              <w:t>3,168</w:t>
            </w:r>
          </w:p>
        </w:tc>
        <w:tc>
          <w:tcPr>
            <w:tcW w:w="38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93"/>
              </w:rPr>
              <w:t>3,119</w:t>
            </w:r>
          </w:p>
        </w:tc>
        <w:tc>
          <w:tcPr>
            <w:tcW w:w="36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3,185</w:t>
            </w:r>
          </w:p>
        </w:tc>
        <w:tc>
          <w:tcPr>
            <w:tcW w:w="0" w:type="dxa"/>
            <w:vAlign w:val="bottom"/>
          </w:tcPr>
          <w:p>
            <w:pPr>
              <w:spacing w:after="0"/>
              <w:rPr>
                <w:sz w:val="1"/>
                <w:szCs w:val="1"/>
                <w:color w:val="auto"/>
              </w:rPr>
            </w:pPr>
          </w:p>
        </w:tc>
      </w:tr>
      <w:tr>
        <w:trPr>
          <w:trHeight w:val="331"/>
        </w:trPr>
        <w:tc>
          <w:tcPr>
            <w:tcW w:w="4700" w:type="dxa"/>
            <w:vAlign w:val="bottom"/>
            <w:gridSpan w:val="2"/>
          </w:tcPr>
          <w:p>
            <w:pPr>
              <w:spacing w:after="0"/>
              <w:rPr>
                <w:sz w:val="20"/>
                <w:szCs w:val="20"/>
                <w:color w:val="auto"/>
              </w:rPr>
            </w:pPr>
            <w:r>
              <w:rPr>
                <w:rFonts w:ascii="Arial" w:cs="Arial" w:eastAsia="Arial" w:hAnsi="Arial"/>
                <w:sz w:val="18"/>
                <w:szCs w:val="18"/>
                <w:color w:val="auto"/>
              </w:rPr>
              <w:t>Diluted weighted-average number of common shares</w:t>
            </w:r>
          </w:p>
        </w:tc>
        <w:tc>
          <w:tcPr>
            <w:tcW w:w="2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8"/>
              </w:rPr>
              <w:t>3,147</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8"/>
              </w:rPr>
              <w:t>3,184</w:t>
            </w: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3"/>
              </w:rPr>
              <w:t>3,155</w:t>
            </w: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3,198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580" w:type="dxa"/>
            <w:vAlign w:val="bottom"/>
          </w:tcPr>
          <w:p>
            <w:pPr>
              <w:jc w:val="right"/>
              <w:ind w:right="1432"/>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w w:val="82"/>
              </w:rPr>
              <w:t>June 30,</w:t>
            </w:r>
          </w:p>
        </w:tc>
        <w:tc>
          <w:tcPr>
            <w:tcW w:w="1100" w:type="dxa"/>
            <w:vAlign w:val="bottom"/>
            <w:gridSpan w:val="3"/>
          </w:tcPr>
          <w:p>
            <w:pPr>
              <w:ind w:left="2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36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828</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395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net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1,441</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878</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3,542</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6,211</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Property and equipment, net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8"/>
              </w:rPr>
              <w:t>22,900</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w w:val="98"/>
              </w:rPr>
              <w:t>57,914</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55,927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Goodwill</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8"/>
              </w:rPr>
              <w:t>14,416</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5,165</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noncurrent assets, net</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608</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w w:val="82"/>
              </w:rPr>
              <w:t>110,756</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Arial" w:cs="Arial" w:eastAsia="Arial" w:hAnsi="Arial"/>
                <w:sz w:val="18"/>
                <w:szCs w:val="18"/>
                <w:color w:val="auto"/>
              </w:rPr>
              <w:t>LIABILITIES AND STOCKHOLDERS’ EQUITY</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2,978</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3,301</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102</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3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458</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liabilities</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6,839</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Long-term debt, less current portion</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w w:val="98"/>
              </w:rPr>
              <w:t>27,794</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27,992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Deferred income taxes</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8"/>
              </w:rPr>
              <w:t>26,533</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7,487</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Minority interest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278</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36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8"/>
              </w:rPr>
              <w:t>41,825</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18"/>
                <w:szCs w:val="18"/>
                <w:color w:val="auto"/>
              </w:rPr>
            </w:pP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82"/>
              </w:rPr>
              <w:t>110,756</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110,405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Borders>
              <w:top w:val="single" w:sz="8" w:color="E5E5E5"/>
            </w:tcBorders>
          </w:tcPr>
          <w:p>
            <w:pPr>
              <w:spacing w:after="0"/>
              <w:rPr>
                <w:sz w:val="24"/>
                <w:szCs w:val="24"/>
                <w:color w:val="auto"/>
              </w:rPr>
            </w:pPr>
          </w:p>
        </w:tc>
        <w:tc>
          <w:tcPr>
            <w:tcW w:w="3640" w:type="dxa"/>
            <w:vAlign w:val="bottom"/>
            <w:tcBorders>
              <w:top w:val="single" w:sz="8" w:color="E5E5E5"/>
            </w:tcBorders>
          </w:tcPr>
          <w:p>
            <w:pPr>
              <w:jc w:val="right"/>
              <w:ind w:right="3132"/>
              <w:spacing w:after="0"/>
              <w:rPr>
                <w:sz w:val="20"/>
                <w:szCs w:val="20"/>
                <w:color w:val="auto"/>
              </w:rPr>
            </w:pPr>
            <w:r>
              <w:rPr>
                <w:rFonts w:ascii="Arial" w:cs="Arial" w:eastAsia="Arial" w:hAnsi="Arial"/>
                <w:sz w:val="18"/>
                <w:szCs w:val="18"/>
                <w:color w:val="auto"/>
              </w:rPr>
              <w:t>7</w:t>
            </w: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jc w:val="right"/>
              <w:ind w:right="575"/>
              <w:spacing w:after="0" w:line="142" w:lineRule="exact"/>
              <w:rPr>
                <w:sz w:val="20"/>
                <w:szCs w:val="20"/>
                <w:color w:val="auto"/>
              </w:rPr>
            </w:pPr>
            <w:r>
              <w:rPr>
                <w:rFonts w:ascii="Arial" w:cs="Arial" w:eastAsia="Arial" w:hAnsi="Arial"/>
                <w:sz w:val="14"/>
                <w:szCs w:val="14"/>
                <w:b w:val="1"/>
                <w:bCs w:val="1"/>
                <w:color w:val="auto"/>
                <w:w w:val="96"/>
              </w:rPr>
              <w:t>2007</w:t>
            </w:r>
          </w:p>
        </w:tc>
        <w:tc>
          <w:tcPr>
            <w:tcW w:w="6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ACTIVITIES</w:t>
            </w:r>
          </w:p>
        </w:tc>
        <w:tc>
          <w:tcPr>
            <w:tcW w:w="54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w w:val="97"/>
              </w:rPr>
              <w:t>4,390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$ 3,184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540" w:type="dxa"/>
            <w:vAlign w:val="bottom"/>
          </w:tcPr>
          <w:p>
            <w:pPr>
              <w:spacing w:after="0"/>
              <w:rPr>
                <w:sz w:val="18"/>
                <w:szCs w:val="18"/>
                <w:color w:val="auto"/>
              </w:rPr>
            </w:pPr>
          </w:p>
        </w:tc>
        <w:tc>
          <w:tcPr>
            <w:tcW w:w="980" w:type="dxa"/>
            <w:vAlign w:val="bottom"/>
          </w:tcPr>
          <w:p>
            <w:pPr>
              <w:jc w:val="right"/>
              <w:ind w:right="435"/>
              <w:spacing w:after="0"/>
              <w:rPr>
                <w:sz w:val="20"/>
                <w:szCs w:val="20"/>
                <w:color w:val="auto"/>
              </w:rPr>
            </w:pPr>
            <w:r>
              <w:rPr>
                <w:rFonts w:ascii="Arial" w:cs="Arial" w:eastAsia="Arial" w:hAnsi="Arial"/>
                <w:sz w:val="18"/>
                <w:szCs w:val="18"/>
                <w:b w:val="1"/>
                <w:bCs w:val="1"/>
                <w:color w:val="auto"/>
              </w:rPr>
              <w:t>590</w:t>
            </w:r>
          </w:p>
        </w:tc>
        <w:tc>
          <w:tcPr>
            <w:tcW w:w="62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w w:val="87"/>
              </w:rPr>
              <w:t>(1,320)</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54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8"/>
                <w:szCs w:val="18"/>
                <w:b w:val="1"/>
                <w:bCs w:val="1"/>
                <w:color w:val="auto"/>
                <w:w w:val="87"/>
              </w:rPr>
              <w:t>(1,252)</w:t>
            </w:r>
          </w:p>
        </w:tc>
        <w:tc>
          <w:tcPr>
            <w:tcW w:w="620" w:type="dxa"/>
            <w:vAlign w:val="bottom"/>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334</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52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b w:val="1"/>
                <w:bCs w:val="1"/>
                <w:color w:val="auto"/>
                <w:w w:val="87"/>
              </w:rPr>
              <w:t>(1,596)</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317"/>
        </w:trPr>
        <w:tc>
          <w:tcPr>
            <w:tcW w:w="92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w w:val="87"/>
              </w:rPr>
              <w:t>(3,058)</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8"/>
                <w:szCs w:val="18"/>
                <w:color w:val="auto"/>
              </w:rPr>
            </w:pPr>
          </w:p>
        </w:tc>
        <w:tc>
          <w:tcPr>
            <w:tcW w:w="980" w:type="dxa"/>
            <w:vAlign w:val="bottom"/>
          </w:tcPr>
          <w:p>
            <w:pPr>
              <w:jc w:val="right"/>
              <w:ind w:right="375"/>
              <w:spacing w:after="0"/>
              <w:rPr>
                <w:sz w:val="20"/>
                <w:szCs w:val="20"/>
                <w:color w:val="auto"/>
              </w:rPr>
            </w:pPr>
            <w:r>
              <w:rPr>
                <w:rFonts w:ascii="Arial" w:cs="Arial" w:eastAsia="Arial" w:hAnsi="Arial"/>
                <w:sz w:val="18"/>
                <w:szCs w:val="18"/>
                <w:b w:val="1"/>
                <w:bCs w:val="1"/>
                <w:color w:val="auto"/>
              </w:rPr>
              <w:t>(229)</w:t>
            </w: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(770)</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540" w:type="dxa"/>
            <w:vAlign w:val="bottom"/>
          </w:tcPr>
          <w:p>
            <w:pPr>
              <w:spacing w:after="0"/>
              <w:rPr>
                <w:sz w:val="18"/>
                <w:szCs w:val="18"/>
                <w:color w:val="auto"/>
              </w:rPr>
            </w:pPr>
          </w:p>
        </w:tc>
        <w:tc>
          <w:tcPr>
            <w:tcW w:w="980" w:type="dxa"/>
            <w:vAlign w:val="bottom"/>
          </w:tcPr>
          <w:p>
            <w:pPr>
              <w:jc w:val="right"/>
              <w:ind w:right="435"/>
              <w:spacing w:after="0"/>
              <w:rPr>
                <w:sz w:val="20"/>
                <w:szCs w:val="20"/>
                <w:color w:val="auto"/>
              </w:rPr>
            </w:pPr>
            <w:r>
              <w:rPr>
                <w:rFonts w:ascii="Arial" w:cs="Arial" w:eastAsia="Arial" w:hAnsi="Arial"/>
                <w:sz w:val="18"/>
                <w:szCs w:val="18"/>
                <w:b w:val="1"/>
                <w:bCs w:val="1"/>
                <w:color w:val="auto"/>
              </w:rPr>
              <w:t>805</w:t>
            </w: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(52)</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sales (purchases) of short-term investments</w:t>
            </w:r>
          </w:p>
        </w:tc>
        <w:tc>
          <w:tcPr>
            <w:tcW w:w="540" w:type="dxa"/>
            <w:vAlign w:val="bottom"/>
          </w:tcPr>
          <w:p>
            <w:pPr>
              <w:spacing w:after="0"/>
              <w:rPr>
                <w:sz w:val="18"/>
                <w:szCs w:val="18"/>
                <w:color w:val="auto"/>
              </w:rPr>
            </w:pPr>
          </w:p>
        </w:tc>
        <w:tc>
          <w:tcPr>
            <w:tcW w:w="980" w:type="dxa"/>
            <w:vAlign w:val="bottom"/>
          </w:tcPr>
          <w:p>
            <w:pPr>
              <w:jc w:val="right"/>
              <w:ind w:right="435"/>
              <w:spacing w:after="0"/>
              <w:rPr>
                <w:sz w:val="20"/>
                <w:szCs w:val="20"/>
                <w:color w:val="auto"/>
              </w:rPr>
            </w:pPr>
            <w:r>
              <w:rPr>
                <w:rFonts w:ascii="Arial" w:cs="Arial" w:eastAsia="Arial" w:hAnsi="Arial"/>
                <w:sz w:val="18"/>
                <w:szCs w:val="18"/>
                <w:b w:val="1"/>
                <w:bCs w:val="1"/>
                <w:color w:val="auto"/>
              </w:rPr>
              <w:t>56</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43</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w w:val="87"/>
              </w:rPr>
              <w:t>(3,205)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(411)</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w w:val="97"/>
              </w:rPr>
              <w:t>1,239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828</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9"/>
              </w:rPr>
              <w:t>$ 1,168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jc w:val="right"/>
              <w:ind w:right="580"/>
              <w:spacing w:after="0" w:line="142" w:lineRule="exact"/>
              <w:rPr>
                <w:sz w:val="20"/>
                <w:szCs w:val="20"/>
                <w:color w:val="auto"/>
              </w:rPr>
            </w:pPr>
            <w:r>
              <w:rPr>
                <w:rFonts w:ascii="Arial" w:cs="Arial" w:eastAsia="Arial" w:hAnsi="Arial"/>
                <w:sz w:val="14"/>
                <w:szCs w:val="14"/>
                <w:b w:val="1"/>
                <w:bCs w:val="1"/>
                <w:color w:val="auto"/>
                <w:w w:val="96"/>
              </w:rPr>
              <w:t>2007</w:t>
            </w:r>
          </w:p>
        </w:tc>
        <w:tc>
          <w:tcPr>
            <w:tcW w:w="6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E5E5E5"/>
          </w:tcPr>
          <w:p>
            <w:pPr>
              <w:jc w:val="right"/>
              <w:ind w:right="440"/>
              <w:spacing w:after="0"/>
              <w:rPr>
                <w:sz w:val="20"/>
                <w:szCs w:val="20"/>
                <w:color w:val="auto"/>
              </w:rPr>
            </w:pPr>
            <w:r>
              <w:rPr>
                <w:rFonts w:ascii="Arial" w:cs="Arial" w:eastAsia="Arial" w:hAnsi="Arial"/>
                <w:sz w:val="18"/>
                <w:szCs w:val="18"/>
                <w:b w:val="1"/>
                <w:bCs w:val="1"/>
                <w:color w:val="auto"/>
                <w:w w:val="97"/>
              </w:rPr>
              <w:t>4,390</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9"/>
              </w:rPr>
              <w:t>$ 3,184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8"/>
                <w:szCs w:val="18"/>
                <w:b w:val="1"/>
                <w:bCs w:val="1"/>
                <w:color w:val="auto"/>
                <w:w w:val="87"/>
              </w:rPr>
              <w:t>(3,058)</w:t>
            </w:r>
          </w:p>
        </w:tc>
        <w:tc>
          <w:tcPr>
            <w:tcW w:w="62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Cash paid for Intangible Assets</w:t>
            </w:r>
          </w:p>
        </w:tc>
        <w:tc>
          <w:tcPr>
            <w:tcW w:w="5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(229)</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Nonoperating items, net of tax</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8"/>
                <w:szCs w:val="18"/>
                <w:b w:val="1"/>
                <w:bCs w:val="1"/>
                <w:color w:val="auto"/>
              </w:rPr>
              <w:t>(293)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Free Cash Flow</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440"/>
              <w:spacing w:after="0"/>
              <w:rPr>
                <w:sz w:val="20"/>
                <w:szCs w:val="20"/>
                <w:color w:val="auto"/>
              </w:rPr>
            </w:pPr>
            <w:r>
              <w:rPr>
                <w:rFonts w:ascii="Arial" w:cs="Arial" w:eastAsia="Arial" w:hAnsi="Arial"/>
                <w:sz w:val="18"/>
                <w:szCs w:val="18"/>
                <w:b w:val="1"/>
                <w:bCs w:val="1"/>
                <w:color w:val="auto"/>
              </w:rPr>
              <w:t>810</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9"/>
              </w:rPr>
              <w:t>$ 1,269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Non-GAAP and Other Financial Measures in Table 7 for the definition of Free Cash Flow.</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0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20" w:type="dxa"/>
            <w:vAlign w:val="bottom"/>
          </w:tcPr>
          <w:p>
            <w:pPr>
              <w:spacing w:after="0"/>
              <w:rPr>
                <w:sz w:val="14"/>
                <w:szCs w:val="14"/>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Cable</w:t>
            </w: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Programming (2)</w:t>
            </w:r>
          </w:p>
        </w:tc>
        <w:tc>
          <w:tcPr>
            <w:tcW w:w="12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2007</w:t>
            </w:r>
          </w:p>
        </w:tc>
        <w:tc>
          <w:tcPr>
            <w:tcW w:w="22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Revenues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7,330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334</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48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3,031</w:t>
            </w:r>
          </w:p>
        </w:tc>
        <w:tc>
          <w:tcPr>
            <w:tcW w:w="62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75</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94)</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1,560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29</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121)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3"/>
              </w:rPr>
              <w:t>41.3%</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Capital Expenditures (3)</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1,586</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2006</w:t>
            </w:r>
          </w:p>
        </w:tc>
        <w:tc>
          <w:tcPr>
            <w:tcW w:w="22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Revenues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6,558</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273</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2,679</w:t>
            </w:r>
          </w:p>
        </w:tc>
        <w:tc>
          <w:tcPr>
            <w:tcW w:w="62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59</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74)</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1,335</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18</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94)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3"/>
              </w:rPr>
              <w:t>40.9%</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21.8%</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Capital Expenditures (3)</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1,045</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2007</w:t>
            </w:r>
          </w:p>
        </w:tc>
        <w:tc>
          <w:tcPr>
            <w:tcW w:w="22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Revenues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w w:val="87"/>
              </w:rPr>
              <w:t>14,328</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636</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136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5,824</w:t>
            </w:r>
          </w:p>
        </w:tc>
        <w:tc>
          <w:tcPr>
            <w:tcW w:w="62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140</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2,913</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47</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231)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3"/>
              </w:rPr>
              <w:t>40.6%</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Capital Expenditures (3)</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3,029</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2006</w:t>
            </w:r>
          </w:p>
        </w:tc>
        <w:tc>
          <w:tcPr>
            <w:tcW w:w="22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Revenues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w w:val="87"/>
              </w:rPr>
              <w:t>12,790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512</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124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5,122</w:t>
            </w:r>
          </w:p>
        </w:tc>
        <w:tc>
          <w:tcPr>
            <w:tcW w:w="62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109</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2,477</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27</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170)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2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3"/>
              </w:rPr>
              <w:t>40.0%</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21.4%</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Capital Expenditures (3)</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2,012</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in accordance with generally accepted accounting principles in the United States (GAAP), is available in the Company’s quarterly report on Form 10-Q.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Programming includes our national networks E! Entertainment Television and Style Network (E! Networks), The Golf Channel, VERSUS, G4 and other entertainment related businesses.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7"/>
              </w:rPr>
              <w:t>2Q07</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1"/>
              </w:rPr>
              <w:t>2Q06</w:t>
            </w: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2Q07</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2Q06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New Service Offerings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Customer Premise Equipment (CPE)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873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558</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$1,675</w:t>
            </w:r>
          </w:p>
        </w:tc>
        <w:tc>
          <w:tcPr>
            <w:tcW w:w="66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Scalable Infrastructure</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257</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168</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520</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1,130</w:t>
            </w:r>
          </w:p>
        </w:tc>
        <w:tc>
          <w:tcPr>
            <w:tcW w:w="26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726</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2,195</w:t>
            </w:r>
          </w:p>
        </w:tc>
        <w:tc>
          <w:tcPr>
            <w:tcW w:w="66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Recurring Capital Projects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Line Extensions</w:t>
            </w: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90</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184</w:t>
            </w: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Support Capital</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130</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380</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220</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564</w:t>
            </w: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Upgrades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99</w:t>
            </w:r>
          </w:p>
        </w:tc>
        <w:tc>
          <w:tcPr>
            <w:tcW w:w="84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Commercial</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4"/>
              </w:rPr>
              <w:t>1,586</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4"/>
              </w:rPr>
              <w:t>1,045</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$3,029</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0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(Unaudited) (1) (2)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84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84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920" w:type="dxa"/>
            <w:vAlign w:val="bottom"/>
            <w:gridSpan w:val="2"/>
          </w:tcPr>
          <w:p>
            <w:pPr>
              <w:spacing w:after="0" w:line="143" w:lineRule="exact"/>
              <w:rPr>
                <w:sz w:val="20"/>
                <w:szCs w:val="20"/>
                <w:color w:val="auto"/>
              </w:rPr>
            </w:pPr>
            <w:r>
              <w:rPr>
                <w:rFonts w:ascii="Arial" w:cs="Arial" w:eastAsia="Arial" w:hAnsi="Arial"/>
                <w:sz w:val="14"/>
                <w:szCs w:val="14"/>
                <w:color w:val="auto"/>
              </w:rPr>
              <w:t>(in millions, except per subscriber and per unit data)</w:t>
            </w:r>
          </w:p>
        </w:tc>
        <w:tc>
          <w:tcPr>
            <w:tcW w:w="94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2007</w:t>
            </w:r>
          </w:p>
        </w:tc>
        <w:tc>
          <w:tcPr>
            <w:tcW w:w="900" w:type="dxa"/>
            <w:vAlign w:val="bottom"/>
          </w:tcPr>
          <w:p>
            <w:pPr>
              <w:jc w:val="right"/>
              <w:ind w:right="234"/>
              <w:spacing w:after="0" w:line="143"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660" w:type="dxa"/>
            <w:vAlign w:val="bottom"/>
          </w:tcPr>
          <w:p>
            <w:pPr>
              <w:jc w:val="right"/>
              <w:ind w:right="257"/>
              <w:spacing w:after="0" w:line="143"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2"/>
                <w:szCs w:val="12"/>
                <w:color w:val="auto"/>
              </w:rPr>
            </w:pPr>
          </w:p>
        </w:tc>
        <w:tc>
          <w:tcPr>
            <w:tcW w:w="480" w:type="dxa"/>
            <w:vAlign w:val="bottom"/>
          </w:tcPr>
          <w:p>
            <w:pPr>
              <w:jc w:val="right"/>
              <w:ind w:right="74"/>
              <w:spacing w:after="0" w:line="143"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94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Video (3)</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$ 4,465</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$ 4,172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8,827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1,589</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3,116</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Phone</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420</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E5E5E5"/>
          </w:tcPr>
          <w:p>
            <w:pPr>
              <w:spacing w:after="0"/>
              <w:rPr>
                <w:sz w:val="20"/>
                <w:szCs w:val="20"/>
                <w:color w:val="auto"/>
              </w:rPr>
            </w:pPr>
            <w:r>
              <w:rPr>
                <w:rFonts w:ascii="Arial" w:cs="Arial" w:eastAsia="Arial" w:hAnsi="Arial"/>
                <w:sz w:val="18"/>
                <w:szCs w:val="18"/>
                <w:color w:val="auto"/>
              </w:rPr>
              <w:t>Advertising</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399</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712</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(4)</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250</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Franchise fees</w:t>
            </w:r>
          </w:p>
        </w:tc>
        <w:tc>
          <w:tcPr>
            <w:tcW w:w="9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207</w:t>
            </w:r>
          </w:p>
        </w:tc>
        <w:tc>
          <w:tcPr>
            <w:tcW w:w="9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Total Revenues</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$ 7,330</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$ 6,558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7"/>
              <w:spacing w:after="0"/>
              <w:rPr>
                <w:sz w:val="20"/>
                <w:szCs w:val="20"/>
                <w:color w:val="auto"/>
              </w:rPr>
            </w:pPr>
            <w:r>
              <w:rPr>
                <w:rFonts w:ascii="Arial" w:cs="Arial" w:eastAsia="Arial" w:hAnsi="Arial"/>
                <w:sz w:val="18"/>
                <w:szCs w:val="18"/>
                <w:color w:val="auto"/>
                <w:w w:val="83"/>
              </w:rPr>
              <w:t>14,328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$ 3,031</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$ 2,679</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5,824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$ 1,560</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$ 1,335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2,913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9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41.3%</w:t>
            </w:r>
          </w:p>
        </w:tc>
        <w:tc>
          <w:tcPr>
            <w:tcW w:w="9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w w:val="90"/>
              </w:rPr>
              <w:t>40.6%</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Capital Expenditures</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$ 1,586</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$ 1,045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3,029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3"/>
              </w:rPr>
              <w:t>2Q07</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2Q06</w:t>
            </w: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9"/>
              </w:rPr>
              <w:t>1Q07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Video</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Homes Passed (000’s)</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83"/>
              </w:rPr>
              <w:t>47,900</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47,100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Basic Subscribers (000’s)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24,141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7"/>
              </w:rPr>
              <w:t>24,041</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Basic Penetration</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90"/>
              </w:rPr>
              <w:t>50.4%</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93"/>
              </w:rPr>
              <w:t>51.1%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3"/>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Quarterly Net Basic Subscriber Additions (000’s)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(91)</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500" w:type="dxa"/>
            <w:vAlign w:val="bottom"/>
          </w:tcPr>
          <w:p>
            <w:pPr>
              <w:spacing w:after="0"/>
              <w:rPr>
                <w:sz w:val="24"/>
                <w:szCs w:val="24"/>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83"/>
              </w:rPr>
              <w:t>14,133</w:t>
            </w:r>
          </w:p>
        </w:tc>
        <w:tc>
          <w:tcPr>
            <w:tcW w:w="280" w:type="dxa"/>
            <w:vAlign w:val="bottom"/>
          </w:tcPr>
          <w:p>
            <w:pPr>
              <w:spacing w:after="0"/>
              <w:rPr>
                <w:sz w:val="24"/>
                <w:szCs w:val="24"/>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11,495</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13,309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Digital Penetration</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0"/>
              </w:rPr>
              <w:t>58.5%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3"/>
              </w:rPr>
              <w:t>47.8%</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Digital Set-Top Boxes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22,681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7"/>
              </w:rPr>
              <w:t>17,635</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20,598</w:t>
            </w: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rPr>
                <w:sz w:val="20"/>
                <w:szCs w:val="20"/>
                <w:color w:val="auto"/>
              </w:rPr>
            </w:pPr>
            <w:r>
              <w:rPr>
                <w:rFonts w:ascii="Arial" w:cs="Arial" w:eastAsia="Arial" w:hAnsi="Arial"/>
                <w:sz w:val="18"/>
                <w:szCs w:val="18"/>
                <w:color w:val="auto"/>
              </w:rPr>
              <w:t>Monthly Average Video Revenue per Basic Subscriber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61.53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57.75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Revenue per Basic Subscriber</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101.02</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90.76</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High-Speed Internet</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“Available” Homes (000’s)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3"/>
              </w:rPr>
              <w:t>47,445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7"/>
              </w:rPr>
              <w:t>46,390</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47,186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Subscribers (000’s)</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83"/>
              </w:rPr>
              <w:t>12,380</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10,463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Penetration</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0"/>
              </w:rPr>
              <w:t>26.1%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3"/>
              </w:rPr>
              <w:t>22.6%</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Quarterly Net Subscriber Additions (000’s)</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Revenue per Subscriber</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43.37</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43.06</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3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Phone</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Comcast Digital Voice</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83"/>
              </w:rPr>
              <w:t>37,638</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28,339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Subscribers (000’s)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3,097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Penetration</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671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Circuit Switched Phone</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“Available” Homes (000’s)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8,995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8,854</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500" w:type="dxa"/>
            <w:vAlign w:val="bottom"/>
          </w:tcPr>
          <w:p>
            <w:pPr>
              <w:spacing w:after="0"/>
              <w:rPr>
                <w:sz w:val="18"/>
                <w:szCs w:val="18"/>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rPr>
              <w:t>842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Penetration</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4.9%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9.5%</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50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Phone Revenue per Subscriber</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42.92</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45.24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rPr>
                <w:sz w:val="20"/>
                <w:szCs w:val="20"/>
                <w:color w:val="auto"/>
              </w:rPr>
            </w:pPr>
            <w:r>
              <w:rPr>
                <w:rFonts w:ascii="Arial" w:cs="Arial" w:eastAsia="Arial" w:hAnsi="Arial"/>
                <w:sz w:val="18"/>
                <w:szCs w:val="18"/>
                <w:color w:val="auto"/>
              </w:rPr>
              <w:t>Total Revenue Generating Units (000’s) (5)</w:t>
            </w:r>
          </w:p>
        </w:tc>
        <w:tc>
          <w:tcPr>
            <w:tcW w:w="500" w:type="dxa"/>
            <w:vAlign w:val="bottom"/>
          </w:tcPr>
          <w:p>
            <w:pPr>
              <w:spacing w:after="0"/>
              <w:rPr>
                <w:sz w:val="24"/>
                <w:szCs w:val="24"/>
                <w:color w:val="auto"/>
              </w:rPr>
            </w:pPr>
          </w:p>
        </w:tc>
        <w:tc>
          <w:tcPr>
            <w:tcW w:w="760" w:type="dxa"/>
            <w:vAlign w:val="bottom"/>
          </w:tcPr>
          <w:p>
            <w:pPr>
              <w:jc w:val="right"/>
              <w:ind w:right="193"/>
              <w:spacing w:after="0"/>
              <w:rPr>
                <w:sz w:val="20"/>
                <w:szCs w:val="20"/>
                <w:color w:val="auto"/>
              </w:rPr>
            </w:pPr>
            <w:r>
              <w:rPr>
                <w:rFonts w:ascii="Arial" w:cs="Arial" w:eastAsia="Arial" w:hAnsi="Arial"/>
                <w:sz w:val="18"/>
                <w:szCs w:val="18"/>
                <w:color w:val="auto"/>
                <w:w w:val="83"/>
              </w:rPr>
              <w:t>54,194</w:t>
            </w:r>
          </w:p>
        </w:tc>
        <w:tc>
          <w:tcPr>
            <w:tcW w:w="280" w:type="dxa"/>
            <w:vAlign w:val="bottom"/>
          </w:tcPr>
          <w:p>
            <w:pPr>
              <w:spacing w:after="0"/>
              <w:rPr>
                <w:sz w:val="24"/>
                <w:szCs w:val="24"/>
                <w:color w:val="auto"/>
              </w:rPr>
            </w:pPr>
          </w:p>
        </w:tc>
        <w:tc>
          <w:tcPr>
            <w:tcW w:w="760" w:type="dxa"/>
            <w:vAlign w:val="bottom"/>
          </w:tcPr>
          <w:p>
            <w:pPr>
              <w:jc w:val="right"/>
              <w:ind w:right="173"/>
              <w:spacing w:after="0"/>
              <w:rPr>
                <w:sz w:val="20"/>
                <w:szCs w:val="20"/>
                <w:color w:val="auto"/>
              </w:rPr>
            </w:pPr>
            <w:r>
              <w:rPr>
                <w:rFonts w:ascii="Arial" w:cs="Arial" w:eastAsia="Arial" w:hAnsi="Arial"/>
                <w:sz w:val="18"/>
                <w:szCs w:val="18"/>
                <w:color w:val="auto"/>
                <w:w w:val="87"/>
              </w:rPr>
              <w:t>47,705</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52,581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5E5E5"/>
          </w:tcPr>
          <w:p>
            <w:pPr>
              <w:spacing w:after="0"/>
              <w:rPr>
                <w:sz w:val="20"/>
                <w:szCs w:val="20"/>
                <w:color w:val="auto"/>
              </w:rPr>
            </w:pPr>
            <w:r>
              <w:rPr>
                <w:rFonts w:ascii="Arial" w:cs="Arial" w:eastAsia="Arial" w:hAnsi="Arial"/>
                <w:sz w:val="18"/>
                <w:szCs w:val="18"/>
                <w:color w:val="auto"/>
              </w:rPr>
              <w:t>Total Quarterly Net Additions (000’s)</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1,613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830</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financial data includes the results of Susquehanna Communications acquired on April 30, 2006, cable systems acquired in the Adelphia/Time Warner transactions on July 31, 2006 and the cable systems resulting from the dissolution of the Texas/Kansas City Cable Partnership (TKCCP) on January 1, 2007. Pro forma results are presented as if the acquisitions and dispositions were effective on January 1, 2006. The net impact of these transactions was to increase the number of basic cable subscribers by 2.6 million.</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digital, premium, pay-per-view and equipment services.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sum of basic and digital video, high-speed Internet and net phone subscribers, excluding additional outlets. Subscriptions to DVR and/or HDTV services do not result in additional RGUs.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01" w:right="239" w:bottom="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also adjust certain historical data on a pro forma basis following certain acquisitions or dispositions to enhance comparability.</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From Continuing Operations” (as stated in our Consolidated Statement of Cash Flows) reduced by capital expenditures and cash paid for intangible assets; increased by any payments related to certain non-operating items, net of estimated tax benefits (such as income taxes on investment sales, and non-recurring payments related to income tax and litigation contingencies of acquired companies) and decreased by any proceeds from the sale of trading securities. We believe that Free Cash Flow is also useful to investors as it is one of the bases for comparing our performance with other companies in our industries, although our measure of Free Cash Flow may not be comparable to similar measures used by other companies.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we also present data, as adjusted, in order to enhance comparability between periods.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provide reconciliations of Consolidated Operating Cash Flow in Table 1, Free Cash Flow in Table 4, Pro Forma in Table 7-A and Adjusted Net Income in Table 7-B.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0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7-A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Pro Forma (1)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Corporate,</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4"/>
              </w:rPr>
              <w:t>Cable</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Other and</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2"/>
                <w:szCs w:val="12"/>
                <w:color w:val="auto"/>
              </w:rPr>
            </w:pPr>
          </w:p>
        </w:tc>
        <w:tc>
          <w:tcPr>
            <w:tcW w:w="620" w:type="dxa"/>
            <w:vAlign w:val="bottom"/>
            <w:tcBorders>
              <w:right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w w:val="94"/>
              </w:rPr>
              <w:t>Cable</w:t>
            </w:r>
          </w:p>
        </w:tc>
        <w:tc>
          <w:tcPr>
            <w:tcW w:w="34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Cable</w:t>
            </w: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Programming</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Eliminations</w:t>
            </w:r>
          </w:p>
        </w:tc>
        <w:tc>
          <w:tcPr>
            <w:tcW w:w="2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 (1)</w:t>
            </w:r>
          </w:p>
        </w:tc>
        <w:tc>
          <w:tcPr>
            <w:tcW w:w="7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Pro Forma</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Adjustments (1)</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2007</w:t>
            </w:r>
          </w:p>
        </w:tc>
        <w:tc>
          <w:tcPr>
            <w:tcW w:w="32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right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7,330</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7,712</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7,330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w w:val="95"/>
              </w:rPr>
              <w:t>Operating Expenses (excluding depreciation</w:t>
            </w:r>
          </w:p>
        </w:tc>
        <w:tc>
          <w:tcPr>
            <w:tcW w:w="320" w:type="dxa"/>
            <w:vAlign w:val="bottom"/>
            <w:shd w:val="clear" w:color="auto" w:fill="E5E5E5"/>
          </w:tcPr>
          <w:p>
            <w:pPr>
              <w:spacing w:after="0"/>
              <w:rPr>
                <w:sz w:val="18"/>
                <w:szCs w:val="18"/>
                <w:color w:val="auto"/>
              </w:rPr>
            </w:pPr>
          </w:p>
        </w:tc>
        <w:tc>
          <w:tcPr>
            <w:tcW w:w="680" w:type="dxa"/>
            <w:vAlign w:val="bottom"/>
            <w:vMerge w:val="restart"/>
            <w:shd w:val="clear" w:color="auto" w:fill="E5E5E5"/>
          </w:tcPr>
          <w:p>
            <w:pPr>
              <w:jc w:val="right"/>
              <w:ind w:right="93"/>
              <w:spacing w:after="0"/>
              <w:rPr>
                <w:sz w:val="20"/>
                <w:szCs w:val="20"/>
                <w:color w:val="auto"/>
              </w:rPr>
            </w:pPr>
            <w:r>
              <w:rPr>
                <w:rFonts w:ascii="Arial" w:cs="Arial" w:eastAsia="Arial" w:hAnsi="Arial"/>
                <w:sz w:val="18"/>
                <w:szCs w:val="18"/>
                <w:color w:val="auto"/>
              </w:rPr>
              <w:t>4,299</w:t>
            </w:r>
          </w:p>
        </w:tc>
        <w:tc>
          <w:tcPr>
            <w:tcW w:w="440" w:type="dxa"/>
            <w:vAlign w:val="bottom"/>
            <w:shd w:val="clear" w:color="auto" w:fill="E5E5E5"/>
          </w:tcPr>
          <w:p>
            <w:pPr>
              <w:spacing w:after="0"/>
              <w:rPr>
                <w:sz w:val="18"/>
                <w:szCs w:val="18"/>
                <w:color w:val="auto"/>
              </w:rPr>
            </w:pPr>
          </w:p>
        </w:tc>
        <w:tc>
          <w:tcPr>
            <w:tcW w:w="620" w:type="dxa"/>
            <w:vAlign w:val="bottom"/>
            <w:vMerge w:val="restart"/>
            <w:shd w:val="clear" w:color="auto" w:fill="E5E5E5"/>
          </w:tcPr>
          <w:p>
            <w:pPr>
              <w:jc w:val="right"/>
              <w:ind w:right="32"/>
              <w:spacing w:after="0"/>
              <w:rPr>
                <w:sz w:val="20"/>
                <w:szCs w:val="20"/>
                <w:color w:val="auto"/>
              </w:rPr>
            </w:pPr>
            <w:r>
              <w:rPr>
                <w:rFonts w:ascii="Arial" w:cs="Arial" w:eastAsia="Arial" w:hAnsi="Arial"/>
                <w:sz w:val="18"/>
                <w:szCs w:val="18"/>
                <w:color w:val="auto"/>
              </w:rPr>
              <w:t>259</w:t>
            </w:r>
          </w:p>
        </w:tc>
        <w:tc>
          <w:tcPr>
            <w:tcW w:w="440" w:type="dxa"/>
            <w:vAlign w:val="bottom"/>
            <w:shd w:val="clear" w:color="auto" w:fill="E5E5E5"/>
          </w:tcPr>
          <w:p>
            <w:pPr>
              <w:spacing w:after="0"/>
              <w:rPr>
                <w:sz w:val="18"/>
                <w:szCs w:val="18"/>
                <w:color w:val="auto"/>
              </w:rPr>
            </w:pPr>
          </w:p>
        </w:tc>
        <w:tc>
          <w:tcPr>
            <w:tcW w:w="600" w:type="dxa"/>
            <w:vAlign w:val="bottom"/>
            <w:vMerge w:val="restart"/>
            <w:shd w:val="clear" w:color="auto" w:fill="E5E5E5"/>
          </w:tcPr>
          <w:p>
            <w:pPr>
              <w:jc w:val="right"/>
              <w:ind w:right="92"/>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E5E5E5"/>
          </w:tcPr>
          <w:p>
            <w:pPr>
              <w:spacing w:after="0"/>
              <w:rPr>
                <w:sz w:val="18"/>
                <w:szCs w:val="18"/>
                <w:color w:val="auto"/>
              </w:rPr>
            </w:pPr>
          </w:p>
        </w:tc>
        <w:tc>
          <w:tcPr>
            <w:tcW w:w="62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color w:val="auto"/>
              </w:rPr>
              <w:t>4,700</w:t>
            </w:r>
          </w:p>
        </w:tc>
        <w:tc>
          <w:tcPr>
            <w:tcW w:w="240" w:type="dxa"/>
            <w:vAlign w:val="bottom"/>
            <w:shd w:val="clear" w:color="auto" w:fill="E5E5E5"/>
          </w:tcPr>
          <w:p>
            <w:pPr>
              <w:spacing w:after="0"/>
              <w:rPr>
                <w:sz w:val="18"/>
                <w:szCs w:val="18"/>
                <w:color w:val="auto"/>
              </w:rPr>
            </w:pPr>
          </w:p>
        </w:tc>
        <w:tc>
          <w:tcPr>
            <w:tcW w:w="1000" w:type="dxa"/>
            <w:vAlign w:val="bottom"/>
            <w:vMerge w:val="restart"/>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620" w:type="dxa"/>
            <w:vAlign w:val="bottom"/>
            <w:tcBorders>
              <w:right w:val="single" w:sz="8" w:color="auto"/>
            </w:tcBorders>
            <w:vMerge w:val="restart"/>
            <w:shd w:val="clear" w:color="auto" w:fill="E5E5E5"/>
          </w:tcPr>
          <w:p>
            <w:pPr>
              <w:jc w:val="right"/>
              <w:ind w:right="13"/>
              <w:spacing w:after="0"/>
              <w:rPr>
                <w:sz w:val="20"/>
                <w:szCs w:val="20"/>
                <w:color w:val="auto"/>
              </w:rPr>
            </w:pPr>
            <w:r>
              <w:rPr>
                <w:rFonts w:ascii="Arial" w:cs="Arial" w:eastAsia="Arial" w:hAnsi="Arial"/>
                <w:sz w:val="18"/>
                <w:szCs w:val="18"/>
                <w:color w:val="auto"/>
              </w:rPr>
              <w:t>4,299</w:t>
            </w:r>
          </w:p>
        </w:tc>
        <w:tc>
          <w:tcPr>
            <w:tcW w:w="340" w:type="dxa"/>
            <w:vAlign w:val="bottom"/>
            <w:shd w:val="clear" w:color="auto" w:fill="E5E5E5"/>
          </w:tcPr>
          <w:p>
            <w:pPr>
              <w:spacing w:after="0"/>
              <w:rPr>
                <w:sz w:val="18"/>
                <w:szCs w:val="18"/>
                <w:color w:val="auto"/>
              </w:rPr>
            </w:pPr>
          </w:p>
        </w:tc>
        <w:tc>
          <w:tcPr>
            <w:tcW w:w="1000" w:type="dxa"/>
            <w:vAlign w:val="bottom"/>
            <w:vMerge w:val="restart"/>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5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and amortization)</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vMerge w:val="continue"/>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vMerge w:val="continue"/>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vMerge w:val="continue"/>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gridSpan w:val="2"/>
            <w:vMerge w:val="continue"/>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vMerge w:val="continue"/>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vMerge w:val="continue"/>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vMerge w:val="continue"/>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Cash Flow</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3,031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3,012</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3,031</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1,471</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46</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1,544</w:t>
            </w:r>
          </w:p>
        </w:tc>
        <w:tc>
          <w:tcPr>
            <w:tcW w:w="2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1,471</w:t>
            </w:r>
          </w:p>
        </w:tc>
        <w:tc>
          <w:tcPr>
            <w:tcW w:w="3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1,560</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1,468</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1,560</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1,586</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1,604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1,586</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1,604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 30, 2006</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5,612</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5,908</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6,571</w:t>
            </w:r>
          </w:p>
        </w:tc>
        <w:tc>
          <w:tcPr>
            <w:tcW w:w="340" w:type="dxa"/>
            <w:vAlign w:val="bottom"/>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ind w:left="56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Segment reclassifications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5,599</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5,908</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6,558</w:t>
            </w:r>
          </w:p>
        </w:tc>
        <w:tc>
          <w:tcPr>
            <w:tcW w:w="340" w:type="dxa"/>
            <w:vAlign w:val="bottom"/>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ind w:left="56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420" w:type="dxa"/>
            <w:vAlign w:val="bottom"/>
            <w:gridSpan w:val="2"/>
          </w:tcPr>
          <w:p>
            <w:pPr>
              <w:spacing w:after="0"/>
              <w:rPr>
                <w:sz w:val="20"/>
                <w:szCs w:val="20"/>
                <w:color w:val="auto"/>
              </w:rPr>
            </w:pPr>
            <w:r>
              <w:rPr>
                <w:rFonts w:ascii="Arial" w:cs="Arial" w:eastAsia="Arial" w:hAnsi="Arial"/>
                <w:sz w:val="18"/>
                <w:szCs w:val="18"/>
                <w:color w:val="auto"/>
                <w:w w:val="96"/>
              </w:rPr>
              <w:t>Operating Expenses (excluding depreciation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and amortization)</w:t>
            </w:r>
          </w:p>
        </w:tc>
        <w:tc>
          <w:tcPr>
            <w:tcW w:w="3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3,277</w:t>
            </w:r>
          </w:p>
        </w:tc>
        <w:tc>
          <w:tcPr>
            <w:tcW w:w="44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24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9"/>
                <w:szCs w:val="19"/>
                <w:color w:val="auto"/>
              </w:rPr>
            </w:pPr>
          </w:p>
        </w:tc>
        <w:tc>
          <w:tcPr>
            <w:tcW w:w="6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3,884</w:t>
            </w:r>
          </w:p>
        </w:tc>
        <w:tc>
          <w:tcPr>
            <w:tcW w:w="3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Segment reclassifications</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gridSpan w:val="2"/>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Cash Flow</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2,327</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2,311</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40"/>
              <w:spacing w:after="0"/>
              <w:rPr>
                <w:sz w:val="20"/>
                <w:szCs w:val="20"/>
                <w:color w:val="auto"/>
              </w:rPr>
            </w:pPr>
            <w:r>
              <w:rPr>
                <w:rFonts w:ascii="Arial" w:cs="Arial" w:eastAsia="Arial" w:hAnsi="Arial"/>
                <w:sz w:val="18"/>
                <w:szCs w:val="18"/>
                <w:color w:val="auto"/>
              </w:rPr>
              <w:t>352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2,679</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353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1,078</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41</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1,138</w:t>
            </w:r>
          </w:p>
        </w:tc>
        <w:tc>
          <w:tcPr>
            <w:tcW w:w="2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1,344</w:t>
            </w:r>
          </w:p>
        </w:tc>
        <w:tc>
          <w:tcPr>
            <w:tcW w:w="3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1,249</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1,173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1,335</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915</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976</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1,045</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2007</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14,328</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636</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w w:val="87"/>
              </w:rPr>
              <w:t>15,100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90"/>
              </w:rPr>
              <w:t>14,328</w:t>
            </w:r>
          </w:p>
        </w:tc>
        <w:tc>
          <w:tcPr>
            <w:tcW w:w="340" w:type="dxa"/>
            <w:vAlign w:val="bottom"/>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15,100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420" w:type="dxa"/>
            <w:vAlign w:val="bottom"/>
            <w:gridSpan w:val="2"/>
          </w:tcPr>
          <w:p>
            <w:pPr>
              <w:spacing w:after="0"/>
              <w:rPr>
                <w:sz w:val="20"/>
                <w:szCs w:val="20"/>
                <w:color w:val="auto"/>
              </w:rPr>
            </w:pPr>
            <w:r>
              <w:rPr>
                <w:rFonts w:ascii="Arial" w:cs="Arial" w:eastAsia="Arial" w:hAnsi="Arial"/>
                <w:sz w:val="18"/>
                <w:szCs w:val="18"/>
                <w:color w:val="auto"/>
                <w:w w:val="96"/>
              </w:rPr>
              <w:t>Operating Expenses (excluding depreciation</w:t>
            </w:r>
          </w:p>
        </w:tc>
        <w:tc>
          <w:tcPr>
            <w:tcW w:w="320" w:type="dxa"/>
            <w:vAlign w:val="bottom"/>
          </w:tcPr>
          <w:p>
            <w:pPr>
              <w:spacing w:after="0"/>
              <w:rPr>
                <w:sz w:val="24"/>
                <w:szCs w:val="24"/>
                <w:color w:val="auto"/>
              </w:rPr>
            </w:pPr>
          </w:p>
        </w:tc>
        <w:tc>
          <w:tcPr>
            <w:tcW w:w="680" w:type="dxa"/>
            <w:vAlign w:val="bottom"/>
            <w:vMerge w:val="restart"/>
          </w:tcPr>
          <w:p>
            <w:pPr>
              <w:jc w:val="right"/>
              <w:ind w:right="93"/>
              <w:spacing w:after="0"/>
              <w:rPr>
                <w:sz w:val="20"/>
                <w:szCs w:val="20"/>
                <w:color w:val="auto"/>
              </w:rPr>
            </w:pPr>
            <w:r>
              <w:rPr>
                <w:rFonts w:ascii="Arial" w:cs="Arial" w:eastAsia="Arial" w:hAnsi="Arial"/>
                <w:sz w:val="18"/>
                <w:szCs w:val="18"/>
                <w:color w:val="auto"/>
              </w:rPr>
              <w:t>8,504</w:t>
            </w:r>
          </w:p>
        </w:tc>
        <w:tc>
          <w:tcPr>
            <w:tcW w:w="440" w:type="dxa"/>
            <w:vAlign w:val="bottom"/>
          </w:tcPr>
          <w:p>
            <w:pPr>
              <w:spacing w:after="0"/>
              <w:rPr>
                <w:sz w:val="24"/>
                <w:szCs w:val="2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8"/>
                <w:szCs w:val="18"/>
                <w:color w:val="auto"/>
              </w:rPr>
              <w:t>496</w:t>
            </w:r>
          </w:p>
        </w:tc>
        <w:tc>
          <w:tcPr>
            <w:tcW w:w="440" w:type="dxa"/>
            <w:vAlign w:val="bottom"/>
          </w:tcPr>
          <w:p>
            <w:pPr>
              <w:spacing w:after="0"/>
              <w:rPr>
                <w:sz w:val="24"/>
                <w:szCs w:val="24"/>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4"/>
                <w:szCs w:val="24"/>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9,325</w:t>
            </w:r>
          </w:p>
        </w:tc>
        <w:tc>
          <w:tcPr>
            <w:tcW w:w="240" w:type="dxa"/>
            <w:vAlign w:val="bottom"/>
          </w:tcPr>
          <w:p>
            <w:pPr>
              <w:spacing w:after="0"/>
              <w:rPr>
                <w:sz w:val="24"/>
                <w:szCs w:val="24"/>
                <w:color w:val="auto"/>
              </w:rPr>
            </w:pPr>
          </w:p>
        </w:tc>
        <w:tc>
          <w:tcPr>
            <w:tcW w:w="100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8,504</w:t>
            </w:r>
          </w:p>
        </w:tc>
        <w:tc>
          <w:tcPr>
            <w:tcW w:w="340" w:type="dxa"/>
            <w:vAlign w:val="bottom"/>
          </w:tcPr>
          <w:p>
            <w:pPr>
              <w:spacing w:after="0"/>
              <w:rPr>
                <w:sz w:val="24"/>
                <w:szCs w:val="24"/>
                <w:color w:val="auto"/>
              </w:rPr>
            </w:pPr>
          </w:p>
        </w:tc>
        <w:tc>
          <w:tcPr>
            <w:tcW w:w="10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and amortization)</w:t>
            </w:r>
          </w:p>
        </w:tc>
        <w:tc>
          <w:tcPr>
            <w:tcW w:w="3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5,824</w:t>
            </w:r>
          </w:p>
        </w:tc>
        <w:tc>
          <w:tcPr>
            <w:tcW w:w="44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140</w:t>
            </w:r>
          </w:p>
        </w:tc>
        <w:tc>
          <w:tcPr>
            <w:tcW w:w="44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5,775</w:t>
            </w:r>
          </w:p>
        </w:tc>
        <w:tc>
          <w:tcPr>
            <w:tcW w:w="24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5,824</w:t>
            </w:r>
          </w:p>
        </w:tc>
        <w:tc>
          <w:tcPr>
            <w:tcW w:w="3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2,911</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3,046</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2,911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2,913</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47</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2,729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2,913</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3,029</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3,058</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3,029</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2006</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20" w:type="dxa"/>
            <w:vAlign w:val="bottom"/>
            <w:tcBorders>
              <w:right w:val="single" w:sz="8" w:color="auto"/>
            </w:tcBorders>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10,894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11,503</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1,922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w w:val="90"/>
              </w:rPr>
              <w:t>12,816</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1,923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Segment reclassifications</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gridSpan w:val="2"/>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10,868</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11,503</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1,922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w w:val="90"/>
              </w:rPr>
              <w:t>12,790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1,923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w w:val="95"/>
              </w:rPr>
              <w:t>Operating Expenses (excluding depreciation</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20" w:type="dxa"/>
            <w:vAlign w:val="bottom"/>
            <w:tcBorders>
              <w:right w:val="single" w:sz="8" w:color="auto"/>
            </w:tcBorders>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amortization)</w:t>
            </w:r>
          </w:p>
        </w:tc>
        <w:tc>
          <w:tcPr>
            <w:tcW w:w="32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6,445</w:t>
            </w:r>
          </w:p>
        </w:tc>
        <w:tc>
          <w:tcPr>
            <w:tcW w:w="44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E5E5E5"/>
          </w:tcPr>
          <w:p>
            <w:pPr>
              <w:spacing w:after="0"/>
              <w:rPr>
                <w:sz w:val="19"/>
                <w:szCs w:val="19"/>
                <w:color w:val="auto"/>
              </w:rPr>
            </w:pPr>
          </w:p>
        </w:tc>
        <w:tc>
          <w:tcPr>
            <w:tcW w:w="6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E5E5E5"/>
          </w:tcPr>
          <w:p>
            <w:pPr>
              <w:spacing w:after="0"/>
              <w:rPr>
                <w:sz w:val="19"/>
                <w:szCs w:val="19"/>
                <w:color w:val="auto"/>
              </w:rPr>
            </w:pPr>
          </w:p>
        </w:tc>
        <w:tc>
          <w:tcPr>
            <w:tcW w:w="620" w:type="dxa"/>
            <w:vAlign w:val="bottom"/>
            <w:tcBorders>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7,677</w:t>
            </w:r>
          </w:p>
        </w:tc>
        <w:tc>
          <w:tcPr>
            <w:tcW w:w="34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1,233</w:t>
            </w:r>
          </w:p>
        </w:tc>
        <w:tc>
          <w:tcPr>
            <w:tcW w:w="180" w:type="dxa"/>
            <w:vAlign w:val="bottom"/>
            <w:shd w:val="clear" w:color="auto" w:fill="E5E5E5"/>
          </w:tcPr>
          <w:p>
            <w:pPr>
              <w:spacing w:after="0"/>
              <w:rPr>
                <w:sz w:val="19"/>
                <w:szCs w:val="19"/>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Segment reclassifications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4,432</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4,411</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5,122</w:t>
            </w:r>
          </w:p>
        </w:tc>
        <w:tc>
          <w:tcPr>
            <w:tcW w:w="340" w:type="dxa"/>
            <w:vAlign w:val="bottom"/>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ind w:left="560"/>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2,112</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2,234</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533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2,645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533</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2,320</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2,177</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2,477</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157</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1,740</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1,854</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272</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 forma data is adjusted only for timing of acquisitions or disposition and does not include adjustments for costs related to integration activities, cost savings or synergies that have been or may be achieved by the combined businesses. Pro forma results are presented as if the acquisitions and dispositions were effective on January 1, 2006. Minor differences may exist due to rounding.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0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2824480</wp:posOffset>
            </wp:positionH>
            <wp:positionV relativeFrom="page">
              <wp:posOffset>183515</wp:posOffset>
            </wp:positionV>
            <wp:extent cx="1912620" cy="506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912620" cy="506095"/>
                    </a:xfrm>
                    <a:prstGeom prst="rect">
                      <a:avLst/>
                    </a:prstGeom>
                    <a:noFill/>
                  </pic:spPr>
                </pic:pic>
              </a:graphicData>
            </a:graphic>
          </wp:anchor>
        </w:drawing>
        <w:t>TABLE 7-B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89"/>
              </w:rPr>
              <w:t>Three Months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684"/>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904"/>
              <w:spacing w:after="0" w:line="143"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EPS (1)</w:t>
            </w:r>
          </w:p>
        </w:tc>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Pr>
          <w:p>
            <w:pPr>
              <w:ind w:left="380"/>
              <w:spacing w:after="0" w:line="142" w:lineRule="exact"/>
              <w:rPr>
                <w:sz w:val="20"/>
                <w:szCs w:val="20"/>
                <w:color w:val="auto"/>
              </w:rPr>
            </w:pPr>
            <w:r>
              <w:rPr>
                <w:rFonts w:ascii="Arial" w:cs="Arial" w:eastAsia="Arial" w:hAnsi="Arial"/>
                <w:sz w:val="14"/>
                <w:szCs w:val="14"/>
                <w:b w:val="1"/>
                <w:bCs w:val="1"/>
                <w:color w:val="auto"/>
                <w:w w:val="85"/>
              </w:rPr>
              <w:t>EPS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588</w:t>
            </w:r>
          </w:p>
        </w:tc>
        <w:tc>
          <w:tcPr>
            <w:tcW w:w="1280" w:type="dxa"/>
            <w:vAlign w:val="bottom"/>
            <w:tcBorders>
              <w:top w:val="single" w:sz="8" w:color="auto"/>
            </w:tcBorders>
            <w:shd w:val="clear" w:color="auto" w:fill="E5E5E5"/>
          </w:tcPr>
          <w:p>
            <w:pPr>
              <w:jc w:val="right"/>
              <w:ind w:right="344"/>
              <w:spacing w:after="0"/>
              <w:rPr>
                <w:sz w:val="20"/>
                <w:szCs w:val="20"/>
                <w:color w:val="auto"/>
              </w:rPr>
            </w:pPr>
            <w:r>
              <w:rPr>
                <w:rFonts w:ascii="Arial" w:cs="Arial" w:eastAsia="Arial" w:hAnsi="Arial"/>
                <w:sz w:val="18"/>
                <w:szCs w:val="18"/>
                <w:color w:val="auto"/>
              </w:rPr>
              <w:t>$ 0.19</w:t>
            </w: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89"/>
              </w:rPr>
              <w:t>$460</w:t>
            </w:r>
          </w:p>
        </w:tc>
        <w:tc>
          <w:tcPr>
            <w:tcW w:w="82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w w:val="83"/>
              </w:rPr>
              <w:t>$ 0.15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Adjustments</w:t>
            </w: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42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E5E5E5"/>
          </w:tcPr>
          <w:p>
            <w:pPr>
              <w:spacing w:after="0"/>
              <w:rPr>
                <w:sz w:val="20"/>
                <w:szCs w:val="20"/>
                <w:color w:val="auto"/>
              </w:rPr>
            </w:pPr>
            <w:r>
              <w:rPr>
                <w:rFonts w:ascii="Arial" w:cs="Arial" w:eastAsia="Arial" w:hAnsi="Arial"/>
                <w:sz w:val="18"/>
                <w:szCs w:val="18"/>
                <w:color w:val="auto"/>
              </w:rPr>
              <w:t>Adjusted Net Income</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588</w:t>
            </w:r>
          </w:p>
        </w:tc>
        <w:tc>
          <w:tcPr>
            <w:tcW w:w="1280" w:type="dxa"/>
            <w:vAlign w:val="bottom"/>
            <w:shd w:val="clear" w:color="auto" w:fill="E5E5E5"/>
          </w:tcPr>
          <w:p>
            <w:pPr>
              <w:jc w:val="right"/>
              <w:ind w:right="344"/>
              <w:spacing w:after="0"/>
              <w:rPr>
                <w:sz w:val="20"/>
                <w:szCs w:val="20"/>
                <w:color w:val="auto"/>
              </w:rPr>
            </w:pPr>
            <w:r>
              <w:rPr>
                <w:rFonts w:ascii="Arial" w:cs="Arial" w:eastAsia="Arial" w:hAnsi="Arial"/>
                <w:sz w:val="18"/>
                <w:szCs w:val="18"/>
                <w:color w:val="auto"/>
              </w:rPr>
              <w:t>$ 0.19</w:t>
            </w:r>
          </w:p>
        </w:tc>
        <w:tc>
          <w:tcPr>
            <w:tcW w:w="4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$460</w:t>
            </w:r>
          </w:p>
        </w:tc>
        <w:tc>
          <w:tcPr>
            <w:tcW w:w="820" w:type="dxa"/>
            <w:vAlign w:val="bottom"/>
            <w:shd w:val="clear" w:color="auto" w:fill="E5E5E5"/>
          </w:tcPr>
          <w:p>
            <w:pPr>
              <w:ind w:left="380"/>
              <w:spacing w:after="0"/>
              <w:rPr>
                <w:sz w:val="20"/>
                <w:szCs w:val="20"/>
                <w:color w:val="auto"/>
              </w:rPr>
            </w:pPr>
            <w:r>
              <w:rPr>
                <w:rFonts w:ascii="Arial" w:cs="Arial" w:eastAsia="Arial" w:hAnsi="Arial"/>
                <w:sz w:val="18"/>
                <w:szCs w:val="18"/>
                <w:color w:val="auto"/>
                <w:w w:val="83"/>
              </w:rPr>
              <w:t>$ 0.15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88"/>
              </w:rPr>
              <w:t>Six Months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684"/>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904"/>
              <w:spacing w:after="0" w:line="143"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344"/>
              <w:spacing w:after="0" w:line="142" w:lineRule="exact"/>
              <w:rPr>
                <w:sz w:val="20"/>
                <w:szCs w:val="20"/>
                <w:color w:val="auto"/>
              </w:rPr>
            </w:pPr>
            <w:r>
              <w:rPr>
                <w:rFonts w:ascii="Arial" w:cs="Arial" w:eastAsia="Arial" w:hAnsi="Arial"/>
                <w:sz w:val="14"/>
                <w:szCs w:val="14"/>
                <w:b w:val="1"/>
                <w:bCs w:val="1"/>
                <w:color w:val="auto"/>
              </w:rPr>
              <w:t>EPS (1)</w:t>
            </w:r>
          </w:p>
        </w:tc>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Pr>
          <w:p>
            <w:pPr>
              <w:ind w:left="380"/>
              <w:spacing w:after="0" w:line="142" w:lineRule="exact"/>
              <w:rPr>
                <w:sz w:val="20"/>
                <w:szCs w:val="20"/>
                <w:color w:val="auto"/>
              </w:rPr>
            </w:pPr>
            <w:r>
              <w:rPr>
                <w:rFonts w:ascii="Arial" w:cs="Arial" w:eastAsia="Arial" w:hAnsi="Arial"/>
                <w:sz w:val="14"/>
                <w:szCs w:val="14"/>
                <w:b w:val="1"/>
                <w:bCs w:val="1"/>
                <w:color w:val="auto"/>
                <w:w w:val="85"/>
              </w:rPr>
              <w:t>EPS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$1,425</w:t>
            </w:r>
          </w:p>
        </w:tc>
        <w:tc>
          <w:tcPr>
            <w:tcW w:w="1280" w:type="dxa"/>
            <w:vAlign w:val="bottom"/>
            <w:tcBorders>
              <w:top w:val="single" w:sz="8" w:color="auto"/>
            </w:tcBorders>
            <w:shd w:val="clear" w:color="auto" w:fill="E5E5E5"/>
          </w:tcPr>
          <w:p>
            <w:pPr>
              <w:jc w:val="right"/>
              <w:ind w:right="344"/>
              <w:spacing w:after="0"/>
              <w:rPr>
                <w:sz w:val="20"/>
                <w:szCs w:val="20"/>
                <w:color w:val="auto"/>
              </w:rPr>
            </w:pPr>
            <w:r>
              <w:rPr>
                <w:rFonts w:ascii="Arial" w:cs="Arial" w:eastAsia="Arial" w:hAnsi="Arial"/>
                <w:sz w:val="18"/>
                <w:szCs w:val="18"/>
                <w:color w:val="auto"/>
              </w:rPr>
              <w:t>$ 0.45</w:t>
            </w: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89"/>
              </w:rPr>
              <w:t>$926</w:t>
            </w:r>
          </w:p>
        </w:tc>
        <w:tc>
          <w:tcPr>
            <w:tcW w:w="82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w w:val="83"/>
              </w:rPr>
              <w:t>$ 0.29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Adjustment: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Gain related to the dissolution of the Texas/Kansas City Cable Partnership, net of tax</w:t>
            </w:r>
          </w:p>
        </w:tc>
        <w:tc>
          <w:tcPr>
            <w:tcW w:w="5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300</w:t>
            </w:r>
          </w:p>
        </w:tc>
        <w:tc>
          <w:tcPr>
            <w:tcW w:w="1280" w:type="dxa"/>
            <w:vAlign w:val="bottom"/>
            <w:tcBorders>
              <w:bottom w:val="single" w:sz="8" w:color="auto"/>
            </w:tcBorders>
            <w:shd w:val="clear" w:color="auto" w:fill="E5E5E5"/>
          </w:tcPr>
          <w:p>
            <w:pPr>
              <w:jc w:val="right"/>
              <w:ind w:right="344"/>
              <w:spacing w:after="0"/>
              <w:rPr>
                <w:sz w:val="20"/>
                <w:szCs w:val="20"/>
                <w:color w:val="auto"/>
              </w:rPr>
            </w:pPr>
            <w:r>
              <w:rPr>
                <w:rFonts w:ascii="Arial" w:cs="Arial" w:eastAsia="Arial" w:hAnsi="Arial"/>
                <w:sz w:val="18"/>
                <w:szCs w:val="18"/>
                <w:color w:val="auto"/>
              </w:rPr>
              <w:t>0.09</w:t>
            </w:r>
          </w:p>
        </w:tc>
        <w:tc>
          <w:tcPr>
            <w:tcW w:w="4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Adjusted Net Income (2)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1280" w:type="dxa"/>
            <w:vAlign w:val="bottom"/>
          </w:tcPr>
          <w:p>
            <w:pPr>
              <w:jc w:val="right"/>
              <w:ind w:right="344"/>
              <w:spacing w:after="0"/>
              <w:rPr>
                <w:sz w:val="20"/>
                <w:szCs w:val="20"/>
                <w:color w:val="auto"/>
              </w:rPr>
            </w:pPr>
            <w:r>
              <w:rPr>
                <w:rFonts w:ascii="Arial" w:cs="Arial" w:eastAsia="Arial" w:hAnsi="Arial"/>
                <w:sz w:val="18"/>
                <w:szCs w:val="18"/>
                <w:color w:val="auto"/>
              </w:rPr>
              <w:t>$ 0.36</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$926</w:t>
            </w:r>
          </w:p>
        </w:tc>
        <w:tc>
          <w:tcPr>
            <w:tcW w:w="820" w:type="dxa"/>
            <w:vAlign w:val="bottom"/>
          </w:tcPr>
          <w:p>
            <w:pPr>
              <w:ind w:left="380"/>
              <w:spacing w:after="0"/>
              <w:rPr>
                <w:sz w:val="20"/>
                <w:szCs w:val="20"/>
                <w:color w:val="auto"/>
              </w:rPr>
            </w:pPr>
            <w:r>
              <w:rPr>
                <w:rFonts w:ascii="Arial" w:cs="Arial" w:eastAsia="Arial" w:hAnsi="Arial"/>
                <w:sz w:val="18"/>
                <w:szCs w:val="18"/>
                <w:color w:val="auto"/>
                <w:w w:val="83"/>
              </w:rPr>
              <w:t>$ 0.29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diluted average number of common shares for the respective periods as presented in Table 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2007, Adjusted Net Income excludes a one-time gain related to the dissolution of the Texas/Kansas City Cable Partnership, net of tax.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12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2019-12-15T06:54:16Z</dcterms:created>
  <dcterms:modified xsi:type="dcterms:W3CDTF">2019-12-15T06:54:16Z</dcterms:modified>
</cp:coreProperties>
</file>