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Exchange Act of 1934</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19, 2021</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Comcast Corporation</w:t>
      </w:r>
    </w:p>
    <w:p>
      <w:pPr>
        <w:spacing w:after="0" w:line="34"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660"/>
        <w:spacing w:after="0"/>
        <w:rPr>
          <w:sz w:val="20"/>
          <w:szCs w:val="20"/>
          <w:color w:val="auto"/>
        </w:rPr>
      </w:pPr>
      <w:r>
        <w:rPr>
          <w:rFonts w:ascii="Arial" w:cs="Arial" w:eastAsia="Arial" w:hAnsi="Arial"/>
          <w:sz w:val="18"/>
          <w:szCs w:val="18"/>
          <w:color w:val="auto"/>
        </w:rPr>
        <w:t>as Specified in its Charter)</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(State or Other Jurisdiction of Incorporation)</w:t>
      </w:r>
    </w:p>
    <w:p>
      <w:pPr>
        <w:spacing w:after="0" w:line="207" w:lineRule="exact"/>
        <w:rPr>
          <w:sz w:val="24"/>
          <w:szCs w:val="24"/>
          <w:color w:val="auto"/>
        </w:rPr>
      </w:pPr>
    </w:p>
    <w:tbl>
      <w:tblPr>
        <w:tblLayout w:type="fixed"/>
        <w:tblInd w:w="1340" w:type="dxa"/>
        <w:tblCellMar>
          <w:top w:w="0" w:type="dxa"/>
          <w:left w:w="0" w:type="dxa"/>
          <w:bottom w:w="0" w:type="dxa"/>
          <w:right w:w="0" w:type="dxa"/>
        </w:tblCellMar>
      </w:tblPr>
      <w:tr>
        <w:trPr>
          <w:trHeight w:val="220"/>
        </w:trPr>
        <w:tc>
          <w:tcPr>
            <w:tcW w:w="4400" w:type="dxa"/>
            <w:vAlign w:val="bottom"/>
          </w:tcPr>
          <w:p>
            <w:pPr>
              <w:jc w:val="center"/>
              <w:ind w:right="1370"/>
              <w:spacing w:after="0"/>
              <w:rPr>
                <w:sz w:val="20"/>
                <w:szCs w:val="20"/>
                <w:color w:val="auto"/>
              </w:rPr>
            </w:pPr>
            <w:r>
              <w:rPr>
                <w:rFonts w:ascii="Arial" w:cs="Arial" w:eastAsia="Arial" w:hAnsi="Arial"/>
                <w:sz w:val="18"/>
                <w:szCs w:val="18"/>
                <w:b w:val="1"/>
                <w:bCs w:val="1"/>
                <w:color w:val="auto"/>
                <w:w w:val="90"/>
              </w:rPr>
              <w:t>001-32871</w:t>
            </w:r>
          </w:p>
        </w:tc>
        <w:tc>
          <w:tcPr>
            <w:tcW w:w="3940" w:type="dxa"/>
            <w:vAlign w:val="bottom"/>
          </w:tcPr>
          <w:p>
            <w:pPr>
              <w:jc w:val="center"/>
              <w:ind w:left="1350"/>
              <w:spacing w:after="0"/>
              <w:rPr>
                <w:sz w:val="20"/>
                <w:szCs w:val="20"/>
                <w:color w:val="auto"/>
              </w:rPr>
            </w:pPr>
            <w:r>
              <w:rPr>
                <w:rFonts w:ascii="Arial" w:cs="Arial" w:eastAsia="Arial" w:hAnsi="Arial"/>
                <w:sz w:val="18"/>
                <w:szCs w:val="18"/>
                <w:b w:val="1"/>
                <w:bCs w:val="1"/>
                <w:color w:val="auto"/>
                <w:w w:val="89"/>
              </w:rPr>
              <w:t>27-0000798</w:t>
            </w:r>
          </w:p>
        </w:tc>
      </w:tr>
      <w:tr>
        <w:trPr>
          <w:trHeight w:val="230"/>
        </w:trPr>
        <w:tc>
          <w:tcPr>
            <w:tcW w:w="4400" w:type="dxa"/>
            <w:vAlign w:val="bottom"/>
          </w:tcPr>
          <w:p>
            <w:pPr>
              <w:jc w:val="center"/>
              <w:ind w:right="1350"/>
              <w:spacing w:after="0"/>
              <w:rPr>
                <w:sz w:val="20"/>
                <w:szCs w:val="20"/>
                <w:color w:val="auto"/>
              </w:rPr>
            </w:pPr>
            <w:r>
              <w:rPr>
                <w:rFonts w:ascii="Arial" w:cs="Arial" w:eastAsia="Arial" w:hAnsi="Arial"/>
                <w:sz w:val="18"/>
                <w:szCs w:val="18"/>
                <w:color w:val="auto"/>
                <w:w w:val="93"/>
              </w:rPr>
              <w:t>(Commission File Number)</w:t>
            </w:r>
          </w:p>
        </w:tc>
        <w:tc>
          <w:tcPr>
            <w:tcW w:w="3940" w:type="dxa"/>
            <w:vAlign w:val="bottom"/>
          </w:tcPr>
          <w:p>
            <w:pPr>
              <w:jc w:val="center"/>
              <w:ind w:left="13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400" w:type="dxa"/>
            <w:vAlign w:val="bottom"/>
          </w:tcPr>
          <w:p>
            <w:pPr>
              <w:jc w:val="center"/>
              <w:ind w:right="1350"/>
              <w:spacing w:after="0"/>
              <w:rPr>
                <w:sz w:val="20"/>
                <w:szCs w:val="20"/>
                <w:color w:val="auto"/>
              </w:rPr>
            </w:pPr>
            <w:r>
              <w:rPr>
                <w:rFonts w:ascii="Arial" w:cs="Arial" w:eastAsia="Arial" w:hAnsi="Arial"/>
                <w:sz w:val="18"/>
                <w:szCs w:val="18"/>
                <w:b w:val="1"/>
                <w:bCs w:val="1"/>
                <w:color w:val="auto"/>
                <w:w w:val="89"/>
              </w:rPr>
              <w:t>One Comcast Center</w:t>
            </w:r>
          </w:p>
        </w:tc>
        <w:tc>
          <w:tcPr>
            <w:tcW w:w="3940" w:type="dxa"/>
            <w:vAlign w:val="bottom"/>
          </w:tcPr>
          <w:p>
            <w:pPr>
              <w:jc w:val="center"/>
              <w:ind w:left="1350"/>
              <w:spacing w:after="0"/>
              <w:rPr>
                <w:sz w:val="20"/>
                <w:szCs w:val="20"/>
                <w:color w:val="auto"/>
              </w:rPr>
            </w:pPr>
            <w:r>
              <w:rPr>
                <w:rFonts w:ascii="Arial" w:cs="Arial" w:eastAsia="Arial" w:hAnsi="Arial"/>
                <w:sz w:val="18"/>
                <w:szCs w:val="18"/>
                <w:b w:val="1"/>
                <w:bCs w:val="1"/>
                <w:color w:val="auto"/>
                <w:w w:val="89"/>
              </w:rPr>
              <w:t>19103-2838</w:t>
            </w:r>
          </w:p>
        </w:tc>
      </w:tr>
      <w:tr>
        <w:trPr>
          <w:trHeight w:val="220"/>
        </w:trPr>
        <w:tc>
          <w:tcPr>
            <w:tcW w:w="4400" w:type="dxa"/>
            <w:vAlign w:val="bottom"/>
          </w:tcPr>
          <w:p>
            <w:pPr>
              <w:jc w:val="center"/>
              <w:ind w:right="1350"/>
              <w:spacing w:after="0"/>
              <w:rPr>
                <w:sz w:val="20"/>
                <w:szCs w:val="20"/>
                <w:color w:val="auto"/>
              </w:rPr>
            </w:pPr>
            <w:r>
              <w:rPr>
                <w:rFonts w:ascii="Arial" w:cs="Arial" w:eastAsia="Arial" w:hAnsi="Arial"/>
                <w:sz w:val="18"/>
                <w:szCs w:val="18"/>
                <w:b w:val="1"/>
                <w:bCs w:val="1"/>
                <w:color w:val="auto"/>
                <w:w w:val="90"/>
              </w:rPr>
              <w:t>Philadelphia, PA</w:t>
            </w:r>
          </w:p>
        </w:tc>
        <w:tc>
          <w:tcPr>
            <w:tcW w:w="3940" w:type="dxa"/>
            <w:vAlign w:val="bottom"/>
          </w:tcPr>
          <w:p>
            <w:pPr>
              <w:spacing w:after="0"/>
              <w:rPr>
                <w:sz w:val="19"/>
                <w:szCs w:val="19"/>
                <w:color w:val="auto"/>
              </w:rPr>
            </w:pPr>
          </w:p>
        </w:tc>
      </w:tr>
      <w:tr>
        <w:trPr>
          <w:trHeight w:val="230"/>
        </w:trPr>
        <w:tc>
          <w:tcPr>
            <w:tcW w:w="4400" w:type="dxa"/>
            <w:vAlign w:val="bottom"/>
          </w:tcPr>
          <w:p>
            <w:pPr>
              <w:jc w:val="center"/>
              <w:ind w:right="1370"/>
              <w:spacing w:after="0"/>
              <w:rPr>
                <w:sz w:val="20"/>
                <w:szCs w:val="20"/>
                <w:color w:val="auto"/>
              </w:rPr>
            </w:pPr>
            <w:r>
              <w:rPr>
                <w:rFonts w:ascii="Arial" w:cs="Arial" w:eastAsia="Arial" w:hAnsi="Arial"/>
                <w:sz w:val="18"/>
                <w:szCs w:val="18"/>
                <w:color w:val="auto"/>
                <w:w w:val="92"/>
              </w:rPr>
              <w:t>(Address of Principal Executive Offices)</w:t>
            </w:r>
          </w:p>
        </w:tc>
        <w:tc>
          <w:tcPr>
            <w:tcW w:w="3940" w:type="dxa"/>
            <w:vAlign w:val="bottom"/>
          </w:tcPr>
          <w:p>
            <w:pPr>
              <w:jc w:val="center"/>
              <w:ind w:left="13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Title of Each Class</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Trading symbol(s)</w:t>
            </w:r>
          </w:p>
        </w:tc>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195"/>
        </w:trPr>
        <w:tc>
          <w:tcPr>
            <w:tcW w:w="4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$0.01 par value</w:t>
            </w:r>
          </w:p>
        </w:tc>
        <w:tc>
          <w:tcPr>
            <w:tcW w:w="40" w:type="dxa"/>
            <w:vAlign w:val="bottom"/>
          </w:tcPr>
          <w:p>
            <w:pPr>
              <w:spacing w:after="0"/>
              <w:rPr>
                <w:sz w:val="16"/>
                <w:szCs w:val="16"/>
                <w:color w:val="auto"/>
              </w:rPr>
            </w:pPr>
          </w:p>
        </w:tc>
        <w:tc>
          <w:tcPr>
            <w:tcW w:w="1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8"/>
              </w:rPr>
              <w:t>CMCSA</w:t>
            </w:r>
          </w:p>
        </w:tc>
        <w:tc>
          <w:tcPr>
            <w:tcW w:w="40" w:type="dxa"/>
            <w:vAlign w:val="bottom"/>
          </w:tcPr>
          <w:p>
            <w:pPr>
              <w:spacing w:after="0"/>
              <w:rPr>
                <w:sz w:val="16"/>
                <w:szCs w:val="16"/>
                <w:color w:val="auto"/>
              </w:rPr>
            </w:pPr>
          </w:p>
        </w:tc>
        <w:tc>
          <w:tcPr>
            <w:tcW w:w="44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NASDAQ Global Select Market</w:t>
            </w:r>
          </w:p>
        </w:tc>
      </w:tr>
      <w:tr>
        <w:trPr>
          <w:trHeight w:val="216"/>
        </w:trPr>
        <w:tc>
          <w:tcPr>
            <w:tcW w:w="50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0.250% Notes due 2027</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CMCS27</w:t>
            </w:r>
          </w:p>
        </w:tc>
        <w:tc>
          <w:tcPr>
            <w:tcW w:w="4420" w:type="dxa"/>
            <w:vAlign w:val="bottom"/>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16"/>
        </w:trPr>
        <w:tc>
          <w:tcPr>
            <w:tcW w:w="50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1.500% Notes due 2029</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CMCS29</w:t>
            </w:r>
          </w:p>
        </w:tc>
        <w:tc>
          <w:tcPr>
            <w:tcW w:w="4420" w:type="dxa"/>
            <w:vAlign w:val="bottom"/>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16"/>
        </w:trPr>
        <w:tc>
          <w:tcPr>
            <w:tcW w:w="50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0.750% Notes due 2032</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CMCS32</w:t>
            </w:r>
          </w:p>
        </w:tc>
        <w:tc>
          <w:tcPr>
            <w:tcW w:w="4420" w:type="dxa"/>
            <w:vAlign w:val="bottom"/>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16"/>
        </w:trPr>
        <w:tc>
          <w:tcPr>
            <w:tcW w:w="50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1.875% Notes due 2036</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CMCS36</w:t>
            </w:r>
          </w:p>
        </w:tc>
        <w:tc>
          <w:tcPr>
            <w:tcW w:w="4420" w:type="dxa"/>
            <w:vAlign w:val="bottom"/>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16"/>
        </w:trPr>
        <w:tc>
          <w:tcPr>
            <w:tcW w:w="502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1.250% Notes due 2040</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CMCS40</w:t>
            </w:r>
          </w:p>
        </w:tc>
        <w:tc>
          <w:tcPr>
            <w:tcW w:w="4420" w:type="dxa"/>
            <w:vAlign w:val="bottom"/>
          </w:tcPr>
          <w:p>
            <w:pPr>
              <w:jc w:val="center"/>
              <w:spacing w:after="0"/>
              <w:rPr>
                <w:sz w:val="20"/>
                <w:szCs w:val="20"/>
                <w:color w:val="auto"/>
              </w:rPr>
            </w:pPr>
            <w:r>
              <w:rPr>
                <w:rFonts w:ascii="Arial" w:cs="Arial" w:eastAsia="Arial" w:hAnsi="Arial"/>
                <w:sz w:val="18"/>
                <w:szCs w:val="18"/>
                <w:color w:val="auto"/>
                <w:w w:val="96"/>
              </w:rPr>
              <w:t>NASDAQ Global Market</w:t>
            </w:r>
          </w:p>
        </w:tc>
      </w:tr>
      <w:tr>
        <w:trPr>
          <w:trHeight w:val="216"/>
        </w:trPr>
        <w:tc>
          <w:tcPr>
            <w:tcW w:w="50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9.455% Guaranteed Notes due 2022</w:t>
            </w:r>
          </w:p>
        </w:tc>
        <w:tc>
          <w:tcPr>
            <w:tcW w:w="180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CMCSA/22</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50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5.50% Notes due 2029</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CCGBP29</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502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2.0% Exchangeable Subordinated Debentures due 2029</w:t>
            </w:r>
          </w:p>
        </w:tc>
        <w:tc>
          <w:tcPr>
            <w:tcW w:w="1800" w:type="dxa"/>
            <w:vAlign w:val="bottom"/>
            <w:gridSpan w:val="2"/>
          </w:tcPr>
          <w:p>
            <w:pPr>
              <w:jc w:val="center"/>
              <w:ind w:right="40"/>
              <w:spacing w:after="0"/>
              <w:rPr>
                <w:sz w:val="20"/>
                <w:szCs w:val="20"/>
                <w:color w:val="auto"/>
              </w:rPr>
            </w:pPr>
            <w:r>
              <w:rPr>
                <w:rFonts w:ascii="Arial" w:cs="Arial" w:eastAsia="Arial" w:hAnsi="Arial"/>
                <w:sz w:val="18"/>
                <w:szCs w:val="18"/>
                <w:color w:val="auto"/>
                <w:w w:val="97"/>
              </w:rPr>
              <w:t>CCZ</w:t>
            </w:r>
          </w:p>
        </w:tc>
        <w:tc>
          <w:tcPr>
            <w:tcW w:w="44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588010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30" w:right="339" w:bottom="1062" w:gutter="0" w:footer="0" w:header="0"/>
        </w:sectPr>
      </w:pPr>
    </w:p>
    <w:bookmarkStart w:id="1" w:name="page2"/>
    <w:bookmarkEnd w:id="1"/>
    <w:p>
      <w:pPr>
        <w:ind w:left="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Item 2.03 Creation of a Direct Financial Obligation or an Obligation under an Off-Balance Sheet Arrangement of the Registrant</w:t>
      </w:r>
    </w:p>
    <w:p>
      <w:pPr>
        <w:spacing w:after="0" w:line="229"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The information required by this Item 2.03 relating to the New Notes, the Base Indenture and the First Supplemental Indenture (as defined below) is set forth under Item 8.01 of this Current Report on Form 8-K and is incorporated herein by reference.</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540" w:firstLine="324"/>
        <w:spacing w:after="0" w:line="291" w:lineRule="auto"/>
        <w:rPr>
          <w:sz w:val="20"/>
          <w:szCs w:val="20"/>
          <w:color w:val="auto"/>
        </w:rPr>
      </w:pPr>
      <w:r>
        <w:rPr>
          <w:rFonts w:ascii="Arial" w:cs="Arial" w:eastAsia="Arial" w:hAnsi="Arial"/>
          <w:sz w:val="16"/>
          <w:szCs w:val="16"/>
          <w:color w:val="auto"/>
        </w:rPr>
        <w:t>On August 19, 2021, Comcast Corporation (“Comcast” or the “Company”) and NBCUniversal Media, LLC (“NBCUniversal”), as applicable, consummated their private offers (the “Exchange Offers”) (i) (A) by the Company to exchange its 6.400% Notes due 2038, 6.950% Notes due 2037,</w:t>
      </w:r>
    </w:p>
    <w:p>
      <w:pPr>
        <w:ind w:right="100"/>
        <w:spacing w:after="0" w:line="269" w:lineRule="auto"/>
        <w:rPr>
          <w:sz w:val="20"/>
          <w:szCs w:val="20"/>
          <w:color w:val="auto"/>
        </w:rPr>
      </w:pPr>
      <w:r>
        <w:rPr>
          <w:rFonts w:ascii="Arial" w:cs="Arial" w:eastAsia="Arial" w:hAnsi="Arial"/>
          <w:sz w:val="17"/>
          <w:szCs w:val="17"/>
          <w:color w:val="auto"/>
        </w:rPr>
        <w:t>6.450% Notes due 2037, 6.400% Notes due March 2040, 6.550% Notes due 2039, 4.600% Notes due 2038, 6.500% Notes due 2035, 5.650% Notes due 2035 and 7.050% Notes due 2033 and (B) by NBCUniversal to exchange its 6.400% Notes due April 2040 for up to $5,000,000,000 in aggregate principal amount of the Company’s new Notes due 2051 (the “New 2051 Notes”), (ii) (A) by the Company to exchange its 4.700% Notes due 2048, 4.750% Notes due 2044, 4.650% Notes due 2042 and 4.500% Notes due 2043 and (B) by NBCUniversal to exchange its 5.950% Notes due 2041 and 4.450% Notes due 2043 for up to $6,000,000,000 in aggregate principal amount of the Company’s new Notes due 2056 (the “New 2056 Notes”) and (iii) by the Company to exchange its 4.600% Notes due 2045, 4.950% Notes due 2058 and 4.049% Notes due 2052 for up to $4,000,000,000 in aggregate principal amount of the Company’s new Notes due 2063 (the “New 2063 Notes”).</w:t>
      </w:r>
    </w:p>
    <w:p>
      <w:pPr>
        <w:spacing w:after="0" w:line="180"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The Company issued $4,999,854,000 in aggregate principal amount of the New 2051 Notes, $5,999,998,000 in aggregate principal amount of the New 2056 Notes and $4,000,000,000 in aggregate principal amount of the New 2063 Notes (collectively, the “New Notes”). The New 2051 Notes will bear interest at a rate of 2.887% per year and will mature on November 1, 2051, the New 2056 Notes will bear interest at a rate of 2.937% per year and will mature on November 1, 2056 and the New 2063 Notes will bear interest at a rate of 2.987% per year and will mature on November 1, 2063. We will pay interest on the New 2051 Notes, the New 2056 Notes and the New 2063 Notes on May 1 and November 1 of each year, beginning on November 1, 2021.</w:t>
      </w:r>
    </w:p>
    <w:p>
      <w:pPr>
        <w:spacing w:after="0" w:line="16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New Notes were issued pursuant to an Indenture dated as of September 18, 2013 (the “Base Indenture”) among Comcast, the guarantors named therein and The Bank of New York Mellon, as trustee (the “Trustee), as supplemented by the First Supplemental Indenture dated as of November 17, 2015 (the “First Supplemental Indenture”) among Comcast, the guarantors named therein and the Trustee, and an officers’ certificate issued pursuant thereto. The New Notes are guaranteed on an unsecured and unsubordinated basis by Comcast Cable Communications, LLC and NBCUniversal (the “Guarantors”).</w:t>
      </w:r>
    </w:p>
    <w:p>
      <w:pPr>
        <w:spacing w:after="0" w:line="157"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material terms and conditions of the New Notes are set forth in the Form of Officers’ Certificate filed herewith as Exhibit 4.1 and incorporated by reference herein and in the Base Indenture and First Supplemental Indenture, which are incorporated by reference as Exhibit 4.2 and Exhibit 4.3, respectively, to Comcast’s Registration Statement on Form S-3 filed on August 1, 2019, and incorporated by reference herein.</w:t>
      </w:r>
    </w:p>
    <w:p>
      <w:pPr>
        <w:spacing w:after="0" w:line="165"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In connection with Comcast’s issuance of the New Notes, Comcast and the Guarantors entered into a registration rights agreement (the “Registration Rights Agreement”) with the joint lead dealer managers for the Exchange Offers, on behalf of themselves and each co-dealer manager for the Exchange Offers. Under the Registration Rights Agreement, the Company and the Guarantors agreed, among other things, to use commercially reasonable efforts to file a registration statement with the Securities and Exchange Commission with respect to a registered offer to exchange the New Notes for a series of exchange notes with terms substantially identical in all material respects to the New Notes, except that the exchange notes will not contain transfer restrictions and will not provide for any increase in annual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ind w:right="280" w:firstLine="324"/>
        <w:spacing w:after="0" w:line="263" w:lineRule="auto"/>
        <w:rPr>
          <w:sz w:val="20"/>
          <w:szCs w:val="20"/>
          <w:color w:val="auto"/>
        </w:rPr>
      </w:pPr>
      <w:r>
        <w:rPr>
          <w:rFonts w:ascii="Arial" w:cs="Arial" w:eastAsia="Arial" w:hAnsi="Arial"/>
          <w:sz w:val="18"/>
          <w:szCs w:val="18"/>
          <w:color w:val="auto"/>
        </w:rPr>
        <w:t>The New Notes have not been registered under the U.S. Securities Act of 1933, as amended (the “Securities Act”) or any other applicable securities laws. Therefore, the New Notes may not be offered or sold except pursuant to an exemption from or in a transaction not subject to the registration requirements of the Securities Act and the applicable state securities laws.</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Item 9.01(d)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320" w:type="dxa"/>
            <w:vAlign w:val="bottom"/>
            <w:gridSpan w:val="4"/>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40" w:type="dxa"/>
            <w:vAlign w:val="bottom"/>
            <w:tcBorders>
              <w:top w:val="single" w:sz="8" w:color="auto"/>
            </w:tcBorders>
          </w:tcPr>
          <w:p>
            <w:pPr>
              <w:spacing w:after="0" w:line="169"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1</w:t>
              </w:r>
            </w:hyperlink>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20" w:type="dxa"/>
            <w:vAlign w:val="bottom"/>
            <w:tcBorders>
              <w:top w:val="single" w:sz="8" w:color="auto"/>
            </w:tcBorders>
            <w:gridSpan w:val="3"/>
          </w:tcPr>
          <w:p>
            <w:pPr>
              <w:spacing w:after="0" w:line="169" w:lineRule="exact"/>
              <w:rPr>
                <w:rFonts w:ascii="Arial" w:cs="Arial" w:eastAsia="Arial" w:hAnsi="Arial"/>
                <w:sz w:val="18"/>
                <w:szCs w:val="18"/>
                <w:color w:val="0000EE"/>
              </w:rPr>
            </w:pPr>
            <w:hyperlink w:anchor="page5">
              <w:r>
                <w:rPr>
                  <w:rFonts w:ascii="Arial" w:cs="Arial" w:eastAsia="Arial" w:hAnsi="Arial"/>
                  <w:sz w:val="18"/>
                  <w:szCs w:val="18"/>
                  <w:color w:val="0000EE"/>
                </w:rPr>
                <w:t>Form of Officers’ Certificate setting forth the terms of the New Notes.</w:t>
              </w:r>
            </w:hyperlink>
          </w:p>
        </w:tc>
      </w:tr>
      <w:tr>
        <w:trPr>
          <w:trHeight w:val="196"/>
        </w:trPr>
        <w:tc>
          <w:tcPr>
            <w:tcW w:w="2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7"/>
              </w:rPr>
            </w:pPr>
            <w:hyperlink w:anchor="page6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3">
              <w:r>
                <w:rPr>
                  <w:rFonts w:ascii="Arial" w:cs="Arial" w:eastAsia="Arial" w:hAnsi="Arial"/>
                  <w:sz w:val="18"/>
                  <w:szCs w:val="18"/>
                  <w:color w:val="0000EE"/>
                  <w:w w:val="90"/>
                </w:rPr>
                <w:t>Registration Rights Agreement, dated as of August 19, 2021.</w:t>
              </w:r>
            </w:hyperlink>
          </w:p>
        </w:tc>
        <w:tc>
          <w:tcPr>
            <w:tcW w:w="660" w:type="dxa"/>
            <w:vAlign w:val="bottom"/>
            <w:tcBorders>
              <w:top w:val="single" w:sz="8" w:color="0000EE"/>
            </w:tcBorders>
          </w:tcPr>
          <w:p>
            <w:pPr>
              <w:spacing w:after="0"/>
              <w:rPr>
                <w:sz w:val="17"/>
                <w:szCs w:val="17"/>
                <w:color w:val="auto"/>
              </w:rPr>
            </w:pPr>
          </w:p>
        </w:tc>
        <w:tc>
          <w:tcPr>
            <w:tcW w:w="5160" w:type="dxa"/>
            <w:vAlign w:val="bottom"/>
          </w:tcPr>
          <w:p>
            <w:pPr>
              <w:spacing w:after="0"/>
              <w:rPr>
                <w:sz w:val="17"/>
                <w:szCs w:val="17"/>
                <w:color w:val="auto"/>
              </w:rPr>
            </w:pPr>
          </w:p>
        </w:tc>
      </w:tr>
      <w:tr>
        <w:trPr>
          <w:trHeight w:val="237"/>
        </w:trPr>
        <w:tc>
          <w:tcPr>
            <w:tcW w:w="920" w:type="dxa"/>
            <w:vAlign w:val="bottom"/>
            <w:gridSpan w:val="2"/>
          </w:tcPr>
          <w:p>
            <w:pPr>
              <w:spacing w:after="0"/>
              <w:rPr>
                <w:sz w:val="20"/>
                <w:szCs w:val="20"/>
                <w:color w:val="auto"/>
              </w:rPr>
            </w:pPr>
            <w:r>
              <w:rPr>
                <w:rFonts w:ascii="Arial" w:cs="Arial" w:eastAsia="Arial" w:hAnsi="Arial"/>
                <w:sz w:val="18"/>
                <w:szCs w:val="18"/>
                <w:color w:val="auto"/>
              </w:rPr>
              <w:t>104</w:t>
            </w:r>
          </w:p>
        </w:tc>
        <w:tc>
          <w:tcPr>
            <w:tcW w:w="10320" w:type="dxa"/>
            <w:vAlign w:val="bottom"/>
            <w:gridSpan w:val="4"/>
          </w:tcPr>
          <w:p>
            <w:pPr>
              <w:ind w:left="10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837"/>
        </w:trPr>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7720" w:type="dxa"/>
            <w:vAlign w:val="bottom"/>
            <w:gridSpan w:val="2"/>
          </w:tcPr>
          <w:p>
            <w:pPr>
              <w:ind w:left="156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200"/>
              <w:spacing w:after="0"/>
              <w:rPr>
                <w:sz w:val="20"/>
                <w:szCs w:val="20"/>
                <w:color w:val="auto"/>
              </w:rPr>
            </w:pPr>
            <w:r>
              <w:rPr>
                <w:rFonts w:ascii="Arial" w:cs="Arial" w:eastAsia="Arial" w:hAnsi="Arial"/>
                <w:sz w:val="18"/>
                <w:szCs w:val="18"/>
                <w:color w:val="auto"/>
              </w:rPr>
              <w:t>August 19, 2021</w:t>
            </w:r>
          </w:p>
        </w:tc>
        <w:tc>
          <w:tcPr>
            <w:tcW w:w="2100" w:type="dxa"/>
            <w:vAlign w:val="bottom"/>
          </w:tcPr>
          <w:p>
            <w:pPr>
              <w:ind w:left="1560"/>
              <w:spacing w:after="0"/>
              <w:rPr>
                <w:sz w:val="20"/>
                <w:szCs w:val="20"/>
                <w:color w:val="auto"/>
              </w:rPr>
            </w:pPr>
            <w:r>
              <w:rPr>
                <w:rFonts w:ascii="Arial" w:cs="Arial" w:eastAsia="Arial" w:hAnsi="Arial"/>
                <w:sz w:val="18"/>
                <w:szCs w:val="18"/>
                <w:color w:val="auto"/>
              </w:rPr>
              <w:t>By:</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Elizabeth Wideman</w:t>
            </w:r>
          </w:p>
        </w:tc>
      </w:tr>
      <w:tr>
        <w:trPr>
          <w:trHeight w:val="195"/>
        </w:trPr>
        <w:tc>
          <w:tcPr>
            <w:tcW w:w="60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100" w:type="dxa"/>
            <w:vAlign w:val="bottom"/>
          </w:tcPr>
          <w:p>
            <w:pPr>
              <w:ind w:left="1560"/>
              <w:spacing w:after="0" w:line="195" w:lineRule="exact"/>
              <w:rPr>
                <w:sz w:val="20"/>
                <w:szCs w:val="20"/>
                <w:color w:val="auto"/>
              </w:rPr>
            </w:pPr>
            <w:r>
              <w:rPr>
                <w:rFonts w:ascii="Arial" w:cs="Arial" w:eastAsia="Arial" w:hAnsi="Arial"/>
                <w:sz w:val="18"/>
                <w:szCs w:val="18"/>
                <w:color w:val="auto"/>
                <w:w w:val="98"/>
              </w:rPr>
              <w:t>Name:</w:t>
            </w: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Elizabeth Wideman</w:t>
            </w:r>
          </w:p>
        </w:tc>
      </w:tr>
      <w:tr>
        <w:trPr>
          <w:trHeight w:val="216"/>
        </w:trPr>
        <w:tc>
          <w:tcPr>
            <w:tcW w:w="6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100" w:type="dxa"/>
            <w:vAlign w:val="bottom"/>
          </w:tcPr>
          <w:p>
            <w:pPr>
              <w:ind w:left="1560"/>
              <w:spacing w:after="0"/>
              <w:rPr>
                <w:sz w:val="20"/>
                <w:szCs w:val="20"/>
                <w:color w:val="auto"/>
              </w:rPr>
            </w:pPr>
            <w:r>
              <w:rPr>
                <w:rFonts w:ascii="Arial" w:cs="Arial" w:eastAsia="Arial" w:hAnsi="Arial"/>
                <w:sz w:val="18"/>
                <w:szCs w:val="18"/>
                <w:color w:val="auto"/>
              </w:rPr>
              <w:t>Title:</w:t>
            </w:r>
          </w:p>
        </w:tc>
        <w:tc>
          <w:tcPr>
            <w:tcW w:w="5620" w:type="dxa"/>
            <w:vAlign w:val="bottom"/>
          </w:tcPr>
          <w:p>
            <w:pPr>
              <w:spacing w:after="0"/>
              <w:rPr>
                <w:sz w:val="20"/>
                <w:szCs w:val="20"/>
                <w:color w:val="auto"/>
              </w:rPr>
            </w:pPr>
            <w:r>
              <w:rPr>
                <w:rFonts w:ascii="Arial" w:cs="Arial" w:eastAsia="Arial" w:hAnsi="Arial"/>
                <w:sz w:val="18"/>
                <w:szCs w:val="18"/>
                <w:color w:val="auto"/>
              </w:rPr>
              <w:t>Senior Vice President, Senior Deputy General Counsel and Assistant</w:t>
            </w:r>
          </w:p>
        </w:tc>
      </w:tr>
      <w:tr>
        <w:trPr>
          <w:trHeight w:val="230"/>
        </w:trPr>
        <w:tc>
          <w:tcPr>
            <w:tcW w:w="6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Secretary</w:t>
            </w:r>
          </w:p>
        </w:tc>
      </w:tr>
      <w:tr>
        <w:trPr>
          <w:trHeight w:val="297"/>
        </w:trPr>
        <w:tc>
          <w:tcPr>
            <w:tcW w:w="6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93"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4.1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OFFICERS’ CERTIFICATE]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Officers’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19, 2021</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Pursuant to Section 2.03 of the Indenture dated as of September 18, 2013, by and among Comcast Corporation (the “</w:t>
      </w:r>
      <w:r>
        <w:rPr>
          <w:rFonts w:ascii="Arial" w:cs="Arial" w:eastAsia="Arial" w:hAnsi="Arial"/>
          <w:sz w:val="18"/>
          <w:szCs w:val="18"/>
          <w:b w:val="1"/>
          <w:bCs w:val="1"/>
          <w:color w:val="auto"/>
        </w:rPr>
        <w:t>Company</w:t>
      </w:r>
      <w:r>
        <w:rPr>
          <w:rFonts w:ascii="Arial" w:cs="Arial" w:eastAsia="Arial" w:hAnsi="Arial"/>
          <w:sz w:val="18"/>
          <w:szCs w:val="18"/>
          <w:color w:val="auto"/>
        </w:rPr>
        <w:t>”), the guarantors named therein and The Bank of New York Mellon,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supplemented by the First Supplemental Indenture dated as of November 17, 2015 (as amended, the “</w:t>
      </w:r>
      <w:r>
        <w:rPr>
          <w:rFonts w:ascii="Arial" w:cs="Arial" w:eastAsia="Arial" w:hAnsi="Arial"/>
          <w:sz w:val="18"/>
          <w:szCs w:val="18"/>
          <w:b w:val="1"/>
          <w:bCs w:val="1"/>
          <w:color w:val="auto"/>
        </w:rPr>
        <w:t>Indenture</w:t>
      </w:r>
      <w:r>
        <w:rPr>
          <w:rFonts w:ascii="Arial" w:cs="Arial" w:eastAsia="Arial" w:hAnsi="Arial"/>
          <w:sz w:val="18"/>
          <w:szCs w:val="18"/>
          <w:color w:val="auto"/>
        </w:rPr>
        <w:t>”), by and among the Company, the guarantors named therein and the Trustee, and guaranteed on an unsecured and unsubordinated basis by Comcast Cable Communications, LLC and NBCUniversal Media, LLC (the “</w:t>
      </w:r>
      <w:r>
        <w:rPr>
          <w:rFonts w:ascii="Arial" w:cs="Arial" w:eastAsia="Arial" w:hAnsi="Arial"/>
          <w:sz w:val="18"/>
          <w:szCs w:val="18"/>
          <w:b w:val="1"/>
          <w:bCs w:val="1"/>
          <w:color w:val="auto"/>
        </w:rPr>
        <w:t>Guarantors</w:t>
      </w:r>
      <w:r>
        <w:rPr>
          <w:rFonts w:ascii="Arial" w:cs="Arial" w:eastAsia="Arial" w:hAnsi="Arial"/>
          <w:sz w:val="18"/>
          <w:szCs w:val="18"/>
          <w:color w:val="auto"/>
        </w:rPr>
        <w:t>”), the undersigned officers of the Company do hereby certify, in connection with the issuance of the Company’s $4,999,854,000 aggregate principal amount of 2.887% Notes due 2051 (the “</w:t>
      </w:r>
      <w:r>
        <w:rPr>
          <w:rFonts w:ascii="Arial" w:cs="Arial" w:eastAsia="Arial" w:hAnsi="Arial"/>
          <w:sz w:val="18"/>
          <w:szCs w:val="18"/>
          <w:b w:val="1"/>
          <w:bCs w:val="1"/>
          <w:color w:val="auto"/>
        </w:rPr>
        <w:t>2051 Notes</w:t>
      </w:r>
      <w:r>
        <w:rPr>
          <w:rFonts w:ascii="Arial" w:cs="Arial" w:eastAsia="Arial" w:hAnsi="Arial"/>
          <w:sz w:val="18"/>
          <w:szCs w:val="18"/>
          <w:color w:val="auto"/>
        </w:rPr>
        <w:t>”), $5,999,998,000 aggregate principal amount of 2.937% Notes due 2056 (the “</w:t>
      </w:r>
      <w:r>
        <w:rPr>
          <w:rFonts w:ascii="Arial" w:cs="Arial" w:eastAsia="Arial" w:hAnsi="Arial"/>
          <w:sz w:val="18"/>
          <w:szCs w:val="18"/>
          <w:b w:val="1"/>
          <w:bCs w:val="1"/>
          <w:color w:val="auto"/>
        </w:rPr>
        <w:t>2056 Notes</w:t>
      </w:r>
      <w:r>
        <w:rPr>
          <w:rFonts w:ascii="Arial" w:cs="Arial" w:eastAsia="Arial" w:hAnsi="Arial"/>
          <w:sz w:val="18"/>
          <w:szCs w:val="18"/>
          <w:color w:val="auto"/>
        </w:rPr>
        <w:t>”) and $4,000,000,000 aggregate principal amount of 2.987% Notes due 2063 (the “</w:t>
      </w:r>
      <w:r>
        <w:rPr>
          <w:rFonts w:ascii="Arial" w:cs="Arial" w:eastAsia="Arial" w:hAnsi="Arial"/>
          <w:sz w:val="18"/>
          <w:szCs w:val="18"/>
          <w:b w:val="1"/>
          <w:bCs w:val="1"/>
          <w:color w:val="auto"/>
        </w:rPr>
        <w:t>2063 Notes</w:t>
      </w:r>
      <w:r>
        <w:rPr>
          <w:rFonts w:ascii="Arial" w:cs="Arial" w:eastAsia="Arial" w:hAnsi="Arial"/>
          <w:sz w:val="18"/>
          <w:szCs w:val="18"/>
          <w:color w:val="auto"/>
        </w:rPr>
        <w:t>,” and together with the 2051 Notes and the 2056 Notes, the “</w:t>
      </w:r>
      <w:r>
        <w:rPr>
          <w:rFonts w:ascii="Arial" w:cs="Arial" w:eastAsia="Arial" w:hAnsi="Arial"/>
          <w:sz w:val="18"/>
          <w:szCs w:val="18"/>
          <w:b w:val="1"/>
          <w:bCs w:val="1"/>
          <w:color w:val="auto"/>
        </w:rPr>
        <w:t>Notes</w:t>
      </w:r>
      <w:r>
        <w:rPr>
          <w:rFonts w:ascii="Arial" w:cs="Arial" w:eastAsia="Arial" w:hAnsi="Arial"/>
          <w:sz w:val="18"/>
          <w:szCs w:val="18"/>
          <w:color w:val="auto"/>
        </w:rPr>
        <w:t>”), that the terms of the Notes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2.</w:t>
            </w:r>
            <w:r>
              <w:rPr>
                <w:rFonts w:ascii="Arial" w:cs="Arial" w:eastAsia="Arial" w:hAnsi="Arial"/>
                <w:sz w:val="18"/>
                <w:szCs w:val="18"/>
                <w:b w:val="1"/>
                <w:bCs w:val="1"/>
                <w:u w:val="single" w:color="auto"/>
                <w:color w:val="auto"/>
                <w:w w:val="89"/>
              </w:rPr>
              <w:t>887%</w:t>
            </w:r>
            <w:r>
              <w:rPr>
                <w:rFonts w:ascii="Arial" w:cs="Arial" w:eastAsia="Arial" w:hAnsi="Arial"/>
                <w:sz w:val="18"/>
                <w:szCs w:val="18"/>
                <w:b w:val="1"/>
                <w:bCs w:val="1"/>
                <w:color w:val="auto"/>
                <w:w w:val="89"/>
              </w:rPr>
              <w:t xml:space="preserve"> Notes due 2051</w:t>
            </w:r>
          </w:p>
        </w:tc>
        <w:tc>
          <w:tcPr>
            <w:tcW w:w="4720" w:type="dxa"/>
            <w:vAlign w:val="bottom"/>
          </w:tcPr>
          <w:p>
            <w:pPr>
              <w:spacing w:after="0"/>
              <w:rPr>
                <w:sz w:val="17"/>
                <w:szCs w:val="17"/>
                <w:color w:val="auto"/>
              </w:rPr>
            </w:pPr>
          </w:p>
        </w:tc>
      </w:tr>
      <w:tr>
        <w:trPr>
          <w:trHeight w:val="453"/>
        </w:trPr>
        <w:tc>
          <w:tcPr>
            <w:tcW w:w="370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2.887% Notes due 2051</w:t>
            </w:r>
          </w:p>
        </w:tc>
      </w:tr>
      <w:tr>
        <w:trPr>
          <w:trHeight w:val="432"/>
        </w:trPr>
        <w:tc>
          <w:tcPr>
            <w:tcW w:w="370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820" w:type="dxa"/>
            <w:vAlign w:val="bottom"/>
            <w:gridSpan w:val="2"/>
          </w:tcPr>
          <w:p>
            <w:pPr>
              <w:ind w:left="700"/>
              <w:spacing w:after="0"/>
              <w:rPr>
                <w:sz w:val="20"/>
                <w:szCs w:val="20"/>
                <w:color w:val="auto"/>
              </w:rPr>
            </w:pPr>
            <w:r>
              <w:rPr>
                <w:rFonts w:ascii="Arial" w:cs="Arial" w:eastAsia="Arial" w:hAnsi="Arial"/>
                <w:sz w:val="18"/>
                <w:szCs w:val="18"/>
                <w:color w:val="auto"/>
              </w:rPr>
              <w:t>$4,999,854,000</w:t>
            </w:r>
          </w:p>
        </w:tc>
        <w:tc>
          <w:tcPr>
            <w:tcW w:w="4720" w:type="dxa"/>
            <w:vAlign w:val="bottom"/>
          </w:tcPr>
          <w:p>
            <w:pPr>
              <w:spacing w:after="0"/>
              <w:rPr>
                <w:sz w:val="24"/>
                <w:szCs w:val="24"/>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November 1, 2051</w:t>
            </w:r>
          </w:p>
        </w:tc>
      </w:tr>
      <w:tr>
        <w:trPr>
          <w:trHeight w:val="432"/>
        </w:trPr>
        <w:tc>
          <w:tcPr>
            <w:tcW w:w="37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820" w:type="dxa"/>
            <w:vAlign w:val="bottom"/>
            <w:gridSpan w:val="2"/>
          </w:tcPr>
          <w:p>
            <w:pPr>
              <w:ind w:left="700"/>
              <w:spacing w:after="0"/>
              <w:rPr>
                <w:sz w:val="20"/>
                <w:szCs w:val="20"/>
                <w:color w:val="auto"/>
              </w:rPr>
            </w:pPr>
            <w:r>
              <w:rPr>
                <w:rFonts w:ascii="Arial" w:cs="Arial" w:eastAsia="Arial" w:hAnsi="Arial"/>
                <w:sz w:val="18"/>
                <w:szCs w:val="18"/>
                <w:color w:val="auto"/>
              </w:rPr>
              <w:t>2.887%</w:t>
            </w:r>
          </w:p>
        </w:tc>
        <w:tc>
          <w:tcPr>
            <w:tcW w:w="4720" w:type="dxa"/>
            <w:vAlign w:val="bottom"/>
          </w:tcPr>
          <w:p>
            <w:pPr>
              <w:spacing w:after="0"/>
              <w:rPr>
                <w:sz w:val="24"/>
                <w:szCs w:val="24"/>
                <w:color w:val="auto"/>
              </w:rPr>
            </w:pPr>
          </w:p>
        </w:tc>
      </w:tr>
      <w:tr>
        <w:trPr>
          <w:trHeight w:val="418"/>
        </w:trPr>
        <w:tc>
          <w:tcPr>
            <w:tcW w:w="370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w w:val="91"/>
              </w:rPr>
              <w:t>The Company may at its option redeem the 2051 Notes in whole or in part, at any time or from</w:t>
            </w:r>
          </w:p>
        </w:tc>
      </w:tr>
      <w:tr>
        <w:trPr>
          <w:trHeight w:val="216"/>
        </w:trPr>
        <w:tc>
          <w:tcPr>
            <w:tcW w:w="3700" w:type="dxa"/>
            <w:vAlign w:val="bottom"/>
          </w:tcPr>
          <w:p>
            <w:pPr>
              <w:spacing w:after="0"/>
              <w:rPr>
                <w:sz w:val="18"/>
                <w:szCs w:val="18"/>
                <w:color w:val="auto"/>
              </w:rPr>
            </w:pP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w w:val="91"/>
              </w:rPr>
              <w:t>time to time prior to their maturity, on at least 15 days, but not more than 60 days, prior notice</w:t>
            </w:r>
          </w:p>
        </w:tc>
      </w:tr>
      <w:tr>
        <w:trPr>
          <w:trHeight w:val="212"/>
        </w:trPr>
        <w:tc>
          <w:tcPr>
            <w:tcW w:w="3700" w:type="dxa"/>
            <w:vAlign w:val="bottom"/>
          </w:tcPr>
          <w:p>
            <w:pPr>
              <w:spacing w:after="0"/>
              <w:rPr>
                <w:sz w:val="18"/>
                <w:szCs w:val="18"/>
                <w:color w:val="auto"/>
              </w:rPr>
            </w:pP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w w:val="94"/>
              </w:rPr>
              <w:t>transmitted to the registered address of each holder of the 2051 Notes, at the “Redemption</w:t>
            </w:r>
          </w:p>
        </w:tc>
      </w:tr>
      <w:tr>
        <w:trPr>
          <w:trHeight w:val="220"/>
        </w:trPr>
        <w:tc>
          <w:tcPr>
            <w:tcW w:w="3700" w:type="dxa"/>
            <w:vAlign w:val="bottom"/>
          </w:tcPr>
          <w:p>
            <w:pPr>
              <w:spacing w:after="0"/>
              <w:rPr>
                <w:sz w:val="19"/>
                <w:szCs w:val="19"/>
                <w:color w:val="auto"/>
              </w:rPr>
            </w:pP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w w:val="93"/>
              </w:rPr>
              <w:t>Price.” Prior to May 1, 2051 (the “</w:t>
            </w:r>
            <w:r>
              <w:rPr>
                <w:rFonts w:ascii="Arial" w:cs="Arial" w:eastAsia="Arial" w:hAnsi="Arial"/>
                <w:sz w:val="18"/>
                <w:szCs w:val="18"/>
                <w:b w:val="1"/>
                <w:bCs w:val="1"/>
                <w:color w:val="auto"/>
                <w:w w:val="93"/>
              </w:rPr>
              <w:t>2051 Par Call Date</w:t>
            </w:r>
            <w:r>
              <w:rPr>
                <w:rFonts w:ascii="Arial" w:cs="Arial" w:eastAsia="Arial" w:hAnsi="Arial"/>
                <w:sz w:val="18"/>
                <w:szCs w:val="18"/>
                <w:color w:val="auto"/>
                <w:w w:val="93"/>
              </w:rPr>
              <w:t>”), the Redemption Price is the greater</w:t>
            </w:r>
          </w:p>
        </w:tc>
      </w:tr>
      <w:tr>
        <w:trPr>
          <w:trHeight w:val="216"/>
        </w:trPr>
        <w:tc>
          <w:tcPr>
            <w:tcW w:w="3700" w:type="dxa"/>
            <w:vAlign w:val="bottom"/>
          </w:tcPr>
          <w:p>
            <w:pPr>
              <w:spacing w:after="0"/>
              <w:rPr>
                <w:sz w:val="18"/>
                <w:szCs w:val="18"/>
                <w:color w:val="auto"/>
              </w:rPr>
            </w:pP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w w:val="91"/>
              </w:rPr>
              <w:t>of (i) 100% of the principal amount of the 2051 Notes, and (ii) the sum of the present values of</w:t>
            </w:r>
          </w:p>
        </w:tc>
      </w:tr>
      <w:tr>
        <w:trPr>
          <w:trHeight w:val="216"/>
        </w:trPr>
        <w:tc>
          <w:tcPr>
            <w:tcW w:w="3700" w:type="dxa"/>
            <w:vAlign w:val="bottom"/>
          </w:tcPr>
          <w:p>
            <w:pPr>
              <w:spacing w:after="0"/>
              <w:rPr>
                <w:sz w:val="18"/>
                <w:szCs w:val="18"/>
                <w:color w:val="auto"/>
              </w:rPr>
            </w:pP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w w:val="91"/>
              </w:rPr>
              <w:t>the principal amount of such notes and the scheduled payments of interest thereon (exclusive</w:t>
            </w:r>
          </w:p>
        </w:tc>
      </w:tr>
      <w:tr>
        <w:trPr>
          <w:trHeight w:val="216"/>
        </w:trPr>
        <w:tc>
          <w:tcPr>
            <w:tcW w:w="3700" w:type="dxa"/>
            <w:vAlign w:val="bottom"/>
          </w:tcPr>
          <w:p>
            <w:pPr>
              <w:spacing w:after="0"/>
              <w:rPr>
                <w:sz w:val="18"/>
                <w:szCs w:val="18"/>
                <w:color w:val="auto"/>
              </w:rPr>
            </w:pP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w w:val="93"/>
              </w:rPr>
              <w:t>of interest accrued to the date of redemption) from the redemption date to the 2051 Par Call</w:t>
            </w:r>
          </w:p>
        </w:tc>
      </w:tr>
      <w:tr>
        <w:trPr>
          <w:trHeight w:val="216"/>
        </w:trPr>
        <w:tc>
          <w:tcPr>
            <w:tcW w:w="3700" w:type="dxa"/>
            <w:vAlign w:val="bottom"/>
          </w:tcPr>
          <w:p>
            <w:pPr>
              <w:spacing w:after="0"/>
              <w:rPr>
                <w:sz w:val="18"/>
                <w:szCs w:val="18"/>
                <w:color w:val="auto"/>
              </w:rPr>
            </w:pP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w w:val="90"/>
              </w:rPr>
              <w:t>Date, in each case discounted to the redemption date on a semiannual basis (assuming a 360-</w:t>
            </w:r>
          </w:p>
        </w:tc>
      </w:tr>
      <w:tr>
        <w:trPr>
          <w:trHeight w:val="216"/>
        </w:trPr>
        <w:tc>
          <w:tcPr>
            <w:tcW w:w="3700" w:type="dxa"/>
            <w:vAlign w:val="bottom"/>
          </w:tcPr>
          <w:p>
            <w:pPr>
              <w:spacing w:after="0"/>
              <w:rPr>
                <w:sz w:val="18"/>
                <w:szCs w:val="18"/>
                <w:color w:val="auto"/>
              </w:rPr>
            </w:pP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w w:val="95"/>
              </w:rPr>
              <w:t>day year consisting of twelve 30-day months) at the Treasury Rate (as defined in the 2051</w:t>
            </w:r>
          </w:p>
        </w:tc>
      </w:tr>
      <w:tr>
        <w:trPr>
          <w:trHeight w:val="230"/>
        </w:trPr>
        <w:tc>
          <w:tcPr>
            <w:tcW w:w="3700" w:type="dxa"/>
            <w:vAlign w:val="bottom"/>
          </w:tcPr>
          <w:p>
            <w:pPr>
              <w:spacing w:after="0"/>
              <w:rPr>
                <w:sz w:val="20"/>
                <w:szCs w:val="20"/>
                <w:color w:val="auto"/>
              </w:rPr>
            </w:pP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Notes)</w:t>
            </w:r>
          </w:p>
        </w:tc>
      </w:tr>
      <w:tr>
        <w:trPr>
          <w:trHeight w:val="351"/>
        </w:trPr>
        <w:tc>
          <w:tcPr>
            <w:tcW w:w="37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2"/>
          </w:tcPr>
          <w:p>
            <w:pPr>
              <w:ind w:left="1840"/>
              <w:spacing w:after="0"/>
              <w:rPr>
                <w:sz w:val="20"/>
                <w:szCs w:val="20"/>
                <w:color w:val="auto"/>
              </w:rPr>
            </w:pPr>
            <w:r>
              <w:rPr>
                <w:rFonts w:ascii="Arial" w:cs="Arial" w:eastAsia="Arial" w:hAnsi="Arial"/>
                <w:sz w:val="22"/>
                <w:szCs w:val="22"/>
                <w:color w:val="auto"/>
              </w:rPr>
              <w:t>1</w:t>
            </w: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5"/>
              </w:rPr>
              <w:t>plus 15 basis points. On and after the 2051 Par Call Date, the Redemption Price will equal</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5"/>
              </w:rPr>
              <w:t>100% of the principal amount of such notes. In each case described in this paragraph, the</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2"/>
              </w:rPr>
              <w:t>Redemption Price will include accrued and unpaid interest thereon to the date of redemption,</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1"/>
              </w:rPr>
              <w:t>and in each case described in this paragraph, subject to the further description in the Offering</w:t>
            </w:r>
          </w:p>
        </w:tc>
      </w:tr>
      <w:tr>
        <w:trPr>
          <w:trHeight w:val="230"/>
        </w:trPr>
        <w:tc>
          <w:tcPr>
            <w:tcW w:w="2980" w:type="dxa"/>
            <w:vAlign w:val="bottom"/>
          </w:tcPr>
          <w:p>
            <w:pPr>
              <w:spacing w:after="0"/>
              <w:rPr>
                <w:sz w:val="20"/>
                <w:szCs w:val="20"/>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rPr>
              <w:t>Memorandum dated August 2, 2021.</w:t>
            </w:r>
          </w:p>
        </w:tc>
      </w:tr>
      <w:tr>
        <w:trPr>
          <w:trHeight w:val="418"/>
        </w:trPr>
        <w:tc>
          <w:tcPr>
            <w:tcW w:w="2980" w:type="dxa"/>
            <w:vAlign w:val="bottom"/>
          </w:tcPr>
          <w:p>
            <w:pPr>
              <w:spacing w:after="0"/>
              <w:rPr>
                <w:sz w:val="20"/>
                <w:szCs w:val="20"/>
                <w:color w:val="auto"/>
              </w:rPr>
            </w:pPr>
            <w:r>
              <w:rPr>
                <w:rFonts w:ascii="Arial" w:cs="Arial" w:eastAsia="Arial" w:hAnsi="Arial"/>
                <w:sz w:val="18"/>
                <w:szCs w:val="18"/>
                <w:i w:val="1"/>
                <w:iCs w:val="1"/>
                <w:color w:val="auto"/>
              </w:rPr>
              <w:t>Registration Rights:</w:t>
            </w:r>
          </w:p>
        </w:tc>
        <w:tc>
          <w:tcPr>
            <w:tcW w:w="8260" w:type="dxa"/>
            <w:vAlign w:val="bottom"/>
          </w:tcPr>
          <w:p>
            <w:pPr>
              <w:ind w:left="1420"/>
              <w:spacing w:after="0"/>
              <w:rPr>
                <w:sz w:val="20"/>
                <w:szCs w:val="20"/>
                <w:color w:val="auto"/>
              </w:rPr>
            </w:pPr>
            <w:r>
              <w:rPr>
                <w:rFonts w:ascii="Arial" w:cs="Arial" w:eastAsia="Arial" w:hAnsi="Arial"/>
                <w:sz w:val="18"/>
                <w:szCs w:val="18"/>
                <w:color w:val="auto"/>
                <w:w w:val="92"/>
              </w:rPr>
              <w:t>Holders of the Notes shall have the rights set forth in the registration rights agreement, dated</w:t>
            </w:r>
          </w:p>
        </w:tc>
      </w:tr>
      <w:tr>
        <w:trPr>
          <w:trHeight w:val="212"/>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0"/>
              </w:rPr>
              <w:t>August 19, 2021, among the Company, the Guarantors and the joint-lead dealer managers (the</w:t>
            </w:r>
          </w:p>
        </w:tc>
      </w:tr>
      <w:tr>
        <w:trPr>
          <w:trHeight w:val="220"/>
        </w:trPr>
        <w:tc>
          <w:tcPr>
            <w:tcW w:w="2980" w:type="dxa"/>
            <w:vAlign w:val="bottom"/>
          </w:tcPr>
          <w:p>
            <w:pPr>
              <w:spacing w:after="0"/>
              <w:rPr>
                <w:sz w:val="19"/>
                <w:szCs w:val="19"/>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Registration Rights Agreement</w:t>
            </w:r>
            <w:r>
              <w:rPr>
                <w:rFonts w:ascii="Arial" w:cs="Arial" w:eastAsia="Arial" w:hAnsi="Arial"/>
                <w:sz w:val="18"/>
                <w:szCs w:val="18"/>
                <w:color w:val="auto"/>
                <w:w w:val="97"/>
              </w:rPr>
              <w:t>”), including the right to receive additional interest as a</w:t>
            </w:r>
          </w:p>
        </w:tc>
      </w:tr>
      <w:tr>
        <w:trPr>
          <w:trHeight w:val="230"/>
        </w:trPr>
        <w:tc>
          <w:tcPr>
            <w:tcW w:w="2980" w:type="dxa"/>
            <w:vAlign w:val="bottom"/>
          </w:tcPr>
          <w:p>
            <w:pPr>
              <w:spacing w:after="0"/>
              <w:rPr>
                <w:sz w:val="20"/>
                <w:szCs w:val="20"/>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rPr>
              <w:t>result of a registration default as provided therein.</w:t>
            </w:r>
          </w:p>
        </w:tc>
      </w:tr>
      <w:tr>
        <w:trPr>
          <w:trHeight w:val="418"/>
        </w:trPr>
        <w:tc>
          <w:tcPr>
            <w:tcW w:w="2980" w:type="dxa"/>
            <w:vAlign w:val="bottom"/>
          </w:tcPr>
          <w:p>
            <w:pPr>
              <w:spacing w:after="0"/>
              <w:rPr>
                <w:sz w:val="24"/>
                <w:szCs w:val="24"/>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rPr>
              <w:t>Upon the close of a Registered Exchange Offer (as defined in the Registration Rights</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1"/>
              </w:rPr>
              <w:t>Agreement), the Company shall (i) accept for exchange all the Notes validly tendered and not</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rPr>
              <w:t>withdrawn pursuant to the Registered Exchange Offer; (ii) deliver to the Trustee for</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0"/>
              </w:rPr>
              <w:t>cancellation all the Notes so accepted for exchange; and (iii) cause the Trustee to authenticate</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3"/>
              </w:rPr>
              <w:t>and deliver to each Notes holder Exchange Securities (as defined in the Registration Rights</w:t>
            </w:r>
          </w:p>
        </w:tc>
      </w:tr>
      <w:tr>
        <w:trPr>
          <w:trHeight w:val="230"/>
        </w:trPr>
        <w:tc>
          <w:tcPr>
            <w:tcW w:w="2980" w:type="dxa"/>
            <w:vAlign w:val="bottom"/>
          </w:tcPr>
          <w:p>
            <w:pPr>
              <w:spacing w:after="0"/>
              <w:rPr>
                <w:sz w:val="20"/>
                <w:szCs w:val="20"/>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2"/>
              </w:rPr>
              <w:t>Agreement) equal in principal amount to the Notes of such holder so accepted for exchange.</w:t>
            </w:r>
          </w:p>
        </w:tc>
      </w:tr>
      <w:tr>
        <w:trPr>
          <w:trHeight w:val="418"/>
        </w:trPr>
        <w:tc>
          <w:tcPr>
            <w:tcW w:w="298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260" w:type="dxa"/>
            <w:vAlign w:val="bottom"/>
          </w:tcPr>
          <w:p>
            <w:pPr>
              <w:ind w:left="1420"/>
              <w:spacing w:after="0"/>
              <w:rPr>
                <w:sz w:val="20"/>
                <w:szCs w:val="20"/>
                <w:color w:val="auto"/>
              </w:rPr>
            </w:pPr>
            <w:r>
              <w:rPr>
                <w:rFonts w:ascii="Arial" w:cs="Arial" w:eastAsia="Arial" w:hAnsi="Arial"/>
                <w:sz w:val="18"/>
                <w:szCs w:val="18"/>
                <w:color w:val="auto"/>
                <w:w w:val="95"/>
              </w:rPr>
              <w:t>The 2051 Notes need not be issued at the same time and the series may be reopened for</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rPr>
              <w:t>issuance of an unlimited principal amount of additional 2051 Notes under this</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1"/>
              </w:rPr>
              <w:t>series. Additional 2051 Notes of this series may be consolidated with, and form a single series</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1"/>
              </w:rPr>
              <w:t>with, 2051 Notes then outstanding, including for purposes of determining whether the required</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1"/>
              </w:rPr>
              <w:t>percentage of the holders of record has given approval or consent to an amendment or waiver</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2"/>
              </w:rPr>
              <w:t>or joined in directing the Trustee to take certain actions on behalf of all holders; provided that</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3"/>
              </w:rPr>
              <w:t>if such additional 2051 Notes are not fungible with the 2051 Notes then outstanding for U.S.</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6"/>
              </w:rPr>
              <w:t>federal income tax purposes, such additional 2051 Notes will have one or more separate</w:t>
            </w:r>
          </w:p>
        </w:tc>
      </w:tr>
      <w:tr>
        <w:trPr>
          <w:trHeight w:val="230"/>
        </w:trPr>
        <w:tc>
          <w:tcPr>
            <w:tcW w:w="2980" w:type="dxa"/>
            <w:vAlign w:val="bottom"/>
          </w:tcPr>
          <w:p>
            <w:pPr>
              <w:spacing w:after="0"/>
              <w:rPr>
                <w:sz w:val="20"/>
                <w:szCs w:val="20"/>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rPr>
              <w:t>CUSIP numbers.</w:t>
            </w:r>
          </w:p>
        </w:tc>
      </w:tr>
      <w:tr>
        <w:trPr>
          <w:trHeight w:val="432"/>
        </w:trPr>
        <w:tc>
          <w:tcPr>
            <w:tcW w:w="298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260" w:type="dxa"/>
            <w:vAlign w:val="bottom"/>
          </w:tcPr>
          <w:p>
            <w:pPr>
              <w:ind w:left="1420"/>
              <w:spacing w:after="0"/>
              <w:rPr>
                <w:sz w:val="20"/>
                <w:szCs w:val="20"/>
                <w:color w:val="auto"/>
              </w:rPr>
            </w:pPr>
            <w:r>
              <w:rPr>
                <w:rFonts w:ascii="Arial" w:cs="Arial" w:eastAsia="Arial" w:hAnsi="Arial"/>
                <w:sz w:val="18"/>
                <w:szCs w:val="18"/>
                <w:color w:val="auto"/>
              </w:rPr>
              <w:t>None</w:t>
            </w:r>
          </w:p>
        </w:tc>
      </w:tr>
      <w:tr>
        <w:trPr>
          <w:trHeight w:val="432"/>
        </w:trPr>
        <w:tc>
          <w:tcPr>
            <w:tcW w:w="298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260" w:type="dxa"/>
            <w:vAlign w:val="bottom"/>
          </w:tcPr>
          <w:p>
            <w:pPr>
              <w:ind w:left="1420"/>
              <w:spacing w:after="0"/>
              <w:rPr>
                <w:sz w:val="20"/>
                <w:szCs w:val="20"/>
                <w:color w:val="auto"/>
              </w:rPr>
            </w:pPr>
            <w:r>
              <w:rPr>
                <w:rFonts w:ascii="Arial" w:cs="Arial" w:eastAsia="Arial" w:hAnsi="Arial"/>
                <w:sz w:val="18"/>
                <w:szCs w:val="18"/>
                <w:color w:val="auto"/>
              </w:rPr>
              <w:t>None</w:t>
            </w:r>
          </w:p>
        </w:tc>
      </w:tr>
      <w:tr>
        <w:trPr>
          <w:trHeight w:val="567"/>
        </w:trPr>
        <w:tc>
          <w:tcPr>
            <w:tcW w:w="298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ind w:left="2560"/>
              <w:spacing w:after="0"/>
              <w:rPr>
                <w:sz w:val="20"/>
                <w:szCs w:val="20"/>
                <w:color w:val="auto"/>
              </w:rPr>
            </w:pPr>
            <w:r>
              <w:rPr>
                <w:rFonts w:ascii="Arial" w:cs="Arial" w:eastAsia="Arial" w:hAnsi="Arial"/>
                <w:sz w:val="22"/>
                <w:szCs w:val="22"/>
                <w:color w:val="auto"/>
              </w:rPr>
              <w:t>2</w:t>
            </w:r>
          </w:p>
        </w:tc>
      </w:tr>
    </w:tbl>
    <w:p>
      <w:pPr>
        <w:sectPr>
          <w:pgSz w:w="11900" w:h="16838" w:orient="portrait"/>
          <w:cols w:equalWidth="0" w:num="1">
            <w:col w:w="11240"/>
          </w:cols>
          <w:pgMar w:left="320" w:top="584"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0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0"/>
              </w:rPr>
              <w:t>The terms of the 2051 Notes shall include such other terms as are set forth in the Form of Note</w:t>
            </w:r>
          </w:p>
        </w:tc>
      </w:tr>
      <w:tr>
        <w:trPr>
          <w:trHeight w:val="194"/>
        </w:trPr>
        <w:tc>
          <w:tcPr>
            <w:tcW w:w="3700" w:type="dxa"/>
            <w:vAlign w:val="bottom"/>
          </w:tcPr>
          <w:p>
            <w:pPr>
              <w:spacing w:after="0"/>
              <w:rPr>
                <w:sz w:val="16"/>
                <w:szCs w:val="16"/>
                <w:color w:val="auto"/>
              </w:rPr>
            </w:pPr>
          </w:p>
        </w:tc>
        <w:tc>
          <w:tcPr>
            <w:tcW w:w="7540" w:type="dxa"/>
            <w:vAlign w:val="bottom"/>
            <w:gridSpan w:val="5"/>
          </w:tcPr>
          <w:p>
            <w:pPr>
              <w:ind w:left="700"/>
              <w:spacing w:after="0" w:line="194" w:lineRule="exact"/>
              <w:rPr>
                <w:sz w:val="20"/>
                <w:szCs w:val="20"/>
                <w:color w:val="auto"/>
              </w:rPr>
            </w:pPr>
            <w:r>
              <w:rPr>
                <w:rFonts w:ascii="Arial" w:cs="Arial" w:eastAsia="Arial" w:hAnsi="Arial"/>
                <w:sz w:val="18"/>
                <w:szCs w:val="18"/>
                <w:color w:val="auto"/>
              </w:rPr>
              <w:t xml:space="preserve">due 2051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3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682"/>
        </w:trPr>
        <w:tc>
          <w:tcPr>
            <w:tcW w:w="3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2.</w:t>
            </w:r>
            <w:r>
              <w:rPr>
                <w:rFonts w:ascii="Arial" w:cs="Arial" w:eastAsia="Arial" w:hAnsi="Arial"/>
                <w:sz w:val="18"/>
                <w:szCs w:val="18"/>
                <w:b w:val="1"/>
                <w:bCs w:val="1"/>
                <w:u w:val="single" w:color="auto"/>
                <w:color w:val="auto"/>
                <w:w w:val="89"/>
              </w:rPr>
              <w:t>937%</w:t>
            </w:r>
            <w:r>
              <w:rPr>
                <w:rFonts w:ascii="Arial" w:cs="Arial" w:eastAsia="Arial" w:hAnsi="Arial"/>
                <w:sz w:val="18"/>
                <w:szCs w:val="18"/>
                <w:b w:val="1"/>
                <w:bCs w:val="1"/>
                <w:color w:val="auto"/>
                <w:w w:val="89"/>
              </w:rPr>
              <w:t xml:space="preserve"> Notes due 2056</w:t>
            </w:r>
          </w:p>
        </w:tc>
        <w:tc>
          <w:tcPr>
            <w:tcW w:w="4720" w:type="dxa"/>
            <w:vAlign w:val="bottom"/>
            <w:gridSpan w:val="2"/>
          </w:tcPr>
          <w:p>
            <w:pPr>
              <w:spacing w:after="0"/>
              <w:rPr>
                <w:sz w:val="24"/>
                <w:szCs w:val="24"/>
                <w:color w:val="auto"/>
              </w:rPr>
            </w:pPr>
          </w:p>
        </w:tc>
      </w:tr>
      <w:tr>
        <w:trPr>
          <w:trHeight w:val="453"/>
        </w:trPr>
        <w:tc>
          <w:tcPr>
            <w:tcW w:w="370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rPr>
              <w:t>2.937% Notes due 2056</w:t>
            </w:r>
          </w:p>
        </w:tc>
      </w:tr>
      <w:tr>
        <w:trPr>
          <w:trHeight w:val="432"/>
        </w:trPr>
        <w:tc>
          <w:tcPr>
            <w:tcW w:w="370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740" w:type="dxa"/>
            <w:vAlign w:val="bottom"/>
            <w:gridSpan w:val="2"/>
          </w:tcPr>
          <w:p>
            <w:pPr>
              <w:ind w:left="700"/>
              <w:spacing w:after="0"/>
              <w:rPr>
                <w:sz w:val="20"/>
                <w:szCs w:val="20"/>
                <w:color w:val="auto"/>
              </w:rPr>
            </w:pPr>
            <w:r>
              <w:rPr>
                <w:rFonts w:ascii="Arial" w:cs="Arial" w:eastAsia="Arial" w:hAnsi="Arial"/>
                <w:sz w:val="18"/>
                <w:szCs w:val="18"/>
                <w:color w:val="auto"/>
              </w:rPr>
              <w:t>$5,999,998,000</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rPr>
              <w:t>November 1, 2056</w:t>
            </w:r>
          </w:p>
        </w:tc>
      </w:tr>
      <w:tr>
        <w:trPr>
          <w:trHeight w:val="432"/>
        </w:trPr>
        <w:tc>
          <w:tcPr>
            <w:tcW w:w="37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740" w:type="dxa"/>
            <w:vAlign w:val="bottom"/>
            <w:gridSpan w:val="2"/>
          </w:tcPr>
          <w:p>
            <w:pPr>
              <w:ind w:left="700"/>
              <w:spacing w:after="0"/>
              <w:rPr>
                <w:sz w:val="20"/>
                <w:szCs w:val="20"/>
                <w:color w:val="auto"/>
              </w:rPr>
            </w:pPr>
            <w:r>
              <w:rPr>
                <w:rFonts w:ascii="Arial" w:cs="Arial" w:eastAsia="Arial" w:hAnsi="Arial"/>
                <w:sz w:val="18"/>
                <w:szCs w:val="18"/>
                <w:color w:val="auto"/>
              </w:rPr>
              <w:t>2.937%</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18"/>
        </w:trPr>
        <w:tc>
          <w:tcPr>
            <w:tcW w:w="370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1"/>
              </w:rPr>
              <w:t>The Company may at its option redeem the 2056 Notes in whole or in part, at any time or from</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1"/>
              </w:rPr>
              <w:t>time to time prior to their maturity, on at least 15 days, but not more than 60 days, prior notice</w:t>
            </w:r>
          </w:p>
        </w:tc>
      </w:tr>
      <w:tr>
        <w:trPr>
          <w:trHeight w:val="212"/>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4"/>
              </w:rPr>
              <w:t>transmitted to the registered address of each holder of the 2056 Notes, at the “Redemption</w:t>
            </w:r>
          </w:p>
        </w:tc>
      </w:tr>
      <w:tr>
        <w:trPr>
          <w:trHeight w:val="220"/>
        </w:trPr>
        <w:tc>
          <w:tcPr>
            <w:tcW w:w="3700" w:type="dxa"/>
            <w:vAlign w:val="bottom"/>
          </w:tcPr>
          <w:p>
            <w:pPr>
              <w:spacing w:after="0"/>
              <w:rPr>
                <w:sz w:val="19"/>
                <w:szCs w:val="19"/>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3"/>
              </w:rPr>
              <w:t>Price.” Prior to May 1, 2056 (the “</w:t>
            </w:r>
            <w:r>
              <w:rPr>
                <w:rFonts w:ascii="Arial" w:cs="Arial" w:eastAsia="Arial" w:hAnsi="Arial"/>
                <w:sz w:val="18"/>
                <w:szCs w:val="18"/>
                <w:b w:val="1"/>
                <w:bCs w:val="1"/>
                <w:color w:val="auto"/>
                <w:w w:val="93"/>
              </w:rPr>
              <w:t>2056 Par Call Date</w:t>
            </w:r>
            <w:r>
              <w:rPr>
                <w:rFonts w:ascii="Arial" w:cs="Arial" w:eastAsia="Arial" w:hAnsi="Arial"/>
                <w:sz w:val="18"/>
                <w:szCs w:val="18"/>
                <w:color w:val="auto"/>
                <w:w w:val="93"/>
              </w:rPr>
              <w:t>”), the Redemption Price is the greater</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1"/>
              </w:rPr>
              <w:t>of (i) 100% of the principal amount of the 2056 Notes, and (ii) the sum of the present values of</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1"/>
              </w:rPr>
              <w:t>the principal amount of such notes and the scheduled payments of interest thereon (exclusive</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3"/>
              </w:rPr>
              <w:t>of interest accrued to the date of redemption) from the redemption date to the 2056 Par Call</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0"/>
              </w:rPr>
              <w:t>Date, in each case discounted to the redemption date on a semiannual basis (assuming a 360-</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5"/>
              </w:rPr>
              <w:t>day year consisting of twelve 30-day months) at the Treasury Rate (as defined in the 2056</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3"/>
              </w:rPr>
              <w:t>Notes) plus 20 basis points. On and after the 2056 Par Call Date, the Redemption Price will</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2"/>
              </w:rPr>
              <w:t>equal 100% of the principal amount of such notes. In each case described in this paragraph,</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rPr>
              <w:t>the Redemption Price will include accrued and unpaid interest thereon to the date of</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1"/>
              </w:rPr>
              <w:t>redemption, and in each case described in this paragraph, subject to the further description in</w:t>
            </w:r>
          </w:p>
        </w:tc>
      </w:tr>
      <w:tr>
        <w:trPr>
          <w:trHeight w:val="230"/>
        </w:trPr>
        <w:tc>
          <w:tcPr>
            <w:tcW w:w="3700" w:type="dxa"/>
            <w:vAlign w:val="bottom"/>
          </w:tcPr>
          <w:p>
            <w:pPr>
              <w:spacing w:after="0"/>
              <w:rPr>
                <w:sz w:val="20"/>
                <w:szCs w:val="20"/>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rPr>
              <w:t>the Offering Memorandum dated August 2, 2021.</w:t>
            </w:r>
          </w:p>
        </w:tc>
      </w:tr>
      <w:tr>
        <w:trPr>
          <w:trHeight w:val="418"/>
        </w:trPr>
        <w:tc>
          <w:tcPr>
            <w:tcW w:w="3700" w:type="dxa"/>
            <w:vAlign w:val="bottom"/>
          </w:tcPr>
          <w:p>
            <w:pPr>
              <w:spacing w:after="0"/>
              <w:rPr>
                <w:sz w:val="20"/>
                <w:szCs w:val="20"/>
                <w:color w:val="auto"/>
              </w:rPr>
            </w:pPr>
            <w:r>
              <w:rPr>
                <w:rFonts w:ascii="Arial" w:cs="Arial" w:eastAsia="Arial" w:hAnsi="Arial"/>
                <w:sz w:val="18"/>
                <w:szCs w:val="18"/>
                <w:i w:val="1"/>
                <w:iCs w:val="1"/>
                <w:color w:val="auto"/>
              </w:rPr>
              <w:t>Registration Rights:</w:t>
            </w: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6"/>
              </w:rPr>
              <w:t>Holders of the Notes shall have the rights set forth in the Registration Rights Agreement,</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1"/>
              </w:rPr>
              <w:t>including the right to receive additional interest as a result of a registration default as provided</w:t>
            </w:r>
          </w:p>
        </w:tc>
      </w:tr>
      <w:tr>
        <w:trPr>
          <w:trHeight w:val="230"/>
        </w:trPr>
        <w:tc>
          <w:tcPr>
            <w:tcW w:w="3700" w:type="dxa"/>
            <w:vAlign w:val="bottom"/>
          </w:tcPr>
          <w:p>
            <w:pPr>
              <w:spacing w:after="0"/>
              <w:rPr>
                <w:sz w:val="20"/>
                <w:szCs w:val="20"/>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rPr>
              <w:t>therein.</w:t>
            </w:r>
          </w:p>
        </w:tc>
      </w:tr>
      <w:tr>
        <w:trPr>
          <w:trHeight w:val="418"/>
        </w:trPr>
        <w:tc>
          <w:tcPr>
            <w:tcW w:w="3700" w:type="dxa"/>
            <w:vAlign w:val="bottom"/>
          </w:tcPr>
          <w:p>
            <w:pPr>
              <w:spacing w:after="0"/>
              <w:rPr>
                <w:sz w:val="24"/>
                <w:szCs w:val="24"/>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rPr>
              <w:t>Upon the close of a Registered Exchange Offer (as defined in the Registration Rights</w:t>
            </w:r>
          </w:p>
        </w:tc>
      </w:tr>
      <w:tr>
        <w:trPr>
          <w:trHeight w:val="230"/>
        </w:trPr>
        <w:tc>
          <w:tcPr>
            <w:tcW w:w="3700" w:type="dxa"/>
            <w:vAlign w:val="bottom"/>
          </w:tcPr>
          <w:p>
            <w:pPr>
              <w:spacing w:after="0"/>
              <w:rPr>
                <w:sz w:val="20"/>
                <w:szCs w:val="20"/>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rPr>
              <w:t>Agreement), the Company shall (i) accept for exchange all the Notes</w:t>
            </w:r>
          </w:p>
        </w:tc>
      </w:tr>
      <w:tr>
        <w:trPr>
          <w:trHeight w:val="351"/>
        </w:trPr>
        <w:tc>
          <w:tcPr>
            <w:tcW w:w="37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ind w:left="1840"/>
              <w:spacing w:after="0"/>
              <w:rPr>
                <w:sz w:val="20"/>
                <w:szCs w:val="20"/>
                <w:color w:val="auto"/>
              </w:rPr>
            </w:pPr>
            <w:r>
              <w:rPr>
                <w:rFonts w:ascii="Arial" w:cs="Arial" w:eastAsia="Arial" w:hAnsi="Arial"/>
                <w:sz w:val="22"/>
                <w:szCs w:val="22"/>
                <w:color w:val="auto"/>
              </w:rPr>
              <w:t>3</w:t>
            </w: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3"/>
              </w:rPr>
              <w:t>validly tendered and not withdrawn pursuant to the Registered Exchange Offer; (ii) deliver to</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0"/>
              </w:rPr>
              <w:t>the Trustee for cancellation all the Notes so accepted for exchange; and (iii) cause the Trustee</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8"/>
              </w:rPr>
              <w:t>to authenticate and deliver to each Notes holder Exchange Securities (as defined in the</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7"/>
              </w:rPr>
              <w:t>Registration Rights Agreement) equal in principal amount to the Notes of such holder so</w:t>
            </w:r>
          </w:p>
        </w:tc>
      </w:tr>
      <w:tr>
        <w:trPr>
          <w:trHeight w:val="230"/>
        </w:trPr>
        <w:tc>
          <w:tcPr>
            <w:tcW w:w="3700" w:type="dxa"/>
            <w:vAlign w:val="bottom"/>
          </w:tcPr>
          <w:p>
            <w:pPr>
              <w:spacing w:after="0"/>
              <w:rPr>
                <w:sz w:val="20"/>
                <w:szCs w:val="20"/>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rPr>
              <w:t>accepted for exchange.</w:t>
            </w:r>
          </w:p>
        </w:tc>
      </w:tr>
      <w:tr>
        <w:trPr>
          <w:trHeight w:val="418"/>
        </w:trPr>
        <w:tc>
          <w:tcPr>
            <w:tcW w:w="370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5"/>
              </w:rPr>
              <w:t>The 2056 Notes need not be issued at the same time and the series may be reopened for</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rPr>
              <w:t>issuance of an unlimited principal amount of additional 2056 Notes under this</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1"/>
              </w:rPr>
              <w:t>series. Additional 2056 Notes of this series may be consolidated with, and form a single series</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1"/>
              </w:rPr>
              <w:t>with, 2056 Notes then outstanding, including for purposes of determining whether the required</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1"/>
              </w:rPr>
              <w:t>percentage of the holders of record has given approval or consent to an amendment or waiver</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2"/>
              </w:rPr>
              <w:t>or joined in directing the Trustee to take certain actions on behalf of all holders; provided that</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3"/>
              </w:rPr>
              <w:t>if such additional 2056 Notes are not fungible with the 2056 Notes then outstanding for U.S.</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6"/>
              </w:rPr>
              <w:t>federal income tax purposes, such additional 2056 Notes will have one or more separate</w:t>
            </w:r>
          </w:p>
        </w:tc>
      </w:tr>
      <w:tr>
        <w:trPr>
          <w:trHeight w:val="230"/>
        </w:trPr>
        <w:tc>
          <w:tcPr>
            <w:tcW w:w="3700" w:type="dxa"/>
            <w:vAlign w:val="bottom"/>
          </w:tcPr>
          <w:p>
            <w:pPr>
              <w:spacing w:after="0"/>
              <w:rPr>
                <w:sz w:val="20"/>
                <w:szCs w:val="20"/>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rPr>
              <w:t>CUSIP numbers.</w:t>
            </w:r>
          </w:p>
        </w:tc>
      </w:tr>
      <w:tr>
        <w:trPr>
          <w:trHeight w:val="432"/>
        </w:trPr>
        <w:tc>
          <w:tcPr>
            <w:tcW w:w="370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rPr>
              <w:t>None</w:t>
            </w:r>
          </w:p>
        </w:tc>
      </w:tr>
      <w:tr>
        <w:trPr>
          <w:trHeight w:val="432"/>
        </w:trPr>
        <w:tc>
          <w:tcPr>
            <w:tcW w:w="370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rPr>
              <w:t>None</w:t>
            </w:r>
          </w:p>
        </w:tc>
      </w:tr>
      <w:tr>
        <w:trPr>
          <w:trHeight w:val="414"/>
        </w:trPr>
        <w:tc>
          <w:tcPr>
            <w:tcW w:w="370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0"/>
              </w:rPr>
              <w:t>The terms of the 2056 Notes shall include such other terms as are set forth in the Form of Note</w:t>
            </w:r>
          </w:p>
        </w:tc>
      </w:tr>
      <w:tr>
        <w:trPr>
          <w:trHeight w:val="194"/>
        </w:trPr>
        <w:tc>
          <w:tcPr>
            <w:tcW w:w="3700" w:type="dxa"/>
            <w:vAlign w:val="bottom"/>
          </w:tcPr>
          <w:p>
            <w:pPr>
              <w:spacing w:after="0"/>
              <w:rPr>
                <w:sz w:val="16"/>
                <w:szCs w:val="16"/>
                <w:color w:val="auto"/>
              </w:rPr>
            </w:pPr>
          </w:p>
        </w:tc>
        <w:tc>
          <w:tcPr>
            <w:tcW w:w="7540" w:type="dxa"/>
            <w:vAlign w:val="bottom"/>
            <w:gridSpan w:val="5"/>
          </w:tcPr>
          <w:p>
            <w:pPr>
              <w:ind w:left="700"/>
              <w:spacing w:after="0" w:line="194" w:lineRule="exact"/>
              <w:rPr>
                <w:sz w:val="20"/>
                <w:szCs w:val="20"/>
                <w:color w:val="auto"/>
              </w:rPr>
            </w:pPr>
            <w:r>
              <w:rPr>
                <w:rFonts w:ascii="Arial" w:cs="Arial" w:eastAsia="Arial" w:hAnsi="Arial"/>
                <w:sz w:val="18"/>
                <w:szCs w:val="18"/>
                <w:color w:val="auto"/>
              </w:rPr>
              <w:t xml:space="preserve">due 2056 attached hereto as </w:t>
            </w:r>
            <w:r>
              <w:rPr>
                <w:rFonts w:ascii="Arial" w:cs="Arial" w:eastAsia="Arial" w:hAnsi="Arial"/>
                <w:sz w:val="18"/>
                <w:szCs w:val="18"/>
                <w:b w:val="1"/>
                <w:bCs w:val="1"/>
                <w:color w:val="auto"/>
              </w:rPr>
              <w:t>Exhibit B</w:t>
            </w:r>
            <w:r>
              <w:rPr>
                <w:rFonts w:ascii="Arial" w:cs="Arial" w:eastAsia="Arial" w:hAnsi="Arial"/>
                <w:sz w:val="18"/>
                <w:szCs w:val="18"/>
                <w:color w:val="auto"/>
              </w:rPr>
              <w:t>.</w:t>
            </w:r>
          </w:p>
        </w:tc>
      </w:tr>
      <w:tr>
        <w:trPr>
          <w:trHeight w:val="20"/>
        </w:trPr>
        <w:tc>
          <w:tcPr>
            <w:tcW w:w="3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r>
      <w:tr>
        <w:trPr>
          <w:trHeight w:val="628"/>
        </w:trPr>
        <w:tc>
          <w:tcPr>
            <w:tcW w:w="3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2.</w:t>
            </w:r>
            <w:r>
              <w:rPr>
                <w:rFonts w:ascii="Arial" w:cs="Arial" w:eastAsia="Arial" w:hAnsi="Arial"/>
                <w:sz w:val="18"/>
                <w:szCs w:val="18"/>
                <w:b w:val="1"/>
                <w:bCs w:val="1"/>
                <w:u w:val="single" w:color="auto"/>
                <w:color w:val="auto"/>
                <w:w w:val="89"/>
              </w:rPr>
              <w:t>987%</w:t>
            </w:r>
            <w:r>
              <w:rPr>
                <w:rFonts w:ascii="Arial" w:cs="Arial" w:eastAsia="Arial" w:hAnsi="Arial"/>
                <w:sz w:val="18"/>
                <w:szCs w:val="18"/>
                <w:b w:val="1"/>
                <w:bCs w:val="1"/>
                <w:color w:val="auto"/>
                <w:w w:val="89"/>
              </w:rPr>
              <w:t xml:space="preserve"> Notes due 2063</w:t>
            </w:r>
          </w:p>
        </w:tc>
        <w:tc>
          <w:tcPr>
            <w:tcW w:w="4720" w:type="dxa"/>
            <w:vAlign w:val="bottom"/>
            <w:gridSpan w:val="2"/>
          </w:tcPr>
          <w:p>
            <w:pPr>
              <w:spacing w:after="0"/>
              <w:rPr>
                <w:sz w:val="24"/>
                <w:szCs w:val="24"/>
                <w:color w:val="auto"/>
              </w:rPr>
            </w:pPr>
          </w:p>
        </w:tc>
      </w:tr>
      <w:tr>
        <w:trPr>
          <w:trHeight w:val="453"/>
        </w:trPr>
        <w:tc>
          <w:tcPr>
            <w:tcW w:w="3700" w:type="dxa"/>
            <w:vAlign w:val="bottom"/>
          </w:tcPr>
          <w:p>
            <w:pPr>
              <w:spacing w:after="0"/>
              <w:rPr>
                <w:sz w:val="20"/>
                <w:szCs w:val="20"/>
                <w:color w:val="auto"/>
              </w:rPr>
            </w:pPr>
            <w:r>
              <w:rPr>
                <w:rFonts w:ascii="Arial" w:cs="Arial" w:eastAsia="Arial" w:hAnsi="Arial"/>
                <w:sz w:val="18"/>
                <w:szCs w:val="18"/>
                <w:i w:val="1"/>
                <w:iCs w:val="1"/>
                <w:color w:val="auto"/>
              </w:rPr>
              <w:t>Title:</w:t>
            </w: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rPr>
              <w:t>2.987% Notes due 2063</w:t>
            </w:r>
          </w:p>
        </w:tc>
      </w:tr>
      <w:tr>
        <w:trPr>
          <w:trHeight w:val="432"/>
        </w:trPr>
        <w:tc>
          <w:tcPr>
            <w:tcW w:w="3700" w:type="dxa"/>
            <w:vAlign w:val="bottom"/>
          </w:tcPr>
          <w:p>
            <w:pPr>
              <w:spacing w:after="0"/>
              <w:rPr>
                <w:sz w:val="20"/>
                <w:szCs w:val="20"/>
                <w:color w:val="auto"/>
              </w:rPr>
            </w:pPr>
            <w:r>
              <w:rPr>
                <w:rFonts w:ascii="Arial" w:cs="Arial" w:eastAsia="Arial" w:hAnsi="Arial"/>
                <w:sz w:val="18"/>
                <w:szCs w:val="18"/>
                <w:i w:val="1"/>
                <w:iCs w:val="1"/>
                <w:color w:val="auto"/>
              </w:rPr>
              <w:t>Aggregate Principal Amount at Maturity:</w:t>
            </w:r>
          </w:p>
        </w:tc>
        <w:tc>
          <w:tcPr>
            <w:tcW w:w="2740" w:type="dxa"/>
            <w:vAlign w:val="bottom"/>
            <w:gridSpan w:val="2"/>
          </w:tcPr>
          <w:p>
            <w:pPr>
              <w:ind w:left="700"/>
              <w:spacing w:after="0"/>
              <w:rPr>
                <w:sz w:val="20"/>
                <w:szCs w:val="20"/>
                <w:color w:val="auto"/>
              </w:rPr>
            </w:pPr>
            <w:r>
              <w:rPr>
                <w:rFonts w:ascii="Arial" w:cs="Arial" w:eastAsia="Arial" w:hAnsi="Arial"/>
                <w:sz w:val="18"/>
                <w:szCs w:val="18"/>
                <w:color w:val="auto"/>
              </w:rPr>
              <w:t>$4,000,000,000</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32"/>
        </w:trPr>
        <w:tc>
          <w:tcPr>
            <w:tcW w:w="3700" w:type="dxa"/>
            <w:vAlign w:val="bottom"/>
          </w:tcPr>
          <w:p>
            <w:pPr>
              <w:spacing w:after="0"/>
              <w:rPr>
                <w:sz w:val="20"/>
                <w:szCs w:val="20"/>
                <w:color w:val="auto"/>
              </w:rPr>
            </w:pPr>
            <w:r>
              <w:rPr>
                <w:rFonts w:ascii="Arial" w:cs="Arial" w:eastAsia="Arial" w:hAnsi="Arial"/>
                <w:sz w:val="18"/>
                <w:szCs w:val="18"/>
                <w:i w:val="1"/>
                <w:iCs w:val="1"/>
                <w:color w:val="auto"/>
              </w:rPr>
              <w:t>Principal Payment Date:</w:t>
            </w: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rPr>
              <w:t>November 1, 2063</w:t>
            </w:r>
          </w:p>
        </w:tc>
      </w:tr>
      <w:tr>
        <w:trPr>
          <w:trHeight w:val="432"/>
        </w:trPr>
        <w:tc>
          <w:tcPr>
            <w:tcW w:w="370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740" w:type="dxa"/>
            <w:vAlign w:val="bottom"/>
            <w:gridSpan w:val="2"/>
          </w:tcPr>
          <w:p>
            <w:pPr>
              <w:ind w:left="700"/>
              <w:spacing w:after="0"/>
              <w:rPr>
                <w:sz w:val="20"/>
                <w:szCs w:val="20"/>
                <w:color w:val="auto"/>
              </w:rPr>
            </w:pPr>
            <w:r>
              <w:rPr>
                <w:rFonts w:ascii="Arial" w:cs="Arial" w:eastAsia="Arial" w:hAnsi="Arial"/>
                <w:sz w:val="18"/>
                <w:szCs w:val="18"/>
                <w:color w:val="auto"/>
              </w:rPr>
              <w:t>2.987%</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418"/>
        </w:trPr>
        <w:tc>
          <w:tcPr>
            <w:tcW w:w="3700" w:type="dxa"/>
            <w:vAlign w:val="bottom"/>
          </w:tcPr>
          <w:p>
            <w:pPr>
              <w:spacing w:after="0"/>
              <w:rPr>
                <w:sz w:val="20"/>
                <w:szCs w:val="20"/>
                <w:color w:val="auto"/>
              </w:rPr>
            </w:pPr>
            <w:r>
              <w:rPr>
                <w:rFonts w:ascii="Arial" w:cs="Arial" w:eastAsia="Arial" w:hAnsi="Arial"/>
                <w:sz w:val="18"/>
                <w:szCs w:val="18"/>
                <w:i w:val="1"/>
                <w:iCs w:val="1"/>
                <w:color w:val="auto"/>
              </w:rPr>
              <w:t>Redemption:</w:t>
            </w: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1"/>
              </w:rPr>
              <w:t>The Company may at its option redeem the 2063 Notes in whole or in part, at any time or from</w:t>
            </w:r>
          </w:p>
        </w:tc>
      </w:tr>
      <w:tr>
        <w:trPr>
          <w:trHeight w:val="216"/>
        </w:trPr>
        <w:tc>
          <w:tcPr>
            <w:tcW w:w="3700" w:type="dxa"/>
            <w:vAlign w:val="bottom"/>
          </w:tcPr>
          <w:p>
            <w:pPr>
              <w:spacing w:after="0"/>
              <w:rPr>
                <w:sz w:val="18"/>
                <w:szCs w:val="18"/>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w w:val="91"/>
              </w:rPr>
              <w:t>time to time prior to their maturity, on at least 15 days, but not more than 60 days, prior notice</w:t>
            </w:r>
          </w:p>
        </w:tc>
      </w:tr>
      <w:tr>
        <w:trPr>
          <w:trHeight w:val="230"/>
        </w:trPr>
        <w:tc>
          <w:tcPr>
            <w:tcW w:w="3700" w:type="dxa"/>
            <w:vAlign w:val="bottom"/>
          </w:tcPr>
          <w:p>
            <w:pPr>
              <w:spacing w:after="0"/>
              <w:rPr>
                <w:sz w:val="20"/>
                <w:szCs w:val="20"/>
                <w:color w:val="auto"/>
              </w:rPr>
            </w:pPr>
          </w:p>
        </w:tc>
        <w:tc>
          <w:tcPr>
            <w:tcW w:w="7540" w:type="dxa"/>
            <w:vAlign w:val="bottom"/>
            <w:gridSpan w:val="5"/>
          </w:tcPr>
          <w:p>
            <w:pPr>
              <w:ind w:left="700"/>
              <w:spacing w:after="0"/>
              <w:rPr>
                <w:sz w:val="20"/>
                <w:szCs w:val="20"/>
                <w:color w:val="auto"/>
              </w:rPr>
            </w:pPr>
            <w:r>
              <w:rPr>
                <w:rFonts w:ascii="Arial" w:cs="Arial" w:eastAsia="Arial" w:hAnsi="Arial"/>
                <w:sz w:val="18"/>
                <w:szCs w:val="18"/>
                <w:color w:val="auto"/>
              </w:rPr>
              <w:t>transmitted</w:t>
            </w:r>
          </w:p>
        </w:tc>
      </w:tr>
      <w:tr>
        <w:trPr>
          <w:trHeight w:val="351"/>
        </w:trPr>
        <w:tc>
          <w:tcPr>
            <w:tcW w:w="37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2"/>
          </w:tcPr>
          <w:p>
            <w:pPr>
              <w:ind w:left="1840"/>
              <w:spacing w:after="0"/>
              <w:rPr>
                <w:sz w:val="20"/>
                <w:szCs w:val="20"/>
                <w:color w:val="auto"/>
              </w:rPr>
            </w:pPr>
            <w:r>
              <w:rPr>
                <w:rFonts w:ascii="Arial" w:cs="Arial" w:eastAsia="Arial" w:hAnsi="Arial"/>
                <w:sz w:val="22"/>
                <w:szCs w:val="22"/>
                <w:color w:val="auto"/>
              </w:rPr>
              <w:t>4</w:t>
            </w: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4"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1"/>
              </w:rPr>
              <w:t>to the registered address of each holder of the 2063 Notes, at the “Redemption Price.” Prior to</w:t>
            </w:r>
          </w:p>
        </w:tc>
      </w:tr>
      <w:tr>
        <w:trPr>
          <w:trHeight w:val="220"/>
        </w:trPr>
        <w:tc>
          <w:tcPr>
            <w:tcW w:w="2980" w:type="dxa"/>
            <w:vAlign w:val="bottom"/>
          </w:tcPr>
          <w:p>
            <w:pPr>
              <w:spacing w:after="0"/>
              <w:rPr>
                <w:sz w:val="19"/>
                <w:szCs w:val="19"/>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4"/>
              </w:rPr>
              <w:t>May 1, 2063 (the “</w:t>
            </w:r>
            <w:r>
              <w:rPr>
                <w:rFonts w:ascii="Arial" w:cs="Arial" w:eastAsia="Arial" w:hAnsi="Arial"/>
                <w:sz w:val="18"/>
                <w:szCs w:val="18"/>
                <w:b w:val="1"/>
                <w:bCs w:val="1"/>
                <w:color w:val="auto"/>
                <w:w w:val="94"/>
              </w:rPr>
              <w:t>2063 Par Call Date</w:t>
            </w:r>
            <w:r>
              <w:rPr>
                <w:rFonts w:ascii="Arial" w:cs="Arial" w:eastAsia="Arial" w:hAnsi="Arial"/>
                <w:sz w:val="18"/>
                <w:szCs w:val="18"/>
                <w:color w:val="auto"/>
                <w:w w:val="94"/>
              </w:rPr>
              <w:t>”), the Redemption Price is the greater of (i) 100% of</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2"/>
              </w:rPr>
              <w:t>the principal amount of the 2063 Notes, and (ii) the sum of the present values of the principal</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3"/>
              </w:rPr>
              <w:t>amount of such notes and the scheduled payments of interest thereon (exclusive of interest</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0"/>
              </w:rPr>
              <w:t>accrued to the date of redemption) from the redemption date to the 2063 Par Call Date, in each</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5"/>
              </w:rPr>
              <w:t>case discounted to the redemption date on a semiannual basis (assuming a 360-day year</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2"/>
              </w:rPr>
              <w:t>consisting of twelve 30-day months) at the Treasury Rate (as defined in the 2063 Notes) plus</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0"/>
              </w:rPr>
              <w:t>20 basis points. On and after the 2063 Par Call Date, the Redemption Price will equal 100% of</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1"/>
              </w:rPr>
              <w:t>the principal amount of such notes. In each case described in this paragraph, the Redemption</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2"/>
              </w:rPr>
              <w:t>Price will include accrued and unpaid interest thereon to the date of redemption, and in each</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rPr>
              <w:t>case described in this paragraph, subject to the further description in the Offering</w:t>
            </w:r>
          </w:p>
        </w:tc>
      </w:tr>
      <w:tr>
        <w:trPr>
          <w:trHeight w:val="230"/>
        </w:trPr>
        <w:tc>
          <w:tcPr>
            <w:tcW w:w="2980" w:type="dxa"/>
            <w:vAlign w:val="bottom"/>
          </w:tcPr>
          <w:p>
            <w:pPr>
              <w:spacing w:after="0"/>
              <w:rPr>
                <w:sz w:val="20"/>
                <w:szCs w:val="20"/>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rPr>
              <w:t>Memorandum dated August 2, 2021.</w:t>
            </w:r>
          </w:p>
        </w:tc>
      </w:tr>
      <w:tr>
        <w:trPr>
          <w:trHeight w:val="418"/>
        </w:trPr>
        <w:tc>
          <w:tcPr>
            <w:tcW w:w="2980" w:type="dxa"/>
            <w:vAlign w:val="bottom"/>
          </w:tcPr>
          <w:p>
            <w:pPr>
              <w:spacing w:after="0"/>
              <w:rPr>
                <w:sz w:val="20"/>
                <w:szCs w:val="20"/>
                <w:color w:val="auto"/>
              </w:rPr>
            </w:pPr>
            <w:r>
              <w:rPr>
                <w:rFonts w:ascii="Arial" w:cs="Arial" w:eastAsia="Arial" w:hAnsi="Arial"/>
                <w:sz w:val="18"/>
                <w:szCs w:val="18"/>
                <w:i w:val="1"/>
                <w:iCs w:val="1"/>
                <w:color w:val="auto"/>
              </w:rPr>
              <w:t>Registration Rights:</w:t>
            </w:r>
          </w:p>
        </w:tc>
        <w:tc>
          <w:tcPr>
            <w:tcW w:w="8260" w:type="dxa"/>
            <w:vAlign w:val="bottom"/>
          </w:tcPr>
          <w:p>
            <w:pPr>
              <w:ind w:left="1420"/>
              <w:spacing w:after="0"/>
              <w:rPr>
                <w:sz w:val="20"/>
                <w:szCs w:val="20"/>
                <w:color w:val="auto"/>
              </w:rPr>
            </w:pPr>
            <w:r>
              <w:rPr>
                <w:rFonts w:ascii="Arial" w:cs="Arial" w:eastAsia="Arial" w:hAnsi="Arial"/>
                <w:sz w:val="18"/>
                <w:szCs w:val="18"/>
                <w:color w:val="auto"/>
                <w:w w:val="96"/>
              </w:rPr>
              <w:t>Holders of the Notes shall have the rights set forth in the Registration Rights Agreement,</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1"/>
              </w:rPr>
              <w:t>including the right to receive additional interest as a result of a registration default as provided</w:t>
            </w:r>
          </w:p>
        </w:tc>
      </w:tr>
      <w:tr>
        <w:trPr>
          <w:trHeight w:val="230"/>
        </w:trPr>
        <w:tc>
          <w:tcPr>
            <w:tcW w:w="2980" w:type="dxa"/>
            <w:vAlign w:val="bottom"/>
          </w:tcPr>
          <w:p>
            <w:pPr>
              <w:spacing w:after="0"/>
              <w:rPr>
                <w:sz w:val="20"/>
                <w:szCs w:val="20"/>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rPr>
              <w:t>therein.</w:t>
            </w:r>
          </w:p>
        </w:tc>
      </w:tr>
      <w:tr>
        <w:trPr>
          <w:trHeight w:val="418"/>
        </w:trPr>
        <w:tc>
          <w:tcPr>
            <w:tcW w:w="2980" w:type="dxa"/>
            <w:vAlign w:val="bottom"/>
          </w:tcPr>
          <w:p>
            <w:pPr>
              <w:spacing w:after="0"/>
              <w:rPr>
                <w:sz w:val="24"/>
                <w:szCs w:val="24"/>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rPr>
              <w:t>Upon the close of a Registered Exchange Offer (as defined in the Registration Rights</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7"/>
              </w:rPr>
              <w:t>Agreement), the Company (i) accept for exchange all the Notes validly tendered and not</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rPr>
              <w:t>withdrawn pursuant to the Registered Exchange Offer; (ii) deliver to the Trustee for</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0"/>
              </w:rPr>
              <w:t>cancellation all the Notes so accepted for exchange; and (iii) cause the Trustee to authenticate</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3"/>
              </w:rPr>
              <w:t>and deliver to each Notes holder Exchange Securities (as defined in the Registration Rights</w:t>
            </w:r>
          </w:p>
        </w:tc>
      </w:tr>
      <w:tr>
        <w:trPr>
          <w:trHeight w:val="230"/>
        </w:trPr>
        <w:tc>
          <w:tcPr>
            <w:tcW w:w="2980" w:type="dxa"/>
            <w:vAlign w:val="bottom"/>
          </w:tcPr>
          <w:p>
            <w:pPr>
              <w:spacing w:after="0"/>
              <w:rPr>
                <w:sz w:val="20"/>
                <w:szCs w:val="20"/>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2"/>
              </w:rPr>
              <w:t>Agreement) equal in principal amount to the Notes of such holder so accepted for exchange.</w:t>
            </w:r>
          </w:p>
        </w:tc>
      </w:tr>
      <w:tr>
        <w:trPr>
          <w:trHeight w:val="418"/>
        </w:trPr>
        <w:tc>
          <w:tcPr>
            <w:tcW w:w="298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260" w:type="dxa"/>
            <w:vAlign w:val="bottom"/>
          </w:tcPr>
          <w:p>
            <w:pPr>
              <w:ind w:left="1420"/>
              <w:spacing w:after="0"/>
              <w:rPr>
                <w:sz w:val="20"/>
                <w:szCs w:val="20"/>
                <w:color w:val="auto"/>
              </w:rPr>
            </w:pPr>
            <w:r>
              <w:rPr>
                <w:rFonts w:ascii="Arial" w:cs="Arial" w:eastAsia="Arial" w:hAnsi="Arial"/>
                <w:sz w:val="18"/>
                <w:szCs w:val="18"/>
                <w:color w:val="auto"/>
                <w:w w:val="95"/>
              </w:rPr>
              <w:t>The 2063 Notes need not be issued at the same time and the series may be reopened for</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rPr>
              <w:t>issuance of an unlimited principal amount of additional 2063 Notes under this</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1"/>
              </w:rPr>
              <w:t>series. Additional 2063 Notes of this series may be consolidated with, and form a single series</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1"/>
              </w:rPr>
              <w:t>with, 2063 Notes then outstanding, including for purposes of determining whether the required</w:t>
            </w:r>
          </w:p>
        </w:tc>
      </w:tr>
      <w:tr>
        <w:trPr>
          <w:trHeight w:val="216"/>
        </w:trPr>
        <w:tc>
          <w:tcPr>
            <w:tcW w:w="2980" w:type="dxa"/>
            <w:vAlign w:val="bottom"/>
          </w:tcPr>
          <w:p>
            <w:pPr>
              <w:spacing w:after="0"/>
              <w:rPr>
                <w:sz w:val="18"/>
                <w:szCs w:val="18"/>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1"/>
              </w:rPr>
              <w:t>percentage of the holders of record has given approval or consent to an amendment or waiver</w:t>
            </w:r>
          </w:p>
        </w:tc>
      </w:tr>
      <w:tr>
        <w:trPr>
          <w:trHeight w:val="230"/>
        </w:trPr>
        <w:tc>
          <w:tcPr>
            <w:tcW w:w="2980" w:type="dxa"/>
            <w:vAlign w:val="bottom"/>
          </w:tcPr>
          <w:p>
            <w:pPr>
              <w:spacing w:after="0"/>
              <w:rPr>
                <w:sz w:val="20"/>
                <w:szCs w:val="20"/>
                <w:color w:val="auto"/>
              </w:rPr>
            </w:pPr>
          </w:p>
        </w:tc>
        <w:tc>
          <w:tcPr>
            <w:tcW w:w="8260" w:type="dxa"/>
            <w:vAlign w:val="bottom"/>
          </w:tcPr>
          <w:p>
            <w:pPr>
              <w:ind w:left="1420"/>
              <w:spacing w:after="0"/>
              <w:rPr>
                <w:sz w:val="20"/>
                <w:szCs w:val="20"/>
                <w:color w:val="auto"/>
              </w:rPr>
            </w:pPr>
            <w:r>
              <w:rPr>
                <w:rFonts w:ascii="Arial" w:cs="Arial" w:eastAsia="Arial" w:hAnsi="Arial"/>
                <w:sz w:val="18"/>
                <w:szCs w:val="18"/>
                <w:color w:val="auto"/>
                <w:w w:val="97"/>
              </w:rPr>
              <w:t>or joined in directing the Trustee to take certain actions on behalf of all holders; provided</w:t>
            </w:r>
          </w:p>
        </w:tc>
      </w:tr>
      <w:tr>
        <w:trPr>
          <w:trHeight w:val="351"/>
        </w:trPr>
        <w:tc>
          <w:tcPr>
            <w:tcW w:w="298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ind w:left="2560"/>
              <w:spacing w:after="0"/>
              <w:rPr>
                <w:sz w:val="20"/>
                <w:szCs w:val="20"/>
                <w:color w:val="auto"/>
              </w:rPr>
            </w:pPr>
            <w:r>
              <w:rPr>
                <w:rFonts w:ascii="Arial" w:cs="Arial" w:eastAsia="Arial" w:hAnsi="Arial"/>
                <w:sz w:val="22"/>
                <w:szCs w:val="22"/>
                <w:color w:val="auto"/>
              </w:rPr>
              <w:t>5</w:t>
            </w:r>
          </w:p>
        </w:tc>
      </w:tr>
    </w:tbl>
    <w:p>
      <w:pPr>
        <w:sectPr>
          <w:pgSz w:w="11900" w:h="16838" w:orient="portrait"/>
          <w:cols w:equalWidth="0" w:num="1">
            <w:col w:w="11240"/>
          </w:cols>
          <w:pgMar w:left="320" w:top="584"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8460" w:type="dxa"/>
            <w:vAlign w:val="bottom"/>
            <w:gridSpan w:val="3"/>
          </w:tcPr>
          <w:p>
            <w:pPr>
              <w:ind w:left="1640"/>
              <w:spacing w:after="0"/>
              <w:rPr>
                <w:sz w:val="20"/>
                <w:szCs w:val="20"/>
                <w:color w:val="auto"/>
              </w:rPr>
            </w:pPr>
            <w:r>
              <w:rPr>
                <w:rFonts w:ascii="Arial" w:cs="Arial" w:eastAsia="Arial" w:hAnsi="Arial"/>
                <w:sz w:val="18"/>
                <w:szCs w:val="18"/>
                <w:color w:val="auto"/>
                <w:w w:val="93"/>
              </w:rPr>
              <w:t>that if such additional 2063 Notes are not fungible with the 2063 Notes then outstanding for</w:t>
            </w:r>
          </w:p>
        </w:tc>
      </w:tr>
      <w:tr>
        <w:trPr>
          <w:trHeight w:val="216"/>
        </w:trPr>
        <w:tc>
          <w:tcPr>
            <w:tcW w:w="2760" w:type="dxa"/>
            <w:vAlign w:val="bottom"/>
          </w:tcPr>
          <w:p>
            <w:pPr>
              <w:spacing w:after="0"/>
              <w:rPr>
                <w:sz w:val="18"/>
                <w:szCs w:val="18"/>
                <w:color w:val="auto"/>
              </w:rPr>
            </w:pPr>
          </w:p>
        </w:tc>
        <w:tc>
          <w:tcPr>
            <w:tcW w:w="8460" w:type="dxa"/>
            <w:vAlign w:val="bottom"/>
            <w:gridSpan w:val="3"/>
          </w:tcPr>
          <w:p>
            <w:pPr>
              <w:ind w:left="1640"/>
              <w:spacing w:after="0"/>
              <w:rPr>
                <w:sz w:val="20"/>
                <w:szCs w:val="20"/>
                <w:color w:val="auto"/>
              </w:rPr>
            </w:pPr>
            <w:r>
              <w:rPr>
                <w:rFonts w:ascii="Arial" w:cs="Arial" w:eastAsia="Arial" w:hAnsi="Arial"/>
                <w:sz w:val="18"/>
                <w:szCs w:val="18"/>
                <w:color w:val="auto"/>
                <w:w w:val="91"/>
              </w:rPr>
              <w:t>U.S. federal income tax purposes, such additional 2063 Notes will have one or more separate</w:t>
            </w:r>
          </w:p>
        </w:tc>
      </w:tr>
      <w:tr>
        <w:trPr>
          <w:trHeight w:val="230"/>
        </w:trPr>
        <w:tc>
          <w:tcPr>
            <w:tcW w:w="2760" w:type="dxa"/>
            <w:vAlign w:val="bottom"/>
          </w:tcPr>
          <w:p>
            <w:pPr>
              <w:spacing w:after="0"/>
              <w:rPr>
                <w:sz w:val="20"/>
                <w:szCs w:val="20"/>
                <w:color w:val="auto"/>
              </w:rPr>
            </w:pPr>
          </w:p>
        </w:tc>
        <w:tc>
          <w:tcPr>
            <w:tcW w:w="8460" w:type="dxa"/>
            <w:vAlign w:val="bottom"/>
            <w:gridSpan w:val="3"/>
          </w:tcPr>
          <w:p>
            <w:pPr>
              <w:ind w:left="1640"/>
              <w:spacing w:after="0"/>
              <w:rPr>
                <w:sz w:val="20"/>
                <w:szCs w:val="20"/>
                <w:color w:val="auto"/>
              </w:rPr>
            </w:pPr>
            <w:r>
              <w:rPr>
                <w:rFonts w:ascii="Arial" w:cs="Arial" w:eastAsia="Arial" w:hAnsi="Arial"/>
                <w:sz w:val="18"/>
                <w:szCs w:val="18"/>
                <w:color w:val="auto"/>
              </w:rPr>
              <w:t>CUSIP numbers.</w:t>
            </w:r>
          </w:p>
        </w:tc>
      </w:tr>
      <w:tr>
        <w:trPr>
          <w:trHeight w:val="432"/>
        </w:trPr>
        <w:tc>
          <w:tcPr>
            <w:tcW w:w="276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460" w:type="dxa"/>
            <w:vAlign w:val="bottom"/>
            <w:gridSpan w:val="3"/>
          </w:tcPr>
          <w:p>
            <w:pPr>
              <w:ind w:left="1640"/>
              <w:spacing w:after="0"/>
              <w:rPr>
                <w:sz w:val="20"/>
                <w:szCs w:val="20"/>
                <w:color w:val="auto"/>
              </w:rPr>
            </w:pPr>
            <w:r>
              <w:rPr>
                <w:rFonts w:ascii="Arial" w:cs="Arial" w:eastAsia="Arial" w:hAnsi="Arial"/>
                <w:sz w:val="18"/>
                <w:szCs w:val="18"/>
                <w:color w:val="auto"/>
              </w:rPr>
              <w:t>None</w:t>
            </w:r>
          </w:p>
        </w:tc>
      </w:tr>
      <w:tr>
        <w:trPr>
          <w:trHeight w:val="432"/>
        </w:trPr>
        <w:tc>
          <w:tcPr>
            <w:tcW w:w="276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460" w:type="dxa"/>
            <w:vAlign w:val="bottom"/>
            <w:gridSpan w:val="3"/>
          </w:tcPr>
          <w:p>
            <w:pPr>
              <w:ind w:left="1640"/>
              <w:spacing w:after="0"/>
              <w:rPr>
                <w:sz w:val="20"/>
                <w:szCs w:val="20"/>
                <w:color w:val="auto"/>
              </w:rPr>
            </w:pPr>
            <w:r>
              <w:rPr>
                <w:rFonts w:ascii="Arial" w:cs="Arial" w:eastAsia="Arial" w:hAnsi="Arial"/>
                <w:sz w:val="18"/>
                <w:szCs w:val="18"/>
                <w:color w:val="auto"/>
              </w:rPr>
              <w:t>None</w:t>
            </w:r>
          </w:p>
        </w:tc>
      </w:tr>
      <w:tr>
        <w:trPr>
          <w:trHeight w:val="414"/>
        </w:trPr>
        <w:tc>
          <w:tcPr>
            <w:tcW w:w="276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460" w:type="dxa"/>
            <w:vAlign w:val="bottom"/>
            <w:gridSpan w:val="3"/>
          </w:tcPr>
          <w:p>
            <w:pPr>
              <w:ind w:left="1640"/>
              <w:spacing w:after="0"/>
              <w:rPr>
                <w:sz w:val="20"/>
                <w:szCs w:val="20"/>
                <w:color w:val="auto"/>
              </w:rPr>
            </w:pPr>
            <w:r>
              <w:rPr>
                <w:rFonts w:ascii="Arial" w:cs="Arial" w:eastAsia="Arial" w:hAnsi="Arial"/>
                <w:sz w:val="18"/>
                <w:szCs w:val="18"/>
                <w:color w:val="auto"/>
                <w:w w:val="90"/>
              </w:rPr>
              <w:t>The terms of the 2063 Notes shall include such other terms as are set forth in the Form of Note</w:t>
            </w:r>
          </w:p>
        </w:tc>
      </w:tr>
      <w:tr>
        <w:trPr>
          <w:trHeight w:val="194"/>
        </w:trPr>
        <w:tc>
          <w:tcPr>
            <w:tcW w:w="2760" w:type="dxa"/>
            <w:vAlign w:val="bottom"/>
          </w:tcPr>
          <w:p>
            <w:pPr>
              <w:spacing w:after="0"/>
              <w:rPr>
                <w:sz w:val="16"/>
                <w:szCs w:val="16"/>
                <w:color w:val="auto"/>
              </w:rPr>
            </w:pPr>
          </w:p>
        </w:tc>
        <w:tc>
          <w:tcPr>
            <w:tcW w:w="8460" w:type="dxa"/>
            <w:vAlign w:val="bottom"/>
            <w:gridSpan w:val="3"/>
          </w:tcPr>
          <w:p>
            <w:pPr>
              <w:ind w:left="1640"/>
              <w:spacing w:after="0" w:line="194" w:lineRule="exact"/>
              <w:rPr>
                <w:sz w:val="20"/>
                <w:szCs w:val="20"/>
                <w:color w:val="auto"/>
              </w:rPr>
            </w:pPr>
            <w:r>
              <w:rPr>
                <w:rFonts w:ascii="Arial" w:cs="Arial" w:eastAsia="Arial" w:hAnsi="Arial"/>
                <w:sz w:val="18"/>
                <w:szCs w:val="18"/>
                <w:color w:val="auto"/>
              </w:rPr>
              <w:t xml:space="preserve">due 2063 attached hereto as </w:t>
            </w:r>
            <w:r>
              <w:rPr>
                <w:rFonts w:ascii="Arial" w:cs="Arial" w:eastAsia="Arial" w:hAnsi="Arial"/>
                <w:sz w:val="18"/>
                <w:szCs w:val="18"/>
                <w:b w:val="1"/>
                <w:bCs w:val="1"/>
                <w:color w:val="auto"/>
              </w:rPr>
              <w:t>Exhibit C</w:t>
            </w:r>
            <w:r>
              <w:rPr>
                <w:rFonts w:ascii="Arial" w:cs="Arial" w:eastAsia="Arial" w:hAnsi="Arial"/>
                <w:sz w:val="18"/>
                <w:szCs w:val="18"/>
                <w:color w:val="auto"/>
              </w:rPr>
              <w:t>.</w:t>
            </w:r>
          </w:p>
        </w:tc>
      </w:tr>
      <w:tr>
        <w:trPr>
          <w:trHeight w:val="20"/>
        </w:trPr>
        <w:tc>
          <w:tcPr>
            <w:tcW w:w="27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bl>
    <w:p>
      <w:pPr>
        <w:spacing w:after="0" w:line="13"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Each such officer has read and understands the provisions of the Indenture and the definitions relating thereto. The statements made in this Officers’ Certificate are based upon the examination of the provisions of the Indenture and upon the relevant books and records of the Company. In such officer’s opinion, he has made such examination or investigation as is necessary to enable such officer to express an informed opinion as to whether or not the covenants and conditions precedent of such Indenture relating to the issuance and authentication of the Notes have been complied with. In such officer’s opinion, such covenants and conditions precedent have been complied with.</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IN WITNESS WHEREOF, the undersigned officers of the Company have duly executed this certificate as of the date first set forth above.</w:t>
      </w:r>
    </w:p>
    <w:p>
      <w:pPr>
        <w:spacing w:after="0" w:line="200" w:lineRule="exact"/>
        <w:rPr>
          <w:sz w:val="20"/>
          <w:szCs w:val="20"/>
          <w:color w:val="auto"/>
        </w:rPr>
      </w:pPr>
    </w:p>
    <w:p>
      <w:pPr>
        <w:spacing w:after="0" w:line="25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4215130</wp:posOffset>
            </wp:positionH>
            <wp:positionV relativeFrom="paragraph">
              <wp:posOffset>14605</wp:posOffset>
            </wp:positionV>
            <wp:extent cx="25031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Jason S. Armstrong</w:t>
      </w:r>
    </w:p>
    <w:p>
      <w:pPr>
        <w:spacing w:after="0" w:line="2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Title:  Executive Vice President and Treasurer</w:t>
      </w:r>
    </w:p>
    <w:p>
      <w:pPr>
        <w:spacing w:after="0" w:line="200" w:lineRule="exact"/>
        <w:rPr>
          <w:sz w:val="20"/>
          <w:szCs w:val="20"/>
          <w:color w:val="auto"/>
        </w:rPr>
      </w:pPr>
    </w:p>
    <w:p>
      <w:pPr>
        <w:spacing w:after="0" w:line="28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4215130</wp:posOffset>
            </wp:positionH>
            <wp:positionV relativeFrom="paragraph">
              <wp:posOffset>14605</wp:posOffset>
            </wp:positionV>
            <wp:extent cx="25031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Senior Vice President, Senior Deputy General</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Counsel and Assistant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Officers’ Certificate Pursuant to the Indenture</w:t>
      </w:r>
      <w:r>
        <w:rPr>
          <w:rFonts w:ascii="Arial" w:cs="Arial" w:eastAsia="Arial" w:hAnsi="Arial"/>
          <w:sz w:val="18"/>
          <w:szCs w:val="18"/>
          <w:color w:val="auto"/>
        </w:rPr>
        <w:t>]</w:t>
      </w:r>
    </w:p>
    <w:p>
      <w:pPr>
        <w:spacing w:after="0" w:line="326"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980" w:top="584" w:right="4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u w:val="single" w:color="auto"/>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2051]</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THIS SECURITY (OR ITS PREDECESSOR) WAS ORIGINALLY ISSUED IN A TRANSACTION EXEMPT FROM REGISTRATION UNDER THE UNITED STATES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THIS SECURITY MAY NOT BE OFFERED, SOLD OR OTHERWISE TRANSFERRED IN THE ABSENCE OF SUCH REGISTRATION OR AN APPLICABLE EXEMPTION THEREFROM. EACH PURCHASER OF THIS SECURITY IS HEREBY NOTIFIED THAT THE SELLER OF THIS SECURITY MAY BE RELYING ON THE EXEMPTION FROM THE PROVISIONS OF SECTION 5 OF THE SECURITIES ACT PROVIDED BY RULE 144A THEREUNDER. THE HOLDER OF THIS SECURITY BY ITS ACCEPTANCE HEREOF REPRESENTS THAT IT IS (1) A “QUALIFIED INSTITUTIONAL BUYER” (AS DEFINED IN RULE 144A UNDER THE SECURITIES ACT) OR (2) NOT A U.S. PERSON AND IS ACQUIRING ITS NOTE IN AN “OFFSHORE TRANSACTION” PURSUANT TO RULE 904 OF REGULATION S UNDER THE SECURITIES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HOLDER OF THIS SECURITY AGREES FOR THE BENEFIT OF COMCAST CORPORATION THAT (A) PRIOR TO THE DATE (THE</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 WHICH IS ONE YEAR AFTER THE LATER OF THE ORIGINAL ISSUE DATE HEREOF AND THE LAST DATE ON WHICH THE ISSUER OR ANY AFFILIATE OF THE ISSUER WAS THE OWNER OF THIS SECURITY (OR ANY PREDECESSOR OF SUCH SECURITY), THIS SECURITY MAY BE OFFERED, RESOLD, PLEDGED OR OTHERWISE TRANSFERRED ONLY (I) TO A PERSON WHOM THE SELLER REASONABLY BELIEVES IS A “QUALIFIED INSTITUTIONAL BUYER” (AS DEFINED IN RULE 144A UNDER THE SECURITIES ACT) IN A TRANSACTION MEETING THE REQUIREMENTS OF RULE 144A, (II) PURSUANT TO AN EXEMPTION FROM</w:t>
      </w:r>
    </w:p>
    <w:p>
      <w:pPr>
        <w:spacing w:after="0" w:line="2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ind w:right="160"/>
        <w:spacing w:after="0" w:line="271" w:lineRule="auto"/>
        <w:rPr>
          <w:sz w:val="20"/>
          <w:szCs w:val="20"/>
          <w:color w:val="auto"/>
        </w:rPr>
      </w:pPr>
      <w:r>
        <w:rPr>
          <w:rFonts w:ascii="Arial" w:cs="Arial" w:eastAsia="Arial" w:hAnsi="Arial"/>
          <w:sz w:val="17"/>
          <w:szCs w:val="17"/>
          <w:color w:val="auto"/>
        </w:rPr>
        <w:t>REGISTRATION UNDER THE SECURITIES ACT PROVIDED BY RULE 144 THEREUNDER (IF AVAILABLE), (III) PURSUANT TO OFFERS AND SALES TO NON-U.S. PERSONS THAT OCCUR OUTSIDE THE UNITED STATES WITHIN THE MEANING OF REGULATION S UNDER THE SECURITIES ACT, (IV) TO AN INSTITUTIONAL “ACCREDITED INVESTOR” WITHIN THE MEANING OF SUBPARAGRAPH (a)(1), (2),</w:t>
      </w:r>
    </w:p>
    <w:p>
      <w:pPr>
        <w:ind w:firstLine="8"/>
        <w:spacing w:after="0" w:line="251"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OR (7) OF RULE 501 UNDER THE SECURITIES ACT THAT IS ACQUIRING THIS SECURITY FOR ITS OWN ACCOUNT, OR FOR THE ACCOUNT OF SUCH AN INSTITUTIONAL “ACCREDITED INVESTOR,” FOR INVESTMENT PURPOSES AND NOT WITH A VIEW TO, OR FOR OFFER OR SALE IN CONNECTION WITH, ANY DISTRIBUTION IN VIOLATION OF THE SECURITIES ACT, (V) PURSUANT TO ANY OTHER AVAILABLE EXEMPTION FROM THE REGISTRATION REQUIREMENTS OF THE SECURITIES ACT OR (VI) PURSUANT TO A REGISTRATION STATEMENT WHICH HAS BEEN DECLARED EFFECTIVE UNDER THE SECURITIES ACT, IN EACH CASE IN ACCORDANCE WITH ANY APPLICABLE SECURITIES LAWS OF ANY STATE OF THE UNITED STATES, AND (B) THE HOLDER WILL, AND EACH SUBSEQUENT HOLDER IS REQUIRED TO, NOTIFY ANY PURCHASER OF THIS SECURITY OF THE RESALE RESTRICTIONS REFERRED TO IN CLAUSE (A) ABOVE. THIS LEGEND WILL BE REMOVED UPON THE EARLIER OF THE TRANSFER OF THIS SECURITY PURSUANT TO CLAUSE (A)(VI) ABOVE OR REQUEST OF THE HOLDER AFTER THE RESALE RESTRICTION TERMINATION DATE. THE INDENTURE CONTAINS A PROVISION REQUIRING THE TRUSTEE TO REFUSE TO REGISTER THE TRANSFER OF THIS SECURITY IN VIOLATION OF THE FOREGOING RESTRICTION.</w:t>
      </w:r>
    </w:p>
    <w:p>
      <w:pPr>
        <w:spacing w:after="0" w:line="1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CASE OF REGULATION S NOTES: UNTIL 40 DAYS AFTER THE LATER OF COMMENCEMENT OR COMPLETION OF THE OFFERING, AN OFFER OR SALE OF NOTES WITHIN THE UNITED STATES BY A DEALER (AS DEFINED IN THE SECURITIES ACT) MAY VIOLATE THE REGISTRATION REQUIREMENTS OF THE SECURITIES ACT IF SUCH OFFER OR SALE IS MADE OTHERWISE THAN IN ACCORDANCE WITH RULE 144A THEREUNDER.]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2.887% Note due 2051</w:t>
      </w:r>
    </w:p>
    <w:p>
      <w:pPr>
        <w:sectPr>
          <w:pgSz w:w="11900" w:h="16838" w:orient="portrait"/>
          <w:cols w:equalWidth="0" w:num="1">
            <w:col w:w="11240"/>
          </w:cols>
          <w:pgMar w:left="320" w:top="580"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[A][R]-[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 ]</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2">
            <w:col w:w="9400" w:space="720"/>
            <w:col w:w="1120"/>
          </w:cols>
          <w:pgMar w:left="320" w:top="580" w:right="339" w:bottom="1440" w:gutter="0" w:footer="0" w:header="0"/>
          <w:type w:val="continuous"/>
        </w:sectPr>
      </w:pPr>
    </w:p>
    <w:p>
      <w:pPr>
        <w:spacing w:after="0" w:line="7"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Dollars) on November 1, 2051.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May 1 and November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1,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April 15 and October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type w:val="continuous"/>
        </w:sectPr>
      </w:pPr>
    </w:p>
    <w:bookmarkStart w:id="14" w:name="page15"/>
    <w:bookmarkEnd w:id="14"/>
    <w:p>
      <w:pPr>
        <w:ind w:firstLine="648"/>
        <w:spacing w:after="0" w:line="277" w:lineRule="auto"/>
        <w:rPr>
          <w:sz w:val="20"/>
          <w:szCs w:val="20"/>
          <w:color w:val="auto"/>
        </w:rPr>
      </w:pPr>
      <w:r>
        <w:rPr>
          <w:rFonts w:ascii="Arial" w:cs="Arial" w:eastAsia="Arial" w:hAnsi="Arial"/>
          <w:sz w:val="18"/>
          <w:szCs w:val="18"/>
          <w:color w:val="auto"/>
        </w:rPr>
        <w:t>IN WITNESS WHEREOF, the Issuer has caused this Security to be signed manually or by facsimile by its duly authorized officer under its corporate seal.</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14605</wp:posOffset>
            </wp:positionV>
            <wp:extent cx="21513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 Jason S. Armstrong</w:t>
      </w:r>
    </w:p>
    <w:p>
      <w:pPr>
        <w:spacing w:after="0" w:line="23" w:lineRule="exact"/>
        <w:rPr>
          <w:sz w:val="20"/>
          <w:szCs w:val="20"/>
          <w:color w:val="auto"/>
        </w:rPr>
      </w:pPr>
    </w:p>
    <w:p>
      <w:pPr>
        <w:ind w:left="7300"/>
        <w:spacing w:after="0"/>
        <w:tabs>
          <w:tab w:leader="none" w:pos="7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9"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2028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Senior Deputy General</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Counsel and Assistant Secretary</w:t>
      </w:r>
    </w:p>
    <w:p>
      <w:pPr>
        <w:spacing w:after="0" w:line="96"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584" w:right="89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19,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Authorized Signatory</w:t>
      </w:r>
    </w:p>
    <w:p>
      <w:pPr>
        <w:spacing w:after="0" w:line="109"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2.887% Note due 2051</w:t>
      </w:r>
    </w:p>
    <w:p>
      <w:pPr>
        <w:spacing w:after="0" w:line="225" w:lineRule="exact"/>
        <w:rPr>
          <w:sz w:val="20"/>
          <w:szCs w:val="20"/>
          <w:color w:val="auto"/>
        </w:rPr>
      </w:pPr>
    </w:p>
    <w:p>
      <w:pPr>
        <w:ind w:left="1300" w:hanging="45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August 19, 2021. The Issuer will pay interest semi-annually in arrears on each Interest Payment Date, commencing November 1, 2021. Interest will be computed on the basis of a 360-day year of twelve 30-day months.</w:t>
      </w:r>
    </w:p>
    <w:p>
      <w:pPr>
        <w:spacing w:after="0" w:line="18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Issuer shall pay interest on overdue principal from time to time on demand at the rate borne by the Securities and on overdue installments of interest (without regard to any applicable grace periods) to the extent lawful. The Issuer shall pay such additional interest as may be payable pursuant to the Registration Rights Agreement, dated August 19, 2021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among the Company, the Guarantors and the joint-lead dealer managers party thereto. The Holders of this Security are entitled to the benefits of the Registration Rights Agreement.</w:t>
      </w:r>
    </w:p>
    <w:p>
      <w:pPr>
        <w:spacing w:after="0" w:line="157" w:lineRule="exact"/>
        <w:rPr>
          <w:sz w:val="20"/>
          <w:szCs w:val="20"/>
          <w:color w:val="auto"/>
        </w:rPr>
      </w:pPr>
    </w:p>
    <w:p>
      <w:pPr>
        <w:ind w:left="1300" w:hanging="45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7" w:name="page18"/>
    <w:bookmarkEnd w:id="17"/>
    <w:p>
      <w:pPr>
        <w:ind w:left="1300" w:hanging="450"/>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25" w:lineRule="exact"/>
        <w:rPr>
          <w:sz w:val="20"/>
          <w:szCs w:val="20"/>
          <w:color w:val="auto"/>
        </w:rPr>
      </w:pPr>
    </w:p>
    <w:p>
      <w:pPr>
        <w:ind w:left="1300" w:hanging="450"/>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 The terms of the Securities include those stated in the Indenture and those made part of the Indenture by reference to the Trust Indenture Act of</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191" w:lineRule="exact"/>
        <w:rPr>
          <w:sz w:val="20"/>
          <w:szCs w:val="20"/>
          <w:color w:val="auto"/>
        </w:rPr>
      </w:pPr>
    </w:p>
    <w:p>
      <w:pPr>
        <w:ind w:left="1300" w:hanging="45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9" w:lineRule="exact"/>
        <w:rPr>
          <w:sz w:val="20"/>
          <w:szCs w:val="20"/>
          <w:color w:val="auto"/>
        </w:rPr>
      </w:pPr>
    </w:p>
    <w:p>
      <w:pPr>
        <w:ind w:left="1300" w:hanging="45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61" w:lineRule="exact"/>
        <w:rPr>
          <w:sz w:val="20"/>
          <w:szCs w:val="20"/>
          <w:color w:val="auto"/>
        </w:rPr>
      </w:pPr>
    </w:p>
    <w:p>
      <w:pPr>
        <w:ind w:left="1300" w:hanging="45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8" w:name="page19"/>
    <w:bookmarkEnd w:id="18"/>
    <w:p>
      <w:pPr>
        <w:ind w:left="1300" w:hanging="45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46" w:lineRule="exact"/>
        <w:rPr>
          <w:sz w:val="20"/>
          <w:szCs w:val="20"/>
          <w:color w:val="auto"/>
        </w:rPr>
      </w:pPr>
    </w:p>
    <w:p>
      <w:pPr>
        <w:ind w:left="1300" w:hanging="450"/>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5" w:lineRule="exact"/>
        <w:rPr>
          <w:sz w:val="20"/>
          <w:szCs w:val="20"/>
          <w:color w:val="auto"/>
        </w:rPr>
      </w:pPr>
    </w:p>
    <w:p>
      <w:pPr>
        <w:ind w:left="1380" w:hanging="530"/>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77" w:lineRule="exact"/>
        <w:rPr>
          <w:sz w:val="20"/>
          <w:szCs w:val="20"/>
          <w:color w:val="auto"/>
        </w:rPr>
      </w:pPr>
    </w:p>
    <w:p>
      <w:pPr>
        <w:ind w:left="1380" w:hanging="530"/>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225" w:lineRule="exact"/>
        <w:rPr>
          <w:sz w:val="20"/>
          <w:szCs w:val="20"/>
          <w:color w:val="auto"/>
        </w:rPr>
      </w:pPr>
    </w:p>
    <w:p>
      <w:pPr>
        <w:ind w:right="480" w:firstLine="648"/>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49" w:lineRule="exact"/>
        <w:rPr>
          <w:sz w:val="20"/>
          <w:szCs w:val="20"/>
          <w:color w:val="auto"/>
        </w:rPr>
      </w:pPr>
    </w:p>
    <w:p>
      <w:pPr>
        <w:ind w:left="1400" w:hanging="550"/>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Redemption.</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Issuer will have the right at its option to redeem any of the Securities in whole or in part, at any time or from time to time prior to their maturity, on at least 15 days, but not more than 60 days, prior notice transmitted to the registered address of each Holder of the Securities, at the applicable Redemption Price.</w:t>
      </w:r>
    </w:p>
    <w:p>
      <w:pPr>
        <w:spacing w:after="0" w:line="180"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May 1, 2051 (the “</w:t>
      </w:r>
      <w:r>
        <w:rPr>
          <w:rFonts w:ascii="Arial" w:cs="Arial" w:eastAsia="Arial" w:hAnsi="Arial"/>
          <w:sz w:val="18"/>
          <w:szCs w:val="18"/>
          <w:b w:val="1"/>
          <w:bCs w:val="1"/>
          <w:color w:val="auto"/>
        </w:rPr>
        <w:t>Par Call Date</w:t>
      </w:r>
      <w:r>
        <w:rPr>
          <w:rFonts w:ascii="Arial" w:cs="Arial" w:eastAsia="Arial" w:hAnsi="Arial"/>
          <w:sz w:val="18"/>
          <w:szCs w:val="18"/>
          <w:color w:val="auto"/>
        </w:rPr>
        <w:t>”), the greater of (i) 100% of the principal amount of such Securities and (ii) the sum of the present values of the principal amount of such Securities and the scheduled</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9" w:name="page20"/>
    <w:bookmarkEnd w:id="19"/>
    <w:p>
      <w:pPr>
        <w:spacing w:after="0" w:line="291" w:lineRule="auto"/>
        <w:rPr>
          <w:sz w:val="20"/>
          <w:szCs w:val="20"/>
          <w:color w:val="auto"/>
        </w:rPr>
      </w:pPr>
      <w:r>
        <w:rPr>
          <w:rFonts w:ascii="Arial" w:cs="Arial" w:eastAsia="Arial" w:hAnsi="Arial"/>
          <w:sz w:val="16"/>
          <w:szCs w:val="16"/>
          <w:color w:val="auto"/>
        </w:rPr>
        <w:t>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15 basis points and</w:t>
      </w:r>
    </w:p>
    <w:p>
      <w:pPr>
        <w:ind w:right="360" w:firstLine="8"/>
        <w:spacing w:after="0" w:line="260"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Securities are redeemed on or after the Par Call Date, 100% of the principal amount of such Securities; plus, in each case, accrued and unpaid interest thereon to the date of redemption.</w:t>
      </w:r>
    </w:p>
    <w:p>
      <w:pPr>
        <w:spacing w:after="0" w:line="181"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w:t>
      </w:r>
      <w:r>
        <w:rPr>
          <w:rFonts w:ascii="Arial" w:cs="Arial" w:eastAsia="Arial" w:hAnsi="Arial"/>
          <w:sz w:val="18"/>
          <w:szCs w:val="18"/>
          <w:b w:val="1"/>
          <w:bCs w:val="1"/>
          <w:color w:val="auto"/>
        </w:rPr>
        <w:t>Remaining Life</w:t>
      </w:r>
      <w:r>
        <w:rPr>
          <w:rFonts w:ascii="Arial" w:cs="Arial" w:eastAsia="Arial" w:hAnsi="Arial"/>
          <w:sz w:val="18"/>
          <w:szCs w:val="18"/>
          <w:color w:val="auto"/>
        </w:rPr>
        <w:t>”) that would be utilized, at the time of selection and in accordance with customary financial practice.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Credit Suisse Securities (USA) LLC, Morgan Stanley &amp; Co. LLC, BofA Securities, Inc., Citigroup Global Markets Inc., J.P. Morgan Securities LLC, Mizuho Securities USA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3"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w:t>
      </w: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ind w:right="140"/>
        <w:spacing w:after="0" w:line="263" w:lineRule="auto"/>
        <w:rPr>
          <w:sz w:val="20"/>
          <w:szCs w:val="20"/>
          <w:color w:val="auto"/>
        </w:rPr>
      </w:pPr>
      <w:r>
        <w:rPr>
          <w:rFonts w:ascii="Arial" w:cs="Arial" w:eastAsia="Arial" w:hAnsi="Arial"/>
          <w:sz w:val="18"/>
          <w:szCs w:val="18"/>
          <w:color w:val="auto"/>
        </w:rPr>
        <w:t>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84" w:lineRule="exact"/>
        <w:rPr>
          <w:sz w:val="20"/>
          <w:szCs w:val="20"/>
          <w:color w:val="auto"/>
        </w:rPr>
      </w:pPr>
    </w:p>
    <w:p>
      <w:pPr>
        <w:ind w:left="1400" w:hanging="550"/>
        <w:spacing w:after="0"/>
        <w:tabs>
          <w:tab w:leader="none" w:pos="14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66" w:lineRule="exact"/>
        <w:rPr>
          <w:sz w:val="20"/>
          <w:szCs w:val="20"/>
          <w:color w:val="auto"/>
        </w:rPr>
      </w:pPr>
    </w:p>
    <w:p>
      <w:pPr>
        <w:ind w:left="1380" w:hanging="530"/>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1400" w:hanging="550"/>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1380" w:hanging="530"/>
        <w:spacing w:after="0"/>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21" w:name="page22"/>
    <w:bookmarkEnd w:id="21"/>
    <w:p>
      <w:pPr>
        <w:ind w:left="1380" w:hanging="530"/>
        <w:spacing w:after="0"/>
        <w:tabs>
          <w:tab w:leader="none" w:pos="1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1400" w:hanging="550"/>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65" w:lineRule="exact"/>
        <w:rPr>
          <w:sz w:val="20"/>
          <w:szCs w:val="20"/>
          <w:color w:val="auto"/>
        </w:rPr>
      </w:pPr>
    </w:p>
    <w:p>
      <w:pPr>
        <w:ind w:left="1400" w:hanging="550"/>
        <w:spacing w:after="0"/>
        <w:tabs>
          <w:tab w:leader="none" w:pos="1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2" w:name="page23"/>
    <w:bookmarkEnd w:id="22"/>
    <w:p>
      <w:pPr>
        <w:ind w:left="476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ectPr>
          <w:pgSz w:w="11900" w:h="16838" w:orient="portrait"/>
          <w:cols w:equalWidth="0" w:num="1">
            <w:col w:w="10620"/>
          </w:cols>
          <w:pgMar w:left="320" w:top="584" w:right="95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_______________________</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Signed: _______________________</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(Signed exactly as name appears</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the other side of this Security)</w:t>
      </w:r>
    </w:p>
    <w:p>
      <w:pPr>
        <w:spacing w:after="0" w:line="200" w:lineRule="exact"/>
        <w:rPr>
          <w:sz w:val="20"/>
          <w:szCs w:val="20"/>
          <w:color w:val="auto"/>
        </w:rPr>
      </w:pPr>
    </w:p>
    <w:p>
      <w:pPr>
        <w:sectPr>
          <w:pgSz w:w="11900" w:h="16838" w:orient="portrait"/>
          <w:cols w:equalWidth="0" w:num="2">
            <w:col w:w="3880" w:space="720"/>
            <w:col w:w="6020"/>
          </w:cols>
          <w:pgMar w:left="320" w:top="584" w:right="959" w:bottom="1440" w:gutter="0" w:footer="0" w:header="0"/>
          <w:type w:val="continuous"/>
        </w:sect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14605</wp:posOffset>
            </wp:positionV>
            <wp:extent cx="56489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Participant in a recognized Signature Guarantee</w:t>
      </w:r>
    </w:p>
    <w:p>
      <w:pPr>
        <w:spacing w:after="0" w:line="46"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Medallion Program (or other signature guarantor</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program reasonably acceptable to the Trustee)</w:t>
      </w:r>
    </w:p>
    <w:p>
      <w:pPr>
        <w:spacing w:after="0" w:line="119"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20"/>
          </w:cols>
          <w:pgMar w:left="320" w:top="584" w:right="959" w:bottom="1440" w:gutter="0" w:footer="0" w:header="0"/>
          <w:type w:val="continuous"/>
        </w:sectPr>
      </w:pPr>
    </w:p>
    <w:bookmarkStart w:id="23" w:name="page24"/>
    <w:bookmarkEnd w:id="23"/>
    <w:p>
      <w:pPr>
        <w:jc w:val="center"/>
        <w:ind w:right="-19"/>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 Greenwich Street, Floor 7E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815-5595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 ]% Notes due [ ]</w:t>
      </w:r>
    </w:p>
    <w:p>
      <w:pPr>
        <w:spacing w:after="0" w:line="225" w:lineRule="exact"/>
        <w:rPr>
          <w:sz w:val="20"/>
          <w:szCs w:val="20"/>
          <w:color w:val="auto"/>
        </w:rPr>
      </w:pPr>
    </w:p>
    <w:p>
      <w:pPr>
        <w:jc w:val="both"/>
        <w:ind w:right="160" w:firstLine="1296"/>
        <w:spacing w:after="0" w:line="286" w:lineRule="auto"/>
        <w:rPr>
          <w:sz w:val="20"/>
          <w:szCs w:val="20"/>
          <w:color w:val="auto"/>
        </w:rPr>
      </w:pPr>
      <w:r>
        <w:rPr>
          <w:rFonts w:ascii="Arial" w:cs="Arial" w:eastAsia="Arial" w:hAnsi="Arial"/>
          <w:sz w:val="17"/>
          <w:szCs w:val="17"/>
          <w:color w:val="auto"/>
        </w:rPr>
        <w:t>Reference is hereby made to the indenture dated as of September 18, 2013, by and among Comcast Corporation, the guarantors named therein and The Bank of New York Mellon, as trustee, as supplemented by the First Supplemental Indenture dated as of November 17, 2015 (as amended, the “</w:t>
      </w:r>
      <w:r>
        <w:rPr>
          <w:rFonts w:ascii="Arial" w:cs="Arial" w:eastAsia="Arial" w:hAnsi="Arial"/>
          <w:sz w:val="17"/>
          <w:szCs w:val="17"/>
          <w:u w:val="single" w:color="auto"/>
          <w:color w:val="auto"/>
        </w:rPr>
        <w:t>Indenture</w:t>
      </w:r>
      <w:r>
        <w:rPr>
          <w:rFonts w:ascii="Arial" w:cs="Arial" w:eastAsia="Arial" w:hAnsi="Arial"/>
          <w:sz w:val="17"/>
          <w:szCs w:val="17"/>
          <w:color w:val="auto"/>
        </w:rPr>
        <w:t>”). Capitalized terms used but not defined herein shall have the meanings given to them in the Indenture.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_______________ (the “</w:t>
      </w:r>
      <w:r>
        <w:rPr>
          <w:rFonts w:ascii="Arial" w:cs="Arial" w:eastAsia="Arial" w:hAnsi="Arial"/>
          <w:sz w:val="16"/>
          <w:szCs w:val="16"/>
          <w:u w:val="single" w:color="auto"/>
          <w:color w:val="auto"/>
        </w:rPr>
        <w:t>Transferor</w:t>
      </w:r>
      <w:r>
        <w:rPr>
          <w:rFonts w:ascii="Arial" w:cs="Arial" w:eastAsia="Arial" w:hAnsi="Arial"/>
          <w:sz w:val="16"/>
          <w:szCs w:val="16"/>
          <w:color w:val="auto"/>
        </w:rPr>
        <w:t>”) owns and proposes to transfer the Note[s] or interest in such Note[s] specified in Annex A hereto,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the principal amount of $___________ in such Note[s] or interests (the “</w:t>
      </w:r>
      <w:r>
        <w:rPr>
          <w:rFonts w:ascii="Arial" w:cs="Arial" w:eastAsia="Arial" w:hAnsi="Arial"/>
          <w:sz w:val="17"/>
          <w:szCs w:val="17"/>
          <w:u w:val="single" w:color="auto"/>
          <w:color w:val="auto"/>
        </w:rPr>
        <w:t>Transfer</w:t>
      </w:r>
      <w:r>
        <w:rPr>
          <w:rFonts w:ascii="Arial" w:cs="Arial" w:eastAsia="Arial" w:hAnsi="Arial"/>
          <w:sz w:val="17"/>
          <w:szCs w:val="17"/>
          <w:color w:val="auto"/>
        </w:rPr>
        <w:t>”), to _______________ (the “</w:t>
      </w:r>
      <w:r>
        <w:rPr>
          <w:rFonts w:ascii="Arial" w:cs="Arial" w:eastAsia="Arial" w:hAnsi="Arial"/>
          <w:sz w:val="17"/>
          <w:szCs w:val="17"/>
          <w:u w:val="single" w:color="auto"/>
          <w:color w:val="auto"/>
        </w:rPr>
        <w:t>Transferee</w:t>
      </w:r>
      <w:r>
        <w:rPr>
          <w:rFonts w:ascii="Arial" w:cs="Arial" w:eastAsia="Arial" w:hAnsi="Arial"/>
          <w:sz w:val="17"/>
          <w:szCs w:val="17"/>
          <w:color w:val="auto"/>
        </w:rPr>
        <w:t>”), as further specified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Annex A hereto. In connection with the Transfer, the Transferor hereby certifies that: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[CHECK ALL THAT APPLY]</w:t>
      </w:r>
    </w:p>
    <w:p>
      <w:pPr>
        <w:spacing w:after="0" w:line="225" w:lineRule="exact"/>
        <w:rPr>
          <w:sz w:val="20"/>
          <w:szCs w:val="20"/>
          <w:color w:val="auto"/>
        </w:rPr>
      </w:pPr>
    </w:p>
    <w:p>
      <w:pPr>
        <w:ind w:right="60" w:firstLine="1304"/>
        <w:spacing w:after="0" w:line="254" w:lineRule="auto"/>
        <w:tabs>
          <w:tab w:leader="none" w:pos="17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 ] CHECK IF TRANSFEREE WILL TAKE DELIVERY OF A BENEFICIAL INTEREST IN THE 144A GLOBAL NOTE PURSUANT TO RULE 144A. The Transfer is being effected pursuant to and in accordance with Rule 144A under the United States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accordingly, the Transferor hereby further certifies that the beneficial interest is being transferred to a Person that the Transferor reasonably believes is purchasing the beneficial interest for its own account, or for one or more accounts with respect to which such Person exercises sole investment discretion, and the Transferor reasonably believes such Person and each such account is a “qualified institutional buyer” within the meaning of Rule 144A in a transaction meeting the requirements of Rule 144A and such Transfer is in compliance with all applicable securities laws of the United States and other jurisdictions.</w:t>
      </w:r>
    </w:p>
    <w:p>
      <w:pPr>
        <w:spacing w:after="0" w:line="194" w:lineRule="exact"/>
        <w:rPr>
          <w:rFonts w:ascii="Arial" w:cs="Arial" w:eastAsia="Arial" w:hAnsi="Arial"/>
          <w:sz w:val="18"/>
          <w:szCs w:val="18"/>
          <w:color w:val="auto"/>
        </w:rPr>
      </w:pPr>
    </w:p>
    <w:p>
      <w:pPr>
        <w:jc w:val="both"/>
        <w:ind w:firstLine="1304"/>
        <w:spacing w:after="0" w:line="259" w:lineRule="auto"/>
        <w:tabs>
          <w:tab w:leader="none" w:pos="17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 ] CHECK IF TRANSFEREE WILL TAKE DELIVERY OF A BENEFICIAL INTEREST IN THE REGULATION S GLOBAL NOTE PURSUANT TO REGULATION S. The Transfer is being effected pursuant to and in accordance with Rule 903 or Rule 904 of Regulation S under the Securities Act or Rule 144 (if available) and, accordingly, the Transferor hereby further certifies that (i) the Transfer is not being made to a person in the United States and (x) at the time the buy order was originated, the</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ind w:firstLine="1296"/>
        <w:spacing w:after="0" w:line="270" w:lineRule="auto"/>
        <w:rPr>
          <w:sz w:val="20"/>
          <w:szCs w:val="20"/>
          <w:color w:val="auto"/>
        </w:rPr>
      </w:pPr>
      <w:r>
        <w:rPr>
          <w:rFonts w:ascii="Arial" w:cs="Arial" w:eastAsia="Arial" w:hAnsi="Arial"/>
          <w:sz w:val="17"/>
          <w:szCs w:val="17"/>
          <w:color w:val="auto"/>
        </w:rPr>
        <w:t>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and the interest transferred will be held immediately thereafter through Euroclear or Clearstream. Upon consummation of the proposed transfer in accordance with the terms of the Indenture, the transferred beneficial interest will be subject to the restrictions on transfer enumerated in the Indenture and the Securities Act.</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25" w:name="page26"/>
    <w:bookmarkEnd w:id="25"/>
    <w:p>
      <w:pPr>
        <w:jc w:val="center"/>
        <w:ind w:right="-120"/>
        <w:spacing w:after="0"/>
        <w:rPr>
          <w:sz w:val="20"/>
          <w:szCs w:val="20"/>
          <w:color w:val="auto"/>
        </w:rPr>
      </w:pPr>
      <w:r>
        <w:rPr>
          <w:rFonts w:ascii="Arial" w:cs="Arial" w:eastAsia="Arial" w:hAnsi="Arial"/>
          <w:sz w:val="16"/>
          <w:szCs w:val="16"/>
          <w:color w:val="auto"/>
        </w:rPr>
        <w:t>This certificate and the statements contained herein are made for your benefit and the benefit of the Issuer.</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[Insert Name of Transferor]</w:t>
      </w:r>
    </w:p>
    <w:p>
      <w:pPr>
        <w:spacing w:after="0" w:line="200" w:lineRule="exact"/>
        <w:rPr>
          <w:sz w:val="20"/>
          <w:szCs w:val="20"/>
          <w:color w:val="auto"/>
        </w:rPr>
      </w:pPr>
    </w:p>
    <w:p>
      <w:pPr>
        <w:spacing w:after="0" w:line="24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14605</wp:posOffset>
            </wp:positionV>
            <wp:extent cx="21513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Participant in a recognized Signature Guarantee Medallion Program (or other signature guarantor acceptable to the Trustee).</w:t>
      </w:r>
    </w:p>
    <w:p>
      <w:pPr>
        <w:spacing w:after="0" w:line="335"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t>ANNEX A TO CERTIFICATE OF TRANSFER</w:t>
      </w:r>
    </w:p>
    <w:p>
      <w:pPr>
        <w:spacing w:after="0" w:line="225" w:lineRule="exact"/>
        <w:rPr>
          <w:sz w:val="20"/>
          <w:szCs w:val="20"/>
          <w:color w:val="auto"/>
        </w:rPr>
      </w:pPr>
    </w:p>
    <w:p>
      <w:pPr>
        <w:ind w:left="640" w:hanging="45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[CHECK ONE]</w:t>
      </w:r>
    </w:p>
    <w:p>
      <w:pPr>
        <w:spacing w:after="0" w:line="225" w:lineRule="exact"/>
        <w:rPr>
          <w:sz w:val="20"/>
          <w:szCs w:val="20"/>
          <w:color w:val="auto"/>
        </w:rPr>
      </w:pPr>
    </w:p>
    <w:p>
      <w:pPr>
        <w:ind w:left="840" w:hanging="656"/>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 a beneficial interest in the:</w:t>
      </w:r>
    </w:p>
    <w:p>
      <w:pPr>
        <w:spacing w:after="0" w:line="225" w:lineRule="exact"/>
        <w:rPr>
          <w:rFonts w:ascii="Arial" w:cs="Arial" w:eastAsia="Arial" w:hAnsi="Arial"/>
          <w:sz w:val="18"/>
          <w:szCs w:val="18"/>
          <w:color w:val="auto"/>
        </w:rPr>
      </w:pPr>
    </w:p>
    <w:p>
      <w:pPr>
        <w:ind w:left="1480" w:hanging="648"/>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 144A Global Note (CUSIP [ ]), or</w:t>
      </w:r>
    </w:p>
    <w:p>
      <w:pPr>
        <w:spacing w:after="0" w:line="225" w:lineRule="exact"/>
        <w:rPr>
          <w:rFonts w:ascii="Arial" w:cs="Arial" w:eastAsia="Arial" w:hAnsi="Arial"/>
          <w:sz w:val="18"/>
          <w:szCs w:val="18"/>
          <w:color w:val="auto"/>
        </w:rPr>
      </w:pPr>
    </w:p>
    <w:p>
      <w:pPr>
        <w:ind w:left="1480" w:hanging="648"/>
        <w:spacing w:after="0"/>
        <w:tabs>
          <w:tab w:leader="none" w:pos="1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 Regulation S Global Note (CUSIP [ ]), or</w:t>
      </w:r>
    </w:p>
    <w:p>
      <w:pPr>
        <w:spacing w:after="0" w:line="225" w:lineRule="exact"/>
        <w:rPr>
          <w:sz w:val="20"/>
          <w:szCs w:val="20"/>
          <w:color w:val="auto"/>
        </w:rPr>
      </w:pPr>
    </w:p>
    <w:p>
      <w:pPr>
        <w:ind w:left="620" w:hanging="436"/>
        <w:spacing w:after="0"/>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[CHECK ONE]</w:t>
      </w:r>
    </w:p>
    <w:p>
      <w:pPr>
        <w:spacing w:after="0" w:line="225" w:lineRule="exact"/>
        <w:rPr>
          <w:sz w:val="20"/>
          <w:szCs w:val="20"/>
          <w:color w:val="auto"/>
        </w:rPr>
      </w:pPr>
    </w:p>
    <w:p>
      <w:pPr>
        <w:ind w:left="840" w:hanging="656"/>
        <w:spacing w:after="0"/>
        <w:tabs>
          <w:tab w:leader="none" w:pos="8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 a beneficial interest in the:</w:t>
      </w:r>
    </w:p>
    <w:p>
      <w:pPr>
        <w:spacing w:after="0" w:line="225" w:lineRule="exact"/>
        <w:rPr>
          <w:rFonts w:ascii="Arial" w:cs="Arial" w:eastAsia="Arial" w:hAnsi="Arial"/>
          <w:sz w:val="18"/>
          <w:szCs w:val="18"/>
          <w:color w:val="auto"/>
        </w:rPr>
      </w:pPr>
    </w:p>
    <w:p>
      <w:pPr>
        <w:ind w:left="1480" w:hanging="648"/>
        <w:spacing w:after="0"/>
        <w:tabs>
          <w:tab w:leader="none" w:pos="14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 144A Global Note (CUSIP [ ]), or</w:t>
      </w:r>
    </w:p>
    <w:p>
      <w:pPr>
        <w:spacing w:after="0" w:line="225" w:lineRule="exact"/>
        <w:rPr>
          <w:rFonts w:ascii="Arial" w:cs="Arial" w:eastAsia="Arial" w:hAnsi="Arial"/>
          <w:sz w:val="18"/>
          <w:szCs w:val="18"/>
          <w:color w:val="auto"/>
        </w:rPr>
      </w:pPr>
    </w:p>
    <w:p>
      <w:pPr>
        <w:ind w:left="3920" w:hanging="537"/>
        <w:spacing w:after="0"/>
        <w:tabs>
          <w:tab w:leader="none" w:pos="3920" w:val="left"/>
        </w:tabs>
        <w:numPr>
          <w:ilvl w:val="2"/>
          <w:numId w:val="27"/>
        </w:numPr>
        <w:rPr>
          <w:rFonts w:ascii="Arial" w:cs="Arial" w:eastAsia="Arial" w:hAnsi="Arial"/>
          <w:sz w:val="17"/>
          <w:szCs w:val="17"/>
          <w:color w:val="auto"/>
        </w:rPr>
      </w:pPr>
      <w:r>
        <w:rPr>
          <w:rFonts w:ascii="Arial" w:cs="Arial" w:eastAsia="Arial" w:hAnsi="Arial"/>
          <w:sz w:val="17"/>
          <w:szCs w:val="17"/>
          <w:color w:val="auto"/>
        </w:rPr>
        <w:t>[ ] Regulation S Global Note (CUSIP [ ])</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27" w:name="page28"/>
    <w:bookmarkEnd w:id="27"/>
    <w:p>
      <w:pPr>
        <w:ind w:left="4600"/>
        <w:spacing w:after="0"/>
        <w:rPr>
          <w:sz w:val="20"/>
          <w:szCs w:val="20"/>
          <w:color w:val="auto"/>
        </w:rPr>
      </w:pPr>
      <w:r>
        <w:rPr>
          <w:rFonts w:ascii="Arial" w:cs="Arial" w:eastAsia="Arial" w:hAnsi="Arial"/>
          <w:sz w:val="18"/>
          <w:szCs w:val="18"/>
          <w:color w:val="auto"/>
        </w:rPr>
        <w:t>SCHEDULE OF EXCHANGES OF NOTES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exchanges of a part of this Global Security for certificated Notes or a part of another Global Security have been made: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Amount of increase</w:t>
            </w:r>
          </w:p>
        </w:tc>
        <w:tc>
          <w:tcPr>
            <w:tcW w:w="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Principal Amount of</w:t>
            </w:r>
          </w:p>
        </w:tc>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Amount of decrease</w:t>
            </w:r>
          </w:p>
        </w:tc>
        <w:tc>
          <w:tcPr>
            <w:tcW w:w="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5"/>
              </w:rPr>
              <w:t>in Principal</w:t>
            </w:r>
          </w:p>
        </w:tc>
        <w:tc>
          <w:tcPr>
            <w:tcW w:w="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this Global Security</w:t>
            </w:r>
          </w:p>
        </w:tc>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5"/>
              </w:rPr>
              <w:t>in Principal Amount of this</w:t>
            </w:r>
          </w:p>
        </w:tc>
        <w:tc>
          <w:tcPr>
            <w:tcW w:w="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Amount of this</w:t>
            </w:r>
          </w:p>
        </w:tc>
        <w:tc>
          <w:tcPr>
            <w:tcW w:w="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5"/>
              </w:rPr>
              <w:t>following such</w:t>
            </w:r>
          </w:p>
        </w:tc>
        <w:tc>
          <w:tcPr>
            <w:tcW w:w="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Signature of authorized</w:t>
            </w:r>
          </w:p>
        </w:tc>
      </w:tr>
      <w:tr>
        <w:trPr>
          <w:trHeight w:val="230"/>
        </w:trPr>
        <w:tc>
          <w:tcPr>
            <w:tcW w:w="22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Date of Exchange</w:t>
            </w:r>
          </w:p>
        </w:tc>
        <w:tc>
          <w:tcPr>
            <w:tcW w:w="4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Global Security</w:t>
            </w:r>
          </w:p>
        </w:tc>
        <w:tc>
          <w:tcPr>
            <w:tcW w:w="6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Global Security</w:t>
            </w:r>
          </w:p>
        </w:tc>
        <w:tc>
          <w:tcPr>
            <w:tcW w:w="4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decrease or increase</w:t>
            </w:r>
          </w:p>
        </w:tc>
        <w:tc>
          <w:tcPr>
            <w:tcW w:w="4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signatory of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60" w:top="800" w:right="3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2056]</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THIS SECURITY (OR ITS PREDECESSOR) WAS ORIGINALLY ISSUED IN A TRANSACTION EXEMPT FROM REGISTRATION UNDER THE UNITED STATES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THIS SECURITY MAY NOT BE OFFERED, SOLD OR OTHERWISE TRANSFERRED IN THE ABSENCE OF SUCH REGISTRATION OR AN APPLICABLE EXEMPTION THEREFROM. EACH PURCHASER OF THIS SECURITY IS HEREBY NOTIFIED THAT THE SELLER OF THIS SECURITY MAY BE RELYING ON THE EXEMPTION FROM THE PROVISIONS OF SECTION 5 OF THE SECURITIES ACT PROVIDED BY RULE 144A THEREUNDER. THE HOLDER OF THIS SECURITY BY ITS ACCEPTANCE HEREOF REPRESENTS THAT IT IS (1) A “QUALIFIED INSTITUTIONAL BUYER” (AS DEFINED IN RULE 144A UNDER THE SECURITIES ACT) OR (2) NOT A U.S. PERSON AND IS ACQUIRING ITS NOTE IN AN “OFFSHORE TRANSACTION” PURSUANT TO RULE 904 OF REGULATION S UNDER THE SECURITIES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HOLDER OF THIS SECURITY AGREES FOR THE BENEFIT OF COMCAST CORPORATION THAT (A) PRIOR TO THE DATE (THE</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 WHICH IS ONE YEAR AFTER THE LATER OF THE ORIGINAL ISSUE DATE HEREOF AND THE LAST DATE ON WHICH THE ISSUER OR ANY AFFILIATE OF THE ISSUER WAS THE OWNER OF THIS SECURITY (OR ANY PREDECESSOR OF SUCH SECURITY), THIS SECURITY MAY BE OFFERED, RESOLD, PLEDGED OR OTHERWISE TRANSFERRED ONLY (I) TO A PERSON WHOM THE SELLER REASONABLY BELIEVES IS A “QUALIFIED INSTITUTIONAL BUYER” (AS DEFINED IN RULE 144A UNDER THE SECURITIES ACT) IN A TRANSACTION MEETING THE REQUIREMENTS OF RULE 144A, (II) PURSUANT TO AN EXEMPTION FROM</w:t>
      </w:r>
    </w:p>
    <w:p>
      <w:pPr>
        <w:spacing w:after="0" w:line="2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ind w:right="160"/>
        <w:spacing w:after="0" w:line="271" w:lineRule="auto"/>
        <w:rPr>
          <w:sz w:val="20"/>
          <w:szCs w:val="20"/>
          <w:color w:val="auto"/>
        </w:rPr>
      </w:pPr>
      <w:r>
        <w:rPr>
          <w:rFonts w:ascii="Arial" w:cs="Arial" w:eastAsia="Arial" w:hAnsi="Arial"/>
          <w:sz w:val="17"/>
          <w:szCs w:val="17"/>
          <w:color w:val="auto"/>
        </w:rPr>
        <w:t>REGISTRATION UNDER THE SECURITIES ACT PROVIDED BY RULE 144 THEREUNDER (IF AVAILABLE), (III) PURSUANT TO OFFERS AND SALES TO NON-U.S. PERSONS THAT OCCUR OUTSIDE THE UNITED STATES WITHIN THE MEANING OF REGULATION S UNDER THE SECURITIES ACT, (IV) TO AN INSTITUTIONAL “ACCREDITED INVESTOR” WITHIN THE MEANING OF SUBPARAGRAPH (a)(1), (2),</w:t>
      </w:r>
    </w:p>
    <w:p>
      <w:pPr>
        <w:ind w:firstLine="8"/>
        <w:spacing w:after="0" w:line="251"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OR (7) OF RULE 501 UNDER THE SECURITIES ACT THAT IS ACQUIRING THIS SECURITY FOR ITS OWN ACCOUNT, OR FOR THE ACCOUNT OF SUCH AN INSTITUTIONAL “ACCREDITED INVESTOR,” FOR INVESTMENT PURPOSES AND NOT WITH A VIEW TO, OR FOR OFFER OR SALE IN CONNECTION WITH, ANY DISTRIBUTION IN VIOLATION OF THE SECURITIES ACT, (V) PURSUANT TO ANY OTHER AVAILABLE EXEMPTION FROM THE REGISTRATION REQUIREMENTS OF THE SECURITIES ACT OR (VI) PURSUANT TO A REGISTRATION STATEMENT WHICH HAS BEEN DECLARED EFFECTIVE UNDER THE SECURITIES ACT, IN EACH CASE IN ACCORDANCE WITH ANY APPLICABLE SECURITIES LAWS OF ANY STATE OF THE UNITED STATES, AND (B) THE HOLDER WILL, AND EACH SUBSEQUENT HOLDER IS REQUIRED TO, NOTIFY ANY PURCHASER OF THIS SECURITY OF THE RESALE RESTRICTIONS REFERRED TO IN CLAUSE (A) ABOVE. THIS LEGEND WILL BE REMOVED UPON THE EARLIER OF THE TRANSFER OF THIS SECURITY PURSUANT TO CLAUSE (A)(VI) ABOVE OR REQUEST OF THE HOLDER AFTER THE RESALE RESTRICTION TERMINATION DATE. THE INDENTURE CONTAINS A PROVISION REQUIRING THE TRUSTEE TO REFUSE TO REGISTER THE TRANSFER OF THIS SECURITY IN VIOLATION OF THE FOREGOING RESTRICTION.</w:t>
      </w:r>
    </w:p>
    <w:p>
      <w:pPr>
        <w:spacing w:after="0" w:line="1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CASE OF REGULATION S NOTES: UNTIL 40 DAYS AFTER THE LATER OF COMMENCEMENT OR COMPLETION OF THE OFFERING, AN OFFER OR SALE OF NOTES WITHIN THE UNITED STATES BY A DEALER (AS DEFINED IN THE SECURITIES ACT) MAY VIOLATE THE REGISTRATION REQUIREMENTS OF THE SECURITIES ACT IF SUCH OFFER OR SALE IS MADE OTHERWISE THAN IN ACCORDANCE WITH RULE 144A THEREUNDER.]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2.937% Note due 2056</w:t>
      </w:r>
    </w:p>
    <w:p>
      <w:pPr>
        <w:spacing w:after="0" w:line="256" w:lineRule="exact"/>
        <w:rPr>
          <w:sz w:val="20"/>
          <w:szCs w:val="20"/>
          <w:color w:val="auto"/>
        </w:rPr>
      </w:pPr>
    </w:p>
    <w:p>
      <w:pPr>
        <w:ind w:left="40"/>
        <w:spacing w:after="0"/>
        <w:tabs>
          <w:tab w:leader="none" w:pos="10060" w:val="left"/>
        </w:tabs>
        <w:rPr>
          <w:sz w:val="20"/>
          <w:szCs w:val="20"/>
          <w:color w:val="auto"/>
        </w:rPr>
      </w:pPr>
      <w:r>
        <w:rPr>
          <w:rFonts w:ascii="Arial" w:cs="Arial" w:eastAsia="Arial" w:hAnsi="Arial"/>
          <w:sz w:val="18"/>
          <w:szCs w:val="18"/>
          <w:color w:val="auto"/>
        </w:rPr>
        <w:t>No. [A][R]-[ ]</w:t>
      </w:r>
      <w:r>
        <w:rPr>
          <w:sz w:val="20"/>
          <w:szCs w:val="20"/>
          <w:color w:val="auto"/>
        </w:rPr>
        <w:tab/>
      </w:r>
      <w:r>
        <w:rPr>
          <w:rFonts w:ascii="Arial" w:cs="Arial" w:eastAsia="Arial" w:hAnsi="Arial"/>
          <w:sz w:val="18"/>
          <w:szCs w:val="18"/>
          <w:color w:val="auto"/>
        </w:rPr>
        <w:t>CUSIP No.: [ ]</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 ]</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48"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Dollars) on November 1, 2056.</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May 1 and November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1,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April 15 and October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1" w:name="page32"/>
    <w:bookmarkEnd w:id="31"/>
    <w:p>
      <w:pPr>
        <w:ind w:firstLine="648"/>
        <w:spacing w:after="0" w:line="277" w:lineRule="auto"/>
        <w:rPr>
          <w:sz w:val="20"/>
          <w:szCs w:val="20"/>
          <w:color w:val="auto"/>
        </w:rPr>
      </w:pPr>
      <w:r>
        <w:rPr>
          <w:rFonts w:ascii="Arial" w:cs="Arial" w:eastAsia="Arial" w:hAnsi="Arial"/>
          <w:sz w:val="18"/>
          <w:szCs w:val="18"/>
          <w:color w:val="auto"/>
        </w:rPr>
        <w:t>IN WITNESS WHEREOF, the Issuer has caused this Security to be signed manually or by facsimile by its duly authorized officer under its corporate seal.</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14605</wp:posOffset>
            </wp:positionV>
            <wp:extent cx="21513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 Jason S. Armstrong</w:t>
      </w:r>
    </w:p>
    <w:p>
      <w:pPr>
        <w:spacing w:after="0" w:line="23" w:lineRule="exact"/>
        <w:rPr>
          <w:sz w:val="20"/>
          <w:szCs w:val="20"/>
          <w:color w:val="auto"/>
        </w:rPr>
      </w:pPr>
    </w:p>
    <w:p>
      <w:pPr>
        <w:ind w:left="7300"/>
        <w:spacing w:after="0"/>
        <w:tabs>
          <w:tab w:leader="none" w:pos="78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9"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2028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Senior Deputy General</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Counsel and Assistant Secretary</w:t>
      </w:r>
    </w:p>
    <w:p>
      <w:pPr>
        <w:spacing w:after="0" w:line="200" w:lineRule="exact"/>
        <w:rPr>
          <w:sz w:val="20"/>
          <w:szCs w:val="20"/>
          <w:color w:val="auto"/>
        </w:rPr>
      </w:pPr>
    </w:p>
    <w:p>
      <w:pPr>
        <w:spacing w:after="0" w:line="328"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584" w:right="89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19, 2021</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Authorized Signatory</w:t>
      </w:r>
    </w:p>
    <w:p>
      <w:pPr>
        <w:spacing w:after="0" w:line="325"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2.937% Note due 2056</w:t>
      </w:r>
    </w:p>
    <w:p>
      <w:pPr>
        <w:spacing w:after="0" w:line="225" w:lineRule="exact"/>
        <w:rPr>
          <w:sz w:val="20"/>
          <w:szCs w:val="20"/>
          <w:color w:val="auto"/>
        </w:rPr>
      </w:pPr>
    </w:p>
    <w:p>
      <w:pPr>
        <w:ind w:left="1300" w:hanging="450"/>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August 19, 2021. The Issuer will pay interest semi-annually in arrears on each Interest Payment Date, commencing November 1, 2021. Interest will be computed on the basis of a 360-day year of twelve 30-day months.</w:t>
      </w:r>
    </w:p>
    <w:p>
      <w:pPr>
        <w:spacing w:after="0" w:line="18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Issuer shall pay interest on overdue principal from time to time on demand at the rate borne by the Securities and on overdue installments of interest (without regard to any applicable grace periods) to the extent lawful. The Issuer shall pay such additional interest as may be payable pursuant to the Registration Rights Agreement, dated August 19, 2021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among the Company, the Guarantors and the joint-lead dealer managers party thereto. The Holders of this Security are entitled to the benefits of the Registration Rights Agreement.</w:t>
      </w:r>
    </w:p>
    <w:p>
      <w:pPr>
        <w:spacing w:after="0" w:line="157" w:lineRule="exact"/>
        <w:rPr>
          <w:sz w:val="20"/>
          <w:szCs w:val="20"/>
          <w:color w:val="auto"/>
        </w:rPr>
      </w:pPr>
    </w:p>
    <w:p>
      <w:pPr>
        <w:ind w:left="1300" w:hanging="450"/>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4" w:name="page35"/>
    <w:bookmarkEnd w:id="34"/>
    <w:p>
      <w:pPr>
        <w:ind w:left="1300" w:hanging="450"/>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25" w:lineRule="exact"/>
        <w:rPr>
          <w:sz w:val="20"/>
          <w:szCs w:val="20"/>
          <w:color w:val="auto"/>
        </w:rPr>
      </w:pPr>
    </w:p>
    <w:p>
      <w:pPr>
        <w:ind w:left="1300" w:hanging="450"/>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 The terms of the Securities include those stated in the Indenture and those made part of the Indenture by reference to the Trust Indenture Act of</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191" w:lineRule="exact"/>
        <w:rPr>
          <w:sz w:val="20"/>
          <w:szCs w:val="20"/>
          <w:color w:val="auto"/>
        </w:rPr>
      </w:pPr>
    </w:p>
    <w:p>
      <w:pPr>
        <w:ind w:left="1300" w:hanging="450"/>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9" w:lineRule="exact"/>
        <w:rPr>
          <w:sz w:val="20"/>
          <w:szCs w:val="20"/>
          <w:color w:val="auto"/>
        </w:rPr>
      </w:pPr>
    </w:p>
    <w:p>
      <w:pPr>
        <w:ind w:left="1300" w:hanging="45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61" w:lineRule="exact"/>
        <w:rPr>
          <w:sz w:val="20"/>
          <w:szCs w:val="20"/>
          <w:color w:val="auto"/>
        </w:rPr>
      </w:pPr>
    </w:p>
    <w:p>
      <w:pPr>
        <w:ind w:left="1300" w:hanging="450"/>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5" w:name="page36"/>
    <w:bookmarkEnd w:id="35"/>
    <w:p>
      <w:pPr>
        <w:ind w:left="1300" w:hanging="450"/>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46" w:lineRule="exact"/>
        <w:rPr>
          <w:sz w:val="20"/>
          <w:szCs w:val="20"/>
          <w:color w:val="auto"/>
        </w:rPr>
      </w:pPr>
    </w:p>
    <w:p>
      <w:pPr>
        <w:ind w:left="1300" w:hanging="45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5" w:lineRule="exact"/>
        <w:rPr>
          <w:sz w:val="20"/>
          <w:szCs w:val="20"/>
          <w:color w:val="auto"/>
        </w:rPr>
      </w:pPr>
    </w:p>
    <w:p>
      <w:pPr>
        <w:ind w:left="1380" w:hanging="530"/>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77" w:lineRule="exact"/>
        <w:rPr>
          <w:sz w:val="20"/>
          <w:szCs w:val="20"/>
          <w:color w:val="auto"/>
        </w:rPr>
      </w:pPr>
    </w:p>
    <w:p>
      <w:pPr>
        <w:ind w:left="1380" w:hanging="530"/>
        <w:spacing w:after="0"/>
        <w:tabs>
          <w:tab w:leader="none" w:pos="1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225" w:lineRule="exact"/>
        <w:rPr>
          <w:sz w:val="20"/>
          <w:szCs w:val="20"/>
          <w:color w:val="auto"/>
        </w:rPr>
      </w:pPr>
    </w:p>
    <w:p>
      <w:pPr>
        <w:ind w:right="480" w:firstLine="648"/>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49" w:lineRule="exact"/>
        <w:rPr>
          <w:sz w:val="20"/>
          <w:szCs w:val="20"/>
          <w:color w:val="auto"/>
        </w:rPr>
      </w:pPr>
    </w:p>
    <w:p>
      <w:pPr>
        <w:ind w:left="1400" w:hanging="550"/>
        <w:spacing w:after="0"/>
        <w:tabs>
          <w:tab w:leader="none" w:pos="14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Redemption.</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Issuer will have the right at its option to redeem any of the Securities in whole or in part, at any time or from time to time prior to their maturity, on at least 15 days, but not more than 60 days, prior notice transmitted to the registered address of each Holder of the Securities, at the applicable Redemption Price.</w:t>
      </w:r>
    </w:p>
    <w:p>
      <w:pPr>
        <w:spacing w:after="0" w:line="180"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May 1, 2056 (the “</w:t>
      </w:r>
      <w:r>
        <w:rPr>
          <w:rFonts w:ascii="Arial" w:cs="Arial" w:eastAsia="Arial" w:hAnsi="Arial"/>
          <w:sz w:val="18"/>
          <w:szCs w:val="18"/>
          <w:b w:val="1"/>
          <w:bCs w:val="1"/>
          <w:color w:val="auto"/>
        </w:rPr>
        <w:t>Par Call Date</w:t>
      </w:r>
      <w:r>
        <w:rPr>
          <w:rFonts w:ascii="Arial" w:cs="Arial" w:eastAsia="Arial" w:hAnsi="Arial"/>
          <w:sz w:val="18"/>
          <w:szCs w:val="18"/>
          <w:color w:val="auto"/>
        </w:rPr>
        <w:t>”), the greater of (i) 100% of the principal amount of such Securities and (ii) the sum of the present values of the principal amount of such Securities and the scheduled</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6" w:name="page37"/>
    <w:bookmarkEnd w:id="36"/>
    <w:p>
      <w:pPr>
        <w:spacing w:after="0" w:line="291" w:lineRule="auto"/>
        <w:rPr>
          <w:sz w:val="20"/>
          <w:szCs w:val="20"/>
          <w:color w:val="auto"/>
        </w:rPr>
      </w:pPr>
      <w:r>
        <w:rPr>
          <w:rFonts w:ascii="Arial" w:cs="Arial" w:eastAsia="Arial" w:hAnsi="Arial"/>
          <w:sz w:val="16"/>
          <w:szCs w:val="16"/>
          <w:color w:val="auto"/>
        </w:rPr>
        <w:t>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20 basis points and</w:t>
      </w:r>
    </w:p>
    <w:p>
      <w:pPr>
        <w:ind w:right="360" w:firstLine="8"/>
        <w:spacing w:after="0" w:line="260" w:lineRule="auto"/>
        <w:tabs>
          <w:tab w:leader="none" w:pos="2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Securities are redeemed on or after the Par Call Date, 100% of the principal amount of such Securities; plus, in each case, accrued and unpaid interest thereon to the date of redemption.</w:t>
      </w:r>
    </w:p>
    <w:p>
      <w:pPr>
        <w:spacing w:after="0" w:line="181"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w:t>
      </w:r>
      <w:r>
        <w:rPr>
          <w:rFonts w:ascii="Arial" w:cs="Arial" w:eastAsia="Arial" w:hAnsi="Arial"/>
          <w:sz w:val="18"/>
          <w:szCs w:val="18"/>
          <w:b w:val="1"/>
          <w:bCs w:val="1"/>
          <w:color w:val="auto"/>
        </w:rPr>
        <w:t>Remaining Life</w:t>
      </w:r>
      <w:r>
        <w:rPr>
          <w:rFonts w:ascii="Arial" w:cs="Arial" w:eastAsia="Arial" w:hAnsi="Arial"/>
          <w:sz w:val="18"/>
          <w:szCs w:val="18"/>
          <w:color w:val="auto"/>
        </w:rPr>
        <w:t>”) that would be utilized, at the time of selection and in accordance with customary financial practice.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Credit Suisse Securities (USA) LLC, Morgan Stanley &amp; Co. LLC, BofA Securities, Inc., Citigroup Global Markets Inc., J.P. Morgan Securities LLC, Mizuho Securities USA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3"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w:t>
      </w: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7" w:name="page38"/>
    <w:bookmarkEnd w:id="37"/>
    <w:p>
      <w:pPr>
        <w:ind w:right="140"/>
        <w:spacing w:after="0" w:line="263" w:lineRule="auto"/>
        <w:rPr>
          <w:sz w:val="20"/>
          <w:szCs w:val="20"/>
          <w:color w:val="auto"/>
        </w:rPr>
      </w:pPr>
      <w:r>
        <w:rPr>
          <w:rFonts w:ascii="Arial" w:cs="Arial" w:eastAsia="Arial" w:hAnsi="Arial"/>
          <w:sz w:val="18"/>
          <w:szCs w:val="18"/>
          <w:color w:val="auto"/>
        </w:rPr>
        <w:t>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84" w:lineRule="exact"/>
        <w:rPr>
          <w:sz w:val="20"/>
          <w:szCs w:val="20"/>
          <w:color w:val="auto"/>
        </w:rPr>
      </w:pPr>
    </w:p>
    <w:p>
      <w:pPr>
        <w:ind w:left="1400" w:hanging="550"/>
        <w:spacing w:after="0"/>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66" w:lineRule="exact"/>
        <w:rPr>
          <w:sz w:val="20"/>
          <w:szCs w:val="20"/>
          <w:color w:val="auto"/>
        </w:rPr>
      </w:pPr>
    </w:p>
    <w:p>
      <w:pPr>
        <w:ind w:left="1380" w:hanging="530"/>
        <w:spacing w:after="0"/>
        <w:tabs>
          <w:tab w:leader="none" w:pos="1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1400" w:hanging="550"/>
        <w:spacing w:after="0"/>
        <w:tabs>
          <w:tab w:leader="none" w:pos="14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1380" w:hanging="530"/>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38" w:name="page39"/>
    <w:bookmarkEnd w:id="38"/>
    <w:p>
      <w:pPr>
        <w:ind w:left="1380" w:hanging="530"/>
        <w:spacing w:after="0"/>
        <w:tabs>
          <w:tab w:leader="none" w:pos="1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1400" w:hanging="550"/>
        <w:spacing w:after="0"/>
        <w:tabs>
          <w:tab w:leader="none" w:pos="1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65" w:lineRule="exact"/>
        <w:rPr>
          <w:sz w:val="20"/>
          <w:szCs w:val="20"/>
          <w:color w:val="auto"/>
        </w:rPr>
      </w:pPr>
    </w:p>
    <w:p>
      <w:pPr>
        <w:ind w:left="1400" w:hanging="550"/>
        <w:spacing w:after="0"/>
        <w:tabs>
          <w:tab w:leader="none" w:pos="1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9" w:name="page40"/>
    <w:bookmarkEnd w:id="39"/>
    <w:p>
      <w:pPr>
        <w:ind w:left="476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3"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ectPr>
          <w:pgSz w:w="11900" w:h="16838" w:orient="portrait"/>
          <w:cols w:equalWidth="0" w:num="1">
            <w:col w:w="10620"/>
          </w:cols>
          <w:pgMar w:left="320" w:top="584" w:right="95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_______________________</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Signed: _______________________</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(Signed exactly as name appears</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the other side of this Security)</w:t>
      </w:r>
    </w:p>
    <w:p>
      <w:pPr>
        <w:spacing w:after="0" w:line="200" w:lineRule="exact"/>
        <w:rPr>
          <w:sz w:val="20"/>
          <w:szCs w:val="20"/>
          <w:color w:val="auto"/>
        </w:rPr>
      </w:pPr>
    </w:p>
    <w:p>
      <w:pPr>
        <w:sectPr>
          <w:pgSz w:w="11900" w:h="16838" w:orient="portrait"/>
          <w:cols w:equalWidth="0" w:num="2">
            <w:col w:w="3880" w:space="720"/>
            <w:col w:w="6020"/>
          </w:cols>
          <w:pgMar w:left="320" w:top="584" w:right="95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14605</wp:posOffset>
            </wp:positionV>
            <wp:extent cx="5648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Participant in a recognized Signature Guarantee</w:t>
      </w:r>
    </w:p>
    <w:p>
      <w:pPr>
        <w:spacing w:after="0" w:line="46"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Medallion Program (or other signature guarantor</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program reasonably acceptable to the Trustee)</w:t>
      </w:r>
    </w:p>
    <w:p>
      <w:pPr>
        <w:spacing w:after="0" w:line="119"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320" w:top="584" w:right="959" w:bottom="1440" w:gutter="0" w:footer="0" w:header="0"/>
          <w:type w:val="continuous"/>
        </w:sectPr>
      </w:pPr>
    </w:p>
    <w:bookmarkStart w:id="40" w:name="page41"/>
    <w:bookmarkEnd w:id="40"/>
    <w:p>
      <w:pPr>
        <w:jc w:val="center"/>
        <w:ind w:right="-19"/>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 Greenwich Street, Floor 7E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815-5595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 ]% Notes due [ ]</w:t>
      </w:r>
    </w:p>
    <w:p>
      <w:pPr>
        <w:spacing w:after="0" w:line="225" w:lineRule="exact"/>
        <w:rPr>
          <w:sz w:val="20"/>
          <w:szCs w:val="20"/>
          <w:color w:val="auto"/>
        </w:rPr>
      </w:pPr>
    </w:p>
    <w:p>
      <w:pPr>
        <w:jc w:val="both"/>
        <w:ind w:right="160" w:firstLine="1296"/>
        <w:spacing w:after="0" w:line="286" w:lineRule="auto"/>
        <w:rPr>
          <w:sz w:val="20"/>
          <w:szCs w:val="20"/>
          <w:color w:val="auto"/>
        </w:rPr>
      </w:pPr>
      <w:r>
        <w:rPr>
          <w:rFonts w:ascii="Arial" w:cs="Arial" w:eastAsia="Arial" w:hAnsi="Arial"/>
          <w:sz w:val="17"/>
          <w:szCs w:val="17"/>
          <w:color w:val="auto"/>
        </w:rPr>
        <w:t>Reference is hereby made to the indenture dated as of September 18, 2013, by and among Comcast Corporation, the guarantors named therein and The Bank of New York Mellon, as trustee, as supplemented by the First Supplemental Indenture dated as of November 17, 2015 (as amended, the “</w:t>
      </w:r>
      <w:r>
        <w:rPr>
          <w:rFonts w:ascii="Arial" w:cs="Arial" w:eastAsia="Arial" w:hAnsi="Arial"/>
          <w:sz w:val="17"/>
          <w:szCs w:val="17"/>
          <w:u w:val="single" w:color="auto"/>
          <w:color w:val="auto"/>
        </w:rPr>
        <w:t>Indenture</w:t>
      </w:r>
      <w:r>
        <w:rPr>
          <w:rFonts w:ascii="Arial" w:cs="Arial" w:eastAsia="Arial" w:hAnsi="Arial"/>
          <w:sz w:val="17"/>
          <w:szCs w:val="17"/>
          <w:color w:val="auto"/>
        </w:rPr>
        <w:t>”). Capitalized terms used but not defined herein shall have the meanings given to them in the Indenture.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_______________ (the “</w:t>
      </w:r>
      <w:r>
        <w:rPr>
          <w:rFonts w:ascii="Arial" w:cs="Arial" w:eastAsia="Arial" w:hAnsi="Arial"/>
          <w:sz w:val="16"/>
          <w:szCs w:val="16"/>
          <w:u w:val="single" w:color="auto"/>
          <w:color w:val="auto"/>
        </w:rPr>
        <w:t>Transferor</w:t>
      </w:r>
      <w:r>
        <w:rPr>
          <w:rFonts w:ascii="Arial" w:cs="Arial" w:eastAsia="Arial" w:hAnsi="Arial"/>
          <w:sz w:val="16"/>
          <w:szCs w:val="16"/>
          <w:color w:val="auto"/>
        </w:rPr>
        <w:t>”) owns and proposes to transfer the Note[s] or interest in such Note[s] specified in Annex A hereto,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the principal amount of $___________ in such Note[s] or interests (the “</w:t>
      </w:r>
      <w:r>
        <w:rPr>
          <w:rFonts w:ascii="Arial" w:cs="Arial" w:eastAsia="Arial" w:hAnsi="Arial"/>
          <w:sz w:val="17"/>
          <w:szCs w:val="17"/>
          <w:u w:val="single" w:color="auto"/>
          <w:color w:val="auto"/>
        </w:rPr>
        <w:t>Transfer</w:t>
      </w:r>
      <w:r>
        <w:rPr>
          <w:rFonts w:ascii="Arial" w:cs="Arial" w:eastAsia="Arial" w:hAnsi="Arial"/>
          <w:sz w:val="17"/>
          <w:szCs w:val="17"/>
          <w:color w:val="auto"/>
        </w:rPr>
        <w:t>”), to _______________ (the “</w:t>
      </w:r>
      <w:r>
        <w:rPr>
          <w:rFonts w:ascii="Arial" w:cs="Arial" w:eastAsia="Arial" w:hAnsi="Arial"/>
          <w:sz w:val="17"/>
          <w:szCs w:val="17"/>
          <w:u w:val="single" w:color="auto"/>
          <w:color w:val="auto"/>
        </w:rPr>
        <w:t>Transferee</w:t>
      </w:r>
      <w:r>
        <w:rPr>
          <w:rFonts w:ascii="Arial" w:cs="Arial" w:eastAsia="Arial" w:hAnsi="Arial"/>
          <w:sz w:val="17"/>
          <w:szCs w:val="17"/>
          <w:color w:val="auto"/>
        </w:rPr>
        <w:t>”), as further specified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Annex A hereto. In connection with the Transfer, the Transferor hereby certifies that: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[CHECK ALL THAT APPLY]</w:t>
      </w:r>
    </w:p>
    <w:p>
      <w:pPr>
        <w:spacing w:after="0" w:line="225" w:lineRule="exact"/>
        <w:rPr>
          <w:sz w:val="20"/>
          <w:szCs w:val="20"/>
          <w:color w:val="auto"/>
        </w:rPr>
      </w:pPr>
    </w:p>
    <w:p>
      <w:pPr>
        <w:ind w:right="60" w:firstLine="1304"/>
        <w:spacing w:after="0" w:line="254" w:lineRule="auto"/>
        <w:tabs>
          <w:tab w:leader="none" w:pos="17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 ] CHECK IF TRANSFEREE WILL TAKE DELIVERY OF A BENEFICIAL INTEREST IN THE 144A GLOBAL NOTE PURSUANT TO RULE 144A. The Transfer is being effected pursuant to and in accordance with Rule 144A under the United States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accordingly, the Transferor hereby further certifies that the beneficial interest is being transferred to a Person that the Transferor reasonably believes is purchasing the beneficial interest for its own account, or for one or more accounts with respect to which such Person exercises sole investment discretion, and the Transferor reasonably believes such Person and each such account is a “qualified institutional buyer” within the meaning of Rule 144A in a transaction meeting the requirements of Rule 144A and such Transfer is in compliance with all applicable securities laws of the United States and other jurisdictions.</w:t>
      </w:r>
    </w:p>
    <w:p>
      <w:pPr>
        <w:spacing w:after="0" w:line="194" w:lineRule="exact"/>
        <w:rPr>
          <w:rFonts w:ascii="Arial" w:cs="Arial" w:eastAsia="Arial" w:hAnsi="Arial"/>
          <w:sz w:val="18"/>
          <w:szCs w:val="18"/>
          <w:color w:val="auto"/>
        </w:rPr>
      </w:pPr>
    </w:p>
    <w:p>
      <w:pPr>
        <w:jc w:val="both"/>
        <w:ind w:firstLine="1304"/>
        <w:spacing w:after="0" w:line="259" w:lineRule="auto"/>
        <w:tabs>
          <w:tab w:leader="none" w:pos="17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 ] CHECK IF TRANSFEREE WILL TAKE DELIVERY OF A BENEFICIAL INTEREST IN THE REGULATION S GLOBAL NOTE PURSUANT TO REGULATION S. The Transfer is being effected pursuant to and in accordance with Rule 903 or Rule 904 of Regulation S under the Securities Act or Rule 144 (if available) and, accordingly, the Transferor hereby further certifies that (i) the Transfer is not being made to a person in the United States and (x) at the time the buy order was originated, the</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1" w:name="page42"/>
    <w:bookmarkEnd w:id="41"/>
    <w:p>
      <w:pPr>
        <w:spacing w:after="0" w:line="253" w:lineRule="auto"/>
        <w:rPr>
          <w:sz w:val="20"/>
          <w:szCs w:val="20"/>
          <w:color w:val="auto"/>
        </w:rPr>
      </w:pPr>
      <w:r>
        <w:rPr>
          <w:rFonts w:ascii="Arial" w:cs="Arial" w:eastAsia="Arial" w:hAnsi="Arial"/>
          <w:sz w:val="18"/>
          <w:szCs w:val="18"/>
          <w:color w:val="auto"/>
        </w:rPr>
        <w:t>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and the interest transferred will be held immediately thereafter through Euroclear or Clearstream. Upon consummation of the proposed transfer in accordance with the terms of the Indenture, the transferred beneficial interest will be subject to the restrictions on transfer enumerated in the Indenture and the Securities Act.</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2" w:name="page43"/>
    <w:bookmarkEnd w:id="42"/>
    <w:p>
      <w:pPr>
        <w:jc w:val="center"/>
        <w:ind w:right="-120"/>
        <w:spacing w:after="0"/>
        <w:rPr>
          <w:sz w:val="20"/>
          <w:szCs w:val="20"/>
          <w:color w:val="auto"/>
        </w:rPr>
      </w:pPr>
      <w:r>
        <w:rPr>
          <w:rFonts w:ascii="Arial" w:cs="Arial" w:eastAsia="Arial" w:hAnsi="Arial"/>
          <w:sz w:val="16"/>
          <w:szCs w:val="16"/>
          <w:color w:val="auto"/>
        </w:rPr>
        <w:t>This certificate and the statements contained herein are made for your benefit and the benefit of the Issuer.</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[Insert Name of Transferor]</w:t>
      </w:r>
    </w:p>
    <w:p>
      <w:pPr>
        <w:spacing w:after="0" w:line="200" w:lineRule="exact"/>
        <w:rPr>
          <w:sz w:val="20"/>
          <w:szCs w:val="20"/>
          <w:color w:val="auto"/>
        </w:rPr>
      </w:pPr>
    </w:p>
    <w:p>
      <w:pPr>
        <w:spacing w:after="0" w:line="24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14605</wp:posOffset>
            </wp:positionV>
            <wp:extent cx="21513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Participant in a recognized Signature Guarantee Medallion Program (or other signature guarantor acceptable to the Trustee).</w:t>
      </w:r>
    </w:p>
    <w:p>
      <w:pPr>
        <w:spacing w:after="0" w:line="335"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color w:val="auto"/>
        </w:rPr>
        <w:t>ANNEX A TO CERTIFICATE OF TRANSFER</w:t>
      </w:r>
    </w:p>
    <w:p>
      <w:pPr>
        <w:spacing w:after="0" w:line="225" w:lineRule="exact"/>
        <w:rPr>
          <w:sz w:val="20"/>
          <w:szCs w:val="20"/>
          <w:color w:val="auto"/>
        </w:rPr>
      </w:pPr>
    </w:p>
    <w:p>
      <w:pPr>
        <w:ind w:left="3940" w:right="3939" w:hanging="3756"/>
        <w:spacing w:after="0" w:line="563" w:lineRule="auto"/>
        <w:tabs>
          <w:tab w:leader="none" w:pos="639"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Transferor owns and proposes to transfer the following: [CHECK ONE]</w:t>
      </w:r>
    </w:p>
    <w:p>
      <w:pPr>
        <w:spacing w:after="0" w:line="1" w:lineRule="exact"/>
        <w:rPr>
          <w:sz w:val="20"/>
          <w:szCs w:val="20"/>
          <w:color w:val="auto"/>
        </w:rPr>
      </w:pPr>
    </w:p>
    <w:p>
      <w:pPr>
        <w:ind w:left="840" w:hanging="656"/>
        <w:spacing w:after="0"/>
        <w:tabs>
          <w:tab w:leader="none" w:pos="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 a beneficial interest in the:</w:t>
      </w:r>
    </w:p>
    <w:p>
      <w:pPr>
        <w:spacing w:after="0" w:line="225" w:lineRule="exact"/>
        <w:rPr>
          <w:rFonts w:ascii="Arial" w:cs="Arial" w:eastAsia="Arial" w:hAnsi="Arial"/>
          <w:sz w:val="18"/>
          <w:szCs w:val="18"/>
          <w:color w:val="auto"/>
        </w:rPr>
      </w:pPr>
    </w:p>
    <w:p>
      <w:pPr>
        <w:ind w:left="1480" w:hanging="648"/>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 144A Global Note (CUSIP [ ]), or</w:t>
      </w:r>
    </w:p>
    <w:p>
      <w:pPr>
        <w:spacing w:after="0" w:line="225" w:lineRule="exact"/>
        <w:rPr>
          <w:rFonts w:ascii="Arial" w:cs="Arial" w:eastAsia="Arial" w:hAnsi="Arial"/>
          <w:sz w:val="18"/>
          <w:szCs w:val="18"/>
          <w:color w:val="auto"/>
        </w:rPr>
      </w:pPr>
    </w:p>
    <w:p>
      <w:pPr>
        <w:ind w:left="1480" w:hanging="648"/>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 ] Regulation S Global Note (CUSIP [ ]), or</w:t>
      </w:r>
    </w:p>
    <w:p>
      <w:pPr>
        <w:spacing w:after="0" w:line="225" w:lineRule="exact"/>
        <w:rPr>
          <w:sz w:val="20"/>
          <w:szCs w:val="20"/>
          <w:color w:val="auto"/>
        </w:rPr>
      </w:pPr>
    </w:p>
    <w:p>
      <w:pPr>
        <w:ind w:left="620" w:hanging="436"/>
        <w:spacing w:after="0"/>
        <w:tabs>
          <w:tab w:leader="none" w:pos="6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[CHECK ONE]</w:t>
      </w:r>
    </w:p>
    <w:p>
      <w:pPr>
        <w:spacing w:after="0" w:line="225" w:lineRule="exact"/>
        <w:rPr>
          <w:sz w:val="20"/>
          <w:szCs w:val="20"/>
          <w:color w:val="auto"/>
        </w:rPr>
      </w:pPr>
    </w:p>
    <w:p>
      <w:pPr>
        <w:ind w:left="840" w:hanging="656"/>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 a beneficial interest in the:</w:t>
      </w:r>
    </w:p>
    <w:p>
      <w:pPr>
        <w:spacing w:after="0" w:line="225" w:lineRule="exact"/>
        <w:rPr>
          <w:rFonts w:ascii="Arial" w:cs="Arial" w:eastAsia="Arial" w:hAnsi="Arial"/>
          <w:sz w:val="18"/>
          <w:szCs w:val="18"/>
          <w:color w:val="auto"/>
        </w:rPr>
      </w:pPr>
    </w:p>
    <w:p>
      <w:pPr>
        <w:ind w:left="1480" w:hanging="648"/>
        <w:spacing w:after="0"/>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 ] 144A Global Note (CUSIP [ ]), or</w:t>
      </w:r>
    </w:p>
    <w:p>
      <w:pPr>
        <w:spacing w:after="0" w:line="225" w:lineRule="exact"/>
        <w:rPr>
          <w:rFonts w:ascii="Arial" w:cs="Arial" w:eastAsia="Arial" w:hAnsi="Arial"/>
          <w:sz w:val="18"/>
          <w:szCs w:val="18"/>
          <w:color w:val="auto"/>
        </w:rPr>
      </w:pPr>
    </w:p>
    <w:p>
      <w:pPr>
        <w:ind w:left="3920" w:hanging="537"/>
        <w:spacing w:after="0"/>
        <w:tabs>
          <w:tab w:leader="none" w:pos="3920" w:val="left"/>
        </w:tabs>
        <w:numPr>
          <w:ilvl w:val="2"/>
          <w:numId w:val="53"/>
        </w:numPr>
        <w:rPr>
          <w:rFonts w:ascii="Arial" w:cs="Arial" w:eastAsia="Arial" w:hAnsi="Arial"/>
          <w:sz w:val="17"/>
          <w:szCs w:val="17"/>
          <w:color w:val="auto"/>
        </w:rPr>
      </w:pPr>
      <w:r>
        <w:rPr>
          <w:rFonts w:ascii="Arial" w:cs="Arial" w:eastAsia="Arial" w:hAnsi="Arial"/>
          <w:sz w:val="17"/>
          <w:szCs w:val="17"/>
          <w:color w:val="auto"/>
        </w:rPr>
        <w:t>[ ] Regulation S Global Note (CUSIP [ ])</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8"/>
          <w:szCs w:val="18"/>
          <w:color w:val="auto"/>
        </w:rPr>
        <w:t>SCHEDULE OF EXCHANGES OF NOTES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exchanges of a part of this Global Security for certificated Notes or a part of another Global Security have been made: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Amount of increase</w:t>
            </w:r>
          </w:p>
        </w:tc>
        <w:tc>
          <w:tcPr>
            <w:tcW w:w="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Principal Amount of</w:t>
            </w:r>
          </w:p>
        </w:tc>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Amount of decrease</w:t>
            </w:r>
          </w:p>
        </w:tc>
        <w:tc>
          <w:tcPr>
            <w:tcW w:w="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5"/>
              </w:rPr>
              <w:t>in Principal</w:t>
            </w:r>
          </w:p>
        </w:tc>
        <w:tc>
          <w:tcPr>
            <w:tcW w:w="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this Global Security</w:t>
            </w:r>
          </w:p>
        </w:tc>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5"/>
              </w:rPr>
              <w:t>in Principal Amount of this</w:t>
            </w:r>
          </w:p>
        </w:tc>
        <w:tc>
          <w:tcPr>
            <w:tcW w:w="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Amount of this</w:t>
            </w:r>
          </w:p>
        </w:tc>
        <w:tc>
          <w:tcPr>
            <w:tcW w:w="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5"/>
              </w:rPr>
              <w:t>following such</w:t>
            </w:r>
          </w:p>
        </w:tc>
        <w:tc>
          <w:tcPr>
            <w:tcW w:w="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Signature of authorized</w:t>
            </w:r>
          </w:p>
        </w:tc>
      </w:tr>
      <w:tr>
        <w:trPr>
          <w:trHeight w:val="230"/>
        </w:trPr>
        <w:tc>
          <w:tcPr>
            <w:tcW w:w="22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Date of Exchange</w:t>
            </w:r>
          </w:p>
        </w:tc>
        <w:tc>
          <w:tcPr>
            <w:tcW w:w="4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Global Security</w:t>
            </w:r>
          </w:p>
        </w:tc>
        <w:tc>
          <w:tcPr>
            <w:tcW w:w="6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Global Security</w:t>
            </w:r>
          </w:p>
        </w:tc>
        <w:tc>
          <w:tcPr>
            <w:tcW w:w="4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decrease or increase</w:t>
            </w:r>
          </w:p>
        </w:tc>
        <w:tc>
          <w:tcPr>
            <w:tcW w:w="4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signatory of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584" w:right="3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u w:val="single" w:color="auto"/>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 DUE 2063]</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THIS SECURITY (OR ITS PREDECESSOR) WAS ORIGINALLY ISSUED IN A TRANSACTION EXEMPT FROM REGISTRATION UNDER THE UNITED STATES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THIS SECURITY MAY NOT BE OFFERED, SOLD OR OTHERWISE TRANSFERRED IN THE ABSENCE OF SUCH REGISTRATION OR AN APPLICABLE EXEMPTION THEREFROM. EACH PURCHASER OF THIS SECURITY IS HEREBY NOTIFIED THAT THE SELLER OF THIS SECURITY MAY BE RELYING ON THE EXEMPTION FROM THE PROVISIONS OF SECTION 5 OF THE SECURITIES ACT PROVIDED BY RULE 144A THEREUNDER. THE HOLDER OF THIS SECURITY BY ITS ACCEPTANCE HEREOF REPRESENTS THAT IT IS (1) A “QUALIFIED INSTITUTIONAL BUYER” (AS DEFINED IN RULE 144A UNDER THE SECURITIES ACT) OR (2) NOT A U.S. PERSON AND IS ACQUIRING ITS NOTE IN AN “OFFSHORE TRANSACTION” PURSUANT TO RULE 904 OF REGULATION S UNDER THE SECURITIES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HOLDER OF THIS SECURITY AGREES FOR THE BENEFIT OF COMCAST CORPORATION THAT (A) PRIOR TO THE DATE (THE</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 WHICH IS ONE YEAR AFTER THE LATER OF THE ORIGINAL ISSUE DATE HEREOF AND THE LAST DATE ON WHICH THE ISSUER OR ANY AFFILIATE OF THE ISSUER WAS THE OWNER OF THIS SECURITY (OR ANY PREDECESSOR OF SUCH SECURITY), THIS SECURITY MAY BE OFFERED, RESOLD, PLEDGED OR OTHERWISE TRANSFERRED ONLY (I) TO A PERSON WHOM THE SELLER REASONABLY BELIEVES IS A “QUALIFIED INSTITUTIONAL BUYER” (AS DEFINED IN RULE 144A UNDER THE SECURITIES ACT) IN A TRANSACTION MEETING THE REQUIREMENTS OF RULE 144A, (II) PURSUANT TO AN EXEMPTION FROM</w:t>
      </w:r>
    </w:p>
    <w:p>
      <w:pPr>
        <w:spacing w:after="0" w:line="2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p>
      <w:pPr>
        <w:ind w:right="160"/>
        <w:spacing w:after="0" w:line="271" w:lineRule="auto"/>
        <w:rPr>
          <w:sz w:val="20"/>
          <w:szCs w:val="20"/>
          <w:color w:val="auto"/>
        </w:rPr>
      </w:pPr>
      <w:r>
        <w:rPr>
          <w:rFonts w:ascii="Arial" w:cs="Arial" w:eastAsia="Arial" w:hAnsi="Arial"/>
          <w:sz w:val="17"/>
          <w:szCs w:val="17"/>
          <w:color w:val="auto"/>
        </w:rPr>
        <w:t>REGISTRATION UNDER THE SECURITIES ACT PROVIDED BY RULE 144 THEREUNDER (IF AVAILABLE), (III) PURSUANT TO OFFERS AND SALES TO NON-U.S. PERSONS THAT OCCUR OUTSIDE THE UNITED STATES WITHIN THE MEANING OF REGULATION S UNDER THE SECURITIES ACT, (IV) TO AN INSTITUTIONAL “ACCREDITED INVESTOR” WITHIN THE MEANING OF SUBPARAGRAPH (a)(1), (2),</w:t>
      </w:r>
    </w:p>
    <w:p>
      <w:pPr>
        <w:ind w:firstLine="8"/>
        <w:spacing w:after="0" w:line="251" w:lineRule="auto"/>
        <w:tabs>
          <w:tab w:leader="none" w:pos="255" w:val="left"/>
        </w:tabs>
        <w:numPr>
          <w:ilvl w:val="0"/>
          <w:numId w:val="54"/>
        </w:numPr>
        <w:rPr>
          <w:rFonts w:ascii="Arial" w:cs="Arial" w:eastAsia="Arial" w:hAnsi="Arial"/>
          <w:sz w:val="18"/>
          <w:szCs w:val="18"/>
          <w:color w:val="auto"/>
        </w:rPr>
      </w:pPr>
      <w:r>
        <w:rPr>
          <w:rFonts w:ascii="Arial" w:cs="Arial" w:eastAsia="Arial" w:hAnsi="Arial"/>
          <w:sz w:val="18"/>
          <w:szCs w:val="18"/>
          <w:color w:val="auto"/>
        </w:rPr>
        <w:t>OR (7) OF RULE 501 UNDER THE SECURITIES ACT THAT IS ACQUIRING THIS SECURITY FOR ITS OWN ACCOUNT, OR FOR THE ACCOUNT OF SUCH AN INSTITUTIONAL “ACCREDITED INVESTOR,” FOR INVESTMENT PURPOSES AND NOT WITH A VIEW TO, OR FOR OFFER OR SALE IN CONNECTION WITH, ANY DISTRIBUTION IN VIOLATION OF THE SECURITIES ACT, (V) PURSUANT TO ANY OTHER AVAILABLE EXEMPTION FROM THE REGISTRATION REQUIREMENTS OF THE SECURITIES ACT OR (VI) PURSUANT TO A REGISTRATION STATEMENT WHICH HAS BEEN DECLARED EFFECTIVE UNDER THE SECURITIES ACT, IN EACH CASE IN ACCORDANCE WITH ANY APPLICABLE SECURITIES LAWS OF ANY STATE OF THE UNITED STATES, AND (B) THE HOLDER WILL, AND EACH SUBSEQUENT HOLDER IS REQUIRED TO, NOTIFY ANY PURCHASER OF THIS SECURITY OF THE RESALE RESTRICTIONS REFERRED TO IN CLAUSE (A) ABOVE. THIS LEGEND WILL BE REMOVED UPON THE EARLIER OF THE TRANSFER OF THIS SECURITY PURSUANT TO CLAUSE (A)(VI) ABOVE OR REQUEST OF THE HOLDER AFTER THE RESALE RESTRICTION TERMINATION DATE. THE INDENTURE CONTAINS A PROVISION REQUIRING THE TRUSTEE TO REFUSE TO REGISTER THE TRANSFER OF THIS SECURITY IN VIOLATION OF THE FOREGOING RESTRICTION.</w:t>
      </w:r>
    </w:p>
    <w:p>
      <w:pPr>
        <w:spacing w:after="0" w:line="1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CASE OF REGULATION S NOTES: UNTIL 40 DAYS AFTER THE LATER OF COMMENCEMENT OR COMPLETION OF THE OFFERING, AN OFFER OR SALE OF NOTES WITHIN THE UNITED STATES BY A DEALER (AS DEFINED IN THE SECURITIES ACT) MAY VIOLATE THE REGISTRATION REQUIREMENTS OF THE SECURITIES ACT IF SUCH OFFER OR SALE IS MADE OTHERWISE THAN IN ACCORDANCE WITH RULE 144A THEREUNDER.]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47" w:name="page48"/>
    <w:bookmarkEnd w:id="47"/>
    <w:p>
      <w:pPr>
        <w:jc w:val="center"/>
        <w:ind w:right="-39"/>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2.987% Note due 2063</w:t>
      </w:r>
    </w:p>
    <w:p>
      <w:pPr>
        <w:spacing w:after="0" w:line="256" w:lineRule="exact"/>
        <w:rPr>
          <w:sz w:val="20"/>
          <w:szCs w:val="20"/>
          <w:color w:val="auto"/>
        </w:rPr>
      </w:pPr>
    </w:p>
    <w:p>
      <w:pPr>
        <w:ind w:left="40"/>
        <w:spacing w:after="0"/>
        <w:tabs>
          <w:tab w:leader="none" w:pos="10060" w:val="left"/>
        </w:tabs>
        <w:rPr>
          <w:sz w:val="20"/>
          <w:szCs w:val="20"/>
          <w:color w:val="auto"/>
        </w:rPr>
      </w:pPr>
      <w:r>
        <w:rPr>
          <w:rFonts w:ascii="Arial" w:cs="Arial" w:eastAsia="Arial" w:hAnsi="Arial"/>
          <w:sz w:val="18"/>
          <w:szCs w:val="18"/>
          <w:color w:val="auto"/>
        </w:rPr>
        <w:t>No. [A][R]-[ ]</w:t>
      </w:r>
      <w:r>
        <w:rPr>
          <w:sz w:val="20"/>
          <w:szCs w:val="20"/>
          <w:color w:val="auto"/>
        </w:rPr>
        <w:tab/>
      </w:r>
      <w:r>
        <w:rPr>
          <w:rFonts w:ascii="Arial" w:cs="Arial" w:eastAsia="Arial" w:hAnsi="Arial"/>
          <w:sz w:val="18"/>
          <w:szCs w:val="18"/>
          <w:color w:val="auto"/>
        </w:rPr>
        <w:t>CUSIP No.: [ ]</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 ]</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w:t>
      </w:r>
    </w:p>
    <w:p>
      <w:pPr>
        <w:spacing w:after="0" w:line="248"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Dollars) on November 1, 2063.</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May 1 and November 1 (each, an “</w:t>
      </w:r>
      <w:r>
        <w:rPr>
          <w:rFonts w:ascii="Arial" w:cs="Arial" w:eastAsia="Arial" w:hAnsi="Arial"/>
          <w:sz w:val="18"/>
          <w:szCs w:val="18"/>
          <w:b w:val="1"/>
          <w:bCs w:val="1"/>
          <w:color w:val="auto"/>
        </w:rPr>
        <w:t>Interest Payment Date</w:t>
      </w:r>
      <w:r>
        <w:rPr>
          <w:rFonts w:ascii="Arial" w:cs="Arial" w:eastAsia="Arial" w:hAnsi="Arial"/>
          <w:sz w:val="18"/>
          <w:szCs w:val="18"/>
          <w:color w:val="auto"/>
        </w:rPr>
        <w:t>”), commencing on November 1, 2021.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Record Dates: April 15 and October 15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31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48" w:name="page49"/>
    <w:bookmarkEnd w:id="48"/>
    <w:p>
      <w:pPr>
        <w:ind w:firstLine="648"/>
        <w:spacing w:after="0" w:line="277" w:lineRule="auto"/>
        <w:rPr>
          <w:sz w:val="20"/>
          <w:szCs w:val="20"/>
          <w:color w:val="auto"/>
        </w:rPr>
      </w:pPr>
      <w:r>
        <w:rPr>
          <w:rFonts w:ascii="Arial" w:cs="Arial" w:eastAsia="Arial" w:hAnsi="Arial"/>
          <w:sz w:val="18"/>
          <w:szCs w:val="18"/>
          <w:color w:val="auto"/>
        </w:rPr>
        <w:t>IN WITNESS WHEREOF, the Issuer has caused this Security to be signed manually or by facsimile by its duly authorized officer under its corporate seal.</w:t>
      </w:r>
    </w:p>
    <w:p>
      <w:pPr>
        <w:spacing w:after="0" w:line="1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14605</wp:posOffset>
            </wp:positionV>
            <wp:extent cx="20059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 Jason S. Armstrong</w:t>
      </w:r>
    </w:p>
    <w:p>
      <w:pPr>
        <w:spacing w:after="0" w:line="23" w:lineRule="exact"/>
        <w:rPr>
          <w:sz w:val="20"/>
          <w:szCs w:val="20"/>
          <w:color w:val="auto"/>
        </w:rPr>
      </w:pPr>
    </w:p>
    <w:p>
      <w:pPr>
        <w:ind w:left="7300"/>
        <w:spacing w:after="0"/>
        <w:tabs>
          <w:tab w:leader="none" w:pos="788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2028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 Elizabeth Wideman</w:t>
      </w:r>
    </w:p>
    <w:p>
      <w:pPr>
        <w:spacing w:after="0" w:line="23" w:lineRule="exact"/>
        <w:rPr>
          <w:sz w:val="20"/>
          <w:szCs w:val="20"/>
          <w:color w:val="auto"/>
        </w:rPr>
      </w:pPr>
    </w:p>
    <w:p>
      <w:pPr>
        <w:ind w:left="560"/>
        <w:spacing w:after="0"/>
        <w:tabs>
          <w:tab w:leader="none" w:pos="1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Senior Deputy General</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Counsel and Assistant Secretary</w:t>
      </w:r>
    </w:p>
    <w:p>
      <w:pPr>
        <w:spacing w:after="0" w:line="200" w:lineRule="exact"/>
        <w:rPr>
          <w:sz w:val="20"/>
          <w:szCs w:val="20"/>
          <w:color w:val="auto"/>
        </w:rPr>
      </w:pPr>
    </w:p>
    <w:p>
      <w:pPr>
        <w:spacing w:after="0" w:line="328"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584" w:right="89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This is one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19, 2021</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Authorized Signatory</w:t>
      </w:r>
    </w:p>
    <w:p>
      <w:pPr>
        <w:spacing w:after="0" w:line="325"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color w:val="auto"/>
        </w:rPr>
        <w:t>(REVERSE OF SECURITY)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2.987% Note due 2063</w:t>
      </w:r>
    </w:p>
    <w:p>
      <w:pPr>
        <w:spacing w:after="0" w:line="225" w:lineRule="exact"/>
        <w:rPr>
          <w:sz w:val="20"/>
          <w:szCs w:val="20"/>
          <w:color w:val="auto"/>
        </w:rPr>
      </w:pPr>
    </w:p>
    <w:p>
      <w:pPr>
        <w:ind w:left="1300" w:hanging="450"/>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August 19, 2021. The Issuer will pay interest semi-annually in arrears on each Interest Payment Date, commencing November 1, 2021. Interest will be computed on the basis of a 360-day year of twelve 30-day months.</w:t>
      </w:r>
    </w:p>
    <w:p>
      <w:pPr>
        <w:spacing w:after="0" w:line="184" w:lineRule="exact"/>
        <w:rPr>
          <w:sz w:val="20"/>
          <w:szCs w:val="20"/>
          <w:color w:val="auto"/>
        </w:rPr>
      </w:pPr>
    </w:p>
    <w:p>
      <w:pPr>
        <w:ind w:firstLine="648"/>
        <w:spacing w:after="0" w:line="301" w:lineRule="auto"/>
        <w:rPr>
          <w:sz w:val="20"/>
          <w:szCs w:val="20"/>
          <w:color w:val="auto"/>
        </w:rPr>
      </w:pPr>
      <w:r>
        <w:rPr>
          <w:rFonts w:ascii="Arial" w:cs="Arial" w:eastAsia="Arial" w:hAnsi="Arial"/>
          <w:sz w:val="16"/>
          <w:szCs w:val="16"/>
          <w:color w:val="auto"/>
        </w:rPr>
        <w:t>The Issuer shall pay interest on overdue principal from time to time on demand at the rate borne by the Securities and on overdue installments of interest (without regard to any applicable grace periods) to the extent lawful. The Issuer shall pay such additional interest as may be payable pursuant to the Registration Rights Agreement, dated August 19, 2021 (the “</w:t>
      </w:r>
      <w:r>
        <w:rPr>
          <w:rFonts w:ascii="Arial" w:cs="Arial" w:eastAsia="Arial" w:hAnsi="Arial"/>
          <w:sz w:val="16"/>
          <w:szCs w:val="16"/>
          <w:b w:val="1"/>
          <w:bCs w:val="1"/>
          <w:color w:val="auto"/>
        </w:rPr>
        <w:t>Registration Rights Agreement</w:t>
      </w:r>
      <w:r>
        <w:rPr>
          <w:rFonts w:ascii="Arial" w:cs="Arial" w:eastAsia="Arial" w:hAnsi="Arial"/>
          <w:sz w:val="16"/>
          <w:szCs w:val="16"/>
          <w:color w:val="auto"/>
        </w:rPr>
        <w:t>”), among the Company, the Guarantors and the joint-lead dealer managers party thereto. The Holders of this Security are entitled to the benefits of the Registration Rights Agreement.</w:t>
      </w:r>
    </w:p>
    <w:p>
      <w:pPr>
        <w:spacing w:after="0" w:line="157" w:lineRule="exact"/>
        <w:rPr>
          <w:sz w:val="20"/>
          <w:szCs w:val="20"/>
          <w:color w:val="auto"/>
        </w:rPr>
      </w:pPr>
    </w:p>
    <w:p>
      <w:pPr>
        <w:ind w:left="1300" w:hanging="450"/>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8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1" w:name="page52"/>
    <w:bookmarkEnd w:id="51"/>
    <w:p>
      <w:pPr>
        <w:ind w:left="1300" w:hanging="450"/>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25" w:lineRule="exact"/>
        <w:rPr>
          <w:sz w:val="20"/>
          <w:szCs w:val="20"/>
          <w:color w:val="auto"/>
        </w:rPr>
      </w:pPr>
    </w:p>
    <w:p>
      <w:pPr>
        <w:ind w:left="1300" w:hanging="450"/>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 Trustee, as amended by the First Supplemental Indenture dated as of November 17, 2015, by and among the Issuer, the guarantors named therein (the “</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 The terms of the Securities include those stated in the Indenture and those made part of the Indenture by reference to the Trust Indenture Act of</w:t>
      </w:r>
    </w:p>
    <w:p>
      <w:pPr>
        <w:spacing w:after="0" w:line="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1939 (15 U.S.C. Sections 77aaa-77bbbb) (the “</w:t>
      </w:r>
      <w:r>
        <w:rPr>
          <w:rFonts w:ascii="Arial" w:cs="Arial" w:eastAsia="Arial" w:hAnsi="Arial"/>
          <w:sz w:val="18"/>
          <w:szCs w:val="18"/>
          <w:b w:val="1"/>
          <w:bCs w:val="1"/>
          <w:color w:val="auto"/>
        </w:rPr>
        <w:t>TIA</w:t>
      </w:r>
      <w:r>
        <w:rPr>
          <w:rFonts w:ascii="Arial" w:cs="Arial" w:eastAsia="Arial" w:hAnsi="Arial"/>
          <w:sz w:val="18"/>
          <w:szCs w:val="18"/>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 This note is a “</w:t>
      </w:r>
      <w:r>
        <w:rPr>
          <w:rFonts w:ascii="Arial" w:cs="Arial" w:eastAsia="Arial" w:hAnsi="Arial"/>
          <w:sz w:val="18"/>
          <w:szCs w:val="18"/>
          <w:b w:val="1"/>
          <w:bCs w:val="1"/>
          <w:color w:val="auto"/>
        </w:rPr>
        <w:t>Security</w:t>
      </w:r>
      <w:r>
        <w:rPr>
          <w:rFonts w:ascii="Arial" w:cs="Arial" w:eastAsia="Arial" w:hAnsi="Arial"/>
          <w:sz w:val="18"/>
          <w:szCs w:val="18"/>
          <w:color w:val="auto"/>
        </w:rPr>
        <w:t>” and the notes are “</w:t>
      </w:r>
      <w:r>
        <w:rPr>
          <w:rFonts w:ascii="Arial" w:cs="Arial" w:eastAsia="Arial" w:hAnsi="Arial"/>
          <w:sz w:val="18"/>
          <w:szCs w:val="18"/>
          <w:b w:val="1"/>
          <w:bCs w:val="1"/>
          <w:color w:val="auto"/>
        </w:rPr>
        <w:t>Securities</w:t>
      </w:r>
      <w:r>
        <w:rPr>
          <w:rFonts w:ascii="Arial" w:cs="Arial" w:eastAsia="Arial" w:hAnsi="Arial"/>
          <w:sz w:val="18"/>
          <w:szCs w:val="18"/>
          <w:color w:val="auto"/>
        </w:rPr>
        <w:t>” under the Indenture.</w:t>
      </w:r>
    </w:p>
    <w:p>
      <w:pPr>
        <w:spacing w:after="0" w:line="191" w:lineRule="exact"/>
        <w:rPr>
          <w:sz w:val="20"/>
          <w:szCs w:val="20"/>
          <w:color w:val="auto"/>
        </w:rPr>
      </w:pPr>
    </w:p>
    <w:p>
      <w:pPr>
        <w:ind w:left="1300" w:hanging="450"/>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Each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149" w:lineRule="exact"/>
        <w:rPr>
          <w:sz w:val="20"/>
          <w:szCs w:val="20"/>
          <w:color w:val="auto"/>
        </w:rPr>
      </w:pPr>
    </w:p>
    <w:p>
      <w:pPr>
        <w:ind w:left="1300" w:hanging="450"/>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Securities are in registered form, without coupons, in denominations of $2,000 and multiples of $1,000 in excess thereof.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161" w:lineRule="exact"/>
        <w:rPr>
          <w:sz w:val="20"/>
          <w:szCs w:val="20"/>
          <w:color w:val="auto"/>
        </w:rPr>
      </w:pPr>
    </w:p>
    <w:p>
      <w:pPr>
        <w:ind w:left="1300" w:hanging="450"/>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2" w:name="page53"/>
    <w:bookmarkEnd w:id="52"/>
    <w:p>
      <w:pPr>
        <w:ind w:left="1300" w:hanging="450"/>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46" w:lineRule="exact"/>
        <w:rPr>
          <w:sz w:val="20"/>
          <w:szCs w:val="20"/>
          <w:color w:val="auto"/>
        </w:rPr>
      </w:pPr>
    </w:p>
    <w:p>
      <w:pPr>
        <w:ind w:left="1300" w:hanging="450"/>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65" w:lineRule="exact"/>
        <w:rPr>
          <w:sz w:val="20"/>
          <w:szCs w:val="20"/>
          <w:color w:val="auto"/>
        </w:rPr>
      </w:pPr>
    </w:p>
    <w:p>
      <w:pPr>
        <w:ind w:left="1380" w:hanging="530"/>
        <w:spacing w:after="0"/>
        <w:tabs>
          <w:tab w:leader="none" w:pos="1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177" w:lineRule="exact"/>
        <w:rPr>
          <w:sz w:val="20"/>
          <w:szCs w:val="20"/>
          <w:color w:val="auto"/>
        </w:rPr>
      </w:pPr>
    </w:p>
    <w:p>
      <w:pPr>
        <w:ind w:left="1380" w:hanging="530"/>
        <w:spacing w:after="0"/>
        <w:tabs>
          <w:tab w:leader="none" w:pos="1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225" w:lineRule="exact"/>
        <w:rPr>
          <w:sz w:val="20"/>
          <w:szCs w:val="20"/>
          <w:color w:val="auto"/>
        </w:rPr>
      </w:pPr>
    </w:p>
    <w:p>
      <w:pPr>
        <w:ind w:right="480" w:firstLine="648"/>
        <w:spacing w:after="0" w:line="311"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49" w:lineRule="exact"/>
        <w:rPr>
          <w:sz w:val="20"/>
          <w:szCs w:val="20"/>
          <w:color w:val="auto"/>
        </w:rPr>
      </w:pPr>
    </w:p>
    <w:p>
      <w:pPr>
        <w:ind w:left="1400" w:hanging="550"/>
        <w:spacing w:after="0"/>
        <w:tabs>
          <w:tab w:leader="none" w:pos="14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Redemption.</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The Issuer will have the right at its option to redeem any of the Securities in whole or in part, at any time or from time to time prior to their maturity, on at least 15 days, but not more than 60 days, prior notice transmitted to the registered address of each Holder of the Securities, at the applicable Redemption Price.</w:t>
      </w:r>
    </w:p>
    <w:p>
      <w:pPr>
        <w:spacing w:after="0" w:line="180" w:lineRule="exact"/>
        <w:rPr>
          <w:sz w:val="20"/>
          <w:szCs w:val="20"/>
          <w:color w:val="auto"/>
        </w:rPr>
      </w:pPr>
    </w:p>
    <w:p>
      <w:pPr>
        <w:ind w:right="2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means (a) at any time prior to May 1, 2063 (the “</w:t>
      </w:r>
      <w:r>
        <w:rPr>
          <w:rFonts w:ascii="Arial" w:cs="Arial" w:eastAsia="Arial" w:hAnsi="Arial"/>
          <w:sz w:val="18"/>
          <w:szCs w:val="18"/>
          <w:b w:val="1"/>
          <w:bCs w:val="1"/>
          <w:color w:val="auto"/>
        </w:rPr>
        <w:t>Par Call Date</w:t>
      </w:r>
      <w:r>
        <w:rPr>
          <w:rFonts w:ascii="Arial" w:cs="Arial" w:eastAsia="Arial" w:hAnsi="Arial"/>
          <w:sz w:val="18"/>
          <w:szCs w:val="18"/>
          <w:color w:val="auto"/>
        </w:rPr>
        <w:t>”), the greater of (i) 100% of the principal amount of such Securities and (ii) the sum of the present values of the principal amount of such Securities and the scheduled</w:t>
      </w: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3" w:name="page54"/>
    <w:bookmarkEnd w:id="53"/>
    <w:p>
      <w:pPr>
        <w:spacing w:after="0" w:line="291" w:lineRule="auto"/>
        <w:rPr>
          <w:sz w:val="20"/>
          <w:szCs w:val="20"/>
          <w:color w:val="auto"/>
        </w:rPr>
      </w:pPr>
      <w:r>
        <w:rPr>
          <w:rFonts w:ascii="Arial" w:cs="Arial" w:eastAsia="Arial" w:hAnsi="Arial"/>
          <w:sz w:val="16"/>
          <w:szCs w:val="16"/>
          <w:color w:val="auto"/>
        </w:rPr>
        <w:t>payments of interest thereon (exclusive of interest accrued to the date of redemption) from the redemption date to the Par Call Date, in each case discounted to the redemption date on a semiannual basis (assuming a 360-day year consisting of twelve 30-day months) at the Treasury Rate plus 20 basis points and</w:t>
      </w:r>
    </w:p>
    <w:p>
      <w:pPr>
        <w:ind w:right="360" w:firstLine="8"/>
        <w:spacing w:after="0" w:line="260"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 Securities are redeemed on or after the Par Call Date, 100% of the principal amount of such Securities; plus, in each case, accrued and unpaid interest thereon to the date of redemption.</w:t>
      </w:r>
    </w:p>
    <w:p>
      <w:pPr>
        <w:spacing w:after="0" w:line="181"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76"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calculated as if the maturity date of such Securities were the applicable Par Call Date (the “</w:t>
      </w:r>
      <w:r>
        <w:rPr>
          <w:rFonts w:ascii="Arial" w:cs="Arial" w:eastAsia="Arial" w:hAnsi="Arial"/>
          <w:sz w:val="18"/>
          <w:szCs w:val="18"/>
          <w:b w:val="1"/>
          <w:bCs w:val="1"/>
          <w:color w:val="auto"/>
        </w:rPr>
        <w:t>Remaining Life</w:t>
      </w:r>
      <w:r>
        <w:rPr>
          <w:rFonts w:ascii="Arial" w:cs="Arial" w:eastAsia="Arial" w:hAnsi="Arial"/>
          <w:sz w:val="18"/>
          <w:szCs w:val="18"/>
          <w:color w:val="auto"/>
        </w:rPr>
        <w:t>”) that would be utilized, at the time of selection and in accordance with customary financial practice.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22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 or (ii) if the Independent Investment Banker obtains fewer than four such Reference Treasury Dealer Quotations, the average of all such quotations.</w:t>
      </w:r>
    </w:p>
    <w:p>
      <w:pPr>
        <w:spacing w:after="0" w:line="176"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w:t>
      </w:r>
      <w:r>
        <w:rPr>
          <w:rFonts w:ascii="Arial" w:cs="Arial" w:eastAsia="Arial" w:hAnsi="Arial"/>
          <w:sz w:val="18"/>
          <w:szCs w:val="18"/>
          <w:color w:val="auto"/>
        </w:rPr>
        <w:t xml:space="preserve">” means each of Credit Suisse Securities (USA) LLC, Morgan Stanley &amp; Co. LLC, BofA Securities, Inc., Citigroup Global Markets Inc., J.P. Morgan Securities LLC, Mizuho Securities USA LLC and Wells Fargo Securities, LLC or their affiliates which are primary United States government securities dealers and their respective successors;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any of the foregoing shall cease to be a primary United States government securities dealer in the United States (a “</w:t>
      </w:r>
      <w:r>
        <w:rPr>
          <w:rFonts w:ascii="Arial" w:cs="Arial" w:eastAsia="Arial" w:hAnsi="Arial"/>
          <w:sz w:val="18"/>
          <w:szCs w:val="18"/>
          <w:b w:val="1"/>
          <w:bCs w:val="1"/>
          <w:color w:val="auto"/>
        </w:rPr>
        <w:t>Primary Treasury Dealer</w:t>
      </w:r>
      <w:r>
        <w:rPr>
          <w:rFonts w:ascii="Arial" w:cs="Arial" w:eastAsia="Arial" w:hAnsi="Arial"/>
          <w:sz w:val="18"/>
          <w:szCs w:val="18"/>
          <w:color w:val="auto"/>
        </w:rPr>
        <w:t>”), the Issuer will substitute therefor another Primary Treasury Dealer.</w:t>
      </w:r>
    </w:p>
    <w:p>
      <w:pPr>
        <w:spacing w:after="0" w:line="183"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in case as a percentage of its principal amount) quoted in writing to the Independent Investment Banker by such Reference Treasury Dealer at 3:30 pm New York time on the third business day preceding such redemption date.</w:t>
      </w:r>
    </w:p>
    <w:p>
      <w:pPr>
        <w:spacing w:after="0" w:line="184"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w:t>
      </w:r>
    </w:p>
    <w:p>
      <w:pPr>
        <w:spacing w:after="0" w:line="25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4" w:name="page55"/>
    <w:bookmarkEnd w:id="54"/>
    <w:p>
      <w:pPr>
        <w:ind w:right="140"/>
        <w:spacing w:after="0" w:line="263" w:lineRule="auto"/>
        <w:rPr>
          <w:sz w:val="20"/>
          <w:szCs w:val="20"/>
          <w:color w:val="auto"/>
        </w:rPr>
      </w:pPr>
      <w:r>
        <w:rPr>
          <w:rFonts w:ascii="Arial" w:cs="Arial" w:eastAsia="Arial" w:hAnsi="Arial"/>
          <w:sz w:val="18"/>
          <w:szCs w:val="18"/>
          <w:color w:val="auto"/>
        </w:rPr>
        <w:t>redemption date on the Securities to be redeemed on such date. If less than all of the Securities are to be redeemed, the Securities to be redeemed shall be selected by the Trustee by such method as the Trustee shall deem fair and appropriate (provided that Securities represented by a Global Security will be selected for redemption by the Depositary in accordance with its standard procedures therefor).</w:t>
      </w:r>
    </w:p>
    <w:p>
      <w:pPr>
        <w:spacing w:after="0" w:line="184" w:lineRule="exact"/>
        <w:rPr>
          <w:sz w:val="20"/>
          <w:szCs w:val="20"/>
          <w:color w:val="auto"/>
        </w:rPr>
      </w:pPr>
    </w:p>
    <w:p>
      <w:pPr>
        <w:ind w:left="1400" w:hanging="550"/>
        <w:spacing w:after="0"/>
        <w:tabs>
          <w:tab w:leader="none" w:pos="1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166" w:lineRule="exact"/>
        <w:rPr>
          <w:sz w:val="20"/>
          <w:szCs w:val="20"/>
          <w:color w:val="auto"/>
        </w:rPr>
      </w:pPr>
    </w:p>
    <w:p>
      <w:pPr>
        <w:ind w:left="1380" w:hanging="530"/>
        <w:spacing w:after="0"/>
        <w:tabs>
          <w:tab w:leader="none" w:pos="1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70" w:lineRule="exact"/>
        <w:rPr>
          <w:sz w:val="20"/>
          <w:szCs w:val="20"/>
          <w:color w:val="auto"/>
        </w:rPr>
      </w:pPr>
    </w:p>
    <w:p>
      <w:pPr>
        <w:ind w:left="1400" w:hanging="550"/>
        <w:spacing w:after="0"/>
        <w:tabs>
          <w:tab w:leader="none" w:pos="14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187" w:lineRule="exact"/>
        <w:rPr>
          <w:sz w:val="20"/>
          <w:szCs w:val="20"/>
          <w:color w:val="auto"/>
        </w:rPr>
      </w:pPr>
    </w:p>
    <w:p>
      <w:pPr>
        <w:ind w:left="1380" w:hanging="530"/>
        <w:spacing w:after="0"/>
        <w:tabs>
          <w:tab w:leader="none" w:pos="1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584" w:right="399" w:bottom="1440" w:gutter="0" w:footer="0" w:header="0"/>
        </w:sectPr>
      </w:pPr>
    </w:p>
    <w:bookmarkStart w:id="55" w:name="page56"/>
    <w:bookmarkEnd w:id="55"/>
    <w:p>
      <w:pPr>
        <w:ind w:left="1380" w:hanging="530"/>
        <w:spacing w:after="0"/>
        <w:tabs>
          <w:tab w:leader="none" w:pos="1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184" w:lineRule="exact"/>
        <w:rPr>
          <w:sz w:val="20"/>
          <w:szCs w:val="20"/>
          <w:color w:val="auto"/>
        </w:rPr>
      </w:pPr>
    </w:p>
    <w:p>
      <w:pPr>
        <w:ind w:left="1400" w:hanging="550"/>
        <w:spacing w:after="0"/>
        <w:tabs>
          <w:tab w:leader="none" w:pos="1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165" w:lineRule="exact"/>
        <w:rPr>
          <w:sz w:val="20"/>
          <w:szCs w:val="20"/>
          <w:color w:val="auto"/>
        </w:rPr>
      </w:pPr>
    </w:p>
    <w:p>
      <w:pPr>
        <w:ind w:left="1400" w:hanging="550"/>
        <w:spacing w:after="0"/>
        <w:tabs>
          <w:tab w:leader="none" w:pos="1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6" w:name="page57"/>
    <w:bookmarkEnd w:id="56"/>
    <w:p>
      <w:pPr>
        <w:ind w:left="476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appoint_________________________________________ agent to transfer this Security on the books of the Issuer. The agent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substitute another to act for him.</w:t>
      </w:r>
    </w:p>
    <w:p>
      <w:pPr>
        <w:sectPr>
          <w:pgSz w:w="11900" w:h="16838" w:orient="portrait"/>
          <w:cols w:equalWidth="0" w:num="1">
            <w:col w:w="10620"/>
          </w:cols>
          <w:pgMar w:left="320" w:top="584" w:right="95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Dated: _______________________</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Signed: _______________________</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(Signed exactly as name appears</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the other side of this Security)</w:t>
      </w:r>
    </w:p>
    <w:p>
      <w:pPr>
        <w:spacing w:after="0" w:line="200" w:lineRule="exact"/>
        <w:rPr>
          <w:sz w:val="20"/>
          <w:szCs w:val="20"/>
          <w:color w:val="auto"/>
        </w:rPr>
      </w:pPr>
    </w:p>
    <w:p>
      <w:pPr>
        <w:sectPr>
          <w:pgSz w:w="11900" w:h="16838" w:orient="portrait"/>
          <w:cols w:equalWidth="0" w:num="2">
            <w:col w:w="3880" w:space="720"/>
            <w:col w:w="6020"/>
          </w:cols>
          <w:pgMar w:left="320" w:top="584" w:right="95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14605</wp:posOffset>
            </wp:positionV>
            <wp:extent cx="56489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3"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Participant in a recognized Signature Guarantee</w:t>
      </w:r>
    </w:p>
    <w:p>
      <w:pPr>
        <w:spacing w:after="0" w:line="46"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Medallion Program (or other signature guarantor</w:t>
      </w:r>
    </w:p>
    <w:p>
      <w:pPr>
        <w:spacing w:after="0" w:line="32" w:lineRule="exact"/>
        <w:rPr>
          <w:sz w:val="20"/>
          <w:szCs w:val="20"/>
          <w:color w:val="auto"/>
        </w:rPr>
      </w:pPr>
    </w:p>
    <w:p>
      <w:pPr>
        <w:ind w:left="2340"/>
        <w:spacing w:after="0"/>
        <w:rPr>
          <w:sz w:val="20"/>
          <w:szCs w:val="20"/>
          <w:color w:val="auto"/>
        </w:rPr>
      </w:pPr>
      <w:r>
        <w:rPr>
          <w:rFonts w:ascii="Arial" w:cs="Arial" w:eastAsia="Arial" w:hAnsi="Arial"/>
          <w:sz w:val="16"/>
          <w:szCs w:val="16"/>
          <w:color w:val="auto"/>
        </w:rPr>
        <w:t>program reasonably acceptable to the Trustee)</w:t>
      </w:r>
    </w:p>
    <w:p>
      <w:pPr>
        <w:spacing w:after="0" w:line="200" w:lineRule="exact"/>
        <w:rPr>
          <w:sz w:val="20"/>
          <w:szCs w:val="20"/>
          <w:color w:val="auto"/>
        </w:rPr>
      </w:pPr>
    </w:p>
    <w:p>
      <w:pPr>
        <w:spacing w:after="0" w:line="351"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320" w:top="584" w:right="959" w:bottom="1440" w:gutter="0" w:footer="0" w:header="0"/>
          <w:type w:val="continuous"/>
        </w:sectPr>
      </w:pPr>
    </w:p>
    <w:bookmarkStart w:id="57" w:name="page58"/>
    <w:bookmarkEnd w:id="57"/>
    <w:p>
      <w:pPr>
        <w:jc w:val="center"/>
        <w:ind w:right="-19"/>
        <w:spacing w:after="0"/>
        <w:rPr>
          <w:sz w:val="20"/>
          <w:szCs w:val="20"/>
          <w:color w:val="auto"/>
        </w:rPr>
      </w:pPr>
      <w:r>
        <w:rPr>
          <w:rFonts w:ascii="Arial" w:cs="Arial" w:eastAsia="Arial" w:hAnsi="Arial"/>
          <w:sz w:val="18"/>
          <w:szCs w:val="18"/>
          <w:color w:val="auto"/>
        </w:rPr>
        <w:t>FORM OF CERTIFICATE OF TRANSFER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Bank of New York Mellon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 Greenwich Street, Floor 7E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815-5595</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 </w:t>
      </w:r>
      <w:r>
        <w:rPr>
          <w:rFonts w:ascii="Arial" w:cs="Arial" w:eastAsia="Arial" w:hAnsi="Arial"/>
          <w:sz w:val="18"/>
          <w:szCs w:val="18"/>
          <w:u w:val="single" w:color="auto"/>
          <w:color w:val="auto"/>
        </w:rPr>
        <w:t>[ ]% Notes due [ ]</w:t>
      </w:r>
    </w:p>
    <w:p>
      <w:pPr>
        <w:spacing w:after="0" w:line="225" w:lineRule="exact"/>
        <w:rPr>
          <w:sz w:val="20"/>
          <w:szCs w:val="20"/>
          <w:color w:val="auto"/>
        </w:rPr>
      </w:pPr>
    </w:p>
    <w:p>
      <w:pPr>
        <w:jc w:val="both"/>
        <w:ind w:right="160" w:firstLine="1296"/>
        <w:spacing w:after="0" w:line="286" w:lineRule="auto"/>
        <w:rPr>
          <w:sz w:val="20"/>
          <w:szCs w:val="20"/>
          <w:color w:val="auto"/>
        </w:rPr>
      </w:pPr>
      <w:r>
        <w:rPr>
          <w:rFonts w:ascii="Arial" w:cs="Arial" w:eastAsia="Arial" w:hAnsi="Arial"/>
          <w:sz w:val="17"/>
          <w:szCs w:val="17"/>
          <w:color w:val="auto"/>
        </w:rPr>
        <w:t>Reference is hereby made to the indenture dated as of September 18, 2013, by and among Comcast Corporation, the guarantors named therein and The Bank of New York Mellon, as trustee, as supplemented by the First Supplemental Indenture dated as of November 17, 2015 (as amended, the “</w:t>
      </w:r>
      <w:r>
        <w:rPr>
          <w:rFonts w:ascii="Arial" w:cs="Arial" w:eastAsia="Arial" w:hAnsi="Arial"/>
          <w:sz w:val="17"/>
          <w:szCs w:val="17"/>
          <w:u w:val="single" w:color="auto"/>
          <w:color w:val="auto"/>
        </w:rPr>
        <w:t>Indenture</w:t>
      </w:r>
      <w:r>
        <w:rPr>
          <w:rFonts w:ascii="Arial" w:cs="Arial" w:eastAsia="Arial" w:hAnsi="Arial"/>
          <w:sz w:val="17"/>
          <w:szCs w:val="17"/>
          <w:color w:val="auto"/>
        </w:rPr>
        <w:t>”). Capitalized terms used but not defined herein shall have the meanings given to them in the Indenture.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_______________ (the “</w:t>
      </w:r>
      <w:r>
        <w:rPr>
          <w:rFonts w:ascii="Arial" w:cs="Arial" w:eastAsia="Arial" w:hAnsi="Arial"/>
          <w:sz w:val="16"/>
          <w:szCs w:val="16"/>
          <w:u w:val="single" w:color="auto"/>
          <w:color w:val="auto"/>
        </w:rPr>
        <w:t>Transferor</w:t>
      </w:r>
      <w:r>
        <w:rPr>
          <w:rFonts w:ascii="Arial" w:cs="Arial" w:eastAsia="Arial" w:hAnsi="Arial"/>
          <w:sz w:val="16"/>
          <w:szCs w:val="16"/>
          <w:color w:val="auto"/>
        </w:rPr>
        <w:t>”) owns and proposes to transfer the Note[s] or interest in such Note[s] specified in Annex A hereto,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the principal amount of $___________ in such Note[s] or interests (the “</w:t>
      </w:r>
      <w:r>
        <w:rPr>
          <w:rFonts w:ascii="Arial" w:cs="Arial" w:eastAsia="Arial" w:hAnsi="Arial"/>
          <w:sz w:val="17"/>
          <w:szCs w:val="17"/>
          <w:u w:val="single" w:color="auto"/>
          <w:color w:val="auto"/>
        </w:rPr>
        <w:t>Transfer</w:t>
      </w:r>
      <w:r>
        <w:rPr>
          <w:rFonts w:ascii="Arial" w:cs="Arial" w:eastAsia="Arial" w:hAnsi="Arial"/>
          <w:sz w:val="17"/>
          <w:szCs w:val="17"/>
          <w:color w:val="auto"/>
        </w:rPr>
        <w:t>”), to _______________ (the “</w:t>
      </w:r>
      <w:r>
        <w:rPr>
          <w:rFonts w:ascii="Arial" w:cs="Arial" w:eastAsia="Arial" w:hAnsi="Arial"/>
          <w:sz w:val="17"/>
          <w:szCs w:val="17"/>
          <w:u w:val="single" w:color="auto"/>
          <w:color w:val="auto"/>
        </w:rPr>
        <w:t>Transferee</w:t>
      </w:r>
      <w:r>
        <w:rPr>
          <w:rFonts w:ascii="Arial" w:cs="Arial" w:eastAsia="Arial" w:hAnsi="Arial"/>
          <w:sz w:val="17"/>
          <w:szCs w:val="17"/>
          <w:color w:val="auto"/>
        </w:rPr>
        <w:t>”), as further specified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Annex A hereto. In connection with the Transfer, the Transferor hereby certifies that: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[CHECK ALL THAT APPLY]</w:t>
      </w:r>
    </w:p>
    <w:p>
      <w:pPr>
        <w:spacing w:after="0" w:line="225" w:lineRule="exact"/>
        <w:rPr>
          <w:sz w:val="20"/>
          <w:szCs w:val="20"/>
          <w:color w:val="auto"/>
        </w:rPr>
      </w:pPr>
    </w:p>
    <w:p>
      <w:pPr>
        <w:ind w:right="60" w:firstLine="1304"/>
        <w:spacing w:after="0" w:line="254" w:lineRule="auto"/>
        <w:tabs>
          <w:tab w:leader="none" w:pos="17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 ] CHECK IF TRANSFEREE WILL TAKE DELIVERY OF A BENEFICIAL INTEREST IN THE 144A GLOBAL NOTE PURSUANT TO RULE 144A. The Transfer is being effected pursuant to and in accordance with Rule 144A under the United States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accordingly, the Transferor hereby further certifies that the beneficial interest is being transferred to a Person that the Transferor reasonably believes is purchasing the beneficial interest for its own account, or for one or more accounts with respect to which such Person exercises sole investment discretion, and the Transferor reasonably believes such Person and each such account is a “qualified institutional buyer” within the meaning of Rule 144A in a transaction meeting the requirements of Rule 144A and such Transfer is in compliance with all applicable securities laws of the United States and other jurisdictions.</w:t>
      </w:r>
    </w:p>
    <w:p>
      <w:pPr>
        <w:spacing w:after="0" w:line="194" w:lineRule="exact"/>
        <w:rPr>
          <w:rFonts w:ascii="Arial" w:cs="Arial" w:eastAsia="Arial" w:hAnsi="Arial"/>
          <w:sz w:val="18"/>
          <w:szCs w:val="18"/>
          <w:color w:val="auto"/>
        </w:rPr>
      </w:pPr>
    </w:p>
    <w:p>
      <w:pPr>
        <w:jc w:val="both"/>
        <w:ind w:firstLine="1304"/>
        <w:spacing w:after="0" w:line="259" w:lineRule="auto"/>
        <w:tabs>
          <w:tab w:leader="none" w:pos="17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 ] CHECK IF TRANSFEREE WILL TAKE DELIVERY OF A BENEFICIAL INTEREST IN THE REGULATION S GLOBAL NOTE PURSUANT TO REGULATION S. The Transfer is being effected pursuant to and in accordance with Rule 903 or Rule 904 of Regulation S under the Securities Act or Rule 144 (if available) and, accordingly, the Transferor hereby further certifies that (i) the Transfer is not being made to a person in the United States and (x) at the time the buy order was originated, the</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spacing w:after="0" w:line="253" w:lineRule="auto"/>
        <w:rPr>
          <w:sz w:val="20"/>
          <w:szCs w:val="20"/>
          <w:color w:val="auto"/>
        </w:rPr>
      </w:pPr>
      <w:r>
        <w:rPr>
          <w:rFonts w:ascii="Arial" w:cs="Arial" w:eastAsia="Arial" w:hAnsi="Arial"/>
          <w:sz w:val="18"/>
          <w:szCs w:val="18"/>
          <w:color w:val="auto"/>
        </w:rPr>
        <w:t>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and the interest transferred will be held immediately thereafter through Euroclear or Clearstream. Upon consummation of the proposed transfer in accordance with the terms of the Indenture, the transferred beneficial interest will be subject to the restrictions on transfer enumerated in the Indenture and the Securities Act.</w:t>
      </w:r>
    </w:p>
    <w:p>
      <w:pPr>
        <w:spacing w:after="0" w:line="29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9" w:name="page60"/>
    <w:bookmarkEnd w:id="59"/>
    <w:p>
      <w:pPr>
        <w:jc w:val="center"/>
        <w:ind w:right="-120"/>
        <w:spacing w:after="0"/>
        <w:rPr>
          <w:sz w:val="20"/>
          <w:szCs w:val="20"/>
          <w:color w:val="auto"/>
        </w:rPr>
      </w:pPr>
      <w:r>
        <w:rPr>
          <w:rFonts w:ascii="Arial" w:cs="Arial" w:eastAsia="Arial" w:hAnsi="Arial"/>
          <w:sz w:val="16"/>
          <w:szCs w:val="16"/>
          <w:color w:val="auto"/>
        </w:rPr>
        <w:t>This certificate and the statements contained herein are made for your benefit and the benefit of the Issuer.</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[Insert Name of Transferor]</w:t>
      </w:r>
    </w:p>
    <w:p>
      <w:pPr>
        <w:spacing w:after="0" w:line="200" w:lineRule="exact"/>
        <w:rPr>
          <w:sz w:val="20"/>
          <w:szCs w:val="20"/>
          <w:color w:val="auto"/>
        </w:rPr>
      </w:pPr>
    </w:p>
    <w:p>
      <w:pPr>
        <w:spacing w:after="0" w:line="24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14605</wp:posOffset>
            </wp:positionV>
            <wp:extent cx="21513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Participant in a recognized Signature Guarantee Medallion Program (or other signature guarantor acceptable to the Trustee).</w:t>
      </w:r>
    </w:p>
    <w:p>
      <w:pPr>
        <w:spacing w:after="0" w:line="335"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color w:val="auto"/>
        </w:rPr>
        <w:t>ANNEX A TO CERTIFICATE OF TRANSFER</w:t>
      </w:r>
    </w:p>
    <w:p>
      <w:pPr>
        <w:spacing w:after="0" w:line="225" w:lineRule="exact"/>
        <w:rPr>
          <w:sz w:val="20"/>
          <w:szCs w:val="20"/>
          <w:color w:val="auto"/>
        </w:rPr>
      </w:pPr>
    </w:p>
    <w:p>
      <w:pPr>
        <w:ind w:left="640" w:hanging="45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Transferor owns and proposes to transfer the following: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[CHECK ONE]</w:t>
      </w:r>
    </w:p>
    <w:p>
      <w:pPr>
        <w:spacing w:after="0" w:line="225" w:lineRule="exact"/>
        <w:rPr>
          <w:sz w:val="20"/>
          <w:szCs w:val="20"/>
          <w:color w:val="auto"/>
        </w:rPr>
      </w:pPr>
    </w:p>
    <w:p>
      <w:pPr>
        <w:ind w:left="840" w:hanging="656"/>
        <w:spacing w:after="0"/>
        <w:tabs>
          <w:tab w:leader="none" w:pos="8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 a beneficial interest in the:</w:t>
      </w:r>
    </w:p>
    <w:p>
      <w:pPr>
        <w:spacing w:after="0" w:line="225" w:lineRule="exact"/>
        <w:rPr>
          <w:rFonts w:ascii="Arial" w:cs="Arial" w:eastAsia="Arial" w:hAnsi="Arial"/>
          <w:sz w:val="18"/>
          <w:szCs w:val="18"/>
          <w:color w:val="auto"/>
        </w:rPr>
      </w:pPr>
    </w:p>
    <w:p>
      <w:pPr>
        <w:ind w:left="1480" w:hanging="648"/>
        <w:spacing w:after="0"/>
        <w:tabs>
          <w:tab w:leader="none" w:pos="14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 144A Global Note (CUSIP [ ]), or</w:t>
      </w:r>
    </w:p>
    <w:p>
      <w:pPr>
        <w:spacing w:after="0" w:line="225" w:lineRule="exact"/>
        <w:rPr>
          <w:rFonts w:ascii="Arial" w:cs="Arial" w:eastAsia="Arial" w:hAnsi="Arial"/>
          <w:sz w:val="18"/>
          <w:szCs w:val="18"/>
          <w:color w:val="auto"/>
        </w:rPr>
      </w:pPr>
    </w:p>
    <w:p>
      <w:pPr>
        <w:ind w:left="1480" w:hanging="648"/>
        <w:spacing w:after="0"/>
        <w:tabs>
          <w:tab w:leader="none" w:pos="14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 Regulation S Global Note (CUSIP [ ]), or</w:t>
      </w:r>
    </w:p>
    <w:p>
      <w:pPr>
        <w:spacing w:after="0" w:line="225" w:lineRule="exact"/>
        <w:rPr>
          <w:sz w:val="20"/>
          <w:szCs w:val="20"/>
          <w:color w:val="auto"/>
        </w:rPr>
      </w:pPr>
    </w:p>
    <w:p>
      <w:pPr>
        <w:ind w:left="620" w:hanging="436"/>
        <w:spacing w:after="0"/>
        <w:tabs>
          <w:tab w:leader="none" w:pos="6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After the Transfer the Transferee will hold: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[CHECK ONE]</w:t>
      </w:r>
    </w:p>
    <w:p>
      <w:pPr>
        <w:spacing w:after="0" w:line="225" w:lineRule="exact"/>
        <w:rPr>
          <w:sz w:val="20"/>
          <w:szCs w:val="20"/>
          <w:color w:val="auto"/>
        </w:rPr>
      </w:pPr>
    </w:p>
    <w:p>
      <w:pPr>
        <w:ind w:left="840" w:hanging="656"/>
        <w:spacing w:after="0"/>
        <w:tabs>
          <w:tab w:leader="none" w:pos="8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 a beneficial interest in the:</w:t>
      </w:r>
    </w:p>
    <w:p>
      <w:pPr>
        <w:spacing w:after="0" w:line="225" w:lineRule="exact"/>
        <w:rPr>
          <w:rFonts w:ascii="Arial" w:cs="Arial" w:eastAsia="Arial" w:hAnsi="Arial"/>
          <w:sz w:val="18"/>
          <w:szCs w:val="18"/>
          <w:color w:val="auto"/>
        </w:rPr>
      </w:pPr>
    </w:p>
    <w:p>
      <w:pPr>
        <w:ind w:left="1480" w:hanging="648"/>
        <w:spacing w:after="0"/>
        <w:tabs>
          <w:tab w:leader="none" w:pos="14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 ] 144A Global Note (CUSIP [ ]), or</w:t>
      </w:r>
    </w:p>
    <w:p>
      <w:pPr>
        <w:spacing w:after="0" w:line="225" w:lineRule="exact"/>
        <w:rPr>
          <w:rFonts w:ascii="Arial" w:cs="Arial" w:eastAsia="Arial" w:hAnsi="Arial"/>
          <w:sz w:val="18"/>
          <w:szCs w:val="18"/>
          <w:color w:val="auto"/>
        </w:rPr>
      </w:pPr>
    </w:p>
    <w:p>
      <w:pPr>
        <w:ind w:left="3920" w:hanging="537"/>
        <w:spacing w:after="0"/>
        <w:tabs>
          <w:tab w:leader="none" w:pos="3920" w:val="left"/>
        </w:tabs>
        <w:numPr>
          <w:ilvl w:val="2"/>
          <w:numId w:val="79"/>
        </w:numPr>
        <w:rPr>
          <w:rFonts w:ascii="Arial" w:cs="Arial" w:eastAsia="Arial" w:hAnsi="Arial"/>
          <w:sz w:val="17"/>
          <w:szCs w:val="17"/>
          <w:color w:val="auto"/>
        </w:rPr>
      </w:pPr>
      <w:r>
        <w:rPr>
          <w:rFonts w:ascii="Arial" w:cs="Arial" w:eastAsia="Arial" w:hAnsi="Arial"/>
          <w:sz w:val="17"/>
          <w:szCs w:val="17"/>
          <w:color w:val="auto"/>
        </w:rPr>
        <w:t>[ ] Regulation S Global Note (CUSIP [ ])</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61" w:name="page62"/>
    <w:bookmarkEnd w:id="61"/>
    <w:p>
      <w:pPr>
        <w:jc w:val="center"/>
        <w:ind w:right="20"/>
        <w:spacing w:after="0"/>
        <w:rPr>
          <w:sz w:val="20"/>
          <w:szCs w:val="20"/>
          <w:color w:val="auto"/>
        </w:rPr>
      </w:pPr>
      <w:r>
        <w:rPr>
          <w:rFonts w:ascii="Arial" w:cs="Arial" w:eastAsia="Arial" w:hAnsi="Arial"/>
          <w:sz w:val="18"/>
          <w:szCs w:val="18"/>
          <w:color w:val="auto"/>
        </w:rPr>
        <w:t>SCHEDULE OF EXCHANGES OF NOTES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 following exchanges of a part of this Global Security for certificated Notes or a part of another Global Security have been made: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Amount of increase</w:t>
            </w:r>
          </w:p>
        </w:tc>
        <w:tc>
          <w:tcPr>
            <w:tcW w:w="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4"/>
              </w:rPr>
              <w:t>Principal Amount of</w:t>
            </w:r>
          </w:p>
        </w:tc>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Amount of decrease</w:t>
            </w:r>
          </w:p>
        </w:tc>
        <w:tc>
          <w:tcPr>
            <w:tcW w:w="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5"/>
              </w:rPr>
              <w:t>in Principal</w:t>
            </w:r>
          </w:p>
        </w:tc>
        <w:tc>
          <w:tcPr>
            <w:tcW w:w="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2"/>
              </w:rPr>
              <w:t>this Global Security</w:t>
            </w:r>
          </w:p>
        </w:tc>
        <w:tc>
          <w:tcPr>
            <w:tcW w:w="4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16"/>
        </w:trPr>
        <w:tc>
          <w:tcPr>
            <w:tcW w:w="2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5"/>
              </w:rPr>
              <w:t>in Principal Amount of this</w:t>
            </w:r>
          </w:p>
        </w:tc>
        <w:tc>
          <w:tcPr>
            <w:tcW w:w="6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3"/>
              </w:rPr>
              <w:t>Amount of this</w:t>
            </w:r>
          </w:p>
        </w:tc>
        <w:tc>
          <w:tcPr>
            <w:tcW w:w="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5"/>
              </w:rPr>
              <w:t>following such</w:t>
            </w:r>
          </w:p>
        </w:tc>
        <w:tc>
          <w:tcPr>
            <w:tcW w:w="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Signature of authorized</w:t>
            </w:r>
          </w:p>
        </w:tc>
      </w:tr>
      <w:tr>
        <w:trPr>
          <w:trHeight w:val="230"/>
        </w:trPr>
        <w:tc>
          <w:tcPr>
            <w:tcW w:w="22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Date of Exchange</w:t>
            </w:r>
          </w:p>
        </w:tc>
        <w:tc>
          <w:tcPr>
            <w:tcW w:w="4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Global Security</w:t>
            </w:r>
          </w:p>
        </w:tc>
        <w:tc>
          <w:tcPr>
            <w:tcW w:w="6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Global Security</w:t>
            </w:r>
          </w:p>
        </w:tc>
        <w:tc>
          <w:tcPr>
            <w:tcW w:w="4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decrease or increase</w:t>
            </w:r>
          </w:p>
        </w:tc>
        <w:tc>
          <w:tcPr>
            <w:tcW w:w="4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signatory of Trustee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584" w:right="35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4.2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$4,999,854,000 2.887% Notes due 2051</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$5,999,998,000 2.937% Notes due 2056</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$4,000,000,000 2.987% Notes due 2063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August 19,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Parties Listed on Schedule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NBCUniversal Media, LLC, a Delaware limited liability company</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NBCUniversal</w:t>
      </w:r>
      <w:r>
        <w:rPr>
          <w:rFonts w:ascii="Arial" w:cs="Arial" w:eastAsia="Arial" w:hAnsi="Arial"/>
          <w:sz w:val="17"/>
          <w:szCs w:val="17"/>
          <w:color w:val="auto"/>
        </w:rPr>
        <w:t>”), have made offers to exchange (a) the ten series of notes described in the first table set forth on Schedule II hereto issued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and NBCUniversal (the “</w:t>
      </w:r>
      <w:r>
        <w:rPr>
          <w:rFonts w:ascii="Arial" w:cs="Arial" w:eastAsia="Arial" w:hAnsi="Arial"/>
          <w:sz w:val="16"/>
          <w:szCs w:val="16"/>
          <w:b w:val="1"/>
          <w:bCs w:val="1"/>
          <w:color w:val="auto"/>
        </w:rPr>
        <w:t>Pool 1 Notes</w:t>
      </w:r>
      <w:r>
        <w:rPr>
          <w:rFonts w:ascii="Arial" w:cs="Arial" w:eastAsia="Arial" w:hAnsi="Arial"/>
          <w:sz w:val="16"/>
          <w:szCs w:val="16"/>
          <w:color w:val="auto"/>
        </w:rPr>
        <w:t>”), for a new series of the Company’s senior notes due November 1, 2051 (the “</w:t>
      </w:r>
      <w:r>
        <w:rPr>
          <w:rFonts w:ascii="Arial" w:cs="Arial" w:eastAsia="Arial" w:hAnsi="Arial"/>
          <w:sz w:val="16"/>
          <w:szCs w:val="16"/>
          <w:b w:val="1"/>
          <w:bCs w:val="1"/>
          <w:color w:val="auto"/>
        </w:rPr>
        <w:t>New 2051 Notes</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cash, (b) the six series of notes described in the second table set forth on Schedule II hereto issued by the Company and NBCUniversal (the “</w:t>
      </w:r>
      <w:r>
        <w:rPr>
          <w:rFonts w:ascii="Arial" w:cs="Arial" w:eastAsia="Arial" w:hAnsi="Arial"/>
          <w:sz w:val="17"/>
          <w:szCs w:val="17"/>
          <w:b w:val="1"/>
          <w:bCs w:val="1"/>
          <w:color w:val="auto"/>
        </w:rPr>
        <w:t>Pool 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w:t>
      </w:r>
      <w:r>
        <w:rPr>
          <w:rFonts w:ascii="Arial" w:cs="Arial" w:eastAsia="Arial" w:hAnsi="Arial"/>
          <w:sz w:val="16"/>
          <w:szCs w:val="16"/>
          <w:color w:val="auto"/>
        </w:rPr>
        <w:t>”), for a new series of the Company’s senior notes due November 1, 2056 (the “</w:t>
      </w:r>
      <w:r>
        <w:rPr>
          <w:rFonts w:ascii="Arial" w:cs="Arial" w:eastAsia="Arial" w:hAnsi="Arial"/>
          <w:sz w:val="16"/>
          <w:szCs w:val="16"/>
          <w:b w:val="1"/>
          <w:bCs w:val="1"/>
          <w:color w:val="auto"/>
        </w:rPr>
        <w:t>New 2056 Notes</w:t>
      </w:r>
      <w:r>
        <w:rPr>
          <w:rFonts w:ascii="Arial" w:cs="Arial" w:eastAsia="Arial" w:hAnsi="Arial"/>
          <w:sz w:val="16"/>
          <w:szCs w:val="16"/>
          <w:color w:val="auto"/>
        </w:rPr>
        <w:t>”) and cash and (c) the three series of notes described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third table set forth on Schedule II hereto issued by the Company (the “</w:t>
      </w:r>
      <w:r>
        <w:rPr>
          <w:rFonts w:ascii="Arial" w:cs="Arial" w:eastAsia="Arial" w:hAnsi="Arial"/>
          <w:sz w:val="17"/>
          <w:szCs w:val="17"/>
          <w:b w:val="1"/>
          <w:bCs w:val="1"/>
          <w:color w:val="auto"/>
        </w:rPr>
        <w:t>Pool 3 Notes</w:t>
      </w:r>
      <w:r>
        <w:rPr>
          <w:rFonts w:ascii="Arial" w:cs="Arial" w:eastAsia="Arial" w:hAnsi="Arial"/>
          <w:sz w:val="17"/>
          <w:szCs w:val="17"/>
          <w:color w:val="auto"/>
        </w:rPr>
        <w:t>”), for a new series of the Company’s senior notes due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November 1, 2063 (the “</w:t>
      </w:r>
      <w:r>
        <w:rPr>
          <w:rFonts w:ascii="Arial" w:cs="Arial" w:eastAsia="Arial" w:hAnsi="Arial"/>
          <w:sz w:val="17"/>
          <w:szCs w:val="17"/>
          <w:b w:val="1"/>
          <w:bCs w:val="1"/>
          <w:color w:val="auto"/>
        </w:rPr>
        <w:t>New 2063 Notes</w:t>
      </w:r>
      <w:r>
        <w:rPr>
          <w:rFonts w:ascii="Arial" w:cs="Arial" w:eastAsia="Arial" w:hAnsi="Arial"/>
          <w:sz w:val="17"/>
          <w:szCs w:val="17"/>
          <w:color w:val="auto"/>
        </w:rPr>
        <w:t>” and, together with the New 2051 Notes, and the New 2056 Notes, the “</w:t>
      </w:r>
      <w:r>
        <w:rPr>
          <w:rFonts w:ascii="Arial" w:cs="Arial" w:eastAsia="Arial" w:hAnsi="Arial"/>
          <w:sz w:val="17"/>
          <w:szCs w:val="17"/>
          <w:b w:val="1"/>
          <w:bCs w:val="1"/>
          <w:color w:val="auto"/>
        </w:rPr>
        <w:t>Initial Securities</w:t>
      </w:r>
      <w:r>
        <w:rPr>
          <w:rFonts w:ascii="Arial" w:cs="Arial" w:eastAsia="Arial" w:hAnsi="Arial"/>
          <w:sz w:val="17"/>
          <w:szCs w:val="17"/>
          <w:color w:val="auto"/>
        </w:rPr>
        <w:t>”) and cash, each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guaranteed on an unsecured, unsubordinated basis by NBCUniversal and Comcast Cable Communications, LLC (together with NBCUniversal,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Guarantors</w:t>
      </w:r>
      <w:r>
        <w:rPr>
          <w:rFonts w:ascii="Arial" w:cs="Arial" w:eastAsia="Arial" w:hAnsi="Arial"/>
          <w:sz w:val="17"/>
          <w:szCs w:val="17"/>
          <w:color w:val="auto"/>
        </w:rPr>
        <w:t>”), as set forth in the Offering Memorandum, dated August 2, 2021 (the “</w:t>
      </w:r>
      <w:r>
        <w:rPr>
          <w:rFonts w:ascii="Arial" w:cs="Arial" w:eastAsia="Arial" w:hAnsi="Arial"/>
          <w:sz w:val="17"/>
          <w:szCs w:val="17"/>
          <w:b w:val="1"/>
          <w:bCs w:val="1"/>
          <w:color w:val="auto"/>
        </w:rPr>
        <w:t>Offering Memorandum</w:t>
      </w:r>
      <w:r>
        <w:rPr>
          <w:rFonts w:ascii="Arial" w:cs="Arial" w:eastAsia="Arial" w:hAnsi="Arial"/>
          <w:sz w:val="17"/>
          <w:szCs w:val="17"/>
          <w:color w:val="auto"/>
        </w:rPr>
        <w:t>”), related thereto. The Initial Securities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will be issued upon the terms set forth in the Offering Memorandum, for which the parties listed on Schedule I (the “</w:t>
      </w:r>
      <w:r>
        <w:rPr>
          <w:rFonts w:ascii="Arial" w:cs="Arial" w:eastAsia="Arial" w:hAnsi="Arial"/>
          <w:sz w:val="16"/>
          <w:szCs w:val="16"/>
          <w:b w:val="1"/>
          <w:bCs w:val="1"/>
          <w:color w:val="auto"/>
        </w:rPr>
        <w:t>Joint Lead Dealer Managers</w:t>
      </w:r>
      <w:r>
        <w:rPr>
          <w:rFonts w:ascii="Arial" w:cs="Arial" w:eastAsia="Arial" w:hAnsi="Arial"/>
          <w:sz w:val="16"/>
          <w:szCs w:val="16"/>
          <w:color w:val="auto"/>
        </w:rPr>
        <w: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entities that executed the Joinder Agreement (as defined below) (the “</w:t>
      </w:r>
      <w:r>
        <w:rPr>
          <w:rFonts w:ascii="Arial" w:cs="Arial" w:eastAsia="Arial" w:hAnsi="Arial"/>
          <w:sz w:val="16"/>
          <w:szCs w:val="16"/>
          <w:b w:val="1"/>
          <w:bCs w:val="1"/>
          <w:color w:val="auto"/>
        </w:rPr>
        <w:t>Co-Dealer Managers</w:t>
      </w:r>
      <w:r>
        <w:rPr>
          <w:rFonts w:ascii="Arial" w:cs="Arial" w:eastAsia="Arial" w:hAnsi="Arial"/>
          <w:sz w:val="16"/>
          <w:szCs w:val="16"/>
          <w:color w:val="auto"/>
        </w:rPr>
        <w:t>” and, together with the Joint Lead Dealer Managers,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Dealer Managers</w:t>
      </w:r>
      <w:r>
        <w:rPr>
          <w:rFonts w:ascii="Arial" w:cs="Arial" w:eastAsia="Arial" w:hAnsi="Arial"/>
          <w:sz w:val="16"/>
          <w:szCs w:val="16"/>
          <w:color w:val="auto"/>
        </w:rPr>
        <w:t>”), hereto have severally agreed to act as dealer managers, pursuant to a dealer manager agreement, dated as of August 2, 2021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supplemented by that certain joinder agreement, dated August 9, 2021 (the “</w:t>
      </w:r>
      <w:r>
        <w:rPr>
          <w:rFonts w:ascii="Arial" w:cs="Arial" w:eastAsia="Arial" w:hAnsi="Arial"/>
          <w:sz w:val="16"/>
          <w:szCs w:val="16"/>
          <w:b w:val="1"/>
          <w:bCs w:val="1"/>
          <w:color w:val="auto"/>
        </w:rPr>
        <w:t>Joinder Agreement</w:t>
      </w:r>
      <w:r>
        <w:rPr>
          <w:rFonts w:ascii="Arial" w:cs="Arial" w:eastAsia="Arial" w:hAnsi="Arial"/>
          <w:sz w:val="16"/>
          <w:szCs w:val="16"/>
          <w:color w:val="auto"/>
        </w:rPr>
        <w:t>”), the “</w:t>
      </w:r>
      <w:r>
        <w:rPr>
          <w:rFonts w:ascii="Arial" w:cs="Arial" w:eastAsia="Arial" w:hAnsi="Arial"/>
          <w:sz w:val="16"/>
          <w:szCs w:val="16"/>
          <w:b w:val="1"/>
          <w:bCs w:val="1"/>
          <w:color w:val="auto"/>
        </w:rPr>
        <w:t>Manager Agreement</w:t>
      </w:r>
      <w:r>
        <w:rPr>
          <w:rFonts w:ascii="Arial" w:cs="Arial" w:eastAsia="Arial" w:hAnsi="Arial"/>
          <w:sz w:val="16"/>
          <w:szCs w:val="16"/>
          <w:color w:val="auto"/>
        </w:rPr>
        <w:t>”), among the Company,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Guarantors and the several Dealer Managers. The Initial Securities will be issued pursuant to an Indenture, dated as of September 18, 2013, entered into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among the Company, the guarantors named therein and The Bank of New York Mellon, as trustee, as amended by the first supplemental indenture dated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November 17, 2015, entered into among the Company, the guarantors named 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the “</w:t>
      </w:r>
      <w:r>
        <w:rPr>
          <w:rFonts w:ascii="Arial" w:cs="Arial" w:eastAsia="Arial" w:hAnsi="Arial"/>
          <w:sz w:val="16"/>
          <w:szCs w:val="16"/>
          <w:b w:val="1"/>
          <w:bCs w:val="1"/>
          <w:color w:val="auto"/>
        </w:rPr>
        <w:t>Indenture</w:t>
      </w:r>
      <w:r>
        <w:rPr>
          <w:rFonts w:ascii="Arial" w:cs="Arial" w:eastAsia="Arial" w:hAnsi="Arial"/>
          <w:sz w:val="16"/>
          <w:szCs w:val="16"/>
          <w:color w:val="auto"/>
        </w:rPr>
        <w:t>”). As an inducement to the Dealer Managers, the Company and the Guarantors agree with the Dealer Managers, for the benefit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the Initial Securities and the Exchange Securities (as defined below) (collectively the “</w:t>
      </w:r>
      <w:r>
        <w:rPr>
          <w:rFonts w:ascii="Arial" w:cs="Arial" w:eastAsia="Arial" w:hAnsi="Arial"/>
          <w:sz w:val="18"/>
          <w:szCs w:val="18"/>
          <w:b w:val="1"/>
          <w:bCs w:val="1"/>
          <w:color w:val="auto"/>
        </w:rPr>
        <w:t>Holders</w:t>
      </w:r>
      <w:r>
        <w:rPr>
          <w:rFonts w:ascii="Arial" w:cs="Arial" w:eastAsia="Arial" w:hAnsi="Arial"/>
          <w:sz w:val="18"/>
          <w:szCs w:val="18"/>
          <w:color w:val="auto"/>
        </w:rPr>
        <w:t>”), as follows: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1. Registered Exchange Offer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and the Guarantors shall use their commercially reasonable efforts to, at their own cost, prepare and file with the Securities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(the “</w:t>
      </w:r>
      <w:r>
        <w:rPr>
          <w:rFonts w:ascii="Arial" w:cs="Arial" w:eastAsia="Arial" w:hAnsi="Arial"/>
          <w:sz w:val="16"/>
          <w:szCs w:val="16"/>
          <w:b w:val="1"/>
          <w:bCs w:val="1"/>
          <w:color w:val="auto"/>
        </w:rPr>
        <w:t>Exchange Offer Registration Statement</w:t>
      </w:r>
      <w:r>
        <w:rPr>
          <w:rFonts w:ascii="Arial" w:cs="Arial" w:eastAsia="Arial" w:hAnsi="Arial"/>
          <w:sz w:val="16"/>
          <w:szCs w:val="16"/>
          <w:color w:val="auto"/>
        </w:rPr>
        <w:t>”) on an appropriate form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with respect to a proposed offer (the “</w:t>
      </w:r>
      <w:r>
        <w:rPr>
          <w:rFonts w:ascii="Arial" w:cs="Arial" w:eastAsia="Arial" w:hAnsi="Arial"/>
          <w:sz w:val="16"/>
          <w:szCs w:val="16"/>
          <w:b w:val="1"/>
          <w:bCs w:val="1"/>
          <w:color w:val="auto"/>
        </w:rPr>
        <w:t>Registered Exchange Offer</w:t>
      </w:r>
      <w:r>
        <w:rPr>
          <w:rFonts w:ascii="Arial" w:cs="Arial" w:eastAsia="Arial" w:hAnsi="Arial"/>
          <w:sz w:val="16"/>
          <w:szCs w:val="16"/>
          <w:color w:val="auto"/>
        </w:rPr>
        <w:t>”) to the Holders of Transfer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Restricted Securities (as defined in Section 6 hereof), who are not prohibited by any law or policy of the Commission from participating in the Registered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Exchange Offer, to issue and deliver to such Holders, in exchange for the Initial Securities, a like aggregate principal amount of debt securities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Securities</w:t>
      </w:r>
      <w:r>
        <w:rPr>
          <w:rFonts w:ascii="Arial" w:cs="Arial" w:eastAsia="Arial" w:hAnsi="Arial"/>
          <w:sz w:val="16"/>
          <w:szCs w:val="16"/>
          <w:color w:val="auto"/>
        </w:rPr>
        <w:t>”, and together with the Initial Securities, the “</w:t>
      </w:r>
      <w:r>
        <w:rPr>
          <w:rFonts w:ascii="Arial" w:cs="Arial" w:eastAsia="Arial" w:hAnsi="Arial"/>
          <w:sz w:val="16"/>
          <w:szCs w:val="16"/>
          <w:b w:val="1"/>
          <w:bCs w:val="1"/>
          <w:color w:val="auto"/>
        </w:rPr>
        <w:t>Securities</w:t>
      </w:r>
      <w:r>
        <w:rPr>
          <w:rFonts w:ascii="Arial" w:cs="Arial" w:eastAsia="Arial" w:hAnsi="Arial"/>
          <w:sz w:val="16"/>
          <w:szCs w:val="16"/>
          <w:color w:val="auto"/>
        </w:rPr>
        <w:t>”) of the Company issued under the Indenture and identical in all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respects to the Initial Securities (except for the transfer restrictions relating to the Initial Securities and the provisions relating to the matters described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6 hereof) that would be registered under the Securities Act. The Company and the Guarantors shall use their commercially reasonable efforts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cause such Exchange Offer Registration Statement to become effective under the Securities Act within 330 days (or if the 330th day is not a business day,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business day thereafter) after the date of original issue of the Initial Securities (the “</w:t>
      </w:r>
      <w:r>
        <w:rPr>
          <w:rFonts w:ascii="Arial" w:cs="Arial" w:eastAsia="Arial" w:hAnsi="Arial"/>
          <w:sz w:val="16"/>
          <w:szCs w:val="16"/>
          <w:b w:val="1"/>
          <w:bCs w:val="1"/>
          <w:color w:val="auto"/>
        </w:rPr>
        <w:t>Issue Date</w:t>
      </w:r>
      <w:r>
        <w:rPr>
          <w:rFonts w:ascii="Arial" w:cs="Arial" w:eastAsia="Arial" w:hAnsi="Arial"/>
          <w:sz w:val="16"/>
          <w:szCs w:val="16"/>
          <w:color w:val="auto"/>
        </w:rPr>
        <w:t>”) and shall keep the Exchange Offer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 effective for not less than 30 business days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63" w:name="page64"/>
    <w:bookmarkEnd w:id="63"/>
    <w:p>
      <w:pPr>
        <w:ind w:right="80"/>
        <w:spacing w:after="0" w:line="282" w:lineRule="auto"/>
        <w:rPr>
          <w:sz w:val="20"/>
          <w:szCs w:val="20"/>
          <w:color w:val="auto"/>
        </w:rPr>
      </w:pPr>
      <w:r>
        <w:rPr>
          <w:rFonts w:ascii="Arial" w:cs="Arial" w:eastAsia="Arial" w:hAnsi="Arial"/>
          <w:sz w:val="18"/>
          <w:szCs w:val="18"/>
          <w:color w:val="auto"/>
        </w:rPr>
        <w:t>longer, if required by applicable law) after commencement of the Registered Exchange Offer (such period being called the “</w:t>
      </w:r>
      <w:r>
        <w:rPr>
          <w:rFonts w:ascii="Arial" w:cs="Arial" w:eastAsia="Arial" w:hAnsi="Arial"/>
          <w:sz w:val="18"/>
          <w:szCs w:val="18"/>
          <w:b w:val="1"/>
          <w:bCs w:val="1"/>
          <w:color w:val="auto"/>
        </w:rPr>
        <w:t>Exchange Offer Registration</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w:t>
      </w:r>
    </w:p>
    <w:p>
      <w:pPr>
        <w:spacing w:after="0" w:line="166"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The Company and the Guarantors will use their commercially reasonable efforts to complete the Registered Exchange Offer not later than 360 days after the Issue Date.</w:t>
      </w:r>
    </w:p>
    <w:p>
      <w:pPr>
        <w:spacing w:after="0" w:line="170"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If the Company and the Guarantors effect the Registered Exchange Offer, the Company and the Guarantors will be entitled to close the Registered Exchange Offer 20 business days after the commencement thereof provided that the Company and the Guarantors have accepted all the Initial Securities theretofore validly tendered and not properly withdrawn in accordance with the terms of the Registered Exchange Offer.</w:t>
      </w:r>
    </w:p>
    <w:p>
      <w:pPr>
        <w:spacing w:after="0" w:line="16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Following the declaration of the effectiveness of the Exchange Offer Registration Statement, the Company and the Guarantors shall promptly commence the Registered Exchange Offer (but in any event not later than 30 days after such effectiveness), it being the objective of such Registered Exchange Offer to enable each Holder of Transfer Restricted Securities electing to exchange the Initial Securities for Exchange Securities (assuming that such Holder is not an affiliate of the Company or any Guarantor within the meaning of the Securities Act, acquires the Exchange Securities in the ordinary course of such Holder’s business and has no arrangements with any person to participate in the distribution of the Exchange Securities and is not prohibited by any law or policy of the Commission from participating in the Registered Exchange Offer) to trade such Exchange Securities from and after their receipt without any limitations or restrictions under the Securities Act.</w:t>
      </w:r>
    </w:p>
    <w:p>
      <w:pPr>
        <w:spacing w:after="0" w:line="17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Company and the Guarantors acknowledge that, pursuant to current interpretations by the Commission’s staff of Section 5 of the Securities Act, in the absence of an applicable exemption therefrom, each Holder which is a broker-dealer electing to exchange Initial Securities, acquired for its own account as a result of market making activities or other trading activities, for Exchange Securities (an “</w:t>
      </w:r>
      <w:r>
        <w:rPr>
          <w:rFonts w:ascii="Arial" w:cs="Arial" w:eastAsia="Arial" w:hAnsi="Arial"/>
          <w:sz w:val="17"/>
          <w:szCs w:val="17"/>
          <w:b w:val="1"/>
          <w:bCs w:val="1"/>
          <w:color w:val="auto"/>
        </w:rPr>
        <w:t>Exchanging Dealer</w:t>
      </w:r>
      <w:r>
        <w:rPr>
          <w:rFonts w:ascii="Arial" w:cs="Arial" w:eastAsia="Arial" w:hAnsi="Arial"/>
          <w:sz w:val="17"/>
          <w:szCs w:val="17"/>
          <w:color w:val="auto"/>
        </w:rPr>
        <w:t>”), is required to deliver a prospectus containing the information set forth in (a) Annex A hereto on the cover, (b) Annex B hereto in the “</w:t>
      </w:r>
      <w:r>
        <w:rPr>
          <w:rFonts w:ascii="Arial" w:cs="Arial" w:eastAsia="Arial" w:hAnsi="Arial"/>
          <w:sz w:val="17"/>
          <w:szCs w:val="17"/>
          <w:b w:val="1"/>
          <w:bCs w:val="1"/>
          <w:color w:val="auto"/>
        </w:rPr>
        <w:t>Description of the Exchange Offer</w:t>
      </w:r>
      <w:r>
        <w:rPr>
          <w:rFonts w:ascii="Arial" w:cs="Arial" w:eastAsia="Arial" w:hAnsi="Arial"/>
          <w:sz w:val="17"/>
          <w:szCs w:val="17"/>
          <w:color w:val="auto"/>
        </w:rPr>
        <w:t>” or similar section, and (c) Annex C hereto in the “</w:t>
      </w:r>
      <w:r>
        <w:rPr>
          <w:rFonts w:ascii="Arial" w:cs="Arial" w:eastAsia="Arial" w:hAnsi="Arial"/>
          <w:sz w:val="17"/>
          <w:szCs w:val="17"/>
          <w:b w:val="1"/>
          <w:bCs w:val="1"/>
          <w:color w:val="auto"/>
        </w:rPr>
        <w:t>Plan of Distribution</w:t>
      </w:r>
      <w:r>
        <w:rPr>
          <w:rFonts w:ascii="Arial" w:cs="Arial" w:eastAsia="Arial" w:hAnsi="Arial"/>
          <w:sz w:val="17"/>
          <w:szCs w:val="17"/>
          <w:color w:val="auto"/>
        </w:rPr>
        <w:t>” section of such prospectus in connection with a sale of any such Exchange Securities received by such Exchanging Dealer pursuant to the Registered Exchange Offer.</w:t>
      </w:r>
    </w:p>
    <w:p>
      <w:pPr>
        <w:spacing w:after="0" w:line="17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Company and the Guarantors shall use their commercially reasonable efforts to keep the Exchange Offer Registration Statement effective and to amend and supplement the prospectus contained therein, in order to permit such prospectus to be lawfully delivered by all persons subject to the prospectus delivery requirements of the Securities Act for such period of time as such persons must comply with such requirements in order to resell the Exchange Securities; provided, however, that in the case where such prospectus and any amendment or supplement thereto must be delivered by an Exchanging Dealer or a Dealer Manager, such period shall be the lesser of 90 days and the date on which all Exchanging Dealers and the Dealer Managers have sold all Exchange Securities held by them (unless such period is extended pursuant to Section 3(f) below).</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connection with the Registered Exchange Offer, the Company and the Guarantors shall:</w:t>
      </w:r>
    </w:p>
    <w:p>
      <w:pPr>
        <w:spacing w:after="0" w:line="225" w:lineRule="exact"/>
        <w:rPr>
          <w:sz w:val="20"/>
          <w:szCs w:val="20"/>
          <w:color w:val="auto"/>
        </w:rPr>
      </w:pPr>
    </w:p>
    <w:p>
      <w:pPr>
        <w:ind w:right="300" w:firstLine="332"/>
        <w:spacing w:after="0" w:line="277" w:lineRule="auto"/>
        <w:tabs>
          <w:tab w:leader="none" w:pos="614"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send to each Holder an electronic copy of the prospectus forming part of the Exchange Offer Registration Statement, together with any letter of transmittal used in connection with the Registered Exchange Offer and related documents;</w:t>
      </w:r>
    </w:p>
    <w:p>
      <w:pPr>
        <w:spacing w:after="0" w:line="170" w:lineRule="exact"/>
        <w:rPr>
          <w:rFonts w:ascii="Arial" w:cs="Arial" w:eastAsia="Arial" w:hAnsi="Arial"/>
          <w:sz w:val="18"/>
          <w:szCs w:val="18"/>
          <w:color w:val="auto"/>
        </w:rPr>
      </w:pPr>
    </w:p>
    <w:p>
      <w:pPr>
        <w:ind w:right="100" w:firstLine="332"/>
        <w:spacing w:after="0" w:line="277" w:lineRule="auto"/>
        <w:tabs>
          <w:tab w:leader="none" w:pos="624" w:val="left"/>
        </w:tabs>
        <w:numPr>
          <w:ilvl w:val="0"/>
          <w:numId w:val="80"/>
        </w:numPr>
        <w:rPr>
          <w:rFonts w:ascii="Arial" w:cs="Arial" w:eastAsia="Arial" w:hAnsi="Arial"/>
          <w:sz w:val="18"/>
          <w:szCs w:val="18"/>
          <w:color w:val="auto"/>
        </w:rPr>
      </w:pPr>
      <w:r>
        <w:rPr>
          <w:rFonts w:ascii="Arial" w:cs="Arial" w:eastAsia="Arial" w:hAnsi="Arial"/>
          <w:sz w:val="18"/>
          <w:szCs w:val="18"/>
          <w:color w:val="auto"/>
        </w:rPr>
        <w:t>utilize the services of a depositary for the Registered Exchange Offer with an address in the Borough of Manhattan, The City of New York, which may be the Trustee or an affiliate of the Trustee;</w:t>
      </w:r>
    </w:p>
    <w:p>
      <w:pPr>
        <w:spacing w:after="0" w:line="170" w:lineRule="exact"/>
        <w:rPr>
          <w:rFonts w:ascii="Arial" w:cs="Arial" w:eastAsia="Arial" w:hAnsi="Arial"/>
          <w:sz w:val="18"/>
          <w:szCs w:val="18"/>
          <w:color w:val="auto"/>
        </w:rPr>
      </w:pPr>
    </w:p>
    <w:p>
      <w:pPr>
        <w:ind w:right="300" w:firstLine="332"/>
        <w:spacing w:after="0" w:line="277" w:lineRule="auto"/>
        <w:tabs>
          <w:tab w:leader="none" w:pos="614"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permit Holders to withdraw tendered Securities at any time prior to the close of business, New York time, on the last business day on which the Registered Exchange Offer shall remain open; and</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otherwise comply with all applicable laws.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soon as practicable after the close of the Registered Exchange Offer, the Company and the Guarantors shall:</w:t>
      </w:r>
    </w:p>
    <w:p>
      <w:pPr>
        <w:spacing w:after="0" w:line="225" w:lineRule="exact"/>
        <w:rPr>
          <w:sz w:val="20"/>
          <w:szCs w:val="20"/>
          <w:color w:val="auto"/>
        </w:rPr>
      </w:pPr>
    </w:p>
    <w:p>
      <w:pPr>
        <w:ind w:left="620" w:hanging="288"/>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accept for exchange all the Initial Securities validly tendered and not withdrawn pursuant to the Registered Exchange Offer;</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deliver to the Trustee for cancellation all the Initial Securities so accepted for exchange; and</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4" w:name="page65"/>
    <w:bookmarkEnd w:id="64"/>
    <w:p>
      <w:pPr>
        <w:ind w:right="80" w:firstLine="332"/>
        <w:spacing w:after="0" w:line="277" w:lineRule="auto"/>
        <w:tabs>
          <w:tab w:leader="none" w:pos="614"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cause the Trustee to authenticate and deliver promptly to each Holder of the Initial Securities Exchange Securities equal in principal amount to the Initial Securities of such Holder so accepted for exchange.</w:t>
      </w:r>
    </w:p>
    <w:p>
      <w:pPr>
        <w:spacing w:after="0" w:line="17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Each Holder participating in the Registered Exchange Offer shall be required to represent to the Company and the Guarantors that at the time of the consummation of the Registered Exchange Offer (i) any Initial Securities being exchanged by such Holder, and any Exchange Securities received by such Holder, have been or will be acquired in the ordinary course of business, (ii) such Holder is not engaged and does not intend to engage in and will have no arrangements or understanding with any person to participate in the distribution of the Initial Securities or the Exchange Securities within the meaning of the Securities Act, (iii) such Holder is not an “</w:t>
      </w:r>
      <w:r>
        <w:rPr>
          <w:rFonts w:ascii="Arial" w:cs="Arial" w:eastAsia="Arial" w:hAnsi="Arial"/>
          <w:sz w:val="17"/>
          <w:szCs w:val="17"/>
          <w:b w:val="1"/>
          <w:bCs w:val="1"/>
          <w:color w:val="auto"/>
        </w:rPr>
        <w:t>affiliate</w:t>
      </w:r>
      <w:r>
        <w:rPr>
          <w:rFonts w:ascii="Arial" w:cs="Arial" w:eastAsia="Arial" w:hAnsi="Arial"/>
          <w:sz w:val="17"/>
          <w:szCs w:val="17"/>
          <w:color w:val="auto"/>
        </w:rPr>
        <w:t>,” as defined in Rule 405 of the Securities Act, of the Company or any Guarantor or if it is an affiliate, such Holder will comply with the registration and prospectus delivery requirements of the Securities Act to the extent applicable, (iv) if such Holder is not a broker-dealer, that it is not engaged in, and does not intend to engage in, the distribution of the Exchange Securities and (v) if such Holder is a broker-dealer, that it will receive Exchange Securities for its own account in exchange for Initial Securities that were acquired as a result of market-making activities or other trading activities and that it will be required to acknowledge that it will deliver a prospectus in connection with any resale of such Exchange Securities.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2. Shelf Registration</w:t>
      </w:r>
    </w:p>
    <w:p>
      <w:pPr>
        <w:spacing w:after="0" w:line="225"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If, (i) because of any change in law or in applicable interpretations thereof by the staff of the Commission, the Company and the Guarantors determine that they are not permitted to effect a Registered Exchange Offer, as contemplated by Section 1 hereof, (ii) the Registered Exchange Offer is not consummated within 360 days of the Issue Date, (iii) any Holder (other than as a result of the status of any such Holder as an “</w:t>
      </w:r>
      <w:r>
        <w:rPr>
          <w:rFonts w:ascii="Arial" w:cs="Arial" w:eastAsia="Arial" w:hAnsi="Arial"/>
          <w:sz w:val="17"/>
          <w:szCs w:val="17"/>
          <w:b w:val="1"/>
          <w:bCs w:val="1"/>
          <w:color w:val="auto"/>
        </w:rPr>
        <w:t>affiliate</w:t>
      </w:r>
      <w:r>
        <w:rPr>
          <w:rFonts w:ascii="Arial" w:cs="Arial" w:eastAsia="Arial" w:hAnsi="Arial"/>
          <w:sz w:val="17"/>
          <w:szCs w:val="17"/>
          <w:color w:val="auto"/>
        </w:rPr>
        <w:t>” of the Company or any Guarantor or as a broker-dealer) notifies the Company and the Guarantors prior to the 20th day following completion of the Registered Exchange Offer that it is not eligible to participate in the Registered Exchange Offer or, in the case of any Holder that participates in the Registered Exchange Offer, such Holder does not receive freely tradeable Exchange Securities on the date of the exchange (it being understood that the requirement that an Exchanging Dealer deliver a prospectus containing the information set forth in (a) Annex A hereto on the cover, (b) Annex B hereto in the “</w:t>
      </w:r>
      <w:r>
        <w:rPr>
          <w:rFonts w:ascii="Arial" w:cs="Arial" w:eastAsia="Arial" w:hAnsi="Arial"/>
          <w:sz w:val="17"/>
          <w:szCs w:val="17"/>
          <w:b w:val="1"/>
          <w:bCs w:val="1"/>
          <w:color w:val="auto"/>
        </w:rPr>
        <w:t>Description of the</w:t>
      </w:r>
      <w:r>
        <w:rPr>
          <w:rFonts w:ascii="Arial" w:cs="Arial" w:eastAsia="Arial" w:hAnsi="Arial"/>
          <w:sz w:val="17"/>
          <w:szCs w:val="17"/>
          <w:color w:val="auto"/>
        </w:rPr>
        <w:t xml:space="preserve"> </w:t>
      </w:r>
      <w:r>
        <w:rPr>
          <w:rFonts w:ascii="Arial" w:cs="Arial" w:eastAsia="Arial" w:hAnsi="Arial"/>
          <w:sz w:val="17"/>
          <w:szCs w:val="17"/>
          <w:b w:val="1"/>
          <w:bCs w:val="1"/>
          <w:color w:val="auto"/>
        </w:rPr>
        <w:t>Exchange Offer</w:t>
      </w:r>
      <w:r>
        <w:rPr>
          <w:rFonts w:ascii="Arial" w:cs="Arial" w:eastAsia="Arial" w:hAnsi="Arial"/>
          <w:sz w:val="17"/>
          <w:szCs w:val="17"/>
          <w:color w:val="auto"/>
        </w:rPr>
        <w:t>” or similar section, and (c) Annex C hereto in the “</w:t>
      </w:r>
      <w:r>
        <w:rPr>
          <w:rFonts w:ascii="Arial" w:cs="Arial" w:eastAsia="Arial" w:hAnsi="Arial"/>
          <w:sz w:val="17"/>
          <w:szCs w:val="17"/>
          <w:b w:val="1"/>
          <w:bCs w:val="1"/>
          <w:color w:val="auto"/>
        </w:rPr>
        <w:t>Plan of Distribution</w:t>
      </w:r>
      <w:r>
        <w:rPr>
          <w:rFonts w:ascii="Arial" w:cs="Arial" w:eastAsia="Arial" w:hAnsi="Arial"/>
          <w:sz w:val="17"/>
          <w:szCs w:val="17"/>
          <w:color w:val="auto"/>
        </w:rPr>
        <w:t>” in connection with a sale of any such Exchange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received by such Exchanging Dealer pursuant to the Registered Exchange Offer shall not result in such Exchange Securities being not “</w:t>
      </w:r>
      <w:r>
        <w:rPr>
          <w:rFonts w:ascii="Arial" w:cs="Arial" w:eastAsia="Arial" w:hAnsi="Arial"/>
          <w:sz w:val="17"/>
          <w:szCs w:val="17"/>
          <w:b w:val="1"/>
          <w:bCs w:val="1"/>
          <w:color w:val="auto"/>
        </w:rPr>
        <w:t>freely</w:t>
      </w:r>
      <w:r>
        <w:rPr>
          <w:rFonts w:ascii="Arial" w:cs="Arial" w:eastAsia="Arial" w:hAnsi="Arial"/>
          <w:sz w:val="17"/>
          <w:szCs w:val="17"/>
          <w:color w:val="auto"/>
        </w:rPr>
        <w:t xml:space="preserve"> </w:t>
      </w:r>
      <w:r>
        <w:rPr>
          <w:rFonts w:ascii="Arial" w:cs="Arial" w:eastAsia="Arial" w:hAnsi="Arial"/>
          <w:sz w:val="17"/>
          <w:szCs w:val="17"/>
          <w:b w:val="1"/>
          <w:bCs w:val="1"/>
          <w:color w:val="auto"/>
        </w:rPr>
        <w:t>transferable</w:t>
      </w:r>
      <w:r>
        <w:rPr>
          <w:rFonts w:ascii="Arial" w:cs="Arial" w:eastAsia="Arial" w:hAnsi="Arial"/>
          <w:sz w:val="17"/>
          <w:szCs w:val="17"/>
          <w:color w:val="auto"/>
        </w:rPr>
        <w:t>”), or (iv) the Company and the Guarantors so elect, the Company and the Guarantors shall, at their reasonable costs, take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actions:</w:t>
      </w:r>
    </w:p>
    <w:p>
      <w:pPr>
        <w:spacing w:after="0" w:line="182" w:lineRule="exact"/>
        <w:rPr>
          <w:sz w:val="20"/>
          <w:szCs w:val="20"/>
          <w:color w:val="auto"/>
        </w:rPr>
      </w:pPr>
    </w:p>
    <w:p>
      <w:pPr>
        <w:ind w:right="20" w:firstLine="332"/>
        <w:spacing w:after="0" w:line="288" w:lineRule="auto"/>
        <w:tabs>
          <w:tab w:leader="none" w:pos="610"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Company and the Guarantors shall, as promptly as practicable (but in no event more than 180 days after so required or requested pursuant to this Section 2) file with the Commission and thereafter shall use their commercially reasonable efforts to cause to be declared effective (unless it becomes effective automatically upon filing), within 270 days after the Company and the Guarantors are so required or requested pursuant to this Section 2, a registration statement (the “</w:t>
      </w:r>
      <w:r>
        <w:rPr>
          <w:rFonts w:ascii="Arial" w:cs="Arial" w:eastAsia="Arial" w:hAnsi="Arial"/>
          <w:sz w:val="16"/>
          <w:szCs w:val="16"/>
          <w:b w:val="1"/>
          <w:bCs w:val="1"/>
          <w:color w:val="auto"/>
        </w:rPr>
        <w:t>Shelf Registration Statement</w:t>
      </w:r>
      <w:r>
        <w:rPr>
          <w:rFonts w:ascii="Arial" w:cs="Arial" w:eastAsia="Arial" w:hAnsi="Arial"/>
          <w:sz w:val="16"/>
          <w:szCs w:val="16"/>
          <w:color w:val="auto"/>
        </w:rPr>
        <w:t>” and, together with the Exchange Offer Registration Statement, a “</w:t>
      </w:r>
      <w:r>
        <w:rPr>
          <w:rFonts w:ascii="Arial" w:cs="Arial" w:eastAsia="Arial" w:hAnsi="Arial"/>
          <w:sz w:val="16"/>
          <w:szCs w:val="16"/>
          <w:b w:val="1"/>
          <w:bCs w:val="1"/>
          <w:color w:val="auto"/>
        </w:rPr>
        <w:t>Registration Statement</w:t>
      </w:r>
      <w:r>
        <w:rPr>
          <w:rFonts w:ascii="Arial" w:cs="Arial" w:eastAsia="Arial" w:hAnsi="Arial"/>
          <w:sz w:val="16"/>
          <w:szCs w:val="16"/>
          <w:color w:val="auto"/>
        </w:rPr>
        <w:t>”) on an appropriate form under the Securities Act relating to the offer and sale of the Transfer Restricted Securities (as defined in Section 6 hereof) by the Holders thereof from time to time in accordance with the methods of distribution set forth in the Shelf Registration Statement and Rule 415 under the Securities Act (hereinafter, the “</w:t>
      </w:r>
      <w:r>
        <w:rPr>
          <w:rFonts w:ascii="Arial" w:cs="Arial" w:eastAsia="Arial" w:hAnsi="Arial"/>
          <w:sz w:val="16"/>
          <w:szCs w:val="16"/>
          <w:b w:val="1"/>
          <w:bCs w:val="1"/>
          <w:color w:val="auto"/>
        </w:rPr>
        <w:t>Shelf Registration</w:t>
      </w:r>
      <w:r>
        <w:rPr>
          <w:rFonts w:ascii="Arial" w:cs="Arial" w:eastAsia="Arial" w:hAnsi="Arial"/>
          <w:sz w:val="16"/>
          <w:szCs w:val="16"/>
          <w:color w:val="auto"/>
        </w:rPr>
        <w:t>”) or, if permitted by 430B under the Securities Act, otherwise designate an existing effective Shelf Registration Statement for use by the Holders as a Shelf Registration Statement relating to the resales of the Transfer Restricted Securities; provided, however, that no Holder (other than a Dealer Manager) shall be entitled to have the Securities held by it covered by such Shelf Registration Statement unless such Holder agrees in writing to be bound by all the provisions of this Agreement applicable to such Holder.</w:t>
      </w:r>
    </w:p>
    <w:p>
      <w:pPr>
        <w:spacing w:after="0" w:line="168" w:lineRule="exact"/>
        <w:rPr>
          <w:rFonts w:ascii="Arial" w:cs="Arial" w:eastAsia="Arial" w:hAnsi="Arial"/>
          <w:sz w:val="16"/>
          <w:szCs w:val="16"/>
          <w:color w:val="auto"/>
        </w:rPr>
      </w:pPr>
    </w:p>
    <w:p>
      <w:pPr>
        <w:ind w:right="180" w:firstLine="332"/>
        <w:spacing w:after="0" w:line="279" w:lineRule="auto"/>
        <w:tabs>
          <w:tab w:leader="none" w:pos="621" w:val="left"/>
        </w:tabs>
        <w:numPr>
          <w:ilvl w:val="1"/>
          <w:numId w:val="83"/>
        </w:numPr>
        <w:rPr>
          <w:rFonts w:ascii="Arial" w:cs="Arial" w:eastAsia="Arial" w:hAnsi="Arial"/>
          <w:sz w:val="17"/>
          <w:szCs w:val="17"/>
          <w:color w:val="auto"/>
        </w:rPr>
      </w:pPr>
      <w:r>
        <w:rPr>
          <w:rFonts w:ascii="Arial" w:cs="Arial" w:eastAsia="Arial" w:hAnsi="Arial"/>
          <w:sz w:val="17"/>
          <w:szCs w:val="17"/>
          <w:color w:val="auto"/>
        </w:rPr>
        <w:t>The Company and the Guarantors shall use their commercially reasonable efforts to keep the Shelf Registration Statement continuously effective in order to permit the prospectus included therein to be lawfully delivered by the Holders of the relevant Securities, for a period of one year (or for such longer period if extended pursuant to Section 3(f) below) from effectiveness of the Shelf Registration Statement or such shorter period that will terminate when all the Securities covered by the Shelf Registration Statement have been sold pursuant thereto.</w:t>
      </w:r>
    </w:p>
    <w:p>
      <w:pPr>
        <w:spacing w:after="0" w:line="171" w:lineRule="exact"/>
        <w:rPr>
          <w:rFonts w:ascii="Arial" w:cs="Arial" w:eastAsia="Arial" w:hAnsi="Arial"/>
          <w:sz w:val="17"/>
          <w:szCs w:val="17"/>
          <w:color w:val="auto"/>
        </w:rPr>
      </w:pPr>
    </w:p>
    <w:p>
      <w:pPr>
        <w:ind w:left="400" w:hanging="224"/>
        <w:spacing w:after="0"/>
        <w:tabs>
          <w:tab w:leader="none" w:pos="400" w:val="left"/>
        </w:tabs>
        <w:numPr>
          <w:ilvl w:val="0"/>
          <w:numId w:val="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Registration Procedures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connection with any Shelf Registration contemplated by Section 2 hereof and, to the extent applicable, any Registered Exchange Offer contemplated by Section 1 hereof, the following provisions shall apply:</w:t>
      </w:r>
    </w:p>
    <w:p>
      <w:pPr>
        <w:spacing w:after="0" w:line="27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5" w:name="page66"/>
    <w:bookmarkEnd w:id="65"/>
    <w:p>
      <w:pPr>
        <w:ind w:firstLine="332"/>
        <w:spacing w:after="0" w:line="289" w:lineRule="auto"/>
        <w:tabs>
          <w:tab w:leader="none" w:pos="61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and the Guarantors shall (i) include the information set forth in Annex A hereto on the cover, in Annex B hereto in the “</w:t>
      </w:r>
      <w:r>
        <w:rPr>
          <w:rFonts w:ascii="Arial" w:cs="Arial" w:eastAsia="Arial" w:hAnsi="Arial"/>
          <w:sz w:val="16"/>
          <w:szCs w:val="16"/>
          <w:b w:val="1"/>
          <w:bCs w:val="1"/>
          <w:color w:val="auto"/>
        </w:rPr>
        <w:t>Description</w:t>
      </w:r>
      <w:r>
        <w:rPr>
          <w:rFonts w:ascii="Arial" w:cs="Arial" w:eastAsia="Arial" w:hAnsi="Arial"/>
          <w:sz w:val="16"/>
          <w:szCs w:val="16"/>
          <w:color w:val="auto"/>
        </w:rPr>
        <w:t xml:space="preserve"> </w:t>
      </w:r>
      <w:r>
        <w:rPr>
          <w:rFonts w:ascii="Arial" w:cs="Arial" w:eastAsia="Arial" w:hAnsi="Arial"/>
          <w:sz w:val="16"/>
          <w:szCs w:val="16"/>
          <w:b w:val="1"/>
          <w:bCs w:val="1"/>
          <w:color w:val="auto"/>
        </w:rPr>
        <w:t>of the Exchange Offer</w:t>
      </w:r>
      <w:r>
        <w:rPr>
          <w:rFonts w:ascii="Arial" w:cs="Arial" w:eastAsia="Arial" w:hAnsi="Arial"/>
          <w:sz w:val="16"/>
          <w:szCs w:val="16"/>
          <w:color w:val="auto"/>
        </w:rPr>
        <w:t>” or similar section and in Annex C hereto in the “</w:t>
      </w:r>
      <w:r>
        <w:rPr>
          <w:rFonts w:ascii="Arial" w:cs="Arial" w:eastAsia="Arial" w:hAnsi="Arial"/>
          <w:sz w:val="16"/>
          <w:szCs w:val="16"/>
          <w:b w:val="1"/>
          <w:bCs w:val="1"/>
          <w:color w:val="auto"/>
        </w:rPr>
        <w:t>Plan of Distribution</w:t>
      </w:r>
      <w:r>
        <w:rPr>
          <w:rFonts w:ascii="Arial" w:cs="Arial" w:eastAsia="Arial" w:hAnsi="Arial"/>
          <w:sz w:val="16"/>
          <w:szCs w:val="16"/>
          <w:color w:val="auto"/>
        </w:rPr>
        <w:t>” section of the prospectus forming a part of the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Offer Registration Statement and include the information set forth in Annex D hereto in any Letter of Transmittal delivered pursuant to the Registered Exchange Offer; (ii) include within the prospectus contained in the Exchange Offer Registration Statement a section entitled “</w:t>
      </w:r>
      <w:r>
        <w:rPr>
          <w:rFonts w:ascii="Arial" w:cs="Arial" w:eastAsia="Arial" w:hAnsi="Arial"/>
          <w:sz w:val="16"/>
          <w:szCs w:val="16"/>
          <w:b w:val="1"/>
          <w:bCs w:val="1"/>
          <w:color w:val="auto"/>
        </w:rPr>
        <w:t>Plan of Distribution</w:t>
      </w:r>
      <w:r>
        <w:rPr>
          <w:rFonts w:ascii="Arial" w:cs="Arial" w:eastAsia="Arial" w:hAnsi="Arial"/>
          <w:sz w:val="16"/>
          <w:szCs w:val="16"/>
          <w:color w:val="auto"/>
        </w:rPr>
        <w:t>,” which shall contain a summary statement of the positions taken or policies made by the staff of the Commission with respect to the potential “</w:t>
      </w:r>
      <w:r>
        <w:rPr>
          <w:rFonts w:ascii="Arial" w:cs="Arial" w:eastAsia="Arial" w:hAnsi="Arial"/>
          <w:sz w:val="16"/>
          <w:szCs w:val="16"/>
          <w:b w:val="1"/>
          <w:bCs w:val="1"/>
          <w:color w:val="auto"/>
        </w:rPr>
        <w:t>underwriter</w:t>
      </w:r>
      <w:r>
        <w:rPr>
          <w:rFonts w:ascii="Arial" w:cs="Arial" w:eastAsia="Arial" w:hAnsi="Arial"/>
          <w:sz w:val="16"/>
          <w:szCs w:val="16"/>
          <w:color w:val="auto"/>
        </w:rPr>
        <w:t>” status of any broker-dealer that is the beneficial owner (as defined in Rule 13d-3 under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of Exchange Securities received by such broker-dealer in the Registered Exchange Offer (a “</w:t>
      </w:r>
      <w:r>
        <w:rPr>
          <w:rFonts w:ascii="Arial" w:cs="Arial" w:eastAsia="Arial" w:hAnsi="Arial"/>
          <w:sz w:val="16"/>
          <w:szCs w:val="16"/>
          <w:b w:val="1"/>
          <w:bCs w:val="1"/>
          <w:color w:val="auto"/>
        </w:rPr>
        <w:t>Participating Broker-Dealer</w:t>
      </w:r>
      <w:r>
        <w:rPr>
          <w:rFonts w:ascii="Arial" w:cs="Arial" w:eastAsia="Arial" w:hAnsi="Arial"/>
          <w:sz w:val="16"/>
          <w:szCs w:val="16"/>
          <w:color w:val="auto"/>
        </w:rPr>
        <w:t>”); and (iv) in the case of a Shelf Registration Statement, include in the prospectus included in the Shelf Registration Statement (or, if permitted by Commission Rule 430B(b), in a prospectus supplement that becomes a part thereof pursuant to Commission Rule 430B(f)) that is delivered to any Holder pursuant to Section 3(d), the names of the Holders, who propose to sell Securities pursuant to the Shelf Registration Statement, as selling security holders.</w:t>
      </w:r>
    </w:p>
    <w:p>
      <w:pPr>
        <w:spacing w:after="0" w:line="164" w:lineRule="exact"/>
        <w:rPr>
          <w:rFonts w:ascii="Arial" w:cs="Arial" w:eastAsia="Arial" w:hAnsi="Arial"/>
          <w:sz w:val="16"/>
          <w:szCs w:val="16"/>
          <w:color w:val="auto"/>
        </w:rPr>
      </w:pPr>
    </w:p>
    <w:p>
      <w:pPr>
        <w:ind w:right="240" w:firstLine="332"/>
        <w:spacing w:after="0" w:line="259" w:lineRule="auto"/>
        <w:tabs>
          <w:tab w:leader="none" w:pos="621"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and the Guarantors shall give notice to the Dealer Managers, the Holders of the Securities (in case of any Shelf Registration Statement) and any Participating Broker-Dealer from whom the Company and the Guarantors have received prior written notice that it will be a Participating Broker-Dealer in the Registered Exchange Offer (which notice pursuant to clauses (i)-(iv) hereof shall be accompanied by an instruction to suspend the use of the prospectus until the requisite changes have been made):</w:t>
      </w:r>
    </w:p>
    <w:p>
      <w:pPr>
        <w:spacing w:after="0" w:line="187" w:lineRule="exact"/>
        <w:rPr>
          <w:sz w:val="20"/>
          <w:szCs w:val="20"/>
          <w:color w:val="auto"/>
        </w:rPr>
      </w:pPr>
    </w:p>
    <w:p>
      <w:pPr>
        <w:ind w:right="120" w:firstLine="332"/>
        <w:spacing w:after="0" w:line="277" w:lineRule="auto"/>
        <w:tabs>
          <w:tab w:leader="none" w:pos="584"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 the Registration Statement or any amendment thereto has been filed with the Commission and when the Registration Statement or any post-effective amendment thereto has become effective;</w:t>
      </w:r>
    </w:p>
    <w:p>
      <w:pPr>
        <w:spacing w:after="0" w:line="170" w:lineRule="exact"/>
        <w:rPr>
          <w:rFonts w:ascii="Arial" w:cs="Arial" w:eastAsia="Arial" w:hAnsi="Arial"/>
          <w:sz w:val="18"/>
          <w:szCs w:val="18"/>
          <w:color w:val="auto"/>
        </w:rPr>
      </w:pPr>
    </w:p>
    <w:p>
      <w:pPr>
        <w:ind w:left="640" w:hanging="308"/>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of any request by the Commission for amendments or supplements to the Registration Statement or the prospectus included therein;</w:t>
      </w:r>
    </w:p>
    <w:p>
      <w:pPr>
        <w:spacing w:after="0" w:line="225" w:lineRule="exact"/>
        <w:rPr>
          <w:rFonts w:ascii="Arial" w:cs="Arial" w:eastAsia="Arial" w:hAnsi="Arial"/>
          <w:sz w:val="18"/>
          <w:szCs w:val="18"/>
          <w:color w:val="auto"/>
        </w:rPr>
      </w:pPr>
    </w:p>
    <w:p>
      <w:pPr>
        <w:ind w:left="700" w:hanging="368"/>
        <w:spacing w:after="0"/>
        <w:tabs>
          <w:tab w:leader="none" w:pos="7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of the issuance by the Commission of any stop order suspending the effectiveness of the Registration Statement or the initiation of any</w:t>
      </w:r>
    </w:p>
    <w:p>
      <w:pPr>
        <w:spacing w:after="0" w:line="34" w:lineRule="exact"/>
        <w:rPr>
          <w:rFonts w:ascii="Arial" w:cs="Arial" w:eastAsia="Arial" w:hAnsi="Arial"/>
          <w:sz w:val="17"/>
          <w:szCs w:val="17"/>
          <w:color w:val="auto"/>
        </w:rPr>
      </w:pPr>
    </w:p>
    <w:p>
      <w:pPr>
        <w:ind w:right="140"/>
        <w:spacing w:after="0" w:line="260" w:lineRule="auto"/>
        <w:rPr>
          <w:rFonts w:ascii="Arial" w:cs="Arial" w:eastAsia="Arial" w:hAnsi="Arial"/>
          <w:sz w:val="17"/>
          <w:szCs w:val="17"/>
          <w:color w:val="auto"/>
        </w:rPr>
      </w:pPr>
      <w:r>
        <w:rPr>
          <w:rFonts w:ascii="Arial" w:cs="Arial" w:eastAsia="Arial" w:hAnsi="Arial"/>
          <w:sz w:val="18"/>
          <w:szCs w:val="18"/>
          <w:color w:val="auto"/>
        </w:rPr>
        <w:t>proceedings for that purpose and of the happening of any event that causes the Company or any Guarantor to become an “</w:t>
      </w:r>
      <w:r>
        <w:rPr>
          <w:rFonts w:ascii="Arial" w:cs="Arial" w:eastAsia="Arial" w:hAnsi="Arial"/>
          <w:sz w:val="18"/>
          <w:szCs w:val="18"/>
          <w:b w:val="1"/>
          <w:bCs w:val="1"/>
          <w:color w:val="auto"/>
        </w:rPr>
        <w:t>ineligible issuer</w:t>
      </w:r>
      <w:r>
        <w:rPr>
          <w:rFonts w:ascii="Arial" w:cs="Arial" w:eastAsia="Arial" w:hAnsi="Arial"/>
          <w:sz w:val="18"/>
          <w:szCs w:val="18"/>
          <w:color w:val="auto"/>
        </w:rPr>
        <w:t>,” as defined in Commission Rule 405;</w:t>
      </w:r>
    </w:p>
    <w:p>
      <w:pPr>
        <w:spacing w:after="0" w:line="185" w:lineRule="exact"/>
        <w:rPr>
          <w:rFonts w:ascii="Arial" w:cs="Arial" w:eastAsia="Arial" w:hAnsi="Arial"/>
          <w:sz w:val="17"/>
          <w:szCs w:val="17"/>
          <w:color w:val="auto"/>
        </w:rPr>
      </w:pPr>
    </w:p>
    <w:p>
      <w:pPr>
        <w:ind w:right="200" w:firstLine="332"/>
        <w:spacing w:after="0" w:line="277" w:lineRule="auto"/>
        <w:tabs>
          <w:tab w:leader="none" w:pos="674" w:val="left"/>
        </w:tabs>
        <w:numPr>
          <w:ilvl w:val="0"/>
          <w:numId w:val="86"/>
        </w:numPr>
        <w:rPr>
          <w:rFonts w:ascii="Arial" w:cs="Arial" w:eastAsia="Arial" w:hAnsi="Arial"/>
          <w:sz w:val="18"/>
          <w:szCs w:val="18"/>
          <w:color w:val="auto"/>
        </w:rPr>
      </w:pPr>
      <w:r>
        <w:rPr>
          <w:rFonts w:ascii="Arial" w:cs="Arial" w:eastAsia="Arial" w:hAnsi="Arial"/>
          <w:sz w:val="18"/>
          <w:szCs w:val="18"/>
          <w:color w:val="auto"/>
        </w:rPr>
        <w:t>of the receipt by the Company and the Guarantors or their legal counsel of any notification with respect to the suspension of the qualification of the Securities for sale in any jurisdiction or the initiation or overtly threatening of any proceeding for such purpose.</w:t>
      </w:r>
    </w:p>
    <w:p>
      <w:pPr>
        <w:spacing w:after="0" w:line="170" w:lineRule="exact"/>
        <w:rPr>
          <w:sz w:val="20"/>
          <w:szCs w:val="20"/>
          <w:color w:val="auto"/>
        </w:rPr>
      </w:pPr>
    </w:p>
    <w:p>
      <w:pPr>
        <w:ind w:right="440" w:firstLine="332"/>
        <w:spacing w:after="0" w:line="277" w:lineRule="auto"/>
        <w:tabs>
          <w:tab w:leader="none" w:pos="61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and the Guarantors shall use commercially reasonable effort to obtain the withdrawal at the earliest possible time, of any order suspending the effectiveness of the Registration Statement.</w:t>
      </w:r>
    </w:p>
    <w:p>
      <w:pPr>
        <w:spacing w:after="0" w:line="170" w:lineRule="exact"/>
        <w:rPr>
          <w:rFonts w:ascii="Arial" w:cs="Arial" w:eastAsia="Arial" w:hAnsi="Arial"/>
          <w:sz w:val="18"/>
          <w:szCs w:val="18"/>
          <w:color w:val="auto"/>
        </w:rPr>
      </w:pPr>
    </w:p>
    <w:p>
      <w:pPr>
        <w:ind w:right="120" w:firstLine="332"/>
        <w:spacing w:after="0" w:line="255" w:lineRule="auto"/>
        <w:tabs>
          <w:tab w:leader="none" w:pos="62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and the Guarantors shall, during the Shelf Registration Period, deliver to each Holder of Securities included within the coverage of the Shelf Registration, without charge, as many copies of the prospectus (including each preliminary prospectus) included in the Shelf Registration Statement and any amendment or supplement thereto as such person may reasonably request. The Company and the Guarantors consent, subject to the provisions of this Agreement, to the use of the prospectus or any amendment or supplement thereto by each of the selling Holders of the Securities in connection with the offering and sale of the Securities covered by the prospectus, or any amendment or supplement thereto, included in the Shelf Registration Statement.</w:t>
      </w:r>
    </w:p>
    <w:p>
      <w:pPr>
        <w:spacing w:after="0" w:line="192" w:lineRule="exact"/>
        <w:rPr>
          <w:rFonts w:ascii="Arial" w:cs="Arial" w:eastAsia="Arial" w:hAnsi="Arial"/>
          <w:sz w:val="18"/>
          <w:szCs w:val="18"/>
          <w:color w:val="auto"/>
        </w:rPr>
      </w:pPr>
    </w:p>
    <w:p>
      <w:pPr>
        <w:ind w:right="100" w:firstLine="332"/>
        <w:spacing w:after="0" w:line="254" w:lineRule="auto"/>
        <w:tabs>
          <w:tab w:leader="none" w:pos="61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and the Guarantors shall deliver to each Dealer Manager, any Exchanging Dealer, any Participating Broker-Dealer and such other persons required to deliver a prospectus following the Registered Exchange Offer, without charge, as many electronic copies of the final prospectus included in the Exchange Offer Registration Statement and any amendment or supplement thereto as such persons may reasonably request. The Company and the Guarantors consent, subject to the provisions of this Agreement, to the use of the prospectus or any amendment or supplement thereto by any Dealer Manager, if necessary, any Participating Broker-Dealer and such other persons required to deliver a prospectus following the Registered Exchange Offer in connection with the offering and sale of the Exchange Securities covered by the prospectus, or any amendment or supplement thereto, included in such Exchange Offer Registration Statement.</w:t>
      </w:r>
    </w:p>
    <w:p>
      <w:pPr>
        <w:spacing w:after="0" w:line="194" w:lineRule="exact"/>
        <w:rPr>
          <w:rFonts w:ascii="Arial" w:cs="Arial" w:eastAsia="Arial" w:hAnsi="Arial"/>
          <w:sz w:val="18"/>
          <w:szCs w:val="18"/>
          <w:color w:val="auto"/>
        </w:rPr>
      </w:pPr>
    </w:p>
    <w:p>
      <w:pPr>
        <w:ind w:right="60" w:firstLine="332"/>
        <w:spacing w:after="0" w:line="277" w:lineRule="auto"/>
        <w:tabs>
          <w:tab w:leader="none" w:pos="594" w:val="left"/>
        </w:tabs>
        <w:numPr>
          <w:ilvl w:val="0"/>
          <w:numId w:val="87"/>
        </w:numPr>
        <w:rPr>
          <w:rFonts w:ascii="Arial" w:cs="Arial" w:eastAsia="Arial" w:hAnsi="Arial"/>
          <w:sz w:val="18"/>
          <w:szCs w:val="18"/>
          <w:color w:val="auto"/>
        </w:rPr>
      </w:pPr>
      <w:r>
        <w:rPr>
          <w:rFonts w:ascii="Arial" w:cs="Arial" w:eastAsia="Arial" w:hAnsi="Arial"/>
          <w:sz w:val="18"/>
          <w:szCs w:val="18"/>
          <w:color w:val="auto"/>
        </w:rPr>
        <w:t>Upon the occurrence of any event contemplated by paragraphs (i) through (iv) of Section 3(b) above during the period for which the Company and the Guarantors are required to maintain an effective Registration Statement,</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66" w:name="page67"/>
    <w:bookmarkEnd w:id="66"/>
    <w:p>
      <w:pPr>
        <w:spacing w:after="0" w:line="284" w:lineRule="auto"/>
        <w:rPr>
          <w:sz w:val="20"/>
          <w:szCs w:val="20"/>
          <w:color w:val="auto"/>
        </w:rPr>
      </w:pPr>
      <w:r>
        <w:rPr>
          <w:rFonts w:ascii="Arial" w:cs="Arial" w:eastAsia="Arial" w:hAnsi="Arial"/>
          <w:sz w:val="16"/>
          <w:szCs w:val="16"/>
          <w:color w:val="auto"/>
        </w:rPr>
        <w:t>the Company and the Guarantors shall promptly prepare and file a post-effective amendment to the Registration Statement or a supplement to the related prospectus and any other required document so that, as thereafter delivered to Holders of the Securities or purchasers of Securities, the prospectus will not contain an untrue statement of a material fact or omit to state any material fact required to be stated therein or necessary to make the statements therein, in light of the circumstances under which they were made, not misleading. The Company and the Guarantors shall also promptly provide notice to the Dealer Managers, the Holders of the Securities (in case of any Shelf Registration Statement) and any known Participating Broker-Dealer of their determination to suspend the availability of a Registration Statement and the related prospectus because the continued effectiveness and use of such Registration Statement and prospectus included therein would require the disclosure of confidential information or interfere with any acquisition, corporate reorganization or other material transaction involving the Company and the Guarantors or any of their respective consolidated subsidiaries (it being understood that such notice may disclose only the existence of such determination and need not disclose the nature of the basis therefor, which may be kept confidential for such period as may reasonably be required for bona fide business reasons). If the Company and the Guarantors notify the Dealer Managers, the Holders of the Securities and any known Participating Broker-Dealer in accordance with paragraphs (i) through (iv) of Section 3(b) above to suspend the use of the prospectus until the requisite changes to the prospectus have been made, then the Dealer Managers, the Holders of the Securities and any such Participating Broker-Dealers shall suspend use of such prospectus, and the period of effectiveness of the Shelf Registration Statement provided for in Section 2(b) above and the Exchange Offer Registration Statement provided for in Section 1 above, as applicable, shall each be extended by the number of days from and including the date of the giving of such notice to and including the date when the Dealer Managers, the Holders of the Securities and any known Participating Broker-Dealer shall have received such amended or supplemented prospectus pursuant to this Section 3(f). During the period during which the Company and the Guarantors are required to maintain an effective Shelf Registration Statement pursuant to this Agreement, the Company and the Guarantors will prior to the three-year expiration of that Shelf Registration Statement file, and use their commercially reasonable efforts to cause to be declared effective (unless it becomes effective automatically upon filing) within a period that avoids any interruption in the ability of Holders of Securities covered by the expiring Shelf Registration Statement to make registered dispositions, a new registration statement relating to the Securities, which shall be deemed the “</w:t>
      </w:r>
      <w:r>
        <w:rPr>
          <w:rFonts w:ascii="Arial" w:cs="Arial" w:eastAsia="Arial" w:hAnsi="Arial"/>
          <w:sz w:val="16"/>
          <w:szCs w:val="16"/>
          <w:b w:val="1"/>
          <w:bCs w:val="1"/>
          <w:color w:val="auto"/>
        </w:rPr>
        <w:t>Shelf Registration Statement</w:t>
      </w:r>
      <w:r>
        <w:rPr>
          <w:rFonts w:ascii="Arial" w:cs="Arial" w:eastAsia="Arial" w:hAnsi="Arial"/>
          <w:sz w:val="16"/>
          <w:szCs w:val="16"/>
          <w:color w:val="auto"/>
        </w:rPr>
        <w:t>” for purposes of this Agreement.</w:t>
      </w:r>
    </w:p>
    <w:p>
      <w:pPr>
        <w:spacing w:after="0" w:line="180" w:lineRule="exact"/>
        <w:rPr>
          <w:sz w:val="20"/>
          <w:szCs w:val="20"/>
          <w:color w:val="auto"/>
        </w:rPr>
      </w:pPr>
    </w:p>
    <w:p>
      <w:pPr>
        <w:jc w:val="both"/>
        <w:ind w:right="160" w:firstLine="332"/>
        <w:spacing w:after="0" w:line="263" w:lineRule="auto"/>
        <w:tabs>
          <w:tab w:leader="none" w:pos="624" w:val="left"/>
        </w:tabs>
        <w:numPr>
          <w:ilvl w:val="0"/>
          <w:numId w:val="88"/>
        </w:numPr>
        <w:rPr>
          <w:rFonts w:ascii="Arial" w:cs="Arial" w:eastAsia="Arial" w:hAnsi="Arial"/>
          <w:sz w:val="18"/>
          <w:szCs w:val="18"/>
          <w:color w:val="auto"/>
        </w:rPr>
      </w:pPr>
      <w:r>
        <w:rPr>
          <w:rFonts w:ascii="Arial" w:cs="Arial" w:eastAsia="Arial" w:hAnsi="Arial"/>
          <w:sz w:val="18"/>
          <w:szCs w:val="18"/>
          <w:color w:val="auto"/>
        </w:rPr>
        <w:t>Not later than the effective date of the applicable Registration Statement, the Company and the Guarantors will provide a CUSIP number for the Initial Securities or the Exchange Securities, as the case may be, and provide the applicable trustee with printed certificates for the Initial Securities or the Exchange Securities, as the case may be, in a form eligible for deposit with The Depository Trust Company.</w:t>
      </w:r>
    </w:p>
    <w:p>
      <w:pPr>
        <w:spacing w:after="0" w:line="183" w:lineRule="exact"/>
        <w:rPr>
          <w:rFonts w:ascii="Arial" w:cs="Arial" w:eastAsia="Arial" w:hAnsi="Arial"/>
          <w:sz w:val="18"/>
          <w:szCs w:val="18"/>
          <w:color w:val="auto"/>
        </w:rPr>
      </w:pPr>
    </w:p>
    <w:p>
      <w:pPr>
        <w:ind w:right="20" w:firstLine="332"/>
        <w:spacing w:after="0" w:line="277" w:lineRule="auto"/>
        <w:tabs>
          <w:tab w:leader="none" w:pos="62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and the Guarantors will comply in all material respects with all rules and regulations of the Commission to the extent and so long as they are applicable to the Registered Exchange Offer or the Shelf Registration.</w:t>
      </w:r>
    </w:p>
    <w:p>
      <w:pPr>
        <w:spacing w:after="0" w:line="166" w:lineRule="exact"/>
        <w:rPr>
          <w:rFonts w:ascii="Arial" w:cs="Arial" w:eastAsia="Arial" w:hAnsi="Arial"/>
          <w:sz w:val="18"/>
          <w:szCs w:val="18"/>
          <w:color w:val="auto"/>
        </w:rPr>
      </w:pPr>
    </w:p>
    <w:p>
      <w:pPr>
        <w:ind w:right="140" w:firstLine="332"/>
        <w:spacing w:after="0" w:line="261" w:lineRule="auto"/>
        <w:tabs>
          <w:tab w:leader="none" w:pos="58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and the Guarantors shall cause the Indenture to be qualified under the Trust Indenture Act of 1939 (the “</w:t>
      </w:r>
      <w:r>
        <w:rPr>
          <w:rFonts w:ascii="Arial" w:cs="Arial" w:eastAsia="Arial" w:hAnsi="Arial"/>
          <w:sz w:val="18"/>
          <w:szCs w:val="18"/>
          <w:b w:val="1"/>
          <w:bCs w:val="1"/>
          <w:color w:val="auto"/>
        </w:rPr>
        <w:t>Trust Indenture Act</w:t>
      </w:r>
      <w:r>
        <w:rPr>
          <w:rFonts w:ascii="Arial" w:cs="Arial" w:eastAsia="Arial" w:hAnsi="Arial"/>
          <w:sz w:val="18"/>
          <w:szCs w:val="18"/>
          <w:color w:val="auto"/>
        </w:rPr>
        <w:t>”), as amended, in a timely manner and containing such changes, if any, as shall be necessary for such qualification. In the event that such qualification would require the appointment of a new trustee under the Indenture, the Company and the Guarantors shall appoint a new trustee thereunder pursuant to the applicable provisions of the Indenture.</w:t>
      </w:r>
    </w:p>
    <w:p>
      <w:pPr>
        <w:spacing w:after="0" w:line="183" w:lineRule="exact"/>
        <w:rPr>
          <w:rFonts w:ascii="Arial" w:cs="Arial" w:eastAsia="Arial" w:hAnsi="Arial"/>
          <w:sz w:val="18"/>
          <w:szCs w:val="18"/>
          <w:color w:val="auto"/>
        </w:rPr>
      </w:pPr>
    </w:p>
    <w:p>
      <w:pPr>
        <w:jc w:val="both"/>
        <w:ind w:right="80" w:firstLine="332"/>
        <w:spacing w:after="0" w:line="301" w:lineRule="auto"/>
        <w:tabs>
          <w:tab w:leader="none" w:pos="581"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and the Guarantors may require each Holder of Securities to be sold pursuant to the Shelf Registration Statement to furnish to the Company and the Guarantors such information regarding the Holder and the distribution of the Securities as the Company and the Guarantors may from time to time reasonably require for inclusion in the Shelf Registration Statement, and the Company and the Guarantors may exclude from such registration the Securities of any Holder that fails to furnish such information within a reasonable time after receiving such request.</w:t>
      </w:r>
    </w:p>
    <w:p>
      <w:pPr>
        <w:spacing w:after="0" w:line="157" w:lineRule="exact"/>
        <w:rPr>
          <w:rFonts w:ascii="Arial" w:cs="Arial" w:eastAsia="Arial" w:hAnsi="Arial"/>
          <w:sz w:val="16"/>
          <w:szCs w:val="16"/>
          <w:color w:val="auto"/>
        </w:rPr>
      </w:pPr>
    </w:p>
    <w:p>
      <w:pPr>
        <w:ind w:right="200" w:firstLine="332"/>
        <w:spacing w:after="0" w:line="277" w:lineRule="auto"/>
        <w:tabs>
          <w:tab w:leader="none" w:pos="621"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and the Guarantors shall use their commercially reasonable efforts to take all other steps necessary to effect the registration of the Securities covered by a Registration Statement contemplated hereby.</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4. Registration Expenses</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 and the Guarantors shall bear all fees and expenses incurred in connection with the performance of their obligations under Sections 1 through 3 hereof.</w:t>
      </w:r>
    </w:p>
    <w:p>
      <w:pPr>
        <w:spacing w:after="0" w:line="27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7" w:name="page68"/>
    <w:bookmarkEnd w:id="67"/>
    <w:p>
      <w:pPr>
        <w:ind w:left="400" w:hanging="224"/>
        <w:spacing w:after="0"/>
        <w:tabs>
          <w:tab w:leader="none" w:pos="400" w:val="left"/>
        </w:tabs>
        <w:numPr>
          <w:ilvl w:val="0"/>
          <w:numId w:val="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Indemnification</w:t>
      </w:r>
    </w:p>
    <w:p>
      <w:pPr>
        <w:spacing w:after="0" w:line="225" w:lineRule="exact"/>
        <w:rPr>
          <w:rFonts w:ascii="Arial" w:cs="Arial" w:eastAsia="Arial" w:hAnsi="Arial"/>
          <w:sz w:val="18"/>
          <w:szCs w:val="18"/>
          <w:b w:val="1"/>
          <w:bCs w:val="1"/>
          <w:i w:val="1"/>
          <w:iCs w:val="1"/>
          <w:color w:val="auto"/>
        </w:rPr>
      </w:pPr>
    </w:p>
    <w:p>
      <w:pPr>
        <w:ind w:firstLine="332"/>
        <w:spacing w:after="0" w:line="284" w:lineRule="auto"/>
        <w:tabs>
          <w:tab w:leader="none" w:pos="610"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Company and the Guarantors agree to indemnify and hold harmless each Holder of the Securities, any Participating Broker-Dealer and each person, if any, who controls such Holder or such Participating Broker-Dealer within the meaning of the Securities Act (each Holder, any Participating Broker-Dealer and such controlling persons are referred to collectively as the “</w:t>
      </w:r>
      <w:r>
        <w:rPr>
          <w:rFonts w:ascii="Arial" w:cs="Arial" w:eastAsia="Arial" w:hAnsi="Arial"/>
          <w:sz w:val="16"/>
          <w:szCs w:val="16"/>
          <w:b w:val="1"/>
          <w:bCs w:val="1"/>
          <w:color w:val="auto"/>
        </w:rPr>
        <w:t>Indemnified Parties</w:t>
      </w:r>
      <w:r>
        <w:rPr>
          <w:rFonts w:ascii="Arial" w:cs="Arial" w:eastAsia="Arial" w:hAnsi="Arial"/>
          <w:sz w:val="16"/>
          <w:szCs w:val="16"/>
          <w:color w:val="auto"/>
        </w:rPr>
        <w:t>”) from and against any loss, claim, damage or liability, joint or several, and any action in respect thereof, to which that Indemnified Party may become subject, under the Securities Act or otherwise, insofar as such loss, claim, damage, liability or action arises out of, or is based upon, any untrue statement or alleged untrue statement of a material fact contained in a Registration Statement at any time or prospectus or in any amendment or supplement thereto or in any preliminary prospectus or “</w:t>
      </w:r>
      <w:r>
        <w:rPr>
          <w:rFonts w:ascii="Arial" w:cs="Arial" w:eastAsia="Arial" w:hAnsi="Arial"/>
          <w:sz w:val="16"/>
          <w:szCs w:val="16"/>
          <w:b w:val="1"/>
          <w:bCs w:val="1"/>
          <w:color w:val="auto"/>
        </w:rPr>
        <w:t>issuer free writing</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as defined in Commission Rule 433 (“</w:t>
      </w:r>
      <w:r>
        <w:rPr>
          <w:rFonts w:ascii="Arial" w:cs="Arial" w:eastAsia="Arial" w:hAnsi="Arial"/>
          <w:sz w:val="16"/>
          <w:szCs w:val="16"/>
          <w:b w:val="1"/>
          <w:bCs w:val="1"/>
          <w:color w:val="auto"/>
        </w:rPr>
        <w:t>Issuer FWP</w:t>
      </w:r>
      <w:r>
        <w:rPr>
          <w:rFonts w:ascii="Arial" w:cs="Arial" w:eastAsia="Arial" w:hAnsi="Arial"/>
          <w:sz w:val="16"/>
          <w:szCs w:val="16"/>
          <w:color w:val="auto"/>
        </w:rPr>
        <w:t>”), or arises out of, or is based upon, the omission or alleged omission to state therein a</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fact required to be stated therein or necessary to make the statements therein not misleading, and shall reimburse each Indemnified Party for any legal and other expenses reasonably incurred by that Holder, Participating Broker-Dealer or controlling person in investigating or defending or preparing to defend against any such loss, claim, damage, liability or action as such expenses are incurred (but no more frequently than annually); provided, however, that (i) the Company and the Guarantors shall not be liable in any such case to the extent that such loss, claim, damage or liability arises out of or is based upon any untrue statement or alleged untrue statement or omission or alleged omission made in a Registration Statement or prospectus or in any amendment or supplement thereto or in any preliminary prospectus or Issuer FWP in reliance upon and in conformity with written information furnished to the Company and the Guarantors by or on behalf of such Holder or Participating Broker-Dealer specifically for inclusion therein and (ii) with respect to any untrue statement or omission or alleged untrue statement or omission made in any preliminary prospectus relating to a Shelf Registration Statement, the indemnity agreement contained in this subsection (a) shall not inure to the benefit of any Holder or Participating Broker-Dealer from whom the person asserting any such losses, claims, damages or liabilities purchased the Securities concerned, to the extent that a prospectus relating to such Securities was required to be delivered (including through satisfaction of the conditions of Commission Rule 172) by such Holder or Participating Broker-Dealer under the Securities Act in connection with such purchase and any such loss, claim, damage or liability of such Holder or Participating Broker-Dealer results from the fact that there was not conveyed to such person, at or prior to the time of the sale of such Securities to such person, an amended or supplemented prospectus or, if permitted by Section 3(d), an Issuer FWP correcting such untrue statement or omission or alleged untrue statement or omission if the Company and the Guarantors had previously furnished copies thereof to such Holder or Participating Broker-Dealer; provided further, however, that this indemnity agreement will be in addition to any liability which the Company and the Guarantors may otherwise have to such Indemnified Party.</w:t>
      </w:r>
    </w:p>
    <w:p>
      <w:pPr>
        <w:spacing w:after="0" w:line="176" w:lineRule="exact"/>
        <w:rPr>
          <w:rFonts w:ascii="Arial" w:cs="Arial" w:eastAsia="Arial" w:hAnsi="Arial"/>
          <w:sz w:val="16"/>
          <w:szCs w:val="16"/>
          <w:color w:val="auto"/>
        </w:rPr>
      </w:pPr>
    </w:p>
    <w:p>
      <w:pPr>
        <w:ind w:right="40" w:firstLine="332"/>
        <w:spacing w:after="0" w:line="268" w:lineRule="auto"/>
        <w:tabs>
          <w:tab w:leader="none" w:pos="624" w:val="left"/>
        </w:tabs>
        <w:numPr>
          <w:ilvl w:val="1"/>
          <w:numId w:val="89"/>
        </w:numPr>
        <w:rPr>
          <w:rFonts w:ascii="Arial" w:cs="Arial" w:eastAsia="Arial" w:hAnsi="Arial"/>
          <w:sz w:val="17"/>
          <w:szCs w:val="17"/>
          <w:color w:val="auto"/>
        </w:rPr>
      </w:pPr>
      <w:r>
        <w:rPr>
          <w:rFonts w:ascii="Arial" w:cs="Arial" w:eastAsia="Arial" w:hAnsi="Arial"/>
          <w:sz w:val="17"/>
          <w:szCs w:val="17"/>
          <w:color w:val="auto"/>
        </w:rPr>
        <w:t>Each Holder of the Securities and each Participating Broker-Dealer, severally and not jointly, will indemnify and hold harmless the Company and the Guarantors, their respective directors, each of their respective officers who signed the applicable Registration Statement and any person who controls the Company or any Guarantor within the meaning of the Securities Act or the Exchange Act from and against any loss, claim, damage or liability, joint or several, and any action in respect thereof, to which the Company and the Guarantors, or any such director, officer or controlling person may become subject, under the Securities Act or otherwise, insofar as such loss, claim, damage, liability or action arises out of, or is based upon, any untrue statement or alleged untrue statement of a material fact contained in a Registration Statement at any time or prospectus or in any amendment or supplement thereto or in any Issuer FWP, or arises out of, or is based upon, the omission or alleged omission to state therein a material fact required to be stated therein or necessary to make the statements therein not misleading, and shall reimburse the Company and the Guarantors for any legal and other expenses reasonably incurred by the Company and the Guarantors, or any such director, officer or controlling person in investigating or defending or preparing to defend against any such loss, claim, damage, liability or action as such expenses are incurred (but no more frequently than annually), but in each case only to the extent that the untrue statement or alleged untrue statement or omission or alleged omission was made in reliance upon and in conformity with information furnished in writing to the Company and the Guarantors by such Holder or Participating Broker-Dealer specifically for inclusion therein. This indemnity agreement will be in addition to any liability which such Holder may otherwise have to the Company and the Guarantors or any of their respective directors, officers or controlling persons.</w:t>
      </w:r>
    </w:p>
    <w:p>
      <w:pPr>
        <w:spacing w:after="0" w:line="184" w:lineRule="exact"/>
        <w:rPr>
          <w:rFonts w:ascii="Arial" w:cs="Arial" w:eastAsia="Arial" w:hAnsi="Arial"/>
          <w:sz w:val="17"/>
          <w:szCs w:val="17"/>
          <w:color w:val="auto"/>
        </w:rPr>
      </w:pPr>
    </w:p>
    <w:p>
      <w:pPr>
        <w:ind w:firstLine="332"/>
        <w:spacing w:after="0" w:line="259" w:lineRule="auto"/>
        <w:tabs>
          <w:tab w:leader="none" w:pos="614" w:val="left"/>
        </w:tabs>
        <w:numPr>
          <w:ilvl w:val="1"/>
          <w:numId w:val="89"/>
        </w:numPr>
        <w:rPr>
          <w:rFonts w:ascii="Arial" w:cs="Arial" w:eastAsia="Arial" w:hAnsi="Arial"/>
          <w:sz w:val="18"/>
          <w:szCs w:val="18"/>
          <w:color w:val="auto"/>
        </w:rPr>
      </w:pPr>
      <w:r>
        <w:rPr>
          <w:rFonts w:ascii="Arial" w:cs="Arial" w:eastAsia="Arial" w:hAnsi="Arial"/>
          <w:sz w:val="18"/>
          <w:szCs w:val="18"/>
          <w:color w:val="auto"/>
        </w:rPr>
        <w:t>Promptly after receipt by an indemnified party under this Section 5 of notice of any claim or the commencement of any action, the indemnified party shall, if a claim in respect thereof is to be made against the indemnifying party under this Paragraph 5, notify the indemnifying party in writing of the claim or the commencement of that action, provided that the failure to notify the indemnifying party shall not relieve it from any liability which it may have to an indemnified party under Section 5(a) or 5(b) except to the extent that it has been</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8" w:name="page69"/>
    <w:bookmarkEnd w:id="68"/>
    <w:p>
      <w:pPr>
        <w:spacing w:after="0" w:line="284" w:lineRule="auto"/>
        <w:rPr>
          <w:sz w:val="20"/>
          <w:szCs w:val="20"/>
          <w:color w:val="auto"/>
        </w:rPr>
      </w:pPr>
      <w:r>
        <w:rPr>
          <w:rFonts w:ascii="Arial" w:cs="Arial" w:eastAsia="Arial" w:hAnsi="Arial"/>
          <w:sz w:val="16"/>
          <w:szCs w:val="16"/>
          <w:color w:val="auto"/>
        </w:rPr>
        <w:t>materially prejudiced (through the forfeiture of substantive rights or defenses) by such failure; and provided, further, that the failure to notify the indemnifying party shall not relieve it from any liability which it may have to an indemnified party otherwise than under Section 5(a) or 5(b). If any such claim or action shall be brought against an indemnified party, and it shall notify the indemnifying party thereof, the indemnifying party shall be entitled to participate therein, and, to the extent that it wishes, jointly with any other similarly notified indemnifying party, to assume the defense thereof with counsel satisfactory to the indemnified party. After notice from the indemnifying party to the indemnified party of its election to assume the defense of such claim or action, the indemnifying party shall not be liable to the indemnified party under this Section 5 for any legal or other expenses subsequently incurred by the indemnified party in connection with the defense thereof other than reasonable costs of investigation. If the indemnifying party shall not elect to assume the defense of such action, such indemnifying party will reimburse such indemnified party for the reasonable fees and expenses of any counsel retained by them. In the event that the parties to any such action (including impleaded parties) include both the Company and the Guarantors and one or more Holders or Participating Broker-Dealers and either (i) the indemnifying party or parties and indemnified party or parties mutually agree or (ii) representation of both the indemnifying party or parties and the indemnified party or parties by the same counsel is inappropriate under applicable standards of professional conduct or in the opinion of such counsel due to actual or potential differing interests between them, then the indemnifying party shall not have the right to assume the defense of such action on behalf of such indemnified party and will reimburse such indemnified party for the reasonable fees and expenses of any counsel retained by them and satisfactory to the indemnifying party, it being understood that the indemnifying party shall not, in connection with any one action or separate but similar or related actions in the same jurisdiction arising out of the same general allegations or circumstances, be liable for the reasonable fees and expenses of more than one separate firm of attorneys for all such indemnified parties, which firm shall be designated in writing by the Joint-Lead Dealer Managers (as defined in the Offering Memorandum) in the case of an action in which one or more Holders, Participating Broker-Dealers or controlling persons are indemnified parties and by the Company and the Guarantors in the case of an action in which the Company and the Guarantors or any of their respective directors, officers or controlling persons are indemnified parties. The indemnifying party or parties shall not be liable under this Agreement with respect to any settlement made by any indemnified party or parties without prior written consent by the indemnifying party or parties to such settlement.</w:t>
      </w:r>
    </w:p>
    <w:p>
      <w:pPr>
        <w:spacing w:after="0" w:line="398" w:lineRule="exact"/>
        <w:rPr>
          <w:sz w:val="20"/>
          <w:szCs w:val="20"/>
          <w:color w:val="auto"/>
        </w:rPr>
      </w:pPr>
    </w:p>
    <w:p>
      <w:pPr>
        <w:ind w:firstLine="332"/>
        <w:spacing w:after="0" w:line="284" w:lineRule="auto"/>
        <w:tabs>
          <w:tab w:leader="none" w:pos="624"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5 shall for any reason be unavailable to an indemnified party under Section 5(a) or 5(b) hereof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in such proportion as is appropriate to reflect the relative benefits received by the Company and the Guarantors on the one hand and the Holders or Participating Broker-Dealers on the other hand from the exchange of the Securities, pursuant to the Registered Exchange Offer. If, however, this allocation is not permitted by applicable law, then each indemnifying party shall contribute to the amount paid or payable by such indemnified party as a result of such loss, claim, damage or liability, or action in respect thereof, in such proportion as shall be appropriate to reflect the relative benefits received by the Company and the Guarantors on the one hand and the Holders or Participating Broker-Dealers on the other hand from the exchange of the Securities, pursuant to the Registered Exchange Offer, and the relative fault of the Company and the Guarantors on the one hand and the Holders or Participating Broker-Dealers on the other hand with respect to the statements or omissions which resulted in such loss, claim, damage or liability, or action in respect thereof, as well as any other relevant equitable considerations. The relative fault shall be determined by reference to whether the untrue or alleged untrue statement of a material fact or omission or alleged omission to state a material fact relates to information supplied by the Company and the Guarantors or the Holders or Participating Broker-Dealers, the intent of the parties and their relative knowledge, access to information and opportunity to correct or prevent such statement or omission. The amount paid or payable by an indemnified party as a result of the loss, claim, damage or liability, or action in respect thereof, referred to above in this Section 5(d) shall be deemed to include, for purposes of this Section 5(d), any legal or other expenses reasonably incurred by such indemnified party in connection with investigating or defending any such action or claim. Notwithstanding the provisions of this Paragraph 9(d), no Holder of Securities or Participating Broker-Dealer shall be required to contribute any amount in excess of the amount by which the net proceeds received by such Holders or Participating Broker-Dealer from the sale of the Securities pursuant to a Registration Statement exceeds the amount of damages which such Holders or Participating Broker-Dealer have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w:t>
      </w:r>
    </w:p>
    <w:p>
      <w:pPr>
        <w:spacing w:after="0" w:line="2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69" w:name="page70"/>
    <w:bookmarkEnd w:id="69"/>
    <w:p>
      <w:pPr>
        <w:ind w:right="360" w:firstLine="332"/>
        <w:spacing w:after="0" w:line="342" w:lineRule="auto"/>
        <w:tabs>
          <w:tab w:leader="none" w:pos="610" w:val="left"/>
        </w:tabs>
        <w:numPr>
          <w:ilvl w:val="1"/>
          <w:numId w:val="91"/>
        </w:numPr>
        <w:rPr>
          <w:rFonts w:ascii="Arial" w:cs="Arial" w:eastAsia="Arial" w:hAnsi="Arial"/>
          <w:sz w:val="16"/>
          <w:szCs w:val="16"/>
          <w:color w:val="auto"/>
        </w:rPr>
      </w:pPr>
      <w:r>
        <w:rPr>
          <w:rFonts w:ascii="Arial" w:cs="Arial" w:eastAsia="Arial" w:hAnsi="Arial"/>
          <w:sz w:val="16"/>
          <w:szCs w:val="16"/>
          <w:color w:val="auto"/>
        </w:rPr>
        <w:t>The agreements contained in this Section 5 shall survive the sale of the Securities pursuant to a Registration Statement and shall remain in full force and effect, regardless of any termination or cancellation of this Agreement or any investigation made by or on behalf of any indemnified party.</w:t>
      </w:r>
    </w:p>
    <w:p>
      <w:pPr>
        <w:spacing w:after="0" w:line="123" w:lineRule="exact"/>
        <w:rPr>
          <w:rFonts w:ascii="Arial" w:cs="Arial" w:eastAsia="Arial" w:hAnsi="Arial"/>
          <w:sz w:val="16"/>
          <w:szCs w:val="16"/>
          <w:color w:val="auto"/>
        </w:rPr>
      </w:pPr>
    </w:p>
    <w:p>
      <w:pPr>
        <w:ind w:left="400" w:hanging="224"/>
        <w:spacing w:after="0"/>
        <w:tabs>
          <w:tab w:leader="none" w:pos="400"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Additional Interest Under Certain Circumstances</w:t>
      </w:r>
    </w:p>
    <w:p>
      <w:pPr>
        <w:spacing w:after="0" w:line="221" w:lineRule="exact"/>
        <w:rPr>
          <w:rFonts w:ascii="Arial" w:cs="Arial" w:eastAsia="Arial" w:hAnsi="Arial"/>
          <w:sz w:val="18"/>
          <w:szCs w:val="18"/>
          <w:b w:val="1"/>
          <w:bCs w:val="1"/>
          <w:i w:val="1"/>
          <w:iCs w:val="1"/>
          <w:color w:val="auto"/>
        </w:rPr>
      </w:pPr>
    </w:p>
    <w:p>
      <w:pPr>
        <w:ind w:right="420" w:firstLine="332"/>
        <w:spacing w:after="0" w:line="282" w:lineRule="auto"/>
        <w:tabs>
          <w:tab w:leader="none" w:pos="604" w:val="left"/>
        </w:tabs>
        <w:numPr>
          <w:ilvl w:val="1"/>
          <w:numId w:val="92"/>
        </w:numPr>
        <w:rPr>
          <w:rFonts w:ascii="Arial" w:cs="Arial" w:eastAsia="Arial" w:hAnsi="Arial"/>
          <w:sz w:val="18"/>
          <w:szCs w:val="18"/>
          <w:color w:val="auto"/>
        </w:rPr>
      </w:pPr>
      <w:r>
        <w:rPr>
          <w:rFonts w:ascii="Arial" w:cs="Arial" w:eastAsia="Arial" w:hAnsi="Arial"/>
          <w:sz w:val="18"/>
          <w:szCs w:val="18"/>
          <w:color w:val="auto"/>
        </w:rPr>
        <w:t>Additional interest (the “</w:t>
      </w:r>
      <w:r>
        <w:rPr>
          <w:rFonts w:ascii="Arial" w:cs="Arial" w:eastAsia="Arial" w:hAnsi="Arial"/>
          <w:sz w:val="18"/>
          <w:szCs w:val="18"/>
          <w:b w:val="1"/>
          <w:bCs w:val="1"/>
          <w:color w:val="auto"/>
        </w:rPr>
        <w:t>Additional Interest</w:t>
      </w:r>
      <w:r>
        <w:rPr>
          <w:rFonts w:ascii="Arial" w:cs="Arial" w:eastAsia="Arial" w:hAnsi="Arial"/>
          <w:sz w:val="18"/>
          <w:szCs w:val="18"/>
          <w:color w:val="auto"/>
        </w:rPr>
        <w:t>”) with respect to the Initial Securities shall be assessed as follows if any of the following events occur (each such event in clauses (i) through (iv) below a “</w:t>
      </w:r>
      <w:r>
        <w:rPr>
          <w:rFonts w:ascii="Arial" w:cs="Arial" w:eastAsia="Arial" w:hAnsi="Arial"/>
          <w:sz w:val="18"/>
          <w:szCs w:val="18"/>
          <w:b w:val="1"/>
          <w:bCs w:val="1"/>
          <w:color w:val="auto"/>
        </w:rPr>
        <w:t>Registration Default</w:t>
      </w:r>
      <w:r>
        <w:rPr>
          <w:rFonts w:ascii="Arial" w:cs="Arial" w:eastAsia="Arial" w:hAnsi="Arial"/>
          <w:sz w:val="18"/>
          <w:szCs w:val="18"/>
          <w:color w:val="auto"/>
        </w:rPr>
        <w:t>”):</w:t>
      </w:r>
    </w:p>
    <w:p>
      <w:pPr>
        <w:spacing w:after="0" w:line="166" w:lineRule="exact"/>
        <w:rPr>
          <w:sz w:val="20"/>
          <w:szCs w:val="20"/>
          <w:color w:val="auto"/>
        </w:rPr>
      </w:pPr>
    </w:p>
    <w:p>
      <w:pPr>
        <w:ind w:left="600" w:hanging="268"/>
        <w:spacing w:after="0"/>
        <w:tabs>
          <w:tab w:leader="none" w:pos="6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the Exchange Offer Registration Statement is not declared effective by the Commission on or prior to the 330th day after the Issue Date;</w:t>
      </w:r>
    </w:p>
    <w:p>
      <w:pPr>
        <w:spacing w:after="0" w:line="236" w:lineRule="exact"/>
        <w:rPr>
          <w:rFonts w:ascii="Arial" w:cs="Arial" w:eastAsia="Arial" w:hAnsi="Arial"/>
          <w:sz w:val="17"/>
          <w:szCs w:val="17"/>
          <w:color w:val="auto"/>
        </w:rPr>
      </w:pPr>
    </w:p>
    <w:p>
      <w:pPr>
        <w:ind w:right="120" w:firstLine="332"/>
        <w:spacing w:after="0" w:line="263" w:lineRule="auto"/>
        <w:tabs>
          <w:tab w:leader="none" w:pos="634"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neither the Registered Exchange Offer is consummated within 360 days after the Issue Date nor, if required in lieu thereof, the Shelf Registration Statement has become effective within 270 days after the date, if any, on which the Company and the Guarantors became obligated to file the Shelf Registration Statement;</w:t>
      </w:r>
    </w:p>
    <w:p>
      <w:pPr>
        <w:spacing w:after="0" w:line="183" w:lineRule="exact"/>
        <w:rPr>
          <w:rFonts w:ascii="Arial" w:cs="Arial" w:eastAsia="Arial" w:hAnsi="Arial"/>
          <w:sz w:val="18"/>
          <w:szCs w:val="18"/>
          <w:color w:val="auto"/>
        </w:rPr>
      </w:pPr>
    </w:p>
    <w:p>
      <w:pPr>
        <w:ind w:right="220" w:firstLine="332"/>
        <w:spacing w:after="0" w:line="286" w:lineRule="auto"/>
        <w:tabs>
          <w:tab w:leader="none" w:pos="684"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after the Exchange Offer Registration Statement is declared effective such Registration Statement thereafter ceases to be effective or usable (except as permitted in paragraph (b) in connection with resales of Transfer Restricted Securities) prior to the consummation of the Registered Exchange Offer (unless such ineffectiveness is cured within the 330-day period described in Section 6(a)(i) above); or</w:t>
      </w:r>
    </w:p>
    <w:p>
      <w:pPr>
        <w:spacing w:after="0" w:line="165" w:lineRule="exact"/>
        <w:rPr>
          <w:rFonts w:ascii="Arial" w:cs="Arial" w:eastAsia="Arial" w:hAnsi="Arial"/>
          <w:sz w:val="17"/>
          <w:szCs w:val="17"/>
          <w:color w:val="auto"/>
        </w:rPr>
      </w:pPr>
    </w:p>
    <w:p>
      <w:pPr>
        <w:ind w:right="20" w:firstLine="332"/>
        <w:spacing w:after="0" w:line="290" w:lineRule="auto"/>
        <w:tabs>
          <w:tab w:leader="none" w:pos="674"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after the Shelf Registration Statement, if applicable, is declared (or becomes automatically) effective, and for a period time that exceeds 180 days in the aggregate in any 12-month period in which the Registration Statement is required to be effective (A) such Registration Statement thereafter ceases to be effective during the period required herein; or (B) such Registration Statement or the related prospectus ceases to be usable (except as permitted in paragraph (b)) in connection with resales of Transfer Restricted Securities during the periods specified herein because either (1) any event occurs as a result of which the related prospectus forming part of such Registration Statement would include any untrue statement of a material fact or omit to state any material fact necessary to make the statements therein in the light of the circumstances under which they were made not misleading, (2) it shall be necessary to amend such Registration Statement or supplement the related prospectus, to comply with the Securities Act or the Exchange Act or the respective rules thereunder, or (3) the Registration Statement has expired before a replacement Shelf Registration Statement has become effective.</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Additional Interest shall accrue on the Initial Securities over and above the interest set forth in the title of the Securities from and including the date on which any such Registration Default shall occur to but excluding the date on which all such Registration Defaults have been cured. Additional Interest shall accrue at a rate of 0.25% per annum while any Registration Default is continuing, until all Registration Defaults have been cured.</w:t>
      </w:r>
    </w:p>
    <w:p>
      <w:pPr>
        <w:spacing w:after="0" w:line="165"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Following the cure of all Registration Defaults, the accrual of Additional Interest on the Initial Securities will cease and the interest rate will revert to the applicable original rate set forth in the title of the Securities. In no event shall the Company and the Guarantors be obligated to pay Additional Interest</w:t>
      </w:r>
    </w:p>
    <w:p>
      <w:pPr>
        <w:ind w:right="460" w:firstLine="8"/>
        <w:spacing w:after="0" w:line="277" w:lineRule="auto"/>
        <w:tabs>
          <w:tab w:leader="none" w:pos="215" w:val="left"/>
        </w:tabs>
        <w:numPr>
          <w:ilvl w:val="0"/>
          <w:numId w:val="94"/>
        </w:numPr>
        <w:rPr>
          <w:rFonts w:ascii="Arial" w:cs="Arial" w:eastAsia="Arial" w:hAnsi="Arial"/>
          <w:sz w:val="17"/>
          <w:szCs w:val="17"/>
          <w:color w:val="auto"/>
        </w:rPr>
      </w:pPr>
      <w:r>
        <w:rPr>
          <w:rFonts w:ascii="Arial" w:cs="Arial" w:eastAsia="Arial" w:hAnsi="Arial"/>
          <w:sz w:val="17"/>
          <w:szCs w:val="17"/>
          <w:color w:val="auto"/>
        </w:rPr>
        <w:t>for more than one Registration Default under this Section 6(a) at any one time, (ii) for a period of more than one year (or for such longer period as extended pursuant to Section 3(f)) from the Issue Date for any Registration Default referred to in Section 6(a)(iv)(B) with respect to a Registration Statement or (iii) on any Securities that, at the time of such Registration Default, are not Transfer Restricted Securities.</w:t>
      </w:r>
    </w:p>
    <w:p>
      <w:pPr>
        <w:spacing w:after="0" w:line="172" w:lineRule="exact"/>
        <w:rPr>
          <w:rFonts w:ascii="Arial" w:cs="Arial" w:eastAsia="Arial" w:hAnsi="Arial"/>
          <w:sz w:val="17"/>
          <w:szCs w:val="17"/>
          <w:color w:val="auto"/>
        </w:rPr>
      </w:pPr>
    </w:p>
    <w:p>
      <w:pPr>
        <w:ind w:right="40" w:firstLine="332"/>
        <w:spacing w:after="0" w:line="271" w:lineRule="auto"/>
        <w:tabs>
          <w:tab w:leader="none" w:pos="614" w:val="left"/>
        </w:tabs>
        <w:numPr>
          <w:ilvl w:val="1"/>
          <w:numId w:val="94"/>
        </w:numPr>
        <w:rPr>
          <w:rFonts w:ascii="Arial" w:cs="Arial" w:eastAsia="Arial" w:hAnsi="Arial"/>
          <w:sz w:val="17"/>
          <w:szCs w:val="17"/>
          <w:color w:val="auto"/>
        </w:rPr>
      </w:pPr>
      <w:r>
        <w:rPr>
          <w:rFonts w:ascii="Arial" w:cs="Arial" w:eastAsia="Arial" w:hAnsi="Arial"/>
          <w:sz w:val="17"/>
          <w:szCs w:val="17"/>
          <w:color w:val="auto"/>
        </w:rPr>
        <w:t>A Registration Default referred to in Section 6(a)(iii) or Section 6(a)(iv)(B) hereof shall be deemed not to have occurred and be continuing in relation to a Registration Statement or the related prospectus if (i) such Registration Default has occurred solely as a result of (x) the filing of a post-effective amendment to such Registration Statement to incorporate annual audited financial information with respect to the Company and the Guarantors where such post-effective amendment is not yet effective and needs to be declared effective to permit Holders to use the related prospectus or (y) other material events with respect to the Company and the Guarantors that would need to be described in such Registration Statement or the related prospectus and (ii) in the case of clause (y), the Company and the Guarantors are proceeding promptly and in good faith to amend or supplement such Registration Statement and related prospectus to describe such events; provided, however, that in any case if such Registration Default occurs for a continuous period in excess of 30 days, Additional Interest shall be payable in</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accordance with the above paragraph from the day such Registration Default occurs until such Registration Default is cured.</w:t>
      </w:r>
    </w:p>
    <w:p>
      <w:pPr>
        <w:spacing w:after="0" w:line="225" w:lineRule="exact"/>
        <w:rPr>
          <w:sz w:val="20"/>
          <w:szCs w:val="20"/>
          <w:color w:val="auto"/>
        </w:rPr>
      </w:pPr>
    </w:p>
    <w:p>
      <w:pPr>
        <w:ind w:right="100" w:firstLine="332"/>
        <w:spacing w:after="0" w:line="301" w:lineRule="auto"/>
        <w:tabs>
          <w:tab w:leader="none" w:pos="604"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amounts of Additional Interest due pursuant to clause (i), (ii), (iii) or (iv) of Section 6(a) above will be payable in cash on the regular interest payment dates with respect to the Initial Securities. The amount of Additional Interest will be determined by multiplying the applicable Additional Interest rate by the principal amount of the Initial Securities, multiplied by a fraction, the numerator of which is the number of days such Additional Interest rate was applicable during such period (determined on the basis of a 360-day year comprised of twelve 30-day months), and the denominator of which is 360.</w:t>
      </w:r>
    </w:p>
    <w:p>
      <w:pPr>
        <w:spacing w:after="0" w:line="15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Any amounts of Additional Interest due pursuant to clause (i), (ii), (iii) or (iv) of section 6(a) above will constitute liquated damages and will be the exclusive remedy, monetary or otherwise, available to any Holder with respect to any Registration Default.</w:t>
      </w:r>
    </w:p>
    <w:p>
      <w:pPr>
        <w:spacing w:after="0" w:line="166" w:lineRule="exact"/>
        <w:rPr>
          <w:sz w:val="20"/>
          <w:szCs w:val="20"/>
          <w:color w:val="auto"/>
        </w:rPr>
      </w:pPr>
    </w:p>
    <w:p>
      <w:pPr>
        <w:ind w:right="100" w:firstLine="332"/>
        <w:spacing w:after="0" w:line="287" w:lineRule="auto"/>
        <w:tabs>
          <w:tab w:leader="none" w:pos="624" w:val="left"/>
        </w:tabs>
        <w:numPr>
          <w:ilvl w:val="2"/>
          <w:numId w:val="9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Restricted Securities</w:t>
      </w:r>
      <w:r>
        <w:rPr>
          <w:rFonts w:ascii="Arial" w:cs="Arial" w:eastAsia="Arial" w:hAnsi="Arial"/>
          <w:sz w:val="16"/>
          <w:szCs w:val="16"/>
          <w:color w:val="auto"/>
        </w:rPr>
        <w:t>” means each Security until (i) the date on which such Transfer Restricted Security has been exchanged by a person other than a broker-dealer for a freely transferable Exchange Security in the Registered Exchange Offer, (ii) following the exchange by a broker-dealer in the Registered Exchange Offer of an Initial Security for an Exchange Security, the date on which such Exchange Security is sold to a purchaser who receives from such broker-dealer on or prior to the date of such sale a copy of the prospectus contained in the Exchange Offer Registration Statement,</w:t>
      </w:r>
    </w:p>
    <w:p>
      <w:pPr>
        <w:spacing w:after="0" w:line="2" w:lineRule="exact"/>
        <w:rPr>
          <w:rFonts w:ascii="Arial" w:cs="Arial" w:eastAsia="Arial" w:hAnsi="Arial"/>
          <w:sz w:val="16"/>
          <w:szCs w:val="16"/>
          <w:color w:val="auto"/>
        </w:rPr>
      </w:pPr>
    </w:p>
    <w:p>
      <w:pPr>
        <w:ind w:right="400" w:firstLine="8"/>
        <w:spacing w:after="0" w:line="273" w:lineRule="auto"/>
        <w:tabs>
          <w:tab w:leader="none" w:pos="315"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date on which such Initial Security has been effectively registered under the Securities Act and disposed of in accordance with the Shelf Registration Statement, (iv) the date on which such Initial Security is distributed to the public pursuant to Rule 144 under the Securities Act or (v) the earliest date that is no less than two years after the Issue Date on which such Security (except for Securities held by an affiliate of the Company or any Guarantor) may be resold in reliance on paragraph (b)(1) of Rule 144 under the Securities Act.</w:t>
      </w:r>
    </w:p>
    <w:p>
      <w:pPr>
        <w:spacing w:after="0" w:line="176" w:lineRule="exact"/>
        <w:rPr>
          <w:rFonts w:ascii="Arial" w:cs="Arial" w:eastAsia="Arial" w:hAnsi="Arial"/>
          <w:sz w:val="17"/>
          <w:szCs w:val="17"/>
          <w:color w:val="auto"/>
        </w:rPr>
      </w:pPr>
    </w:p>
    <w:p>
      <w:pPr>
        <w:ind w:left="400" w:hanging="224"/>
        <w:spacing w:after="0"/>
        <w:tabs>
          <w:tab w:leader="none" w:pos="400" w:val="left"/>
        </w:tabs>
        <w:numPr>
          <w:ilvl w:val="1"/>
          <w:numId w:val="9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Rules 144 and 144A</w:t>
      </w:r>
    </w:p>
    <w:p>
      <w:pPr>
        <w:spacing w:after="0" w:line="22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Company and the Guarantors shall, to the extent they are required to do so under the Exchange Act, use their commercially reasonable efforts to file the reports required to be filed by them under the Exchange Act in a timely manner and, if at any time the Company and the Guarantors are not required to file such reports, they will, upon the request of any Holder of Initial Securities, use their commercially reasonable efforts to make publicly available other information so long as necessary to permit sales of their securities pursuant to Rules 144 and 144A. The Company and the Guarantors covenant that they will take such further action as any Holder of Initial Securities may reasonably request, all to the extent required from time to time to enable such Holder to sell Initial Securities without registration under the Securities Act within the limitation of the exemptions provided by Rules 144 and 144A (including the requirements of Rule 144A(d)(4)). Upon the request of any Holder of Initial Securities, the Company and the Guarantors shall deliver to such Holder a written statement as to whether they have complied with such requirements. Notwithstanding the foregoing, nothing in this Section 7 shall be deemed to require the Company and the Guarantors to register any of their respective securities pursuant to the Exchange Act.</w:t>
      </w:r>
    </w:p>
    <w:p>
      <w:pPr>
        <w:spacing w:after="0" w:line="166" w:lineRule="exact"/>
        <w:rPr>
          <w:sz w:val="20"/>
          <w:szCs w:val="20"/>
          <w:color w:val="auto"/>
        </w:rPr>
      </w:pPr>
    </w:p>
    <w:p>
      <w:pPr>
        <w:ind w:left="400" w:hanging="224"/>
        <w:spacing w:after="0"/>
        <w:tabs>
          <w:tab w:leader="none" w:pos="400" w:val="left"/>
        </w:tabs>
        <w:numPr>
          <w:ilvl w:val="0"/>
          <w:numId w:val="9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Miscellaneous</w:t>
      </w:r>
    </w:p>
    <w:p>
      <w:pPr>
        <w:spacing w:after="0" w:line="225" w:lineRule="exact"/>
        <w:rPr>
          <w:rFonts w:ascii="Arial" w:cs="Arial" w:eastAsia="Arial" w:hAnsi="Arial"/>
          <w:sz w:val="18"/>
          <w:szCs w:val="18"/>
          <w:b w:val="1"/>
          <w:bCs w:val="1"/>
          <w:i w:val="1"/>
          <w:iCs w:val="1"/>
          <w:color w:val="auto"/>
        </w:rPr>
      </w:pPr>
    </w:p>
    <w:p>
      <w:pPr>
        <w:ind w:left="620" w:hanging="288"/>
        <w:spacing w:after="0"/>
        <w:tabs>
          <w:tab w:leader="none" w:pos="620" w:val="left"/>
        </w:tabs>
        <w:numPr>
          <w:ilvl w:val="1"/>
          <w:numId w:val="98"/>
        </w:numPr>
        <w:rPr>
          <w:rFonts w:ascii="Arial" w:cs="Arial" w:eastAsia="Arial" w:hAnsi="Arial"/>
          <w:sz w:val="17"/>
          <w:szCs w:val="17"/>
          <w:color w:val="auto"/>
        </w:rPr>
      </w:pPr>
      <w:r>
        <w:rPr>
          <w:rFonts w:ascii="Arial" w:cs="Arial" w:eastAsia="Arial" w:hAnsi="Arial"/>
          <w:sz w:val="17"/>
          <w:szCs w:val="17"/>
          <w:i w:val="1"/>
          <w:iCs w:val="1"/>
          <w:color w:val="auto"/>
        </w:rPr>
        <w:t>Amendments and Waivers</w:t>
      </w:r>
      <w:r>
        <w:rPr>
          <w:rFonts w:ascii="Arial" w:cs="Arial" w:eastAsia="Arial" w:hAnsi="Arial"/>
          <w:sz w:val="17"/>
          <w:szCs w:val="17"/>
          <w:color w:val="auto"/>
        </w:rPr>
        <w:t>. The provisions of this Agreement may not be amended, modified or supplemented, and waivers or consents to</w:t>
      </w:r>
    </w:p>
    <w:p>
      <w:pPr>
        <w:spacing w:after="0" w:line="34" w:lineRule="exact"/>
        <w:rPr>
          <w:rFonts w:ascii="Arial" w:cs="Arial" w:eastAsia="Arial" w:hAnsi="Arial"/>
          <w:sz w:val="17"/>
          <w:szCs w:val="17"/>
          <w:color w:val="auto"/>
        </w:rPr>
      </w:pPr>
    </w:p>
    <w:p>
      <w:pPr>
        <w:ind w:right="40"/>
        <w:spacing w:after="0" w:line="273" w:lineRule="auto"/>
        <w:rPr>
          <w:rFonts w:ascii="Arial" w:cs="Arial" w:eastAsia="Arial" w:hAnsi="Arial"/>
          <w:sz w:val="17"/>
          <w:szCs w:val="17"/>
          <w:color w:val="auto"/>
        </w:rPr>
      </w:pPr>
      <w:r>
        <w:rPr>
          <w:rFonts w:ascii="Arial" w:cs="Arial" w:eastAsia="Arial" w:hAnsi="Arial"/>
          <w:sz w:val="17"/>
          <w:szCs w:val="17"/>
          <w:color w:val="auto"/>
        </w:rPr>
        <w:t>departures from the provisions hereof may not be given, except by the Company and the Guarantors and the written consent of the Majority Holders of the Securities affected by such amendment, modification, supplement, waiver or consents. As used herein, “</w:t>
      </w:r>
      <w:r>
        <w:rPr>
          <w:rFonts w:ascii="Arial" w:cs="Arial" w:eastAsia="Arial" w:hAnsi="Arial"/>
          <w:sz w:val="17"/>
          <w:szCs w:val="17"/>
          <w:b w:val="1"/>
          <w:bCs w:val="1"/>
          <w:color w:val="auto"/>
        </w:rPr>
        <w:t>Majority Holders</w:t>
      </w:r>
      <w:r>
        <w:rPr>
          <w:rFonts w:ascii="Arial" w:cs="Arial" w:eastAsia="Arial" w:hAnsi="Arial"/>
          <w:sz w:val="17"/>
          <w:szCs w:val="17"/>
          <w:color w:val="auto"/>
        </w:rPr>
        <w:t>” means, as of any date, Holders of a majority of the aggregate principal amount of such Securities; provided that any Securities owned directly or indirectly by the Company and the Guarantors or any of their respective affiliates shall not be counted in determining whether the consent by the Holders was given.</w:t>
      </w:r>
    </w:p>
    <w:p>
      <w:pPr>
        <w:spacing w:after="0" w:line="176" w:lineRule="exact"/>
        <w:rPr>
          <w:rFonts w:ascii="Arial" w:cs="Arial" w:eastAsia="Arial" w:hAnsi="Arial"/>
          <w:sz w:val="17"/>
          <w:szCs w:val="17"/>
          <w:color w:val="auto"/>
        </w:rPr>
      </w:pPr>
    </w:p>
    <w:p>
      <w:pPr>
        <w:ind w:right="400" w:firstLine="332"/>
        <w:spacing w:after="0" w:line="277" w:lineRule="auto"/>
        <w:tabs>
          <w:tab w:leader="none" w:pos="624" w:val="left"/>
        </w:tabs>
        <w:numPr>
          <w:ilvl w:val="1"/>
          <w:numId w:val="98"/>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All notices and other communications provided for or permitted hereunder shall be made in writing by hand delivery, first-class mail,</w:t>
      </w:r>
      <w:r>
        <w:rPr>
          <w:rFonts w:ascii="Arial" w:cs="Arial" w:eastAsia="Arial" w:hAnsi="Arial"/>
          <w:sz w:val="18"/>
          <w:szCs w:val="18"/>
          <w:i w:val="1"/>
          <w:iCs w:val="1"/>
          <w:color w:val="auto"/>
        </w:rPr>
        <w:t xml:space="preserve"> </w:t>
      </w:r>
      <w:r>
        <w:rPr>
          <w:rFonts w:ascii="Arial" w:cs="Arial" w:eastAsia="Arial" w:hAnsi="Arial"/>
          <w:sz w:val="18"/>
          <w:szCs w:val="18"/>
          <w:color w:val="auto"/>
        </w:rPr>
        <w:t>facsimile transmission, email, or air courier which guarantees overnight delivery:</w:t>
      </w:r>
    </w:p>
    <w:p>
      <w:pPr>
        <w:spacing w:after="0" w:line="170" w:lineRule="exact"/>
        <w:rPr>
          <w:sz w:val="20"/>
          <w:szCs w:val="20"/>
          <w:color w:val="auto"/>
        </w:rPr>
      </w:pPr>
    </w:p>
    <w:p>
      <w:pPr>
        <w:ind w:left="640" w:hanging="308"/>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to a Holder of the Securities, at the most current address given by such Holder to the Company and the Guarantors.</w:t>
      </w:r>
    </w:p>
    <w:p>
      <w:pPr>
        <w:spacing w:after="0" w:line="225" w:lineRule="exact"/>
        <w:rPr>
          <w:rFonts w:ascii="Arial" w:cs="Arial" w:eastAsia="Arial" w:hAnsi="Arial"/>
          <w:sz w:val="18"/>
          <w:szCs w:val="18"/>
          <w:color w:val="auto"/>
        </w:rPr>
      </w:pPr>
    </w:p>
    <w:p>
      <w:pPr>
        <w:ind w:left="640" w:hanging="308"/>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to the Dealer Managers: to the addresses listed on Schedule I</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1" w:name="page72"/>
    <w:bookmarkEnd w:id="71"/>
    <w:p>
      <w:pPr>
        <w:ind w:left="3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Cahill Gordon &amp; Reindel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32 Old Slip</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10005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Michael Reddy, Esq.</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if to the Company and the Guarantors, at the following address: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Philadelphia, Pennsylvania 19103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number: (215) 286-7744</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Elizabeth Wideman and Jason Armstrong</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Davis Polk &amp; Wardwell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New York 10017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number: (212) 701-5077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John B. Meade, Esq.</w:t>
      </w:r>
    </w:p>
    <w:p>
      <w:pPr>
        <w:spacing w:after="0" w:line="211"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All such notices and communications shall be deemed to have been duly given: at the time delivered by hand, if personally delivered; three business days after being deposited in the mail, postage prepaid, if mailed; when receipt is acknowledged by recipient’s facsimile machine operator, if sent by facsimile transmission; and on the day delivered, if sent by overnight air courier guaranteeing next day delivery.</w:t>
      </w:r>
    </w:p>
    <w:p>
      <w:pPr>
        <w:spacing w:after="0" w:line="165" w:lineRule="exact"/>
        <w:rPr>
          <w:sz w:val="20"/>
          <w:szCs w:val="20"/>
          <w:color w:val="auto"/>
        </w:rPr>
      </w:pPr>
    </w:p>
    <w:p>
      <w:pPr>
        <w:ind w:right="140" w:firstLine="332"/>
        <w:spacing w:after="0" w:line="263" w:lineRule="auto"/>
        <w:tabs>
          <w:tab w:leader="none" w:pos="614"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No Inconsistent Agreements</w:t>
      </w:r>
      <w:r>
        <w:rPr>
          <w:rFonts w:ascii="Arial" w:cs="Arial" w:eastAsia="Arial" w:hAnsi="Arial"/>
          <w:sz w:val="18"/>
          <w:szCs w:val="18"/>
          <w:color w:val="auto"/>
        </w:rPr>
        <w:t>. The Company and the Guarantors have not, as of the date hereof, entered into, nor shall they, on or after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hereof, enter into, any agreement with respect to its securities that is inconsistent with the rights granted to the Holders herein or otherwise conflicts with the provisions hereof.</w:t>
      </w:r>
    </w:p>
    <w:p>
      <w:pPr>
        <w:spacing w:after="0" w:line="183" w:lineRule="exact"/>
        <w:rPr>
          <w:rFonts w:ascii="Arial" w:cs="Arial" w:eastAsia="Arial" w:hAnsi="Arial"/>
          <w:sz w:val="18"/>
          <w:szCs w:val="18"/>
          <w:color w:val="auto"/>
        </w:rPr>
      </w:pPr>
    </w:p>
    <w:p>
      <w:pPr>
        <w:ind w:firstLine="332"/>
        <w:spacing w:after="0" w:line="257" w:lineRule="auto"/>
        <w:tabs>
          <w:tab w:leader="none" w:pos="624"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Successors and Assigns</w:t>
      </w:r>
      <w:r>
        <w:rPr>
          <w:rFonts w:ascii="Arial" w:cs="Arial" w:eastAsia="Arial" w:hAnsi="Arial"/>
          <w:sz w:val="18"/>
          <w:szCs w:val="18"/>
          <w:color w:val="auto"/>
        </w:rPr>
        <w:t>. This Agreement shall be binding upon the successors, assigns and transferees of each of the parties, including,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 and without need for an express assignment, subsequent Holders. If any transferee of any Holder shall acquire Securities in any manner, whether by operation of law or otherwise, such Holder shall be deemed to have agreed to be bound by and subject to all the terms of this Agreement, and by taking and holding such Securities such transferee shall be conclusively deemed to have agreed to be bound by and to perform all of the terms and provisions of this Agreement.</w:t>
      </w:r>
    </w:p>
    <w:p>
      <w:pPr>
        <w:spacing w:after="0" w:line="187" w:lineRule="exact"/>
        <w:rPr>
          <w:rFonts w:ascii="Arial" w:cs="Arial" w:eastAsia="Arial" w:hAnsi="Arial"/>
          <w:sz w:val="18"/>
          <w:szCs w:val="18"/>
          <w:color w:val="auto"/>
        </w:rPr>
      </w:pPr>
    </w:p>
    <w:p>
      <w:pPr>
        <w:ind w:right="200" w:firstLine="332"/>
        <w:spacing w:after="0" w:line="296" w:lineRule="auto"/>
        <w:tabs>
          <w:tab w:leader="none" w:pos="614" w:val="left"/>
        </w:tabs>
        <w:numPr>
          <w:ilvl w:val="0"/>
          <w:numId w:val="100"/>
        </w:numPr>
        <w:rPr>
          <w:rFonts w:ascii="Arial" w:cs="Arial" w:eastAsia="Arial" w:hAnsi="Arial"/>
          <w:sz w:val="16"/>
          <w:szCs w:val="16"/>
          <w:color w:val="auto"/>
        </w:rPr>
      </w:pP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executed in any number of counterparts and by the parties hereto in separate counterparts, each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when so executed shall be deemed to be an original and all of which taken together shall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61" w:lineRule="exact"/>
        <w:rPr>
          <w:rFonts w:ascii="Arial" w:cs="Arial" w:eastAsia="Arial" w:hAnsi="Arial"/>
          <w:sz w:val="16"/>
          <w:szCs w:val="16"/>
          <w:color w:val="auto"/>
        </w:rPr>
      </w:pPr>
    </w:p>
    <w:p>
      <w:pPr>
        <w:ind w:left="600" w:hanging="268"/>
        <w:spacing w:after="0"/>
        <w:tabs>
          <w:tab w:leader="none" w:pos="600" w:val="left"/>
        </w:tabs>
        <w:numPr>
          <w:ilvl w:val="0"/>
          <w:numId w:val="100"/>
        </w:numPr>
        <w:rPr>
          <w:rFonts w:ascii="Arial" w:cs="Arial" w:eastAsia="Arial" w:hAnsi="Arial"/>
          <w:sz w:val="17"/>
          <w:szCs w:val="17"/>
          <w:color w:val="auto"/>
        </w:rPr>
      </w:pPr>
      <w:r>
        <w:rPr>
          <w:rFonts w:ascii="Arial" w:cs="Arial" w:eastAsia="Arial" w:hAnsi="Arial"/>
          <w:sz w:val="17"/>
          <w:szCs w:val="17"/>
          <w:i w:val="1"/>
          <w:iCs w:val="1"/>
          <w:color w:val="auto"/>
        </w:rPr>
        <w:t>Headings</w:t>
      </w:r>
      <w:r>
        <w:rPr>
          <w:rFonts w:ascii="Arial" w:cs="Arial" w:eastAsia="Arial" w:hAnsi="Arial"/>
          <w:sz w:val="17"/>
          <w:szCs w:val="17"/>
          <w:color w:val="auto"/>
        </w:rPr>
        <w:t>. The headings in this Agreement are for convenience of reference only and shall not limit or otherwise affect the meaning hereof.</w:t>
      </w:r>
    </w:p>
    <w:p>
      <w:pPr>
        <w:spacing w:after="0" w:line="236" w:lineRule="exact"/>
        <w:rPr>
          <w:rFonts w:ascii="Arial" w:cs="Arial" w:eastAsia="Arial" w:hAnsi="Arial"/>
          <w:sz w:val="17"/>
          <w:szCs w:val="17"/>
          <w:color w:val="auto"/>
        </w:rPr>
      </w:pPr>
    </w:p>
    <w:p>
      <w:pPr>
        <w:ind w:right="260" w:firstLine="332"/>
        <w:spacing w:after="0" w:line="277" w:lineRule="auto"/>
        <w:tabs>
          <w:tab w:leader="none" w:pos="624"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THIS AGREEMENT SHALL BE GOVERNED BY, AND CONSTRUED IN ACCORDANCE WITH, THE LAWS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 OF NEW YORK WITHOUT REGARD TO PRINCIPLES OF CONFLICTS OF LAWS.</w:t>
      </w:r>
    </w:p>
    <w:p>
      <w:pPr>
        <w:spacing w:after="0" w:line="170" w:lineRule="exact"/>
        <w:rPr>
          <w:rFonts w:ascii="Arial" w:cs="Arial" w:eastAsia="Arial" w:hAnsi="Arial"/>
          <w:sz w:val="18"/>
          <w:szCs w:val="18"/>
          <w:color w:val="auto"/>
        </w:rPr>
      </w:pPr>
    </w:p>
    <w:p>
      <w:pPr>
        <w:ind w:right="100" w:firstLine="332"/>
        <w:spacing w:after="0" w:line="263" w:lineRule="auto"/>
        <w:tabs>
          <w:tab w:leader="none" w:pos="624"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Severability</w:t>
      </w:r>
      <w:r>
        <w:rPr>
          <w:rFonts w:ascii="Arial" w:cs="Arial" w:eastAsia="Arial" w:hAnsi="Arial"/>
          <w:sz w:val="18"/>
          <w:szCs w:val="18"/>
          <w:color w:val="auto"/>
        </w:rPr>
        <w:t>. If any one or more of the provisions contained herein, or the application thereof in any circumstance, is held invalid, illegal or</w:t>
      </w:r>
      <w:r>
        <w:rPr>
          <w:rFonts w:ascii="Arial" w:cs="Arial" w:eastAsia="Arial" w:hAnsi="Arial"/>
          <w:sz w:val="18"/>
          <w:szCs w:val="18"/>
          <w:i w:val="1"/>
          <w:iCs w:val="1"/>
          <w:color w:val="auto"/>
        </w:rPr>
        <w:t xml:space="preserve"> </w:t>
      </w:r>
      <w:r>
        <w:rPr>
          <w:rFonts w:ascii="Arial" w:cs="Arial" w:eastAsia="Arial" w:hAnsi="Arial"/>
          <w:sz w:val="18"/>
          <w:szCs w:val="18"/>
          <w:color w:val="auto"/>
        </w:rPr>
        <w:t>unenforceable, the validity, legality and enforceability of any such provision in every other respect and of the remaining provisions contained herein shall not be affected or impaired thereby.</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72" w:name="page73"/>
    <w:bookmarkEnd w:id="72"/>
    <w:p>
      <w:pPr>
        <w:ind w:firstLine="332"/>
        <w:spacing w:after="0" w:line="259" w:lineRule="auto"/>
        <w:tabs>
          <w:tab w:leader="none" w:pos="584"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Securities Held by the Company and the Guarantors</w:t>
      </w:r>
      <w:r>
        <w:rPr>
          <w:rFonts w:ascii="Arial" w:cs="Arial" w:eastAsia="Arial" w:hAnsi="Arial"/>
          <w:sz w:val="18"/>
          <w:szCs w:val="18"/>
          <w:color w:val="auto"/>
        </w:rPr>
        <w:t>. Whenever the consent or approval of Holders of a specified percentage of principal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is required hereunder, Securities held by the Company and the Guarantors or their respective affiliates (other than subsequent Holders of Securities if such subsequent Holders are deemed to be affiliates solely by reason of their holdings of such Securities) shall not be counted in determining whether such consent or approval was given by the Holders of such required percentage.</w:t>
      </w:r>
    </w:p>
    <w:p>
      <w:pPr>
        <w:spacing w:after="0" w:line="1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u w:val="single" w:color="auto"/>
          <w:color w:val="auto"/>
        </w:rPr>
        <w:t>]</w:t>
      </w:r>
    </w:p>
    <w:p>
      <w:pPr>
        <w:spacing w:after="0" w:line="32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3" w:name="page74"/>
    <w:bookmarkEnd w:id="73"/>
    <w:p>
      <w:pPr>
        <w:ind w:firstLine="324"/>
        <w:spacing w:after="0" w:line="263"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the Company and the Guarantors a counterpart hereof, whereupon this instrument, along with all counterparts, will become a binding agreement among the several Dealer Managers and the Company and the Guarantors in accordance with its terms.</w:t>
      </w:r>
    </w:p>
    <w:p>
      <w:pPr>
        <w:spacing w:after="0" w:line="18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S. Armstrong</w:t>
            </w:r>
          </w:p>
        </w:tc>
      </w:tr>
      <w:tr>
        <w:trPr>
          <w:trHeight w:val="195"/>
        </w:trPr>
        <w:tc>
          <w:tcPr>
            <w:tcW w:w="56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Name: Jason S. Armstrong</w:t>
            </w:r>
          </w:p>
        </w:tc>
      </w:tr>
      <w:tr>
        <w:trPr>
          <w:trHeight w:val="230"/>
        </w:trPr>
        <w:tc>
          <w:tcPr>
            <w:tcW w:w="5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Title: Executive Vice President and Treasurer</w:t>
            </w:r>
          </w:p>
        </w:tc>
      </w:tr>
      <w:tr>
        <w:trPr>
          <w:trHeight w:val="702"/>
        </w:trPr>
        <w:tc>
          <w:tcPr>
            <w:tcW w:w="4500" w:type="dxa"/>
            <w:vAlign w:val="bottom"/>
            <w:gridSpan w:val="2"/>
          </w:tcPr>
          <w:p>
            <w:pPr>
              <w:spacing w:after="0"/>
              <w:rPr>
                <w:sz w:val="20"/>
                <w:szCs w:val="20"/>
                <w:color w:val="auto"/>
              </w:rPr>
            </w:pPr>
            <w:r>
              <w:rPr>
                <w:rFonts w:ascii="Arial" w:cs="Arial" w:eastAsia="Arial" w:hAnsi="Arial"/>
                <w:sz w:val="18"/>
                <w:szCs w:val="18"/>
                <w:color w:val="auto"/>
              </w:rPr>
              <w:t>COMCAST CABLE COMMUNICATIONS, LLC</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S. Armstrong</w:t>
            </w:r>
          </w:p>
        </w:tc>
      </w:tr>
      <w:tr>
        <w:trPr>
          <w:trHeight w:val="195"/>
        </w:trPr>
        <w:tc>
          <w:tcPr>
            <w:tcW w:w="56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Name: Jason S. Armstrong</w:t>
            </w:r>
          </w:p>
        </w:tc>
      </w:tr>
      <w:tr>
        <w:trPr>
          <w:trHeight w:val="230"/>
        </w:trPr>
        <w:tc>
          <w:tcPr>
            <w:tcW w:w="5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Title: Executive Vice President and Treasurer</w:t>
            </w:r>
          </w:p>
        </w:tc>
      </w:tr>
      <w:tr>
        <w:trPr>
          <w:trHeight w:val="702"/>
        </w:trPr>
        <w:tc>
          <w:tcPr>
            <w:tcW w:w="4500" w:type="dxa"/>
            <w:vAlign w:val="bottom"/>
            <w:gridSpan w:val="2"/>
          </w:tcPr>
          <w:p>
            <w:pPr>
              <w:spacing w:after="0"/>
              <w:rPr>
                <w:sz w:val="20"/>
                <w:szCs w:val="20"/>
                <w:color w:val="auto"/>
              </w:rPr>
            </w:pPr>
            <w:r>
              <w:rPr>
                <w:rFonts w:ascii="Arial" w:cs="Arial" w:eastAsia="Arial" w:hAnsi="Arial"/>
                <w:sz w:val="18"/>
                <w:szCs w:val="18"/>
                <w:color w:val="auto"/>
              </w:rPr>
              <w:t>NBCUNIVERSAL MEDIA, LLC</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Jason S. Armstrong</w:t>
            </w:r>
          </w:p>
        </w:tc>
      </w:tr>
      <w:tr>
        <w:trPr>
          <w:trHeight w:val="195"/>
        </w:trPr>
        <w:tc>
          <w:tcPr>
            <w:tcW w:w="56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Name: Jason S. Armstrong</w:t>
            </w:r>
          </w:p>
        </w:tc>
      </w:tr>
      <w:tr>
        <w:trPr>
          <w:trHeight w:val="230"/>
        </w:trPr>
        <w:tc>
          <w:tcPr>
            <w:tcW w:w="5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Title: Executive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The foregoing Registration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Rights Agreement is hereby confirmed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accepted as of the date first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above written by the undersigned Joint Lead Dealer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Managers, on behalf of themselves and each Co-Dealer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pursuant to the Joinder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Conor Stransky</w:t>
            </w:r>
          </w:p>
        </w:tc>
      </w:tr>
      <w:tr>
        <w:trPr>
          <w:trHeight w:val="195"/>
        </w:trPr>
        <w:tc>
          <w:tcPr>
            <w:tcW w:w="680" w:type="dxa"/>
            <w:vAlign w:val="bottom"/>
          </w:tcPr>
          <w:p>
            <w:pPr>
              <w:spacing w:after="0"/>
              <w:rPr>
                <w:sz w:val="16"/>
                <w:szCs w:val="16"/>
                <w:color w:val="auto"/>
              </w:rPr>
            </w:pPr>
          </w:p>
        </w:tc>
        <w:tc>
          <w:tcPr>
            <w:tcW w:w="3480" w:type="dxa"/>
            <w:vAlign w:val="bottom"/>
          </w:tcPr>
          <w:p>
            <w:pPr>
              <w:spacing w:after="0" w:line="195" w:lineRule="exact"/>
              <w:rPr>
                <w:sz w:val="20"/>
                <w:szCs w:val="20"/>
                <w:color w:val="auto"/>
              </w:rPr>
            </w:pPr>
            <w:r>
              <w:rPr>
                <w:rFonts w:ascii="Arial" w:cs="Arial" w:eastAsia="Arial" w:hAnsi="Arial"/>
                <w:sz w:val="18"/>
                <w:szCs w:val="18"/>
                <w:color w:val="auto"/>
              </w:rPr>
              <w:t>Name: Conor Stransky</w:t>
            </w:r>
          </w:p>
        </w:tc>
      </w:tr>
      <w:tr>
        <w:trPr>
          <w:trHeight w:val="230"/>
        </w:trPr>
        <w:tc>
          <w:tcPr>
            <w:tcW w:w="68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200" w:lineRule="exact"/>
        <w:rPr>
          <w:sz w:val="20"/>
          <w:szCs w:val="20"/>
          <w:color w:val="auto"/>
        </w:rPr>
      </w:pPr>
    </w:p>
    <w:p>
      <w:pPr>
        <w:spacing w:after="0" w:line="380" w:lineRule="exact"/>
        <w:rPr>
          <w:sz w:val="20"/>
          <w:szCs w:val="20"/>
          <w:color w:val="auto"/>
        </w:rPr>
      </w:pPr>
    </w:p>
    <w:p>
      <w:pPr>
        <w:jc w:val="right"/>
        <w:ind w:right="26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84" w:right="1440" w:bottom="1440" w:gutter="0" w:footer="0" w:header="0"/>
        </w:sectPr>
      </w:pPr>
    </w:p>
    <w:bookmarkStart w:id="75" w:name="page76"/>
    <w:bookmarkEnd w:id="75"/>
    <w:p>
      <w:pPr>
        <w:spacing w:after="0"/>
        <w:rPr>
          <w:sz w:val="20"/>
          <w:szCs w:val="20"/>
          <w:color w:val="auto"/>
        </w:rPr>
      </w:pPr>
      <w:r>
        <w:rPr>
          <w:rFonts w:ascii="Arial" w:cs="Arial" w:eastAsia="Arial" w:hAnsi="Arial"/>
          <w:sz w:val="18"/>
          <w:szCs w:val="18"/>
          <w:color w:val="auto"/>
        </w:rPr>
        <w:t>MORGAN STANLEY &amp; CO. LLC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Yurij Slyz</w:t>
            </w:r>
          </w:p>
        </w:tc>
      </w:tr>
      <w:tr>
        <w:trPr>
          <w:trHeight w:val="195"/>
        </w:trPr>
        <w:tc>
          <w:tcPr>
            <w:tcW w:w="680" w:type="dxa"/>
            <w:vAlign w:val="bottom"/>
          </w:tcPr>
          <w:p>
            <w:pPr>
              <w:spacing w:after="0"/>
              <w:rPr>
                <w:sz w:val="16"/>
                <w:szCs w:val="16"/>
                <w:color w:val="auto"/>
              </w:rPr>
            </w:pPr>
          </w:p>
        </w:tc>
        <w:tc>
          <w:tcPr>
            <w:tcW w:w="3480" w:type="dxa"/>
            <w:vAlign w:val="bottom"/>
          </w:tcPr>
          <w:p>
            <w:pPr>
              <w:spacing w:after="0" w:line="195" w:lineRule="exact"/>
              <w:rPr>
                <w:sz w:val="20"/>
                <w:szCs w:val="20"/>
                <w:color w:val="auto"/>
              </w:rPr>
            </w:pPr>
            <w:r>
              <w:rPr>
                <w:rFonts w:ascii="Arial" w:cs="Arial" w:eastAsia="Arial" w:hAnsi="Arial"/>
                <w:sz w:val="18"/>
                <w:szCs w:val="18"/>
                <w:color w:val="auto"/>
              </w:rPr>
              <w:t>Name: Yurij Slyz</w:t>
            </w:r>
          </w:p>
        </w:tc>
      </w:tr>
      <w:tr>
        <w:trPr>
          <w:trHeight w:val="230"/>
        </w:trPr>
        <w:tc>
          <w:tcPr>
            <w:tcW w:w="68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Title: Executive Director</w:t>
            </w:r>
          </w:p>
        </w:tc>
      </w:tr>
    </w:tbl>
    <w:p>
      <w:pPr>
        <w:spacing w:after="0" w:line="337" w:lineRule="exact"/>
        <w:rPr>
          <w:sz w:val="20"/>
          <w:szCs w:val="20"/>
          <w:color w:val="auto"/>
        </w:rPr>
      </w:pPr>
    </w:p>
    <w:p>
      <w:pPr>
        <w:jc w:val="right"/>
        <w:ind w:right="26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070" w:right="1440"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BOFA SECURITIES,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Scott</w:t>
            </w:r>
          </w:p>
        </w:tc>
      </w:tr>
      <w:tr>
        <w:trPr>
          <w:trHeight w:val="195"/>
        </w:trPr>
        <w:tc>
          <w:tcPr>
            <w:tcW w:w="680" w:type="dxa"/>
            <w:vAlign w:val="bottom"/>
          </w:tcPr>
          <w:p>
            <w:pPr>
              <w:spacing w:after="0"/>
              <w:rPr>
                <w:sz w:val="16"/>
                <w:szCs w:val="16"/>
                <w:color w:val="auto"/>
              </w:rPr>
            </w:pPr>
          </w:p>
        </w:tc>
        <w:tc>
          <w:tcPr>
            <w:tcW w:w="3480" w:type="dxa"/>
            <w:vAlign w:val="bottom"/>
          </w:tcPr>
          <w:p>
            <w:pPr>
              <w:spacing w:after="0" w:line="195" w:lineRule="exact"/>
              <w:rPr>
                <w:sz w:val="20"/>
                <w:szCs w:val="20"/>
                <w:color w:val="auto"/>
              </w:rPr>
            </w:pPr>
            <w:r>
              <w:rPr>
                <w:rFonts w:ascii="Arial" w:cs="Arial" w:eastAsia="Arial" w:hAnsi="Arial"/>
                <w:sz w:val="18"/>
                <w:szCs w:val="18"/>
                <w:color w:val="auto"/>
              </w:rPr>
              <w:t>Name: David Scott</w:t>
            </w:r>
          </w:p>
        </w:tc>
      </w:tr>
      <w:tr>
        <w:trPr>
          <w:trHeight w:val="230"/>
        </w:trPr>
        <w:tc>
          <w:tcPr>
            <w:tcW w:w="68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337" w:lineRule="exact"/>
        <w:rPr>
          <w:sz w:val="20"/>
          <w:szCs w:val="20"/>
          <w:color w:val="auto"/>
        </w:rPr>
      </w:pPr>
    </w:p>
    <w:p>
      <w:pPr>
        <w:jc w:val="right"/>
        <w:ind w:right="26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27" w:right="1440"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t>CITIGROUP GLOBAL MARKETS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D. Bordner</w:t>
            </w:r>
          </w:p>
        </w:tc>
      </w:tr>
      <w:tr>
        <w:trPr>
          <w:trHeight w:val="195"/>
        </w:trPr>
        <w:tc>
          <w:tcPr>
            <w:tcW w:w="680" w:type="dxa"/>
            <w:vAlign w:val="bottom"/>
          </w:tcPr>
          <w:p>
            <w:pPr>
              <w:spacing w:after="0"/>
              <w:rPr>
                <w:sz w:val="16"/>
                <w:szCs w:val="16"/>
                <w:color w:val="auto"/>
              </w:rPr>
            </w:pPr>
          </w:p>
        </w:tc>
        <w:tc>
          <w:tcPr>
            <w:tcW w:w="3480" w:type="dxa"/>
            <w:vAlign w:val="bottom"/>
          </w:tcPr>
          <w:p>
            <w:pPr>
              <w:spacing w:after="0" w:line="195" w:lineRule="exact"/>
              <w:rPr>
                <w:sz w:val="20"/>
                <w:szCs w:val="20"/>
                <w:color w:val="auto"/>
              </w:rPr>
            </w:pPr>
            <w:r>
              <w:rPr>
                <w:rFonts w:ascii="Arial" w:cs="Arial" w:eastAsia="Arial" w:hAnsi="Arial"/>
                <w:sz w:val="18"/>
                <w:szCs w:val="18"/>
                <w:color w:val="auto"/>
              </w:rPr>
              <w:t>Name: Adam D. Bordner</w:t>
            </w:r>
          </w:p>
        </w:tc>
      </w:tr>
      <w:tr>
        <w:trPr>
          <w:trHeight w:val="230"/>
        </w:trPr>
        <w:tc>
          <w:tcPr>
            <w:tcW w:w="68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Title: Director</w:t>
            </w:r>
          </w:p>
        </w:tc>
      </w:tr>
    </w:tbl>
    <w:p>
      <w:pPr>
        <w:spacing w:after="0" w:line="200" w:lineRule="exact"/>
        <w:rPr>
          <w:sz w:val="20"/>
          <w:szCs w:val="20"/>
          <w:color w:val="auto"/>
        </w:rPr>
      </w:pPr>
    </w:p>
    <w:p>
      <w:pPr>
        <w:spacing w:after="0" w:line="380" w:lineRule="exact"/>
        <w:rPr>
          <w:sz w:val="20"/>
          <w:szCs w:val="20"/>
          <w:color w:val="auto"/>
        </w:rPr>
      </w:pPr>
    </w:p>
    <w:p>
      <w:pPr>
        <w:jc w:val="right"/>
        <w:ind w:right="26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27" w:right="1440"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J.P. MORGAN SECURITIES LLC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Som Bhattacharyya</w:t>
            </w:r>
          </w:p>
        </w:tc>
      </w:tr>
      <w:tr>
        <w:trPr>
          <w:trHeight w:val="195"/>
        </w:trPr>
        <w:tc>
          <w:tcPr>
            <w:tcW w:w="680" w:type="dxa"/>
            <w:vAlign w:val="bottom"/>
          </w:tcPr>
          <w:p>
            <w:pPr>
              <w:spacing w:after="0"/>
              <w:rPr>
                <w:sz w:val="16"/>
                <w:szCs w:val="16"/>
                <w:color w:val="auto"/>
              </w:rPr>
            </w:pPr>
          </w:p>
        </w:tc>
        <w:tc>
          <w:tcPr>
            <w:tcW w:w="3480" w:type="dxa"/>
            <w:vAlign w:val="bottom"/>
          </w:tcPr>
          <w:p>
            <w:pPr>
              <w:spacing w:after="0" w:line="195" w:lineRule="exact"/>
              <w:rPr>
                <w:sz w:val="20"/>
                <w:szCs w:val="20"/>
                <w:color w:val="auto"/>
              </w:rPr>
            </w:pPr>
            <w:r>
              <w:rPr>
                <w:rFonts w:ascii="Arial" w:cs="Arial" w:eastAsia="Arial" w:hAnsi="Arial"/>
                <w:sz w:val="18"/>
                <w:szCs w:val="18"/>
                <w:color w:val="auto"/>
              </w:rPr>
              <w:t>Name: Som Bhattacharyya</w:t>
            </w:r>
          </w:p>
        </w:tc>
      </w:tr>
      <w:tr>
        <w:trPr>
          <w:trHeight w:val="230"/>
        </w:trPr>
        <w:tc>
          <w:tcPr>
            <w:tcW w:w="68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Title: Executive Director</w:t>
            </w:r>
          </w:p>
        </w:tc>
      </w:tr>
    </w:tbl>
    <w:p>
      <w:pPr>
        <w:spacing w:after="0" w:line="337" w:lineRule="exact"/>
        <w:rPr>
          <w:sz w:val="20"/>
          <w:szCs w:val="20"/>
          <w:color w:val="auto"/>
        </w:rPr>
      </w:pPr>
    </w:p>
    <w:p>
      <w:pPr>
        <w:jc w:val="right"/>
        <w:ind w:right="26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27" w:right="1440"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MIZUHO SECURITIES USA LLC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Justin T. Surma</w:t>
            </w:r>
          </w:p>
        </w:tc>
      </w:tr>
      <w:tr>
        <w:trPr>
          <w:trHeight w:val="195"/>
        </w:trPr>
        <w:tc>
          <w:tcPr>
            <w:tcW w:w="680" w:type="dxa"/>
            <w:vAlign w:val="bottom"/>
          </w:tcPr>
          <w:p>
            <w:pPr>
              <w:spacing w:after="0"/>
              <w:rPr>
                <w:sz w:val="16"/>
                <w:szCs w:val="16"/>
                <w:color w:val="auto"/>
              </w:rPr>
            </w:pPr>
          </w:p>
        </w:tc>
        <w:tc>
          <w:tcPr>
            <w:tcW w:w="3480" w:type="dxa"/>
            <w:vAlign w:val="bottom"/>
          </w:tcPr>
          <w:p>
            <w:pPr>
              <w:spacing w:after="0" w:line="195" w:lineRule="exact"/>
              <w:rPr>
                <w:sz w:val="20"/>
                <w:szCs w:val="20"/>
                <w:color w:val="auto"/>
              </w:rPr>
            </w:pPr>
            <w:r>
              <w:rPr>
                <w:rFonts w:ascii="Arial" w:cs="Arial" w:eastAsia="Arial" w:hAnsi="Arial"/>
                <w:sz w:val="18"/>
                <w:szCs w:val="18"/>
                <w:color w:val="auto"/>
              </w:rPr>
              <w:t>Name: Justin T. Surma</w:t>
            </w:r>
          </w:p>
        </w:tc>
      </w:tr>
      <w:tr>
        <w:trPr>
          <w:trHeight w:val="230"/>
        </w:trPr>
        <w:tc>
          <w:tcPr>
            <w:tcW w:w="68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337" w:lineRule="exact"/>
        <w:rPr>
          <w:sz w:val="20"/>
          <w:szCs w:val="20"/>
          <w:color w:val="auto"/>
        </w:rPr>
      </w:pPr>
    </w:p>
    <w:p>
      <w:pPr>
        <w:jc w:val="right"/>
        <w:ind w:right="26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27" w:right="1440"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WELLS FARGO SECURITIES, LLC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Carolyn Hurley</w:t>
            </w:r>
          </w:p>
        </w:tc>
      </w:tr>
      <w:tr>
        <w:trPr>
          <w:trHeight w:val="195"/>
        </w:trPr>
        <w:tc>
          <w:tcPr>
            <w:tcW w:w="680" w:type="dxa"/>
            <w:vAlign w:val="bottom"/>
          </w:tcPr>
          <w:p>
            <w:pPr>
              <w:spacing w:after="0"/>
              <w:rPr>
                <w:sz w:val="16"/>
                <w:szCs w:val="16"/>
                <w:color w:val="auto"/>
              </w:rPr>
            </w:pPr>
          </w:p>
        </w:tc>
        <w:tc>
          <w:tcPr>
            <w:tcW w:w="3480" w:type="dxa"/>
            <w:vAlign w:val="bottom"/>
          </w:tcPr>
          <w:p>
            <w:pPr>
              <w:spacing w:after="0" w:line="195" w:lineRule="exact"/>
              <w:rPr>
                <w:sz w:val="20"/>
                <w:szCs w:val="20"/>
                <w:color w:val="auto"/>
              </w:rPr>
            </w:pPr>
            <w:r>
              <w:rPr>
                <w:rFonts w:ascii="Arial" w:cs="Arial" w:eastAsia="Arial" w:hAnsi="Arial"/>
                <w:sz w:val="18"/>
                <w:szCs w:val="18"/>
                <w:color w:val="auto"/>
              </w:rPr>
              <w:t>Name: Carolyn Hurley</w:t>
            </w:r>
          </w:p>
        </w:tc>
      </w:tr>
      <w:tr>
        <w:trPr>
          <w:trHeight w:val="230"/>
        </w:trPr>
        <w:tc>
          <w:tcPr>
            <w:tcW w:w="680" w:type="dxa"/>
            <w:vAlign w:val="bottom"/>
          </w:tcPr>
          <w:p>
            <w:pPr>
              <w:spacing w:after="0"/>
              <w:rPr>
                <w:sz w:val="20"/>
                <w:szCs w:val="20"/>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94" w:lineRule="exact"/>
        <w:rPr>
          <w:sz w:val="20"/>
          <w:szCs w:val="20"/>
          <w:color w:val="auto"/>
        </w:rPr>
      </w:pPr>
    </w:p>
    <w:p>
      <w:pPr>
        <w:jc w:val="right"/>
        <w:ind w:right="26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Registration Rights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27" w:right="1440"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Dealer Managers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1271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South Tryon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Charlotte, North Carolina 28202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Each Co-Dealer Manager set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forth in the Joinder Agreement</w:t>
      </w:r>
    </w:p>
    <w:p>
      <w:pPr>
        <w:spacing w:after="0" w:line="312"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80" w:type="dxa"/>
            <w:vAlign w:val="bottom"/>
            <w:gridSpan w:val="2"/>
          </w:tcPr>
          <w:p>
            <w:pPr>
              <w:ind w:left="1600"/>
              <w:spacing w:after="0"/>
              <w:rPr>
                <w:sz w:val="20"/>
                <w:szCs w:val="20"/>
                <w:color w:val="auto"/>
              </w:rPr>
            </w:pPr>
            <w:r>
              <w:rPr>
                <w:rFonts w:ascii="Arial" w:cs="Arial" w:eastAsia="Arial" w:hAnsi="Arial"/>
                <w:sz w:val="18"/>
                <w:szCs w:val="18"/>
                <w:b w:val="1"/>
                <w:bCs w:val="1"/>
                <w:color w:val="auto"/>
              </w:rPr>
              <w:t>SCHEDULE II</w:t>
            </w:r>
          </w:p>
        </w:tc>
      </w:tr>
      <w:tr>
        <w:trPr>
          <w:trHeight w:val="432"/>
        </w:trPr>
        <w:tc>
          <w:tcPr>
            <w:tcW w:w="2540" w:type="dxa"/>
            <w:vAlign w:val="bottom"/>
            <w:gridSpan w:val="2"/>
          </w:tcPr>
          <w:p>
            <w:pPr>
              <w:ind w:left="300"/>
              <w:spacing w:after="0"/>
              <w:rPr>
                <w:sz w:val="20"/>
                <w:szCs w:val="20"/>
                <w:color w:val="auto"/>
              </w:rPr>
            </w:pPr>
            <w:r>
              <w:rPr>
                <w:rFonts w:ascii="Arial" w:cs="Arial" w:eastAsia="Arial" w:hAnsi="Arial"/>
                <w:sz w:val="18"/>
                <w:szCs w:val="18"/>
                <w:i w:val="1"/>
                <w:iCs w:val="1"/>
                <w:color w:val="auto"/>
              </w:rPr>
              <w:t>Pool 1 Notes</w:t>
            </w: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1"/>
        </w:trPr>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60" w:type="dxa"/>
            <w:vAlign w:val="bottom"/>
          </w:tcPr>
          <w:p>
            <w:pPr>
              <w:spacing w:after="0"/>
              <w:rPr>
                <w:sz w:val="24"/>
                <w:szCs w:val="24"/>
                <w:color w:val="auto"/>
              </w:rPr>
            </w:pPr>
          </w:p>
        </w:tc>
        <w:tc>
          <w:tcPr>
            <w:tcW w:w="27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Notes Exchanged For New 2051</w:t>
            </w:r>
          </w:p>
        </w:tc>
      </w:tr>
      <w:tr>
        <w:trPr>
          <w:trHeight w:val="234"/>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Title of Security</w:t>
            </w:r>
          </w:p>
        </w:tc>
        <w:tc>
          <w:tcPr>
            <w:tcW w:w="40" w:type="dxa"/>
            <w:vAlign w:val="bottom"/>
          </w:tcPr>
          <w:p>
            <w:pPr>
              <w:spacing w:after="0"/>
              <w:rPr>
                <w:sz w:val="20"/>
                <w:szCs w:val="20"/>
                <w:color w:val="auto"/>
              </w:rPr>
            </w:pPr>
          </w:p>
        </w:tc>
        <w:tc>
          <w:tcPr>
            <w:tcW w:w="242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Issuer</w:t>
            </w:r>
          </w:p>
        </w:tc>
        <w:tc>
          <w:tcPr>
            <w:tcW w:w="60" w:type="dxa"/>
            <w:vAlign w:val="bottom"/>
          </w:tcPr>
          <w:p>
            <w:pPr>
              <w:spacing w:after="0"/>
              <w:rPr>
                <w:sz w:val="20"/>
                <w:szCs w:val="20"/>
                <w:color w:val="auto"/>
              </w:rPr>
            </w:pPr>
          </w:p>
        </w:tc>
        <w:tc>
          <w:tcPr>
            <w:tcW w:w="17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CUSIP Number</w:t>
            </w:r>
          </w:p>
        </w:tc>
        <w:tc>
          <w:tcPr>
            <w:tcW w:w="6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xml:space="preserve">Outstanding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000)</w:t>
            </w:r>
          </w:p>
        </w:tc>
        <w:tc>
          <w:tcPr>
            <w:tcW w:w="6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Notes ($000)</w:t>
            </w:r>
          </w:p>
        </w:tc>
        <w:tc>
          <w:tcPr>
            <w:tcW w:w="20" w:type="dxa"/>
            <w:vAlign w:val="bottom"/>
          </w:tcPr>
          <w:p>
            <w:pPr>
              <w:spacing w:after="0"/>
              <w:rPr>
                <w:sz w:val="20"/>
                <w:szCs w:val="20"/>
                <w:color w:val="auto"/>
              </w:rPr>
            </w:pPr>
          </w:p>
        </w:tc>
      </w:tr>
      <w:tr>
        <w:trPr>
          <w:trHeight w:val="263"/>
        </w:trPr>
        <w:tc>
          <w:tcPr>
            <w:tcW w:w="580" w:type="dxa"/>
            <w:vAlign w:val="bottom"/>
          </w:tcPr>
          <w:p>
            <w:pPr>
              <w:spacing w:after="0"/>
              <w:rPr>
                <w:sz w:val="20"/>
                <w:szCs w:val="20"/>
                <w:color w:val="auto"/>
              </w:rPr>
            </w:pPr>
            <w:r>
              <w:rPr>
                <w:rFonts w:ascii="Arial" w:cs="Arial" w:eastAsia="Arial" w:hAnsi="Arial"/>
                <w:sz w:val="18"/>
                <w:szCs w:val="18"/>
                <w:color w:val="auto"/>
                <w:w w:val="91"/>
              </w:rPr>
              <w:t>6.400%</w:t>
            </w:r>
          </w:p>
        </w:tc>
        <w:tc>
          <w:tcPr>
            <w:tcW w:w="1960" w:type="dxa"/>
            <w:vAlign w:val="bottom"/>
          </w:tcPr>
          <w:p>
            <w:pPr>
              <w:ind w:left="20"/>
              <w:spacing w:after="0"/>
              <w:rPr>
                <w:sz w:val="20"/>
                <w:szCs w:val="20"/>
                <w:color w:val="auto"/>
              </w:rPr>
            </w:pPr>
            <w:r>
              <w:rPr>
                <w:rFonts w:ascii="Arial" w:cs="Arial" w:eastAsia="Arial" w:hAnsi="Arial"/>
                <w:sz w:val="18"/>
                <w:szCs w:val="18"/>
                <w:color w:val="auto"/>
              </w:rPr>
              <w:t>Notes due 2038</w:t>
            </w:r>
          </w:p>
        </w:tc>
        <w:tc>
          <w:tcPr>
            <w:tcW w:w="40" w:type="dxa"/>
            <w:vAlign w:val="bottom"/>
          </w:tcPr>
          <w:p>
            <w:pPr>
              <w:spacing w:after="0"/>
              <w:rPr>
                <w:sz w:val="22"/>
                <w:szCs w:val="22"/>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Comcast Corporation</w:t>
            </w:r>
          </w:p>
        </w:tc>
        <w:tc>
          <w:tcPr>
            <w:tcW w:w="6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20030N AX9</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7"/>
              </w:rPr>
              <w:t>$571,915</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0"/>
              </w:rPr>
              <w:t>$333,170</w:t>
            </w:r>
          </w:p>
        </w:tc>
        <w:tc>
          <w:tcPr>
            <w:tcW w:w="20" w:type="dxa"/>
            <w:vAlign w:val="bottom"/>
          </w:tcPr>
          <w:p>
            <w:pPr>
              <w:spacing w:after="0"/>
              <w:rPr>
                <w:sz w:val="22"/>
                <w:szCs w:val="22"/>
                <w:color w:val="auto"/>
              </w:rPr>
            </w:pP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w w:val="91"/>
              </w:rPr>
              <w:t>6.950%</w:t>
            </w:r>
          </w:p>
        </w:tc>
        <w:tc>
          <w:tcPr>
            <w:tcW w:w="1960" w:type="dxa"/>
            <w:vAlign w:val="bottom"/>
          </w:tcPr>
          <w:p>
            <w:pPr>
              <w:ind w:left="20"/>
              <w:spacing w:after="0"/>
              <w:rPr>
                <w:sz w:val="20"/>
                <w:szCs w:val="20"/>
                <w:color w:val="auto"/>
              </w:rPr>
            </w:pPr>
            <w:r>
              <w:rPr>
                <w:rFonts w:ascii="Arial" w:cs="Arial" w:eastAsia="Arial" w:hAnsi="Arial"/>
                <w:sz w:val="18"/>
                <w:szCs w:val="18"/>
                <w:color w:val="auto"/>
              </w:rPr>
              <w:t>Notes due 2037</w:t>
            </w:r>
          </w:p>
        </w:tc>
        <w:tc>
          <w:tcPr>
            <w:tcW w:w="4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Comcast Corporation</w:t>
            </w:r>
          </w:p>
        </w:tc>
        <w:tc>
          <w:tcPr>
            <w:tcW w:w="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20030N AV3</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7"/>
              </w:rPr>
              <w:t>$787,725</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0"/>
              </w:rPr>
              <w:t>$359,168</w:t>
            </w:r>
          </w:p>
        </w:tc>
        <w:tc>
          <w:tcPr>
            <w:tcW w:w="20" w:type="dxa"/>
            <w:vAlign w:val="bottom"/>
          </w:tcPr>
          <w:p>
            <w:pPr>
              <w:spacing w:after="0"/>
              <w:rPr>
                <w:sz w:val="23"/>
                <w:szCs w:val="23"/>
                <w:color w:val="auto"/>
              </w:rPr>
            </w:pP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w w:val="91"/>
              </w:rPr>
              <w:t>6.450%</w:t>
            </w:r>
          </w:p>
        </w:tc>
        <w:tc>
          <w:tcPr>
            <w:tcW w:w="1960" w:type="dxa"/>
            <w:vAlign w:val="bottom"/>
          </w:tcPr>
          <w:p>
            <w:pPr>
              <w:ind w:left="20"/>
              <w:spacing w:after="0"/>
              <w:rPr>
                <w:sz w:val="20"/>
                <w:szCs w:val="20"/>
                <w:color w:val="auto"/>
              </w:rPr>
            </w:pPr>
            <w:r>
              <w:rPr>
                <w:rFonts w:ascii="Arial" w:cs="Arial" w:eastAsia="Arial" w:hAnsi="Arial"/>
                <w:sz w:val="18"/>
                <w:szCs w:val="18"/>
                <w:color w:val="auto"/>
              </w:rPr>
              <w:t>Notes due 2037</w:t>
            </w:r>
          </w:p>
        </w:tc>
        <w:tc>
          <w:tcPr>
            <w:tcW w:w="4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Comcast Corporation</w:t>
            </w:r>
          </w:p>
        </w:tc>
        <w:tc>
          <w:tcPr>
            <w:tcW w:w="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7"/>
              </w:rPr>
              <w:t>20030N AM3</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7"/>
              </w:rPr>
              <w:t>$904,355</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0"/>
              </w:rPr>
              <w:t>$288,177</w:t>
            </w:r>
          </w:p>
        </w:tc>
        <w:tc>
          <w:tcPr>
            <w:tcW w:w="20" w:type="dxa"/>
            <w:vAlign w:val="bottom"/>
          </w:tcPr>
          <w:p>
            <w:pPr>
              <w:spacing w:after="0"/>
              <w:rPr>
                <w:sz w:val="23"/>
                <w:szCs w:val="23"/>
                <w:color w:val="auto"/>
              </w:rPr>
            </w:pP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w w:val="91"/>
              </w:rPr>
              <w:t>6.400%</w:t>
            </w:r>
          </w:p>
        </w:tc>
        <w:tc>
          <w:tcPr>
            <w:tcW w:w="1960" w:type="dxa"/>
            <w:vAlign w:val="bottom"/>
          </w:tcPr>
          <w:p>
            <w:pPr>
              <w:ind w:left="20"/>
              <w:spacing w:after="0"/>
              <w:rPr>
                <w:sz w:val="20"/>
                <w:szCs w:val="20"/>
                <w:color w:val="auto"/>
              </w:rPr>
            </w:pPr>
            <w:r>
              <w:rPr>
                <w:rFonts w:ascii="Arial" w:cs="Arial" w:eastAsia="Arial" w:hAnsi="Arial"/>
                <w:sz w:val="18"/>
                <w:szCs w:val="18"/>
                <w:color w:val="auto"/>
              </w:rPr>
              <w:t>Notes due March 2040</w:t>
            </w:r>
          </w:p>
        </w:tc>
        <w:tc>
          <w:tcPr>
            <w:tcW w:w="4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Comcast Corporation</w:t>
            </w:r>
          </w:p>
        </w:tc>
        <w:tc>
          <w:tcPr>
            <w:tcW w:w="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20030N BB6</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7"/>
              </w:rPr>
              <w:t>$481,743</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0"/>
              </w:rPr>
              <w:t>$189,345</w:t>
            </w:r>
          </w:p>
        </w:tc>
        <w:tc>
          <w:tcPr>
            <w:tcW w:w="20" w:type="dxa"/>
            <w:vAlign w:val="bottom"/>
          </w:tcPr>
          <w:p>
            <w:pPr>
              <w:spacing w:after="0"/>
              <w:rPr>
                <w:sz w:val="23"/>
                <w:szCs w:val="23"/>
                <w:color w:val="auto"/>
              </w:rPr>
            </w:pPr>
          </w:p>
        </w:tc>
      </w:tr>
      <w:tr>
        <w:trPr>
          <w:trHeight w:val="350"/>
        </w:trPr>
        <w:tc>
          <w:tcPr>
            <w:tcW w:w="580" w:type="dxa"/>
            <w:vAlign w:val="bottom"/>
          </w:tcPr>
          <w:p>
            <w:pPr>
              <w:spacing w:after="0"/>
              <w:rPr>
                <w:sz w:val="20"/>
                <w:szCs w:val="20"/>
                <w:color w:val="auto"/>
              </w:rPr>
            </w:pPr>
            <w:r>
              <w:rPr>
                <w:rFonts w:ascii="Arial" w:cs="Arial" w:eastAsia="Arial" w:hAnsi="Arial"/>
                <w:sz w:val="18"/>
                <w:szCs w:val="18"/>
                <w:color w:val="auto"/>
                <w:w w:val="91"/>
              </w:rPr>
              <w:t>6.400%</w:t>
            </w:r>
          </w:p>
        </w:tc>
        <w:tc>
          <w:tcPr>
            <w:tcW w:w="1960" w:type="dxa"/>
            <w:vAlign w:val="bottom"/>
          </w:tcPr>
          <w:p>
            <w:pPr>
              <w:ind w:left="20"/>
              <w:spacing w:after="0"/>
              <w:rPr>
                <w:sz w:val="20"/>
                <w:szCs w:val="20"/>
                <w:color w:val="auto"/>
              </w:rPr>
            </w:pPr>
            <w:r>
              <w:rPr>
                <w:rFonts w:ascii="Arial" w:cs="Arial" w:eastAsia="Arial" w:hAnsi="Arial"/>
                <w:sz w:val="18"/>
                <w:szCs w:val="18"/>
                <w:color w:val="auto"/>
              </w:rPr>
              <w:t>Notes due April 2040</w:t>
            </w:r>
          </w:p>
        </w:tc>
        <w:tc>
          <w:tcPr>
            <w:tcW w:w="40" w:type="dxa"/>
            <w:vAlign w:val="bottom"/>
          </w:tcPr>
          <w:p>
            <w:pPr>
              <w:spacing w:after="0"/>
              <w:rPr>
                <w:sz w:val="24"/>
                <w:szCs w:val="24"/>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NBCUniversal Media, LLC</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63946B AF7</w:t>
            </w:r>
            <w:r>
              <w:rPr>
                <w:rFonts w:ascii="Arial" w:cs="Arial" w:eastAsia="Arial" w:hAnsi="Arial"/>
                <w:sz w:val="29"/>
                <w:szCs w:val="29"/>
                <w:color w:val="auto"/>
                <w:w w:val="88"/>
                <w:vertAlign w:val="superscript"/>
              </w:rPr>
              <w:t>(1)</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7"/>
              </w:rPr>
              <w:t>$558,422</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0"/>
              </w:rPr>
              <w:t>$172,526</w:t>
            </w:r>
          </w:p>
        </w:tc>
        <w:tc>
          <w:tcPr>
            <w:tcW w:w="20" w:type="dxa"/>
            <w:vAlign w:val="bottom"/>
          </w:tcPr>
          <w:p>
            <w:pPr>
              <w:spacing w:after="0"/>
              <w:rPr>
                <w:sz w:val="24"/>
                <w:szCs w:val="24"/>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w w:val="91"/>
              </w:rPr>
              <w:t>6.550%</w:t>
            </w:r>
          </w:p>
        </w:tc>
        <w:tc>
          <w:tcPr>
            <w:tcW w:w="1960" w:type="dxa"/>
            <w:vAlign w:val="bottom"/>
          </w:tcPr>
          <w:p>
            <w:pPr>
              <w:ind w:left="20"/>
              <w:spacing w:after="0"/>
              <w:rPr>
                <w:sz w:val="20"/>
                <w:szCs w:val="20"/>
                <w:color w:val="auto"/>
              </w:rPr>
            </w:pPr>
            <w:r>
              <w:rPr>
                <w:rFonts w:ascii="Arial" w:cs="Arial" w:eastAsia="Arial" w:hAnsi="Arial"/>
                <w:sz w:val="18"/>
                <w:szCs w:val="18"/>
                <w:color w:val="auto"/>
              </w:rPr>
              <w:t>Notes due 2039</w:t>
            </w:r>
          </w:p>
        </w:tc>
        <w:tc>
          <w:tcPr>
            <w:tcW w:w="40" w:type="dxa"/>
            <w:vAlign w:val="bottom"/>
          </w:tcPr>
          <w:p>
            <w:pPr>
              <w:spacing w:after="0"/>
              <w:rPr>
                <w:sz w:val="20"/>
                <w:szCs w:val="20"/>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Comcast Corporation</w:t>
            </w:r>
          </w:p>
        </w:tc>
        <w:tc>
          <w:tcPr>
            <w:tcW w:w="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20030N AY7</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7"/>
              </w:rPr>
              <w:t>$413,668</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89"/>
              </w:rPr>
              <w:t>$91,628</w:t>
            </w:r>
          </w:p>
        </w:tc>
        <w:tc>
          <w:tcPr>
            <w:tcW w:w="20" w:type="dxa"/>
            <w:vAlign w:val="bottom"/>
          </w:tcPr>
          <w:p>
            <w:pPr>
              <w:spacing w:after="0"/>
              <w:rPr>
                <w:sz w:val="20"/>
                <w:szCs w:val="20"/>
                <w:color w:val="auto"/>
              </w:rPr>
            </w:pP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w w:val="91"/>
              </w:rPr>
              <w:t>4.600%</w:t>
            </w:r>
          </w:p>
        </w:tc>
        <w:tc>
          <w:tcPr>
            <w:tcW w:w="1960" w:type="dxa"/>
            <w:vAlign w:val="bottom"/>
          </w:tcPr>
          <w:p>
            <w:pPr>
              <w:ind w:left="20"/>
              <w:spacing w:after="0"/>
              <w:rPr>
                <w:sz w:val="20"/>
                <w:szCs w:val="20"/>
                <w:color w:val="auto"/>
              </w:rPr>
            </w:pPr>
            <w:r>
              <w:rPr>
                <w:rFonts w:ascii="Arial" w:cs="Arial" w:eastAsia="Arial" w:hAnsi="Arial"/>
                <w:sz w:val="18"/>
                <w:szCs w:val="18"/>
                <w:color w:val="auto"/>
              </w:rPr>
              <w:t>Notes due 2038*</w:t>
            </w:r>
          </w:p>
        </w:tc>
        <w:tc>
          <w:tcPr>
            <w:tcW w:w="4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Comcast Corporation</w:t>
            </w:r>
          </w:p>
        </w:tc>
        <w:tc>
          <w:tcPr>
            <w:tcW w:w="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20030N CL3</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0"/>
              </w:rPr>
              <w:t>$3,000,000</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88"/>
              </w:rPr>
              <w:t>$2,031,115</w:t>
            </w:r>
          </w:p>
        </w:tc>
        <w:tc>
          <w:tcPr>
            <w:tcW w:w="20" w:type="dxa"/>
            <w:vAlign w:val="bottom"/>
          </w:tcPr>
          <w:p>
            <w:pPr>
              <w:spacing w:after="0"/>
              <w:rPr>
                <w:sz w:val="23"/>
                <w:szCs w:val="23"/>
                <w:color w:val="auto"/>
              </w:rPr>
            </w:pP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w w:val="91"/>
              </w:rPr>
              <w:t>6.500%</w:t>
            </w:r>
          </w:p>
        </w:tc>
        <w:tc>
          <w:tcPr>
            <w:tcW w:w="1960" w:type="dxa"/>
            <w:vAlign w:val="bottom"/>
          </w:tcPr>
          <w:p>
            <w:pPr>
              <w:ind w:left="20"/>
              <w:spacing w:after="0"/>
              <w:rPr>
                <w:sz w:val="20"/>
                <w:szCs w:val="20"/>
                <w:color w:val="auto"/>
              </w:rPr>
            </w:pPr>
            <w:r>
              <w:rPr>
                <w:rFonts w:ascii="Arial" w:cs="Arial" w:eastAsia="Arial" w:hAnsi="Arial"/>
                <w:sz w:val="18"/>
                <w:szCs w:val="18"/>
                <w:color w:val="auto"/>
              </w:rPr>
              <w:t>Notes due 2035</w:t>
            </w:r>
          </w:p>
        </w:tc>
        <w:tc>
          <w:tcPr>
            <w:tcW w:w="4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Comcast Corporation</w:t>
            </w:r>
          </w:p>
        </w:tc>
        <w:tc>
          <w:tcPr>
            <w:tcW w:w="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20030N AK7</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0"/>
              </w:rPr>
              <w:t>$1,000,000</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0"/>
              </w:rPr>
              <w:t>$376,483</w:t>
            </w:r>
          </w:p>
        </w:tc>
        <w:tc>
          <w:tcPr>
            <w:tcW w:w="20" w:type="dxa"/>
            <w:vAlign w:val="bottom"/>
          </w:tcPr>
          <w:p>
            <w:pPr>
              <w:spacing w:after="0"/>
              <w:rPr>
                <w:sz w:val="23"/>
                <w:szCs w:val="23"/>
                <w:color w:val="auto"/>
              </w:rPr>
            </w:pP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w w:val="91"/>
              </w:rPr>
              <w:t>5.650%</w:t>
            </w:r>
          </w:p>
        </w:tc>
        <w:tc>
          <w:tcPr>
            <w:tcW w:w="1960" w:type="dxa"/>
            <w:vAlign w:val="bottom"/>
          </w:tcPr>
          <w:p>
            <w:pPr>
              <w:ind w:left="20"/>
              <w:spacing w:after="0"/>
              <w:rPr>
                <w:sz w:val="20"/>
                <w:szCs w:val="20"/>
                <w:color w:val="auto"/>
              </w:rPr>
            </w:pPr>
            <w:r>
              <w:rPr>
                <w:rFonts w:ascii="Arial" w:cs="Arial" w:eastAsia="Arial" w:hAnsi="Arial"/>
                <w:sz w:val="18"/>
                <w:szCs w:val="18"/>
                <w:color w:val="auto"/>
              </w:rPr>
              <w:t>Notes due 2035</w:t>
            </w:r>
          </w:p>
        </w:tc>
        <w:tc>
          <w:tcPr>
            <w:tcW w:w="4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Comcast Corporation</w:t>
            </w:r>
          </w:p>
        </w:tc>
        <w:tc>
          <w:tcPr>
            <w:tcW w:w="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20030N AF8</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7"/>
              </w:rPr>
              <w:t>$750,000</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89"/>
              </w:rPr>
              <w:t>$0</w:t>
            </w:r>
          </w:p>
        </w:tc>
        <w:tc>
          <w:tcPr>
            <w:tcW w:w="20" w:type="dxa"/>
            <w:vAlign w:val="bottom"/>
          </w:tcPr>
          <w:p>
            <w:pPr>
              <w:spacing w:after="0"/>
              <w:rPr>
                <w:sz w:val="23"/>
                <w:szCs w:val="23"/>
                <w:color w:val="auto"/>
              </w:rPr>
            </w:pP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w w:val="91"/>
              </w:rPr>
              <w:t>7.050%</w:t>
            </w:r>
          </w:p>
        </w:tc>
        <w:tc>
          <w:tcPr>
            <w:tcW w:w="1960" w:type="dxa"/>
            <w:vAlign w:val="bottom"/>
          </w:tcPr>
          <w:p>
            <w:pPr>
              <w:ind w:left="20"/>
              <w:spacing w:after="0"/>
              <w:rPr>
                <w:sz w:val="20"/>
                <w:szCs w:val="20"/>
                <w:color w:val="auto"/>
              </w:rPr>
            </w:pPr>
            <w:r>
              <w:rPr>
                <w:rFonts w:ascii="Arial" w:cs="Arial" w:eastAsia="Arial" w:hAnsi="Arial"/>
                <w:sz w:val="18"/>
                <w:szCs w:val="18"/>
                <w:color w:val="auto"/>
              </w:rPr>
              <w:t>Notes due 2033</w:t>
            </w:r>
          </w:p>
        </w:tc>
        <w:tc>
          <w:tcPr>
            <w:tcW w:w="4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Comcast Corporation</w:t>
            </w:r>
          </w:p>
        </w:tc>
        <w:tc>
          <w:tcPr>
            <w:tcW w:w="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20030N AC5</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7"/>
              </w:rPr>
              <w:t>$750,000</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89"/>
              </w:rPr>
              <w:t>$0</w:t>
            </w:r>
          </w:p>
        </w:tc>
        <w:tc>
          <w:tcPr>
            <w:tcW w:w="20" w:type="dxa"/>
            <w:vAlign w:val="bottom"/>
          </w:tcPr>
          <w:p>
            <w:pPr>
              <w:spacing w:after="0"/>
              <w:rPr>
                <w:sz w:val="23"/>
                <w:szCs w:val="23"/>
                <w:color w:val="auto"/>
              </w:rPr>
            </w:pPr>
          </w:p>
        </w:tc>
      </w:tr>
      <w:tr>
        <w:trPr>
          <w:trHeight w:val="270"/>
        </w:trPr>
        <w:tc>
          <w:tcPr>
            <w:tcW w:w="5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40" w:type="dxa"/>
            <w:vAlign w:val="bottom"/>
          </w:tcPr>
          <w:p>
            <w:pPr>
              <w:ind w:left="820"/>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$9,217,828</w:t>
            </w:r>
          </w:p>
        </w:tc>
        <w:tc>
          <w:tcPr>
            <w:tcW w:w="2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$3,841,612</w:t>
            </w:r>
          </w:p>
        </w:tc>
        <w:tc>
          <w:tcPr>
            <w:tcW w:w="20" w:type="dxa"/>
            <w:vAlign w:val="bottom"/>
          </w:tcPr>
          <w:p>
            <w:pPr>
              <w:spacing w:after="0"/>
              <w:rPr>
                <w:sz w:val="23"/>
                <w:szCs w:val="23"/>
                <w:color w:val="auto"/>
              </w:rPr>
            </w:pPr>
          </w:p>
        </w:tc>
      </w:tr>
    </w:tbl>
    <w:p>
      <w:pPr>
        <w:spacing w:after="0" w:line="256" w:lineRule="exact"/>
        <w:rPr>
          <w:sz w:val="20"/>
          <w:szCs w:val="20"/>
          <w:color w:val="auto"/>
        </w:rPr>
      </w:pPr>
    </w:p>
    <w:p>
      <w:pPr>
        <w:ind w:left="940" w:right="280" w:hanging="648"/>
        <w:spacing w:after="0" w:line="277" w:lineRule="auto"/>
        <w:tabs>
          <w:tab w:leader="none" w:pos="9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6.400% Notes due April 2040 also includes notes with a restrictive legend (144A CUSIP number: 62875UAD7; Regulation S CUSIP: U63763AB9).</w:t>
      </w:r>
    </w:p>
    <w:p>
      <w:pPr>
        <w:spacing w:after="0" w:line="170" w:lineRule="exact"/>
        <w:rPr>
          <w:sz w:val="20"/>
          <w:szCs w:val="20"/>
          <w:color w:val="auto"/>
        </w:rPr>
      </w:pPr>
    </w:p>
    <w:p>
      <w:pPr>
        <w:ind w:left="940" w:right="140" w:hanging="648"/>
        <w:spacing w:after="0" w:line="277" w:lineRule="auto"/>
        <w:tabs>
          <w:tab w:leader="none" w:pos="9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Denotes a series of Pool 1 Notes for which the total consideration and exchange consideration will be determined taking into account the par call date, instead of the maturity date, in accordance with standard market practice.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gridSpan w:val="2"/>
          </w:tcPr>
          <w:p>
            <w:pPr>
              <w:ind w:left="300"/>
              <w:spacing w:after="0"/>
              <w:rPr>
                <w:sz w:val="20"/>
                <w:szCs w:val="20"/>
                <w:color w:val="auto"/>
              </w:rPr>
            </w:pPr>
            <w:r>
              <w:rPr>
                <w:rFonts w:ascii="Arial" w:cs="Arial" w:eastAsia="Arial" w:hAnsi="Arial"/>
                <w:sz w:val="18"/>
                <w:szCs w:val="18"/>
                <w:i w:val="1"/>
                <w:iCs w:val="1"/>
                <w:color w:val="auto"/>
              </w:rPr>
              <w:t>Pool 2 Notes</w:t>
            </w: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41"/>
        </w:trPr>
        <w:tc>
          <w:tcPr>
            <w:tcW w:w="5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60" w:type="dxa"/>
            <w:vAlign w:val="bottom"/>
          </w:tcPr>
          <w:p>
            <w:pPr>
              <w:spacing w:after="0"/>
              <w:rPr>
                <w:sz w:val="24"/>
                <w:szCs w:val="24"/>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9"/>
              </w:rPr>
              <w:t>Notes Exchanged For New 2056</w:t>
            </w:r>
          </w:p>
        </w:tc>
      </w:tr>
      <w:tr>
        <w:trPr>
          <w:trHeight w:val="234"/>
        </w:trPr>
        <w:tc>
          <w:tcPr>
            <w:tcW w:w="2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Title of Security</w:t>
            </w:r>
          </w:p>
        </w:tc>
        <w:tc>
          <w:tcPr>
            <w:tcW w:w="40" w:type="dxa"/>
            <w:vAlign w:val="bottom"/>
          </w:tcPr>
          <w:p>
            <w:pPr>
              <w:spacing w:after="0"/>
              <w:rPr>
                <w:sz w:val="20"/>
                <w:szCs w:val="20"/>
                <w:color w:val="auto"/>
              </w:rPr>
            </w:pPr>
          </w:p>
        </w:tc>
        <w:tc>
          <w:tcPr>
            <w:tcW w:w="242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Issuer</w:t>
            </w:r>
          </w:p>
        </w:tc>
        <w:tc>
          <w:tcPr>
            <w:tcW w:w="60" w:type="dxa"/>
            <w:vAlign w:val="bottom"/>
          </w:tcPr>
          <w:p>
            <w:pPr>
              <w:spacing w:after="0"/>
              <w:rPr>
                <w:sz w:val="20"/>
                <w:szCs w:val="20"/>
                <w:color w:val="auto"/>
              </w:rPr>
            </w:pPr>
          </w:p>
        </w:tc>
        <w:tc>
          <w:tcPr>
            <w:tcW w:w="17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CUSIP Number</w:t>
            </w:r>
          </w:p>
        </w:tc>
        <w:tc>
          <w:tcPr>
            <w:tcW w:w="6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xml:space="preserve">Outstanding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000)</w:t>
            </w:r>
          </w:p>
        </w:tc>
        <w:tc>
          <w:tcPr>
            <w:tcW w:w="6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Notes ($000)</w:t>
            </w:r>
          </w:p>
        </w:tc>
      </w:tr>
      <w:tr>
        <w:trPr>
          <w:trHeight w:val="264"/>
        </w:trPr>
        <w:tc>
          <w:tcPr>
            <w:tcW w:w="580" w:type="dxa"/>
            <w:vAlign w:val="bottom"/>
          </w:tcPr>
          <w:p>
            <w:pPr>
              <w:spacing w:after="0"/>
              <w:rPr>
                <w:sz w:val="20"/>
                <w:szCs w:val="20"/>
                <w:color w:val="auto"/>
              </w:rPr>
            </w:pPr>
            <w:r>
              <w:rPr>
                <w:rFonts w:ascii="Arial" w:cs="Arial" w:eastAsia="Arial" w:hAnsi="Arial"/>
                <w:sz w:val="18"/>
                <w:szCs w:val="18"/>
                <w:color w:val="auto"/>
                <w:w w:val="91"/>
              </w:rPr>
              <w:t>5.950%</w:t>
            </w:r>
          </w:p>
        </w:tc>
        <w:tc>
          <w:tcPr>
            <w:tcW w:w="1960" w:type="dxa"/>
            <w:vAlign w:val="bottom"/>
          </w:tcPr>
          <w:p>
            <w:pPr>
              <w:ind w:left="20"/>
              <w:spacing w:after="0"/>
              <w:rPr>
                <w:sz w:val="20"/>
                <w:szCs w:val="20"/>
                <w:color w:val="auto"/>
              </w:rPr>
            </w:pPr>
            <w:r>
              <w:rPr>
                <w:rFonts w:ascii="Arial" w:cs="Arial" w:eastAsia="Arial" w:hAnsi="Arial"/>
                <w:sz w:val="18"/>
                <w:szCs w:val="18"/>
                <w:color w:val="auto"/>
              </w:rPr>
              <w:t>Notes due 2041</w:t>
            </w:r>
          </w:p>
        </w:tc>
        <w:tc>
          <w:tcPr>
            <w:tcW w:w="40" w:type="dxa"/>
            <w:vAlign w:val="bottom"/>
          </w:tcPr>
          <w:p>
            <w:pPr>
              <w:spacing w:after="0"/>
              <w:rPr>
                <w:sz w:val="22"/>
                <w:szCs w:val="22"/>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NBCUniversal Media, LLC</w:t>
            </w:r>
          </w:p>
        </w:tc>
        <w:tc>
          <w:tcPr>
            <w:tcW w:w="6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63946B AG5</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0"/>
              </w:rPr>
              <w:t>$1,200,000</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0"/>
              </w:rPr>
              <w:t>$712,470</w:t>
            </w: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w w:val="91"/>
              </w:rPr>
              <w:t>4.700%</w:t>
            </w:r>
          </w:p>
        </w:tc>
        <w:tc>
          <w:tcPr>
            <w:tcW w:w="1960" w:type="dxa"/>
            <w:vAlign w:val="bottom"/>
          </w:tcPr>
          <w:p>
            <w:pPr>
              <w:ind w:left="20"/>
              <w:spacing w:after="0"/>
              <w:rPr>
                <w:sz w:val="20"/>
                <w:szCs w:val="20"/>
                <w:color w:val="auto"/>
              </w:rPr>
            </w:pPr>
            <w:r>
              <w:rPr>
                <w:rFonts w:ascii="Arial" w:cs="Arial" w:eastAsia="Arial" w:hAnsi="Arial"/>
                <w:sz w:val="18"/>
                <w:szCs w:val="18"/>
                <w:color w:val="auto"/>
              </w:rPr>
              <w:t>Notes due 2048*</w:t>
            </w:r>
          </w:p>
        </w:tc>
        <w:tc>
          <w:tcPr>
            <w:tcW w:w="4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Comcast Corporation</w:t>
            </w:r>
          </w:p>
        </w:tc>
        <w:tc>
          <w:tcPr>
            <w:tcW w:w="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20030N CM1</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0"/>
              </w:rPr>
              <w:t>$4,000,000</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88"/>
              </w:rPr>
              <w:t>$2,032,038</w:t>
            </w: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w w:val="91"/>
              </w:rPr>
              <w:t>4.750%</w:t>
            </w:r>
          </w:p>
        </w:tc>
        <w:tc>
          <w:tcPr>
            <w:tcW w:w="1960" w:type="dxa"/>
            <w:vAlign w:val="bottom"/>
          </w:tcPr>
          <w:p>
            <w:pPr>
              <w:ind w:left="20"/>
              <w:spacing w:after="0"/>
              <w:rPr>
                <w:sz w:val="20"/>
                <w:szCs w:val="20"/>
                <w:color w:val="auto"/>
              </w:rPr>
            </w:pPr>
            <w:r>
              <w:rPr>
                <w:rFonts w:ascii="Arial" w:cs="Arial" w:eastAsia="Arial" w:hAnsi="Arial"/>
                <w:sz w:val="18"/>
                <w:szCs w:val="18"/>
                <w:color w:val="auto"/>
              </w:rPr>
              <w:t>Notes due 2044</w:t>
            </w:r>
          </w:p>
        </w:tc>
        <w:tc>
          <w:tcPr>
            <w:tcW w:w="4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Comcast Corporation</w:t>
            </w:r>
          </w:p>
        </w:tc>
        <w:tc>
          <w:tcPr>
            <w:tcW w:w="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20030N BK6</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0"/>
              </w:rPr>
              <w:t>$1,000,000</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0"/>
              </w:rPr>
              <w:t>$556,930</w:t>
            </w: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w w:val="91"/>
              </w:rPr>
              <w:t>4.650%</w:t>
            </w:r>
          </w:p>
        </w:tc>
        <w:tc>
          <w:tcPr>
            <w:tcW w:w="1960" w:type="dxa"/>
            <w:vAlign w:val="bottom"/>
          </w:tcPr>
          <w:p>
            <w:pPr>
              <w:ind w:left="20"/>
              <w:spacing w:after="0"/>
              <w:rPr>
                <w:sz w:val="20"/>
                <w:szCs w:val="20"/>
                <w:color w:val="auto"/>
              </w:rPr>
            </w:pPr>
            <w:r>
              <w:rPr>
                <w:rFonts w:ascii="Arial" w:cs="Arial" w:eastAsia="Arial" w:hAnsi="Arial"/>
                <w:sz w:val="18"/>
                <w:szCs w:val="18"/>
                <w:color w:val="auto"/>
              </w:rPr>
              <w:t>Notes due 2042</w:t>
            </w:r>
          </w:p>
        </w:tc>
        <w:tc>
          <w:tcPr>
            <w:tcW w:w="4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Comcast Corporation</w:t>
            </w:r>
          </w:p>
        </w:tc>
        <w:tc>
          <w:tcPr>
            <w:tcW w:w="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2"/>
              </w:rPr>
              <w:t>20030N BE0</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0"/>
              </w:rPr>
              <w:t>$1,250,000</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0"/>
              </w:rPr>
              <w:t>$600,305</w:t>
            </w: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w w:val="91"/>
              </w:rPr>
              <w:t>4.500%</w:t>
            </w:r>
          </w:p>
        </w:tc>
        <w:tc>
          <w:tcPr>
            <w:tcW w:w="1960" w:type="dxa"/>
            <w:vAlign w:val="bottom"/>
          </w:tcPr>
          <w:p>
            <w:pPr>
              <w:ind w:left="20"/>
              <w:spacing w:after="0"/>
              <w:rPr>
                <w:sz w:val="20"/>
                <w:szCs w:val="20"/>
                <w:color w:val="auto"/>
              </w:rPr>
            </w:pPr>
            <w:r>
              <w:rPr>
                <w:rFonts w:ascii="Arial" w:cs="Arial" w:eastAsia="Arial" w:hAnsi="Arial"/>
                <w:sz w:val="18"/>
                <w:szCs w:val="18"/>
                <w:color w:val="auto"/>
              </w:rPr>
              <w:t>Notes due 2043</w:t>
            </w:r>
          </w:p>
        </w:tc>
        <w:tc>
          <w:tcPr>
            <w:tcW w:w="4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Comcast Corporation</w:t>
            </w:r>
          </w:p>
        </w:tc>
        <w:tc>
          <w:tcPr>
            <w:tcW w:w="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20030N BG5</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87"/>
              </w:rPr>
              <w:t>$500,000</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0"/>
              </w:rPr>
              <w:t>$325,521</w:t>
            </w: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w w:val="91"/>
              </w:rPr>
              <w:t>4.450%</w:t>
            </w:r>
          </w:p>
        </w:tc>
        <w:tc>
          <w:tcPr>
            <w:tcW w:w="1960" w:type="dxa"/>
            <w:vAlign w:val="bottom"/>
          </w:tcPr>
          <w:p>
            <w:pPr>
              <w:ind w:left="20"/>
              <w:spacing w:after="0"/>
              <w:rPr>
                <w:sz w:val="20"/>
                <w:szCs w:val="20"/>
                <w:color w:val="auto"/>
              </w:rPr>
            </w:pPr>
            <w:r>
              <w:rPr>
                <w:rFonts w:ascii="Arial" w:cs="Arial" w:eastAsia="Arial" w:hAnsi="Arial"/>
                <w:sz w:val="18"/>
                <w:szCs w:val="18"/>
                <w:color w:val="auto"/>
              </w:rPr>
              <w:t>Notes due 2043</w:t>
            </w:r>
          </w:p>
        </w:tc>
        <w:tc>
          <w:tcPr>
            <w:tcW w:w="40" w:type="dxa"/>
            <w:vAlign w:val="bottom"/>
          </w:tcPr>
          <w:p>
            <w:pPr>
              <w:spacing w:after="0"/>
              <w:rPr>
                <w:sz w:val="23"/>
                <w:szCs w:val="23"/>
                <w:color w:val="auto"/>
              </w:rPr>
            </w:pPr>
          </w:p>
        </w:tc>
        <w:tc>
          <w:tcPr>
            <w:tcW w:w="2420" w:type="dxa"/>
            <w:vAlign w:val="bottom"/>
          </w:tcPr>
          <w:p>
            <w:pPr>
              <w:spacing w:after="0"/>
              <w:rPr>
                <w:sz w:val="20"/>
                <w:szCs w:val="20"/>
                <w:color w:val="auto"/>
              </w:rPr>
            </w:pPr>
            <w:r>
              <w:rPr>
                <w:rFonts w:ascii="Arial" w:cs="Arial" w:eastAsia="Arial" w:hAnsi="Arial"/>
                <w:sz w:val="18"/>
                <w:szCs w:val="18"/>
                <w:color w:val="auto"/>
              </w:rPr>
              <w:t>NBCUniversal Media, LLC</w:t>
            </w:r>
          </w:p>
        </w:tc>
        <w:tc>
          <w:tcPr>
            <w:tcW w:w="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63946B AJ9</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0"/>
              </w:rPr>
              <w:t>$1,000,000</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0"/>
              </w:rPr>
              <w:t>$251,946</w:t>
            </w:r>
          </w:p>
        </w:tc>
      </w:tr>
      <w:tr>
        <w:trPr>
          <w:trHeight w:val="270"/>
        </w:trPr>
        <w:tc>
          <w:tcPr>
            <w:tcW w:w="5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740" w:type="dxa"/>
            <w:vAlign w:val="bottom"/>
          </w:tcPr>
          <w:p>
            <w:pPr>
              <w:ind w:left="820"/>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90"/>
              </w:rPr>
              <w:t>$8,950,000</w:t>
            </w:r>
          </w:p>
        </w:tc>
        <w:tc>
          <w:tcPr>
            <w:tcW w:w="2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$4,479,210</w:t>
            </w:r>
          </w:p>
        </w:tc>
      </w:tr>
    </w:tbl>
    <w:p>
      <w:pPr>
        <w:spacing w:after="0" w:line="256" w:lineRule="exact"/>
        <w:rPr>
          <w:sz w:val="20"/>
          <w:szCs w:val="20"/>
          <w:color w:val="auto"/>
        </w:rPr>
      </w:pPr>
    </w:p>
    <w:p>
      <w:pPr>
        <w:ind w:left="940" w:right="140" w:hanging="648"/>
        <w:spacing w:after="0" w:line="277" w:lineRule="auto"/>
        <w:tabs>
          <w:tab w:leader="none" w:pos="9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Denotes a series of Pool 2 Notes for which the total consideration and exchange consideration will be determined taking into account the par call date, instead of the maturity date, in accordance with standard market practice.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40" w:type="dxa"/>
            <w:vAlign w:val="bottom"/>
          </w:tcPr>
          <w:p>
            <w:pPr>
              <w:ind w:left="300"/>
              <w:spacing w:after="0"/>
              <w:rPr>
                <w:sz w:val="20"/>
                <w:szCs w:val="20"/>
                <w:color w:val="auto"/>
              </w:rPr>
            </w:pPr>
            <w:r>
              <w:rPr>
                <w:rFonts w:ascii="Arial" w:cs="Arial" w:eastAsia="Arial" w:hAnsi="Arial"/>
                <w:sz w:val="18"/>
                <w:szCs w:val="18"/>
                <w:i w:val="1"/>
                <w:iCs w:val="1"/>
                <w:color w:val="auto"/>
              </w:rPr>
              <w:t>Pool 3 Notes</w:t>
            </w: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41"/>
        </w:trPr>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60" w:type="dxa"/>
            <w:vAlign w:val="bottom"/>
          </w:tcPr>
          <w:p>
            <w:pPr>
              <w:spacing w:after="0"/>
              <w:rPr>
                <w:sz w:val="24"/>
                <w:szCs w:val="24"/>
                <w:color w:val="auto"/>
              </w:rPr>
            </w:pPr>
          </w:p>
        </w:tc>
        <w:tc>
          <w:tcPr>
            <w:tcW w:w="2760" w:type="dxa"/>
            <w:vAlign w:val="bottom"/>
          </w:tcPr>
          <w:p>
            <w:pPr>
              <w:jc w:val="center"/>
              <w:spacing w:after="0"/>
              <w:rPr>
                <w:sz w:val="20"/>
                <w:szCs w:val="20"/>
                <w:color w:val="auto"/>
              </w:rPr>
            </w:pPr>
            <w:r>
              <w:rPr>
                <w:rFonts w:ascii="Arial" w:cs="Arial" w:eastAsia="Arial" w:hAnsi="Arial"/>
                <w:sz w:val="18"/>
                <w:szCs w:val="18"/>
                <w:b w:val="1"/>
                <w:bCs w:val="1"/>
                <w:color w:val="auto"/>
                <w:w w:val="89"/>
              </w:rPr>
              <w:t>Notes Exchanged For New 2063</w:t>
            </w:r>
          </w:p>
        </w:tc>
      </w:tr>
      <w:tr>
        <w:trPr>
          <w:trHeight w:val="234"/>
        </w:trPr>
        <w:tc>
          <w:tcPr>
            <w:tcW w:w="2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Security</w:t>
            </w:r>
          </w:p>
        </w:tc>
        <w:tc>
          <w:tcPr>
            <w:tcW w:w="40" w:type="dxa"/>
            <w:vAlign w:val="bottom"/>
          </w:tcPr>
          <w:p>
            <w:pPr>
              <w:spacing w:after="0"/>
              <w:rPr>
                <w:sz w:val="20"/>
                <w:szCs w:val="20"/>
                <w:color w:val="auto"/>
              </w:rPr>
            </w:pPr>
          </w:p>
        </w:tc>
        <w:tc>
          <w:tcPr>
            <w:tcW w:w="242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Issuer</w:t>
            </w:r>
          </w:p>
        </w:tc>
        <w:tc>
          <w:tcPr>
            <w:tcW w:w="60" w:type="dxa"/>
            <w:vAlign w:val="bottom"/>
          </w:tcPr>
          <w:p>
            <w:pPr>
              <w:spacing w:after="0"/>
              <w:rPr>
                <w:sz w:val="20"/>
                <w:szCs w:val="20"/>
                <w:color w:val="auto"/>
              </w:rPr>
            </w:pPr>
          </w:p>
        </w:tc>
        <w:tc>
          <w:tcPr>
            <w:tcW w:w="174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CUSIP Number</w:t>
            </w:r>
          </w:p>
        </w:tc>
        <w:tc>
          <w:tcPr>
            <w:tcW w:w="6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 xml:space="preserve">Outstanding </w:t>
            </w: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000)</w:t>
            </w:r>
          </w:p>
        </w:tc>
        <w:tc>
          <w:tcPr>
            <w:tcW w:w="60" w:type="dxa"/>
            <w:vAlign w:val="bottom"/>
          </w:tcPr>
          <w:p>
            <w:pPr>
              <w:spacing w:after="0"/>
              <w:rPr>
                <w:sz w:val="20"/>
                <w:szCs w:val="20"/>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Notes ($000)</w:t>
            </w:r>
          </w:p>
        </w:tc>
      </w:tr>
      <w:tr>
        <w:trPr>
          <w:trHeight w:val="264"/>
        </w:trPr>
        <w:tc>
          <w:tcPr>
            <w:tcW w:w="2540" w:type="dxa"/>
            <w:vAlign w:val="bottom"/>
          </w:tcPr>
          <w:p>
            <w:pPr>
              <w:spacing w:after="0"/>
              <w:rPr>
                <w:sz w:val="20"/>
                <w:szCs w:val="20"/>
                <w:color w:val="auto"/>
              </w:rPr>
            </w:pPr>
            <w:r>
              <w:rPr>
                <w:rFonts w:ascii="Arial" w:cs="Arial" w:eastAsia="Arial" w:hAnsi="Arial"/>
                <w:sz w:val="18"/>
                <w:szCs w:val="18"/>
                <w:color w:val="auto"/>
              </w:rPr>
              <w:t>4.600% Notes due 2045*</w:t>
            </w:r>
          </w:p>
        </w:tc>
        <w:tc>
          <w:tcPr>
            <w:tcW w:w="40" w:type="dxa"/>
            <w:vAlign w:val="bottom"/>
          </w:tcPr>
          <w:p>
            <w:pPr>
              <w:spacing w:after="0"/>
              <w:rPr>
                <w:sz w:val="22"/>
                <w:szCs w:val="22"/>
                <w:color w:val="auto"/>
              </w:rPr>
            </w:pPr>
          </w:p>
        </w:tc>
        <w:tc>
          <w:tcPr>
            <w:tcW w:w="2420" w:type="dxa"/>
            <w:vAlign w:val="bottom"/>
          </w:tcPr>
          <w:p>
            <w:pPr>
              <w:ind w:left="240"/>
              <w:spacing w:after="0"/>
              <w:rPr>
                <w:sz w:val="20"/>
                <w:szCs w:val="20"/>
                <w:color w:val="auto"/>
              </w:rPr>
            </w:pPr>
            <w:r>
              <w:rPr>
                <w:rFonts w:ascii="Arial" w:cs="Arial" w:eastAsia="Arial" w:hAnsi="Arial"/>
                <w:sz w:val="18"/>
                <w:szCs w:val="18"/>
                <w:color w:val="auto"/>
              </w:rPr>
              <w:t>Comcast Corporation</w:t>
            </w:r>
          </w:p>
        </w:tc>
        <w:tc>
          <w:tcPr>
            <w:tcW w:w="60" w:type="dxa"/>
            <w:vAlign w:val="bottom"/>
          </w:tcPr>
          <w:p>
            <w:pPr>
              <w:spacing w:after="0"/>
              <w:rPr>
                <w:sz w:val="22"/>
                <w:szCs w:val="22"/>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20030N BQ3</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0"/>
              </w:rPr>
              <w:t>$1,700,000</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0"/>
              </w:rPr>
              <w:t>$937,766</w:t>
            </w:r>
          </w:p>
        </w:tc>
      </w:tr>
      <w:tr>
        <w:trPr>
          <w:trHeight w:val="270"/>
        </w:trPr>
        <w:tc>
          <w:tcPr>
            <w:tcW w:w="2540" w:type="dxa"/>
            <w:vAlign w:val="bottom"/>
          </w:tcPr>
          <w:p>
            <w:pPr>
              <w:spacing w:after="0"/>
              <w:rPr>
                <w:sz w:val="20"/>
                <w:szCs w:val="20"/>
                <w:color w:val="auto"/>
              </w:rPr>
            </w:pPr>
            <w:r>
              <w:rPr>
                <w:rFonts w:ascii="Arial" w:cs="Arial" w:eastAsia="Arial" w:hAnsi="Arial"/>
                <w:sz w:val="18"/>
                <w:szCs w:val="18"/>
                <w:color w:val="auto"/>
              </w:rPr>
              <w:t>4.950% Notes due 2058*</w:t>
            </w:r>
          </w:p>
        </w:tc>
        <w:tc>
          <w:tcPr>
            <w:tcW w:w="40" w:type="dxa"/>
            <w:vAlign w:val="bottom"/>
          </w:tcPr>
          <w:p>
            <w:pPr>
              <w:spacing w:after="0"/>
              <w:rPr>
                <w:sz w:val="23"/>
                <w:szCs w:val="23"/>
                <w:color w:val="auto"/>
              </w:rPr>
            </w:pPr>
          </w:p>
        </w:tc>
        <w:tc>
          <w:tcPr>
            <w:tcW w:w="2420" w:type="dxa"/>
            <w:vAlign w:val="bottom"/>
          </w:tcPr>
          <w:p>
            <w:pPr>
              <w:ind w:left="240"/>
              <w:spacing w:after="0"/>
              <w:rPr>
                <w:sz w:val="20"/>
                <w:szCs w:val="20"/>
                <w:color w:val="auto"/>
              </w:rPr>
            </w:pPr>
            <w:r>
              <w:rPr>
                <w:rFonts w:ascii="Arial" w:cs="Arial" w:eastAsia="Arial" w:hAnsi="Arial"/>
                <w:sz w:val="18"/>
                <w:szCs w:val="18"/>
                <w:color w:val="auto"/>
              </w:rPr>
              <w:t>Comcast Corporation</w:t>
            </w:r>
          </w:p>
        </w:tc>
        <w:tc>
          <w:tcPr>
            <w:tcW w:w="60" w:type="dxa"/>
            <w:vAlign w:val="bottom"/>
          </w:tcPr>
          <w:p>
            <w:pPr>
              <w:spacing w:after="0"/>
              <w:rPr>
                <w:sz w:val="23"/>
                <w:szCs w:val="23"/>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4"/>
              </w:rPr>
              <w:t>20030N CN9</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0"/>
              </w:rPr>
              <w:t>$2,500,000</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88"/>
              </w:rPr>
              <w:t>$1,464,790</w:t>
            </w:r>
          </w:p>
        </w:tc>
      </w:tr>
      <w:tr>
        <w:trPr>
          <w:trHeight w:val="346"/>
        </w:trPr>
        <w:tc>
          <w:tcPr>
            <w:tcW w:w="2540" w:type="dxa"/>
            <w:vAlign w:val="bottom"/>
          </w:tcPr>
          <w:p>
            <w:pPr>
              <w:spacing w:after="0"/>
              <w:rPr>
                <w:sz w:val="20"/>
                <w:szCs w:val="20"/>
                <w:color w:val="auto"/>
              </w:rPr>
            </w:pPr>
            <w:r>
              <w:rPr>
                <w:rFonts w:ascii="Arial" w:cs="Arial" w:eastAsia="Arial" w:hAnsi="Arial"/>
                <w:sz w:val="18"/>
                <w:szCs w:val="18"/>
                <w:color w:val="auto"/>
              </w:rPr>
              <w:t>4.049% Notes due 2052*</w:t>
            </w:r>
          </w:p>
        </w:tc>
        <w:tc>
          <w:tcPr>
            <w:tcW w:w="40" w:type="dxa"/>
            <w:vAlign w:val="bottom"/>
          </w:tcPr>
          <w:p>
            <w:pPr>
              <w:spacing w:after="0"/>
              <w:rPr>
                <w:sz w:val="24"/>
                <w:szCs w:val="24"/>
                <w:color w:val="auto"/>
              </w:rPr>
            </w:pPr>
          </w:p>
        </w:tc>
        <w:tc>
          <w:tcPr>
            <w:tcW w:w="2420" w:type="dxa"/>
            <w:vAlign w:val="bottom"/>
          </w:tcPr>
          <w:p>
            <w:pPr>
              <w:ind w:left="240"/>
              <w:spacing w:after="0"/>
              <w:rPr>
                <w:sz w:val="20"/>
                <w:szCs w:val="20"/>
                <w:color w:val="auto"/>
              </w:rPr>
            </w:pPr>
            <w:r>
              <w:rPr>
                <w:rFonts w:ascii="Arial" w:cs="Arial" w:eastAsia="Arial" w:hAnsi="Arial"/>
                <w:sz w:val="18"/>
                <w:szCs w:val="18"/>
                <w:color w:val="auto"/>
              </w:rPr>
              <w:t>Comcast Corporation</w:t>
            </w:r>
          </w:p>
        </w:tc>
        <w:tc>
          <w:tcPr>
            <w:tcW w:w="60" w:type="dxa"/>
            <w:vAlign w:val="bottom"/>
          </w:tcPr>
          <w:p>
            <w:pPr>
              <w:spacing w:after="0"/>
              <w:rPr>
                <w:sz w:val="24"/>
                <w:szCs w:val="24"/>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88"/>
              </w:rPr>
              <w:t>20030N CG4</w:t>
            </w:r>
            <w:r>
              <w:rPr>
                <w:rFonts w:ascii="Arial" w:cs="Arial" w:eastAsia="Arial" w:hAnsi="Arial"/>
                <w:sz w:val="29"/>
                <w:szCs w:val="29"/>
                <w:color w:val="auto"/>
                <w:w w:val="88"/>
                <w:vertAlign w:val="superscript"/>
              </w:rPr>
              <w:t>(1)</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0"/>
              </w:rPr>
              <w:t>$1,499,967</w:t>
            </w:r>
          </w:p>
        </w:tc>
        <w:tc>
          <w:tcPr>
            <w:tcW w:w="2820" w:type="dxa"/>
            <w:vAlign w:val="bottom"/>
            <w:gridSpan w:val="2"/>
          </w:tcPr>
          <w:p>
            <w:pPr>
              <w:jc w:val="center"/>
              <w:spacing w:after="0"/>
              <w:rPr>
                <w:sz w:val="20"/>
                <w:szCs w:val="20"/>
                <w:color w:val="auto"/>
              </w:rPr>
            </w:pPr>
            <w:r>
              <w:rPr>
                <w:rFonts w:ascii="Arial" w:cs="Arial" w:eastAsia="Arial" w:hAnsi="Arial"/>
                <w:sz w:val="18"/>
                <w:szCs w:val="18"/>
                <w:color w:val="auto"/>
                <w:w w:val="90"/>
              </w:rPr>
              <w:t>$494,262</w:t>
            </w:r>
          </w:p>
        </w:tc>
      </w:tr>
      <w:tr>
        <w:trPr>
          <w:trHeight w:val="234"/>
        </w:trPr>
        <w:tc>
          <w:tcPr>
            <w:tcW w:w="2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tcPr>
          <w:p>
            <w:pPr>
              <w:ind w:left="820"/>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$5,699,967</w:t>
            </w:r>
          </w:p>
        </w:tc>
        <w:tc>
          <w:tcPr>
            <w:tcW w:w="2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$2,896,818</w:t>
            </w:r>
          </w:p>
        </w:tc>
      </w:tr>
    </w:tbl>
    <w:p>
      <w:pPr>
        <w:spacing w:after="0" w:line="256" w:lineRule="exact"/>
        <w:rPr>
          <w:sz w:val="20"/>
          <w:szCs w:val="20"/>
          <w:color w:val="auto"/>
        </w:rPr>
      </w:pPr>
    </w:p>
    <w:p>
      <w:pPr>
        <w:ind w:left="940" w:right="80" w:hanging="648"/>
        <w:spacing w:after="0" w:line="277" w:lineRule="auto"/>
        <w:tabs>
          <w:tab w:leader="none" w:pos="9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4.049% Notes due 2052 also includes notes with a restrictive legend (144A CUSIP number: 20030N CF6; Regulation S CUSIP: U20030 AH2).</w:t>
      </w:r>
    </w:p>
    <w:p>
      <w:pPr>
        <w:spacing w:after="0" w:line="170" w:lineRule="exact"/>
        <w:rPr>
          <w:sz w:val="20"/>
          <w:szCs w:val="20"/>
          <w:color w:val="auto"/>
        </w:rPr>
      </w:pPr>
    </w:p>
    <w:p>
      <w:pPr>
        <w:ind w:left="940" w:right="140" w:hanging="648"/>
        <w:spacing w:after="0" w:line="277" w:lineRule="auto"/>
        <w:tabs>
          <w:tab w:leader="none" w:pos="9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Denotes a series of Pool 3 Notes for which the total consideration and exchange consideration will be determined taking into account the par call date, instead of the maturity date, in accordance with standard market practice.</w:t>
      </w:r>
    </w:p>
    <w:p>
      <w:pPr>
        <w:spacing w:after="0" w:line="271"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60" w:top="580" w:right="339" w:bottom="1440" w:gutter="0" w:footer="0" w:header="0"/>
        </w:sectPr>
      </w:pPr>
    </w:p>
    <w:bookmarkStart w:id="83" w:name="page84"/>
    <w:bookmarkEnd w:id="83"/>
    <w:p>
      <w:pPr>
        <w:ind w:left="10420"/>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Each broker-dealer that receives Exchange Securities for its own account pursuant to the Exchange Offer hereby acknowledges that it will deliver a prospectus in connection with any resale of such Exchange Securities. This Prospectus, as it may be amended or supplemented from time to time, may be used by a broker-dealer in connection with resales of Exchange Securities received in exchange for Initial Securities where such Initial Securities were acquired by such broker-dealer as a result of market-making activities or other trading activities. The Company and the Guarantors have agreed that, for a period of 90 days after the Expiration Date (as defined herein), they will make this Prospectus available to any broker-dealer for use in connection with any such resale. See “</w:t>
      </w:r>
      <w:r>
        <w:rPr>
          <w:rFonts w:ascii="Arial" w:cs="Arial" w:eastAsia="Arial" w:hAnsi="Arial"/>
          <w:sz w:val="18"/>
          <w:szCs w:val="18"/>
          <w:b w:val="1"/>
          <w:bCs w:val="1"/>
          <w:color w:val="auto"/>
        </w:rPr>
        <w:t>Plan of Distribution.</w:t>
      </w:r>
      <w:r>
        <w:rPr>
          <w:rFonts w:ascii="Arial" w:cs="Arial" w:eastAsia="Arial" w:hAnsi="Arial"/>
          <w:sz w:val="18"/>
          <w:szCs w:val="18"/>
          <w:color w:val="auto"/>
        </w:rPr>
        <w:t>”</w:t>
      </w:r>
    </w:p>
    <w:p>
      <w:pPr>
        <w:spacing w:after="0" w:line="29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4" w:name="page85"/>
    <w:bookmarkEnd w:id="84"/>
    <w:p>
      <w:pPr>
        <w:ind w:left="10440"/>
        <w:spacing w:after="0"/>
        <w:rPr>
          <w:sz w:val="20"/>
          <w:szCs w:val="20"/>
          <w:color w:val="auto"/>
        </w:rPr>
      </w:pPr>
      <w:r>
        <w:rPr>
          <w:rFonts w:ascii="Arial" w:cs="Arial" w:eastAsia="Arial" w:hAnsi="Arial"/>
          <w:sz w:val="17"/>
          <w:szCs w:val="17"/>
          <w:b w:val="1"/>
          <w:bCs w:val="1"/>
          <w:color w:val="auto"/>
        </w:rPr>
        <w:t>ANNEX B</w:t>
      </w:r>
    </w:p>
    <w:p>
      <w:pPr>
        <w:spacing w:after="0" w:line="241"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Each broker-dealer that receives Exchange Securities for its own account in exchange for Securities, where such Initial Securities were acquired by such broker-dealer as a result of market-making activities or other trading activities, hereby acknowledges that it will deliver a prospectus in connection with any resale of such Exchange Securities. See “</w:t>
      </w:r>
      <w:r>
        <w:rPr>
          <w:rFonts w:ascii="Arial" w:cs="Arial" w:eastAsia="Arial" w:hAnsi="Arial"/>
          <w:sz w:val="18"/>
          <w:szCs w:val="18"/>
          <w:b w:val="1"/>
          <w:bCs w:val="1"/>
          <w:color w:val="auto"/>
        </w:rPr>
        <w:t>Plan of Distribution.</w:t>
      </w:r>
      <w:r>
        <w:rPr>
          <w:rFonts w:ascii="Arial" w:cs="Arial" w:eastAsia="Arial" w:hAnsi="Arial"/>
          <w:sz w:val="18"/>
          <w:szCs w:val="18"/>
          <w:color w:val="auto"/>
        </w:rPr>
        <w:t>”</w:t>
      </w:r>
    </w:p>
    <w:p>
      <w:pPr>
        <w:spacing w:after="0" w:line="28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ANNEX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Each broker-dealer that receives Exchange Securities for its own account pursuant to the Exchange Offer hereby acknowledges that it will deliver a prospectus in connection with any resale of such Exchange Securities. This Prospectus, as it may be amended or supplemented from time to time, may be used by a broker-dealer in connection with resales of Exchange Securities received in exchange for Initial Securities where such Initial Securities were acquired as a result of market-making activities or other trading activities. The Company and the Guarantors have agreed that, for a period of 90 days after the Expiration Date, they will make this prospectus, as amended or supplemented, available to any broker-dealer for use in connection with any such resale. In addition, until , 20[ ] , all dealers effecting transactions in the Exchange Securities may be required to deliver a prospectus.</w:t>
      </w:r>
      <w:r>
        <w:rPr>
          <w:rFonts w:ascii="Arial" w:cs="Arial" w:eastAsia="Arial" w:hAnsi="Arial"/>
          <w:sz w:val="10"/>
          <w:szCs w:val="10"/>
          <w:u w:val="single" w:color="auto"/>
          <w:color w:val="0000EE"/>
        </w:rPr>
        <w:t>1</w:t>
      </w:r>
    </w:p>
    <w:p>
      <w:pPr>
        <w:spacing w:after="0" w:line="164"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The Company and the Guarantors will not receive any proceeds from any sale of Exchange Securities by broker-dealers. Exchange Securities received by broker-dealers for their own account pursuant to the Exchange Offer may be sold from time to time in one or more transactions in the over-the-counter market, in negotiated transactions, through the writing of options on the Exchange Securities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or the purchasers of any such Exchange Securities. Any broker-dealer that resells Exchange Securities that were received by it for its own account pursuant to the Exchange Offer and any broker or dealer that participates in a distribution of such Exchange Securities may be deemed to be an “</w:t>
      </w:r>
      <w:r>
        <w:rPr>
          <w:rFonts w:ascii="Arial" w:cs="Arial" w:eastAsia="Arial" w:hAnsi="Arial"/>
          <w:sz w:val="17"/>
          <w:szCs w:val="17"/>
          <w:b w:val="1"/>
          <w:bCs w:val="1"/>
          <w:color w:val="auto"/>
        </w:rPr>
        <w:t>underwriter</w:t>
      </w:r>
      <w:r>
        <w:rPr>
          <w:rFonts w:ascii="Arial" w:cs="Arial" w:eastAsia="Arial" w:hAnsi="Arial"/>
          <w:sz w:val="17"/>
          <w:szCs w:val="17"/>
          <w:color w:val="auto"/>
        </w:rPr>
        <w:t>” within the meaning of the Securities Act and any profit on any such resale of Exchange Securities and any commission or concessions received by any such persons may be deemed to be underwriting compensation under the Securities Act.</w:t>
      </w:r>
    </w:p>
    <w:p>
      <w:pPr>
        <w:spacing w:after="0" w:line="181"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For a period of 90 days after the Expiration Date the Company and the Guarantors will promptly send additional electronic copies of this Prospectus and any amendment or supplement to this Prospectus to any broker-dealer that requests such documents. The Company and the Guarantors have agreed to pay all expenses incident to the Exchange Offer other than commissions or concessions of any brokers or dealers and will indemnify the Holders of the Securities (including any broker-dealers) against certain liabilities, including liabilities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12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460" w:hanging="128"/>
        <w:spacing w:after="0"/>
        <w:tabs>
          <w:tab w:leader="none" w:pos="460" w:val="left"/>
        </w:tabs>
        <w:numPr>
          <w:ilvl w:val="0"/>
          <w:numId w:val="107"/>
        </w:numPr>
        <w:rPr>
          <w:rFonts w:ascii="Arial" w:cs="Arial" w:eastAsia="Arial" w:hAnsi="Arial"/>
          <w:sz w:val="27"/>
          <w:szCs w:val="27"/>
          <w:color w:val="auto"/>
          <w:vertAlign w:val="superscript"/>
        </w:rPr>
      </w:pPr>
      <w:r>
        <w:rPr>
          <w:rFonts w:ascii="Arial" w:cs="Arial" w:eastAsia="Arial" w:hAnsi="Arial"/>
          <w:sz w:val="16"/>
          <w:szCs w:val="16"/>
          <w:color w:val="auto"/>
        </w:rPr>
        <w:t>In addition, the legend required by Item 502(e) of Regulation S-K will appear on the back cover page of the Exchange Offer prospectus, if required.</w:t>
      </w:r>
    </w:p>
    <w:p>
      <w:pPr>
        <w:spacing w:after="0" w:line="10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ANNEX D</w:t>
      </w:r>
    </w:p>
    <w:p>
      <w:pPr>
        <w:spacing w:after="0" w:line="229" w:lineRule="exact"/>
        <w:rPr>
          <w:sz w:val="20"/>
          <w:szCs w:val="20"/>
          <w:color w:val="auto"/>
        </w:rPr>
      </w:pPr>
    </w:p>
    <w:p>
      <w:pPr>
        <w:ind w:right="260" w:firstLine="332"/>
        <w:spacing w:after="0" w:line="277" w:lineRule="auto"/>
        <w:tabs>
          <w:tab w:leader="none" w:pos="50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CHECK HERE IF YOU ARE A BROKER-DEALER AND WISH TO RECEIVE 10 ADDITIONAL COPIES OF THE PROSPECTUS AND 10 COPIES OF ANY AMENDMENTS OR SUPPLEMENTS THERETO.</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31750</wp:posOffset>
            </wp:positionV>
            <wp:extent cx="63347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34760"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220345</wp:posOffset>
            </wp:positionV>
            <wp:extent cx="63347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40640</wp:posOffset>
            </wp:positionV>
            <wp:extent cx="63347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34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the undersigned is not a broker-dealer, the undersigned represents that it is not engaged in, and does not intend to engage in, a distribution of Exchange Securities. If the undersigned is a broker-dealer that will receive Exchange Securities for its own account in exchange for Initial Securities that were acquired as a result of market-making activities or other trading activities, it acknowledges that it will deliver a prospectus in connection with any resale of such Exchange Securities; however, by so acknowledging and by delivering a prospectus, the undersigned will not be deemed to admit that it is an “</w:t>
      </w:r>
      <w:r>
        <w:rPr>
          <w:rFonts w:ascii="Arial" w:cs="Arial" w:eastAsia="Arial" w:hAnsi="Arial"/>
          <w:sz w:val="18"/>
          <w:szCs w:val="18"/>
          <w:b w:val="1"/>
          <w:bCs w:val="1"/>
          <w:color w:val="auto"/>
        </w:rPr>
        <w:t>underwriter</w:t>
      </w:r>
      <w:r>
        <w:rPr>
          <w:rFonts w:ascii="Arial" w:cs="Arial" w:eastAsia="Arial" w:hAnsi="Arial"/>
          <w:sz w:val="18"/>
          <w:szCs w:val="18"/>
          <w:color w:val="auto"/>
        </w:rPr>
        <w:t>” within the meaning of the Securities Act.</w:t>
      </w:r>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1)"/>
      <w:numFmt w:val="decimal"/>
      <w:start w:val="3"/>
    </w:lvl>
  </w:abstractNum>
  <w:abstractNum w:abstractNumId="2">
    <w:nsid w:val="649BB77C"/>
    <w:multiLevelType w:val="hybridMultilevel"/>
    <w:lvl w:ilvl="0">
      <w:lvlJc w:val="left"/>
      <w:lvlText w:val="%1."/>
      <w:numFmt w:val="decimal"/>
      <w:start w:val="1"/>
    </w:lvl>
  </w:abstractNum>
  <w:abstractNum w:abstractNumId="3">
    <w:nsid w:val="275AC794"/>
    <w:multiLevelType w:val="hybridMultilevel"/>
    <w:lvl w:ilvl="0">
      <w:lvlJc w:val="left"/>
      <w:lvlText w:val="%1."/>
      <w:numFmt w:val="decimal"/>
      <w:start w:val="2"/>
    </w:lvl>
  </w:abstractNum>
  <w:abstractNum w:abstractNumId="4">
    <w:nsid w:val="39386575"/>
    <w:multiLevelType w:val="hybridMultilevel"/>
    <w:lvl w:ilvl="0">
      <w:lvlJc w:val="left"/>
      <w:lvlText w:val="%1."/>
      <w:numFmt w:val="decimal"/>
      <w:start w:val="3"/>
    </w:lvl>
  </w:abstractNum>
  <w:abstractNum w:abstractNumId="5">
    <w:nsid w:val="1CF10FD8"/>
    <w:multiLevelType w:val="hybridMultilevel"/>
    <w:lvl w:ilvl="0">
      <w:lvlJc w:val="left"/>
      <w:lvlText w:val="%1."/>
      <w:numFmt w:val="decimal"/>
      <w:start w:val="4"/>
    </w:lvl>
  </w:abstractNum>
  <w:abstractNum w:abstractNumId="6">
    <w:nsid w:val="180115BE"/>
    <w:multiLevelType w:val="hybridMultilevel"/>
    <w:lvl w:ilvl="0">
      <w:lvlJc w:val="left"/>
      <w:lvlText w:val="%1."/>
      <w:numFmt w:val="decimal"/>
      <w:start w:val="5"/>
    </w:lvl>
  </w:abstractNum>
  <w:abstractNum w:abstractNumId="7">
    <w:nsid w:val="235BA861"/>
    <w:multiLevelType w:val="hybridMultilevel"/>
    <w:lvl w:ilvl="0">
      <w:lvlJc w:val="left"/>
      <w:lvlText w:val="%1."/>
      <w:numFmt w:val="decimal"/>
      <w:start w:val="6"/>
    </w:lvl>
  </w:abstractNum>
  <w:abstractNum w:abstractNumId="8">
    <w:nsid w:val="47398C89"/>
    <w:multiLevelType w:val="hybridMultilevel"/>
    <w:lvl w:ilvl="0">
      <w:lvlJc w:val="left"/>
      <w:lvlText w:val="%1."/>
      <w:numFmt w:val="decimal"/>
      <w:start w:val="7"/>
    </w:lvl>
  </w:abstractNum>
  <w:abstractNum w:abstractNumId="9">
    <w:nsid w:val="354FE9F9"/>
    <w:multiLevelType w:val="hybridMultilevel"/>
    <w:lvl w:ilvl="0">
      <w:lvlJc w:val="left"/>
      <w:lvlText w:val="%1."/>
      <w:numFmt w:val="decimal"/>
      <w:start w:val="8"/>
    </w:lvl>
  </w:abstractNum>
  <w:abstractNum w:abstractNumId="10">
    <w:nsid w:val="15B5AF5C"/>
    <w:multiLevelType w:val="hybridMultilevel"/>
    <w:lvl w:ilvl="0">
      <w:lvlJc w:val="left"/>
      <w:lvlText w:val="%1."/>
      <w:numFmt w:val="decimal"/>
      <w:start w:val="9"/>
    </w:lvl>
  </w:abstractNum>
  <w:abstractNum w:abstractNumId="11">
    <w:nsid w:val="741226BB"/>
    <w:multiLevelType w:val="hybridMultilevel"/>
    <w:lvl w:ilvl="0">
      <w:lvlJc w:val="left"/>
      <w:lvlText w:val="%1."/>
      <w:numFmt w:val="decimal"/>
      <w:start w:val="10"/>
    </w:lvl>
  </w:abstractNum>
  <w:abstractNum w:abstractNumId="12">
    <w:nsid w:val="D34B6A8"/>
    <w:multiLevelType w:val="hybridMultilevel"/>
    <w:lvl w:ilvl="0">
      <w:lvlJc w:val="left"/>
      <w:lvlText w:val="%1."/>
      <w:numFmt w:val="decimal"/>
      <w:start w:val="11"/>
    </w:lvl>
  </w:abstractNum>
  <w:abstractNum w:abstractNumId="13">
    <w:nsid w:val="10233C99"/>
    <w:multiLevelType w:val="hybridMultilevel"/>
    <w:lvl w:ilvl="0">
      <w:lvlJc w:val="left"/>
      <w:lvlText w:val="%1."/>
      <w:numFmt w:val="decimal"/>
      <w:start w:val="12"/>
    </w:lvl>
  </w:abstractNum>
  <w:abstractNum w:abstractNumId="14">
    <w:nsid w:val="3F6AB60F"/>
    <w:multiLevelType w:val="hybridMultilevel"/>
    <w:lvl w:ilvl="0">
      <w:lvlJc w:val="left"/>
      <w:lvlText w:val="(%1)"/>
      <w:numFmt w:val="lowerLetter"/>
      <w:start w:val="2"/>
    </w:lvl>
  </w:abstractNum>
  <w:abstractNum w:abstractNumId="15">
    <w:nsid w:val="61574095"/>
    <w:multiLevelType w:val="hybridMultilevel"/>
    <w:lvl w:ilvl="0">
      <w:lvlJc w:val="left"/>
      <w:lvlText w:val="%1."/>
      <w:numFmt w:val="decimal"/>
      <w:start w:val="13"/>
    </w:lvl>
  </w:abstractNum>
  <w:abstractNum w:abstractNumId="16">
    <w:nsid w:val="7E0C57B1"/>
    <w:multiLevelType w:val="hybridMultilevel"/>
    <w:lvl w:ilvl="0">
      <w:lvlJc w:val="left"/>
      <w:lvlText w:val="%1."/>
      <w:numFmt w:val="decimal"/>
      <w:start w:val="14"/>
    </w:lvl>
  </w:abstractNum>
  <w:abstractNum w:abstractNumId="17">
    <w:nsid w:val="77AE35EB"/>
    <w:multiLevelType w:val="hybridMultilevel"/>
    <w:lvl w:ilvl="0">
      <w:lvlJc w:val="left"/>
      <w:lvlText w:val="%1."/>
      <w:numFmt w:val="decimal"/>
      <w:start w:val="15"/>
    </w:lvl>
  </w:abstractNum>
  <w:abstractNum w:abstractNumId="18">
    <w:nsid w:val="579BE4F1"/>
    <w:multiLevelType w:val="hybridMultilevel"/>
    <w:lvl w:ilvl="0">
      <w:lvlJc w:val="left"/>
      <w:lvlText w:val="%1."/>
      <w:numFmt w:val="decimal"/>
      <w:start w:val="16"/>
    </w:lvl>
  </w:abstractNum>
  <w:abstractNum w:abstractNumId="19">
    <w:nsid w:val="310C50B3"/>
    <w:multiLevelType w:val="hybridMultilevel"/>
    <w:lvl w:ilvl="0">
      <w:lvlJc w:val="left"/>
      <w:lvlText w:val="%1."/>
      <w:numFmt w:val="decimal"/>
      <w:start w:val="17"/>
    </w:lvl>
  </w:abstractNum>
  <w:abstractNum w:abstractNumId="20">
    <w:nsid w:val="5FF87E05"/>
    <w:multiLevelType w:val="hybridMultilevel"/>
    <w:lvl w:ilvl="0">
      <w:lvlJc w:val="left"/>
      <w:lvlText w:val="%1."/>
      <w:numFmt w:val="decimal"/>
      <w:start w:val="18"/>
    </w:lvl>
  </w:abstractNum>
  <w:abstractNum w:abstractNumId="21">
    <w:nsid w:val="2F305DEF"/>
    <w:multiLevelType w:val="hybridMultilevel"/>
    <w:lvl w:ilvl="0">
      <w:lvlJc w:val="left"/>
      <w:lvlText w:val="%1."/>
      <w:numFmt w:val="decimal"/>
      <w:start w:val="19"/>
    </w:lvl>
  </w:abstractNum>
  <w:abstractNum w:abstractNumId="22">
    <w:nsid w:val="25A70BF7"/>
    <w:multiLevelType w:val="hybridMultilevel"/>
    <w:lvl w:ilvl="0">
      <w:lvlJc w:val="left"/>
      <w:lvlText w:val="%1."/>
      <w:numFmt w:val="decimal"/>
      <w:start w:val="1"/>
    </w:lvl>
  </w:abstractNum>
  <w:abstractNum w:abstractNumId="23">
    <w:nsid w:val="1DBABF00"/>
    <w:multiLevelType w:val="hybridMultilevel"/>
    <w:lvl w:ilvl="0">
      <w:lvlJc w:val="left"/>
      <w:lvlText w:val="%1."/>
      <w:numFmt w:val="decimal"/>
      <w:start w:val="1"/>
    </w:lvl>
  </w:abstractNum>
  <w:abstractNum w:abstractNumId="24">
    <w:nsid w:val="4AD084E9"/>
    <w:multiLevelType w:val="hybridMultilevel"/>
    <w:lvl w:ilvl="0">
      <w:lvlJc w:val="left"/>
      <w:lvlText w:val="(%1)"/>
      <w:numFmt w:val="lowerLetter"/>
      <w:start w:val="1"/>
    </w:lvl>
    <w:lvl w:ilvl="1">
      <w:lvlJc w:val="left"/>
      <w:lvlText w:val="(%2)"/>
      <w:numFmt w:val="lowerRoman"/>
      <w:start w:val="1"/>
    </w:lvl>
  </w:abstractNum>
  <w:abstractNum w:abstractNumId="25">
    <w:nsid w:val="1F48EAA1"/>
    <w:multiLevelType w:val="hybridMultilevel"/>
    <w:lvl w:ilvl="0">
      <w:lvlJc w:val="left"/>
      <w:lvlText w:val="%1."/>
      <w:numFmt w:val="decimal"/>
      <w:start w:val="2"/>
    </w:lvl>
  </w:abstractNum>
  <w:abstractNum w:abstractNumId="26">
    <w:nsid w:val="1381823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27">
    <w:nsid w:val="5DB70AE5"/>
    <w:multiLevelType w:val="hybridMultilevel"/>
    <w:lvl w:ilvl="0">
      <w:lvlJc w:val="left"/>
      <w:lvlText w:val="(%1)"/>
      <w:numFmt w:val="decimal"/>
      <w:start w:val="3"/>
    </w:lvl>
  </w:abstractNum>
  <w:abstractNum w:abstractNumId="28">
    <w:nsid w:val="100F8FCA"/>
    <w:multiLevelType w:val="hybridMultilevel"/>
    <w:lvl w:ilvl="0">
      <w:lvlJc w:val="left"/>
      <w:lvlText w:val="%1."/>
      <w:numFmt w:val="decimal"/>
      <w:start w:val="1"/>
    </w:lvl>
  </w:abstractNum>
  <w:abstractNum w:abstractNumId="29">
    <w:nsid w:val="6590700B"/>
    <w:multiLevelType w:val="hybridMultilevel"/>
    <w:lvl w:ilvl="0">
      <w:lvlJc w:val="left"/>
      <w:lvlText w:val="%1."/>
      <w:numFmt w:val="decimal"/>
      <w:start w:val="2"/>
    </w:lvl>
  </w:abstractNum>
  <w:abstractNum w:abstractNumId="30">
    <w:nsid w:val="15014ACB"/>
    <w:multiLevelType w:val="hybridMultilevel"/>
    <w:lvl w:ilvl="0">
      <w:lvlJc w:val="left"/>
      <w:lvlText w:val="%1."/>
      <w:numFmt w:val="decimal"/>
      <w:start w:val="3"/>
    </w:lvl>
  </w:abstractNum>
  <w:abstractNum w:abstractNumId="31">
    <w:nsid w:val="5F5E7FD0"/>
    <w:multiLevelType w:val="hybridMultilevel"/>
    <w:lvl w:ilvl="0">
      <w:lvlJc w:val="left"/>
      <w:lvlText w:val="%1."/>
      <w:numFmt w:val="decimal"/>
      <w:start w:val="4"/>
    </w:lvl>
  </w:abstractNum>
  <w:abstractNum w:abstractNumId="32">
    <w:nsid w:val="98A3148"/>
    <w:multiLevelType w:val="hybridMultilevel"/>
    <w:lvl w:ilvl="0">
      <w:lvlJc w:val="left"/>
      <w:lvlText w:val="%1."/>
      <w:numFmt w:val="decimal"/>
      <w:start w:val="5"/>
    </w:lvl>
  </w:abstractNum>
  <w:abstractNum w:abstractNumId="33">
    <w:nsid w:val="799D0247"/>
    <w:multiLevelType w:val="hybridMultilevel"/>
    <w:lvl w:ilvl="0">
      <w:lvlJc w:val="left"/>
      <w:lvlText w:val="%1."/>
      <w:numFmt w:val="decimal"/>
      <w:start w:val="6"/>
    </w:lvl>
  </w:abstractNum>
  <w:abstractNum w:abstractNumId="34">
    <w:nsid w:val="6B94764"/>
    <w:multiLevelType w:val="hybridMultilevel"/>
    <w:lvl w:ilvl="0">
      <w:lvlJc w:val="left"/>
      <w:lvlText w:val="%1."/>
      <w:numFmt w:val="decimal"/>
      <w:start w:val="7"/>
    </w:lvl>
  </w:abstractNum>
  <w:abstractNum w:abstractNumId="35">
    <w:nsid w:val="42C296BD"/>
    <w:multiLevelType w:val="hybridMultilevel"/>
    <w:lvl w:ilvl="0">
      <w:lvlJc w:val="left"/>
      <w:lvlText w:val="%1."/>
      <w:numFmt w:val="decimal"/>
      <w:start w:val="8"/>
    </w:lvl>
  </w:abstractNum>
  <w:abstractNum w:abstractNumId="36">
    <w:nsid w:val="168E121F"/>
    <w:multiLevelType w:val="hybridMultilevel"/>
    <w:lvl w:ilvl="0">
      <w:lvlJc w:val="left"/>
      <w:lvlText w:val="%1."/>
      <w:numFmt w:val="decimal"/>
      <w:start w:val="9"/>
    </w:lvl>
  </w:abstractNum>
  <w:abstractNum w:abstractNumId="37">
    <w:nsid w:val="1EBA5D23"/>
    <w:multiLevelType w:val="hybridMultilevel"/>
    <w:lvl w:ilvl="0">
      <w:lvlJc w:val="left"/>
      <w:lvlText w:val="%1."/>
      <w:numFmt w:val="decimal"/>
      <w:start w:val="10"/>
    </w:lvl>
  </w:abstractNum>
  <w:abstractNum w:abstractNumId="38">
    <w:nsid w:val="661E3F1E"/>
    <w:multiLevelType w:val="hybridMultilevel"/>
    <w:lvl w:ilvl="0">
      <w:lvlJc w:val="left"/>
      <w:lvlText w:val="%1."/>
      <w:numFmt w:val="decimal"/>
      <w:start w:val="11"/>
    </w:lvl>
  </w:abstractNum>
  <w:abstractNum w:abstractNumId="39">
    <w:nsid w:val="5DC79EA8"/>
    <w:multiLevelType w:val="hybridMultilevel"/>
    <w:lvl w:ilvl="0">
      <w:lvlJc w:val="left"/>
      <w:lvlText w:val="%1."/>
      <w:numFmt w:val="decimal"/>
      <w:start w:val="12"/>
    </w:lvl>
  </w:abstractNum>
  <w:abstractNum w:abstractNumId="40">
    <w:nsid w:val="540A471C"/>
    <w:multiLevelType w:val="hybridMultilevel"/>
    <w:lvl w:ilvl="0">
      <w:lvlJc w:val="left"/>
      <w:lvlText w:val="(%1)"/>
      <w:numFmt w:val="lowerLetter"/>
      <w:start w:val="2"/>
    </w:lvl>
  </w:abstractNum>
  <w:abstractNum w:abstractNumId="41">
    <w:nsid w:val="7BD3EE7B"/>
    <w:multiLevelType w:val="hybridMultilevel"/>
    <w:lvl w:ilvl="0">
      <w:lvlJc w:val="left"/>
      <w:lvlText w:val="%1."/>
      <w:numFmt w:val="decimal"/>
      <w:start w:val="13"/>
    </w:lvl>
  </w:abstractNum>
  <w:abstractNum w:abstractNumId="42">
    <w:nsid w:val="51D9C564"/>
    <w:multiLevelType w:val="hybridMultilevel"/>
    <w:lvl w:ilvl="0">
      <w:lvlJc w:val="left"/>
      <w:lvlText w:val="%1."/>
      <w:numFmt w:val="decimal"/>
      <w:start w:val="14"/>
    </w:lvl>
  </w:abstractNum>
  <w:abstractNum w:abstractNumId="43">
    <w:nsid w:val="613EFDC5"/>
    <w:multiLevelType w:val="hybridMultilevel"/>
    <w:lvl w:ilvl="0">
      <w:lvlJc w:val="left"/>
      <w:lvlText w:val="%1."/>
      <w:numFmt w:val="decimal"/>
      <w:start w:val="15"/>
    </w:lvl>
  </w:abstractNum>
  <w:abstractNum w:abstractNumId="44">
    <w:nsid w:val="BF72B14"/>
    <w:multiLevelType w:val="hybridMultilevel"/>
    <w:lvl w:ilvl="0">
      <w:lvlJc w:val="left"/>
      <w:lvlText w:val="%1."/>
      <w:numFmt w:val="decimal"/>
      <w:start w:val="16"/>
    </w:lvl>
  </w:abstractNum>
  <w:abstractNum w:abstractNumId="45">
    <w:nsid w:val="11447B73"/>
    <w:multiLevelType w:val="hybridMultilevel"/>
    <w:lvl w:ilvl="0">
      <w:lvlJc w:val="left"/>
      <w:lvlText w:val="%1."/>
      <w:numFmt w:val="decimal"/>
      <w:start w:val="17"/>
    </w:lvl>
  </w:abstractNum>
  <w:abstractNum w:abstractNumId="46">
    <w:nsid w:val="42963E5A"/>
    <w:multiLevelType w:val="hybridMultilevel"/>
    <w:lvl w:ilvl="0">
      <w:lvlJc w:val="left"/>
      <w:lvlText w:val="%1."/>
      <w:numFmt w:val="decimal"/>
      <w:start w:val="18"/>
    </w:lvl>
  </w:abstractNum>
  <w:abstractNum w:abstractNumId="47">
    <w:nsid w:val="A0382C5"/>
    <w:multiLevelType w:val="hybridMultilevel"/>
    <w:lvl w:ilvl="0">
      <w:lvlJc w:val="left"/>
      <w:lvlText w:val="%1."/>
      <w:numFmt w:val="decimal"/>
      <w:start w:val="19"/>
    </w:lvl>
  </w:abstractNum>
  <w:abstractNum w:abstractNumId="48">
    <w:nsid w:val="8F2B15E"/>
    <w:multiLevelType w:val="hybridMultilevel"/>
    <w:lvl w:ilvl="0">
      <w:lvlJc w:val="left"/>
      <w:lvlText w:val="%1."/>
      <w:numFmt w:val="decimal"/>
      <w:start w:val="1"/>
    </w:lvl>
  </w:abstractNum>
  <w:abstractNum w:abstractNumId="49">
    <w:nsid w:val="1A32234B"/>
    <w:multiLevelType w:val="hybridMultilevel"/>
    <w:lvl w:ilvl="0">
      <w:lvlJc w:val="left"/>
      <w:lvlText w:val="%1."/>
      <w:numFmt w:val="decimal"/>
      <w:start w:val="1"/>
    </w:lvl>
  </w:abstractNum>
  <w:abstractNum w:abstractNumId="50">
    <w:nsid w:val="3B0FD379"/>
    <w:multiLevelType w:val="hybridMultilevel"/>
    <w:lvl w:ilvl="0">
      <w:lvlJc w:val="left"/>
      <w:lvlText w:val="(%1)"/>
      <w:numFmt w:val="lowerLetter"/>
      <w:start w:val="1"/>
    </w:lvl>
    <w:lvl w:ilvl="1">
      <w:lvlJc w:val="left"/>
      <w:lvlText w:val="(%2)"/>
      <w:numFmt w:val="lowerRoman"/>
      <w:start w:val="1"/>
    </w:lvl>
  </w:abstractNum>
  <w:abstractNum w:abstractNumId="51">
    <w:nsid w:val="68EB2F63"/>
    <w:multiLevelType w:val="hybridMultilevel"/>
    <w:lvl w:ilvl="0">
      <w:lvlJc w:val="left"/>
      <w:lvlText w:val="%1."/>
      <w:numFmt w:val="decimal"/>
      <w:start w:val="2"/>
    </w:lvl>
  </w:abstractNum>
  <w:abstractNum w:abstractNumId="52">
    <w:nsid w:val="4962813B"/>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53">
    <w:nsid w:val="60B6DF70"/>
    <w:multiLevelType w:val="hybridMultilevel"/>
    <w:lvl w:ilvl="0">
      <w:lvlJc w:val="left"/>
      <w:lvlText w:val="(%1)"/>
      <w:numFmt w:val="decimal"/>
      <w:start w:val="3"/>
    </w:lvl>
  </w:abstractNum>
  <w:abstractNum w:abstractNumId="54">
    <w:nsid w:val="6A5EE64"/>
    <w:multiLevelType w:val="hybridMultilevel"/>
    <w:lvl w:ilvl="0">
      <w:lvlJc w:val="left"/>
      <w:lvlText w:val="%1."/>
      <w:numFmt w:val="decimal"/>
      <w:start w:val="1"/>
    </w:lvl>
  </w:abstractNum>
  <w:abstractNum w:abstractNumId="55">
    <w:nsid w:val="14330624"/>
    <w:multiLevelType w:val="hybridMultilevel"/>
    <w:lvl w:ilvl="0">
      <w:lvlJc w:val="left"/>
      <w:lvlText w:val="%1."/>
      <w:numFmt w:val="decimal"/>
      <w:start w:val="2"/>
    </w:lvl>
  </w:abstractNum>
  <w:abstractNum w:abstractNumId="56">
    <w:nsid w:val="7FFFCA11"/>
    <w:multiLevelType w:val="hybridMultilevel"/>
    <w:lvl w:ilvl="0">
      <w:lvlJc w:val="left"/>
      <w:lvlText w:val="%1."/>
      <w:numFmt w:val="decimal"/>
      <w:start w:val="3"/>
    </w:lvl>
  </w:abstractNum>
  <w:abstractNum w:abstractNumId="57">
    <w:nsid w:val="1A27709E"/>
    <w:multiLevelType w:val="hybridMultilevel"/>
    <w:lvl w:ilvl="0">
      <w:lvlJc w:val="left"/>
      <w:lvlText w:val="%1."/>
      <w:numFmt w:val="decimal"/>
      <w:start w:val="4"/>
    </w:lvl>
  </w:abstractNum>
  <w:abstractNum w:abstractNumId="58">
    <w:nsid w:val="71EA1109"/>
    <w:multiLevelType w:val="hybridMultilevel"/>
    <w:lvl w:ilvl="0">
      <w:lvlJc w:val="left"/>
      <w:lvlText w:val="%1."/>
      <w:numFmt w:val="decimal"/>
      <w:start w:val="5"/>
    </w:lvl>
  </w:abstractNum>
  <w:abstractNum w:abstractNumId="59">
    <w:nsid w:val="100F59DC"/>
    <w:multiLevelType w:val="hybridMultilevel"/>
    <w:lvl w:ilvl="0">
      <w:lvlJc w:val="left"/>
      <w:lvlText w:val="%1."/>
      <w:numFmt w:val="decimal"/>
      <w:start w:val="6"/>
    </w:lvl>
  </w:abstractNum>
  <w:abstractNum w:abstractNumId="60">
    <w:nsid w:val="7FB7E0AA"/>
    <w:multiLevelType w:val="hybridMultilevel"/>
    <w:lvl w:ilvl="0">
      <w:lvlJc w:val="left"/>
      <w:lvlText w:val="%1."/>
      <w:numFmt w:val="decimal"/>
      <w:start w:val="7"/>
    </w:lvl>
  </w:abstractNum>
  <w:abstractNum w:abstractNumId="61">
    <w:nsid w:val="6EB5BD4"/>
    <w:multiLevelType w:val="hybridMultilevel"/>
    <w:lvl w:ilvl="0">
      <w:lvlJc w:val="left"/>
      <w:lvlText w:val="%1."/>
      <w:numFmt w:val="decimal"/>
      <w:start w:val="8"/>
    </w:lvl>
  </w:abstractNum>
  <w:abstractNum w:abstractNumId="62">
    <w:nsid w:val="6F6DD9AC"/>
    <w:multiLevelType w:val="hybridMultilevel"/>
    <w:lvl w:ilvl="0">
      <w:lvlJc w:val="left"/>
      <w:lvlText w:val="%1."/>
      <w:numFmt w:val="decimal"/>
      <w:start w:val="9"/>
    </w:lvl>
  </w:abstractNum>
  <w:abstractNum w:abstractNumId="63">
    <w:nsid w:val="94211F2"/>
    <w:multiLevelType w:val="hybridMultilevel"/>
    <w:lvl w:ilvl="0">
      <w:lvlJc w:val="left"/>
      <w:lvlText w:val="%1."/>
      <w:numFmt w:val="decimal"/>
      <w:start w:val="10"/>
    </w:lvl>
  </w:abstractNum>
  <w:abstractNum w:abstractNumId="64">
    <w:nsid w:val="885E1B"/>
    <w:multiLevelType w:val="hybridMultilevel"/>
    <w:lvl w:ilvl="0">
      <w:lvlJc w:val="left"/>
      <w:lvlText w:val="%1."/>
      <w:numFmt w:val="decimal"/>
      <w:start w:val="11"/>
    </w:lvl>
  </w:abstractNum>
  <w:abstractNum w:abstractNumId="65">
    <w:nsid w:val="76272110"/>
    <w:multiLevelType w:val="hybridMultilevel"/>
    <w:lvl w:ilvl="0">
      <w:lvlJc w:val="left"/>
      <w:lvlText w:val="%1."/>
      <w:numFmt w:val="decimal"/>
      <w:start w:val="12"/>
    </w:lvl>
  </w:abstractNum>
  <w:abstractNum w:abstractNumId="66">
    <w:nsid w:val="4C04A8AF"/>
    <w:multiLevelType w:val="hybridMultilevel"/>
    <w:lvl w:ilvl="0">
      <w:lvlJc w:val="left"/>
      <w:lvlText w:val="(%1)"/>
      <w:numFmt w:val="lowerLetter"/>
      <w:start w:val="2"/>
    </w:lvl>
  </w:abstractNum>
  <w:abstractNum w:abstractNumId="67">
    <w:nsid w:val="1716703B"/>
    <w:multiLevelType w:val="hybridMultilevel"/>
    <w:lvl w:ilvl="0">
      <w:lvlJc w:val="left"/>
      <w:lvlText w:val="%1."/>
      <w:numFmt w:val="decimal"/>
      <w:start w:val="13"/>
    </w:lvl>
  </w:abstractNum>
  <w:abstractNum w:abstractNumId="68">
    <w:nsid w:val="14E17E33"/>
    <w:multiLevelType w:val="hybridMultilevel"/>
    <w:lvl w:ilvl="0">
      <w:lvlJc w:val="left"/>
      <w:lvlText w:val="%1."/>
      <w:numFmt w:val="decimal"/>
      <w:start w:val="14"/>
    </w:lvl>
  </w:abstractNum>
  <w:abstractNum w:abstractNumId="69">
    <w:nsid w:val="3222E7CD"/>
    <w:multiLevelType w:val="hybridMultilevel"/>
    <w:lvl w:ilvl="0">
      <w:lvlJc w:val="left"/>
      <w:lvlText w:val="%1."/>
      <w:numFmt w:val="decimal"/>
      <w:start w:val="15"/>
    </w:lvl>
  </w:abstractNum>
  <w:abstractNum w:abstractNumId="70">
    <w:nsid w:val="74DE0EE3"/>
    <w:multiLevelType w:val="hybridMultilevel"/>
    <w:lvl w:ilvl="0">
      <w:lvlJc w:val="left"/>
      <w:lvlText w:val="%1."/>
      <w:numFmt w:val="decimal"/>
      <w:start w:val="16"/>
    </w:lvl>
  </w:abstractNum>
  <w:abstractNum w:abstractNumId="71">
    <w:nsid w:val="68EBC550"/>
    <w:multiLevelType w:val="hybridMultilevel"/>
    <w:lvl w:ilvl="0">
      <w:lvlJc w:val="left"/>
      <w:lvlText w:val="%1."/>
      <w:numFmt w:val="decimal"/>
      <w:start w:val="17"/>
    </w:lvl>
  </w:abstractNum>
  <w:abstractNum w:abstractNumId="72">
    <w:nsid w:val="2DF6D648"/>
    <w:multiLevelType w:val="hybridMultilevel"/>
    <w:lvl w:ilvl="0">
      <w:lvlJc w:val="left"/>
      <w:lvlText w:val="%1."/>
      <w:numFmt w:val="decimal"/>
      <w:start w:val="18"/>
    </w:lvl>
  </w:abstractNum>
  <w:abstractNum w:abstractNumId="73">
    <w:nsid w:val="46B7D447"/>
    <w:multiLevelType w:val="hybridMultilevel"/>
    <w:lvl w:ilvl="0">
      <w:lvlJc w:val="left"/>
      <w:lvlText w:val="%1."/>
      <w:numFmt w:val="decimal"/>
      <w:start w:val="19"/>
    </w:lvl>
  </w:abstractNum>
  <w:abstractNum w:abstractNumId="74">
    <w:nsid w:val="4A2AC315"/>
    <w:multiLevelType w:val="hybridMultilevel"/>
    <w:lvl w:ilvl="0">
      <w:lvlJc w:val="left"/>
      <w:lvlText w:val="%1."/>
      <w:numFmt w:val="decimal"/>
      <w:start w:val="1"/>
    </w:lvl>
  </w:abstractNum>
  <w:abstractNum w:abstractNumId="75">
    <w:nsid w:val="39EE015C"/>
    <w:multiLevelType w:val="hybridMultilevel"/>
    <w:lvl w:ilvl="0">
      <w:lvlJc w:val="left"/>
      <w:lvlText w:val="%1."/>
      <w:numFmt w:val="decimal"/>
      <w:start w:val="1"/>
    </w:lvl>
  </w:abstractNum>
  <w:abstractNum w:abstractNumId="76">
    <w:nsid w:val="57FC4FBB"/>
    <w:multiLevelType w:val="hybridMultilevel"/>
    <w:lvl w:ilvl="0">
      <w:lvlJc w:val="left"/>
      <w:lvlText w:val="(%1)"/>
      <w:numFmt w:val="lowerLetter"/>
      <w:start w:val="1"/>
    </w:lvl>
    <w:lvl w:ilvl="1">
      <w:lvlJc w:val="left"/>
      <w:lvlText w:val="(%2)"/>
      <w:numFmt w:val="lowerRoman"/>
      <w:start w:val="1"/>
    </w:lvl>
  </w:abstractNum>
  <w:abstractNum w:abstractNumId="77">
    <w:nsid w:val="CC1016F"/>
    <w:multiLevelType w:val="hybridMultilevel"/>
    <w:lvl w:ilvl="0">
      <w:lvlJc w:val="left"/>
      <w:lvlText w:val="%1."/>
      <w:numFmt w:val="decimal"/>
      <w:start w:val="2"/>
    </w:lvl>
  </w:abstractNum>
  <w:abstractNum w:abstractNumId="78">
    <w:nsid w:val="43F1842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79">
    <w:nsid w:val="60EF0119"/>
    <w:multiLevelType w:val="hybridMultilevel"/>
    <w:lvl w:ilvl="0">
      <w:lvlJc w:val="left"/>
      <w:lvlText w:val="(%1)"/>
      <w:numFmt w:val="lowerLetter"/>
      <w:start w:val="1"/>
    </w:lvl>
  </w:abstractNum>
  <w:abstractNum w:abstractNumId="80">
    <w:nsid w:val="26F324BA"/>
    <w:multiLevelType w:val="hybridMultilevel"/>
    <w:lvl w:ilvl="0">
      <w:lvlJc w:val="left"/>
      <w:lvlText w:val="(%1)"/>
      <w:numFmt w:val="lowerLetter"/>
      <w:start w:val="1"/>
    </w:lvl>
  </w:abstractNum>
  <w:abstractNum w:abstractNumId="81">
    <w:nsid w:val="7F01579B"/>
    <w:multiLevelType w:val="hybridMultilevel"/>
    <w:lvl w:ilvl="0">
      <w:lvlJc w:val="left"/>
      <w:lvlText w:val="(%1)"/>
      <w:numFmt w:val="lowerLetter"/>
      <w:start w:val="3"/>
    </w:lvl>
  </w:abstractNum>
  <w:abstractNum w:abstractNumId="82">
    <w:nsid w:val="49DA307D"/>
    <w:multiLevelType w:val="hybridMultilevel"/>
    <w:lvl w:ilvl="0">
      <w:lvlJc w:val="left"/>
      <w:lvlText w:val="%1"/>
      <w:numFmt w:val="decimal"/>
      <w:start w:val="1"/>
    </w:lvl>
    <w:lvl w:ilvl="1">
      <w:lvlJc w:val="left"/>
      <w:lvlText w:val="(%2)"/>
      <w:numFmt w:val="lowerLetter"/>
      <w:start w:val="1"/>
    </w:lvl>
  </w:abstractNum>
  <w:abstractNum w:abstractNumId="83">
    <w:nsid w:val="7055A5F5"/>
    <w:multiLevelType w:val="hybridMultilevel"/>
    <w:lvl w:ilvl="0">
      <w:lvlJc w:val="left"/>
      <w:lvlText w:val="%1."/>
      <w:numFmt w:val="decimal"/>
      <w:start w:val="3"/>
    </w:lvl>
    <w:lvl w:ilvl="1">
      <w:lvlJc w:val="left"/>
      <w:lvlText w:val="%2"/>
      <w:numFmt w:val="lowerLetter"/>
      <w:start w:val="1"/>
    </w:lvl>
  </w:abstractNum>
  <w:abstractNum w:abstractNumId="84">
    <w:nsid w:val="5FB8370B"/>
    <w:multiLevelType w:val="hybridMultilevel"/>
    <w:lvl w:ilvl="0">
      <w:lvlJc w:val="left"/>
      <w:lvlText w:val="(%1)"/>
      <w:numFmt w:val="lowerLetter"/>
      <w:start w:val="1"/>
    </w:lvl>
  </w:abstractNum>
  <w:abstractNum w:abstractNumId="85">
    <w:nsid w:val="50801EE1"/>
    <w:multiLevelType w:val="hybridMultilevel"/>
    <w:lvl w:ilvl="0">
      <w:lvlJc w:val="left"/>
      <w:lvlText w:val="(%1)"/>
      <w:numFmt w:val="lowerRoman"/>
      <w:start w:val="1"/>
    </w:lvl>
  </w:abstractNum>
  <w:abstractNum w:abstractNumId="86">
    <w:nsid w:val="488AC1A"/>
    <w:multiLevelType w:val="hybridMultilevel"/>
    <w:lvl w:ilvl="0">
      <w:lvlJc w:val="left"/>
      <w:lvlText w:val="(%1)"/>
      <w:numFmt w:val="lowerLetter"/>
      <w:start w:val="3"/>
    </w:lvl>
  </w:abstractNum>
  <w:abstractNum w:abstractNumId="87">
    <w:nsid w:val="5FB8011C"/>
    <w:multiLevelType w:val="hybridMultilevel"/>
    <w:lvl w:ilvl="0">
      <w:lvlJc w:val="left"/>
      <w:lvlText w:val="(%1)"/>
      <w:numFmt w:val="lowerLetter"/>
      <w:start w:val="7"/>
    </w:lvl>
  </w:abstractNum>
  <w:abstractNum w:abstractNumId="88">
    <w:nsid w:val="6AA78F7F"/>
    <w:multiLevelType w:val="hybridMultilevel"/>
    <w:lvl w:ilvl="0">
      <w:lvlJc w:val="left"/>
      <w:lvlText w:val="%1."/>
      <w:numFmt w:val="decimal"/>
      <w:start w:val="5"/>
    </w:lvl>
    <w:lvl w:ilvl="1">
      <w:lvlJc w:val="left"/>
      <w:lvlText w:val="(%2)"/>
      <w:numFmt w:val="lowerLetter"/>
      <w:start w:val="1"/>
    </w:lvl>
  </w:abstractNum>
  <w:abstractNum w:abstractNumId="89">
    <w:nsid w:val="7672BD23"/>
    <w:multiLevelType w:val="hybridMultilevel"/>
    <w:lvl w:ilvl="0">
      <w:lvlJc w:val="left"/>
      <w:lvlText w:val="(%1)"/>
      <w:numFmt w:val="lowerLetter"/>
      <w:start w:val="4"/>
    </w:lvl>
  </w:abstractNum>
  <w:abstractNum w:abstractNumId="90">
    <w:nsid w:val="6FC75AF8"/>
    <w:multiLevelType w:val="hybridMultilevel"/>
    <w:lvl w:ilvl="0">
      <w:lvlJc w:val="left"/>
      <w:lvlText w:val="%1"/>
      <w:numFmt w:val="decimal"/>
      <w:start w:val="1"/>
    </w:lvl>
    <w:lvl w:ilvl="1">
      <w:lvlJc w:val="left"/>
      <w:lvlText w:val="(%2)"/>
      <w:numFmt w:val="lowerLetter"/>
      <w:start w:val="5"/>
    </w:lvl>
  </w:abstractNum>
  <w:abstractNum w:abstractNumId="91">
    <w:nsid w:val="6A5F7029"/>
    <w:multiLevelType w:val="hybridMultilevel"/>
    <w:lvl w:ilvl="0">
      <w:lvlJc w:val="left"/>
      <w:lvlText w:val="%1."/>
      <w:numFmt w:val="decimal"/>
      <w:start w:val="6"/>
    </w:lvl>
    <w:lvl w:ilvl="1">
      <w:lvlJc w:val="left"/>
      <w:lvlText w:val="(%2)"/>
      <w:numFmt w:val="lowerLetter"/>
      <w:start w:val="1"/>
    </w:lvl>
  </w:abstractNum>
  <w:abstractNum w:abstractNumId="92">
    <w:nsid w:val="7D5E18F8"/>
    <w:multiLevelType w:val="hybridMultilevel"/>
    <w:lvl w:ilvl="0">
      <w:lvlJc w:val="left"/>
      <w:lvlText w:val="(%1)"/>
      <w:numFmt w:val="lowerRoman"/>
      <w:start w:val="1"/>
    </w:lvl>
  </w:abstractNum>
  <w:abstractNum w:abstractNumId="93">
    <w:nsid w:val="5F3534A4"/>
    <w:multiLevelType w:val="hybridMultilevel"/>
    <w:lvl w:ilvl="0">
      <w:lvlJc w:val="left"/>
      <w:lvlText w:val="(%1)"/>
      <w:numFmt w:val="lowerLetter"/>
      <w:start w:val="9"/>
    </w:lvl>
    <w:lvl w:ilvl="1">
      <w:lvlJc w:val="left"/>
      <w:lvlText w:val="(%2)"/>
      <w:numFmt w:val="lowerLetter"/>
      <w:start w:val="2"/>
    </w:lvl>
  </w:abstractNum>
  <w:abstractNum w:abstractNumId="94">
    <w:nsid w:val="73A1821B"/>
    <w:multiLevelType w:val="hybridMultilevel"/>
    <w:lvl w:ilvl="0">
      <w:lvlJc w:val="left"/>
      <w:lvlText w:val="(%1)"/>
      <w:numFmt w:val="lowerLetter"/>
      <w:start w:val="3"/>
    </w:lvl>
  </w:abstractNum>
  <w:abstractNum w:abstractNumId="95">
    <w:nsid w:val="7DE6771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96">
    <w:nsid w:val="555C55B5"/>
    <w:multiLevelType w:val="hybridMultilevel"/>
    <w:lvl w:ilvl="0">
      <w:lvlJc w:val="left"/>
      <w:lvlText w:val="(%1)"/>
      <w:numFmt w:val="lowerLetter"/>
      <w:start w:val="61"/>
    </w:lvl>
    <w:lvl w:ilvl="1">
      <w:lvlJc w:val="left"/>
      <w:lvlText w:val="%2."/>
      <w:numFmt w:val="decimal"/>
      <w:start w:val="7"/>
    </w:lvl>
    <w:lvl w:ilvl="2">
      <w:lvlJc w:val="left"/>
      <w:lvlText w:val="%3"/>
      <w:numFmt w:val="lowerLetter"/>
      <w:start w:val="1"/>
    </w:lvl>
  </w:abstractNum>
  <w:abstractNum w:abstractNumId="97">
    <w:nsid w:val="3FA62ACA"/>
    <w:multiLevelType w:val="hybridMultilevel"/>
    <w:lvl w:ilvl="0">
      <w:lvlJc w:val="left"/>
      <w:lvlText w:val="%1."/>
      <w:numFmt w:val="decimal"/>
      <w:start w:val="8"/>
    </w:lvl>
    <w:lvl w:ilvl="1">
      <w:lvlJc w:val="left"/>
      <w:lvlText w:val="(%2)"/>
      <w:numFmt w:val="lowerLetter"/>
      <w:start w:val="1"/>
    </w:lvl>
  </w:abstractNum>
  <w:abstractNum w:abstractNumId="98">
    <w:nsid w:val="14FCE74E"/>
    <w:multiLevelType w:val="hybridMultilevel"/>
    <w:lvl w:ilvl="0">
      <w:lvlJc w:val="left"/>
      <w:lvlText w:val="(%1)"/>
      <w:numFmt w:val="decimal"/>
      <w:start w:val="1"/>
    </w:lvl>
  </w:abstractNum>
  <w:abstractNum w:abstractNumId="99">
    <w:nsid w:val="6A3DD3E8"/>
    <w:multiLevelType w:val="hybridMultilevel"/>
    <w:lvl w:ilvl="0">
      <w:lvlJc w:val="left"/>
      <w:lvlText w:val="(%1)"/>
      <w:numFmt w:val="lowerLetter"/>
      <w:start w:val="3"/>
    </w:lvl>
  </w:abstractNum>
  <w:abstractNum w:abstractNumId="100">
    <w:nsid w:val="71C91298"/>
    <w:multiLevelType w:val="hybridMultilevel"/>
    <w:lvl w:ilvl="0">
      <w:lvlJc w:val="left"/>
      <w:lvlText w:val="(%1)"/>
      <w:numFmt w:val="lowerRoman"/>
      <w:start w:val="1"/>
    </w:lvl>
  </w:abstractNum>
  <w:abstractNum w:abstractNumId="101">
    <w:nsid w:val="9DAF632"/>
    <w:multiLevelType w:val="hybridMultilevel"/>
    <w:lvl w:ilvl="0">
      <w:lvlJc w:val="left"/>
      <w:lvlText w:val="(%1)"/>
      <w:numFmt w:val="decimal"/>
      <w:start w:val="1"/>
    </w:lvl>
  </w:abstractNum>
  <w:abstractNum w:abstractNumId="102">
    <w:nsid w:val="53299938"/>
    <w:multiLevelType w:val="hybridMultilevel"/>
    <w:lvl w:ilvl="0">
      <w:lvlJc w:val="left"/>
      <w:lvlText w:val="*"/>
      <w:numFmt w:val="bullet"/>
      <w:start w:val="1"/>
    </w:lvl>
  </w:abstractNum>
  <w:abstractNum w:abstractNumId="103">
    <w:nsid w:val="1FBFE8E0"/>
    <w:multiLevelType w:val="hybridMultilevel"/>
    <w:lvl w:ilvl="0">
      <w:lvlJc w:val="left"/>
      <w:lvlText w:val="*"/>
      <w:numFmt w:val="bullet"/>
      <w:start w:val="1"/>
    </w:lvl>
  </w:abstractNum>
  <w:abstractNum w:abstractNumId="104">
    <w:nsid w:val="5092CA79"/>
    <w:multiLevelType w:val="hybridMultilevel"/>
    <w:lvl w:ilvl="0">
      <w:lvlJc w:val="left"/>
      <w:lvlText w:val="(%1)"/>
      <w:numFmt w:val="decimal"/>
      <w:start w:val="1"/>
    </w:lvl>
  </w:abstractNum>
  <w:abstractNum w:abstractNumId="105">
    <w:nsid w:val="1D545C4D"/>
    <w:multiLevelType w:val="hybridMultilevel"/>
    <w:lvl w:ilvl="0">
      <w:lvlJc w:val="left"/>
      <w:lvlText w:val="*"/>
      <w:numFmt w:val="bullet"/>
      <w:start w:val="1"/>
    </w:lvl>
  </w:abstractNum>
  <w:abstractNum w:abstractNumId="106">
    <w:nsid w:val="59ADEA3D"/>
    <w:multiLevelType w:val="hybridMultilevel"/>
    <w:lvl w:ilvl="0">
      <w:lvlJc w:val="left"/>
      <w:lvlText w:val="1"/>
      <w:numFmt w:val="bullet"/>
      <w:start w:val="1"/>
    </w:lvl>
  </w:abstractNum>
  <w:abstractNum w:abstractNumId="107">
    <w:nsid w:val="288F1A34"/>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2021-08-19T16:06:05Z</dcterms:created>
  <dcterms:modified xsi:type="dcterms:W3CDTF">2021-08-19T16:06:05Z</dcterms:modified>
</cp:coreProperties>
</file>