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156210</wp:posOffset>
            </wp:positionH>
            <wp:positionV relativeFrom="page">
              <wp:posOffset>443865</wp:posOffset>
            </wp:positionV>
            <wp:extent cx="72485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25400"/>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477520</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3"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_________________</w:t>
      </w:r>
    </w:p>
    <w:p>
      <w:pPr>
        <w:spacing w:after="0" w:line="35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8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CURRENT REPORT</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Exchange Act of 1934</w:t>
      </w:r>
    </w:p>
    <w:p>
      <w:pPr>
        <w:spacing w:after="0" w:line="29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report (Date of earliest event reported): December 10, 2015</w:t>
      </w:r>
    </w:p>
    <w:p>
      <w:pPr>
        <w:spacing w:after="0" w:line="164"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Comcast Corporation</w:t>
      </w:r>
    </w:p>
    <w:p>
      <w:pPr>
        <w:spacing w:after="0" w:line="25"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(Exact Name of Registrant</w:t>
      </w:r>
    </w:p>
    <w:p>
      <w:pPr>
        <w:ind w:left="4680"/>
        <w:spacing w:after="0"/>
        <w:rPr>
          <w:sz w:val="20"/>
          <w:szCs w:val="20"/>
          <w:color w:val="auto"/>
        </w:rPr>
      </w:pPr>
      <w:r>
        <w:rPr>
          <w:rFonts w:ascii="Arial" w:cs="Arial" w:eastAsia="Arial" w:hAnsi="Arial"/>
          <w:sz w:val="18"/>
          <w:szCs w:val="18"/>
          <w:color w:val="auto"/>
        </w:rPr>
        <w:t>as Specified in its Charter)</w:t>
      </w:r>
    </w:p>
    <w:p>
      <w:pPr>
        <w:spacing w:after="0" w:line="17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Pennsylvania</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(State or Other Jurisdiction of Incorporation)</w:t>
      </w:r>
    </w:p>
    <w:p>
      <w:pPr>
        <w:spacing w:after="0" w:line="170"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5480" w:type="dxa"/>
            <w:vAlign w:val="bottom"/>
          </w:tcPr>
          <w:p>
            <w:pPr>
              <w:jc w:val="center"/>
              <w:ind w:right="2291"/>
              <w:spacing w:after="0"/>
              <w:rPr>
                <w:sz w:val="20"/>
                <w:szCs w:val="20"/>
                <w:color w:val="auto"/>
              </w:rPr>
            </w:pPr>
            <w:r>
              <w:rPr>
                <w:rFonts w:ascii="Arial" w:cs="Arial" w:eastAsia="Arial" w:hAnsi="Arial"/>
                <w:sz w:val="18"/>
                <w:szCs w:val="18"/>
                <w:b w:val="1"/>
                <w:bCs w:val="1"/>
                <w:color w:val="auto"/>
                <w:w w:val="99"/>
              </w:rPr>
              <w:t>001-32871</w:t>
            </w:r>
          </w:p>
        </w:tc>
        <w:tc>
          <w:tcPr>
            <w:tcW w:w="4980" w:type="dxa"/>
            <w:vAlign w:val="bottom"/>
          </w:tcPr>
          <w:p>
            <w:pPr>
              <w:jc w:val="center"/>
              <w:ind w:left="2291"/>
              <w:spacing w:after="0"/>
              <w:rPr>
                <w:sz w:val="20"/>
                <w:szCs w:val="20"/>
                <w:color w:val="auto"/>
              </w:rPr>
            </w:pPr>
            <w:r>
              <w:rPr>
                <w:rFonts w:ascii="Arial" w:cs="Arial" w:eastAsia="Arial" w:hAnsi="Arial"/>
                <w:sz w:val="18"/>
                <w:szCs w:val="18"/>
                <w:b w:val="1"/>
                <w:bCs w:val="1"/>
                <w:color w:val="auto"/>
                <w:w w:val="99"/>
              </w:rPr>
              <w:t>27-0000798</w:t>
            </w:r>
          </w:p>
        </w:tc>
      </w:tr>
      <w:tr>
        <w:trPr>
          <w:trHeight w:val="212"/>
        </w:trPr>
        <w:tc>
          <w:tcPr>
            <w:tcW w:w="5480" w:type="dxa"/>
            <w:vAlign w:val="bottom"/>
          </w:tcPr>
          <w:p>
            <w:pPr>
              <w:jc w:val="center"/>
              <w:ind w:right="2291"/>
              <w:spacing w:after="0"/>
              <w:rPr>
                <w:sz w:val="20"/>
                <w:szCs w:val="20"/>
                <w:color w:val="auto"/>
              </w:rPr>
            </w:pPr>
            <w:r>
              <w:rPr>
                <w:rFonts w:ascii="Arial" w:cs="Arial" w:eastAsia="Arial" w:hAnsi="Arial"/>
                <w:sz w:val="18"/>
                <w:szCs w:val="18"/>
                <w:color w:val="auto"/>
                <w:w w:val="98"/>
              </w:rPr>
              <w:t>(Commission File Number)</w:t>
            </w:r>
          </w:p>
        </w:tc>
        <w:tc>
          <w:tcPr>
            <w:tcW w:w="4980" w:type="dxa"/>
            <w:vAlign w:val="bottom"/>
          </w:tcPr>
          <w:p>
            <w:pPr>
              <w:jc w:val="center"/>
              <w:ind w:left="2291"/>
              <w:spacing w:after="0"/>
              <w:rPr>
                <w:sz w:val="20"/>
                <w:szCs w:val="20"/>
                <w:color w:val="auto"/>
              </w:rPr>
            </w:pPr>
            <w:r>
              <w:rPr>
                <w:rFonts w:ascii="Arial" w:cs="Arial" w:eastAsia="Arial" w:hAnsi="Arial"/>
                <w:sz w:val="18"/>
                <w:szCs w:val="18"/>
                <w:color w:val="auto"/>
                <w:w w:val="99"/>
              </w:rPr>
              <w:t>(IRS Employer Identification No.)</w:t>
            </w:r>
          </w:p>
        </w:tc>
      </w:tr>
      <w:tr>
        <w:trPr>
          <w:trHeight w:val="364"/>
        </w:trPr>
        <w:tc>
          <w:tcPr>
            <w:tcW w:w="5480" w:type="dxa"/>
            <w:vAlign w:val="bottom"/>
          </w:tcPr>
          <w:p>
            <w:pPr>
              <w:jc w:val="center"/>
              <w:ind w:right="2291"/>
              <w:spacing w:after="0"/>
              <w:rPr>
                <w:sz w:val="20"/>
                <w:szCs w:val="20"/>
                <w:color w:val="auto"/>
              </w:rPr>
            </w:pPr>
            <w:r>
              <w:rPr>
                <w:rFonts w:ascii="Arial" w:cs="Arial" w:eastAsia="Arial" w:hAnsi="Arial"/>
                <w:sz w:val="18"/>
                <w:szCs w:val="18"/>
                <w:b w:val="1"/>
                <w:bCs w:val="1"/>
                <w:color w:val="auto"/>
                <w:w w:val="97"/>
              </w:rPr>
              <w:t>One Comcast Center</w:t>
            </w:r>
          </w:p>
        </w:tc>
        <w:tc>
          <w:tcPr>
            <w:tcW w:w="4980" w:type="dxa"/>
            <w:vAlign w:val="bottom"/>
          </w:tcPr>
          <w:p>
            <w:pPr>
              <w:spacing w:after="0"/>
              <w:rPr>
                <w:sz w:val="24"/>
                <w:szCs w:val="24"/>
                <w:color w:val="auto"/>
              </w:rPr>
            </w:pPr>
          </w:p>
        </w:tc>
      </w:tr>
      <w:tr>
        <w:trPr>
          <w:trHeight w:val="222"/>
        </w:trPr>
        <w:tc>
          <w:tcPr>
            <w:tcW w:w="5480" w:type="dxa"/>
            <w:vAlign w:val="bottom"/>
          </w:tcPr>
          <w:p>
            <w:pPr>
              <w:jc w:val="center"/>
              <w:ind w:right="2291"/>
              <w:spacing w:after="0"/>
              <w:rPr>
                <w:sz w:val="20"/>
                <w:szCs w:val="20"/>
                <w:color w:val="auto"/>
              </w:rPr>
            </w:pPr>
            <w:r>
              <w:rPr>
                <w:rFonts w:ascii="Arial" w:cs="Arial" w:eastAsia="Arial" w:hAnsi="Arial"/>
                <w:sz w:val="18"/>
                <w:szCs w:val="18"/>
                <w:b w:val="1"/>
                <w:bCs w:val="1"/>
                <w:color w:val="auto"/>
                <w:w w:val="97"/>
              </w:rPr>
              <w:t>Philadelphia, PA</w:t>
            </w:r>
          </w:p>
        </w:tc>
        <w:tc>
          <w:tcPr>
            <w:tcW w:w="4980" w:type="dxa"/>
            <w:vAlign w:val="bottom"/>
          </w:tcPr>
          <w:p>
            <w:pPr>
              <w:jc w:val="center"/>
              <w:ind w:left="2291"/>
              <w:spacing w:after="0"/>
              <w:rPr>
                <w:sz w:val="20"/>
                <w:szCs w:val="20"/>
                <w:color w:val="auto"/>
              </w:rPr>
            </w:pPr>
            <w:r>
              <w:rPr>
                <w:rFonts w:ascii="Arial" w:cs="Arial" w:eastAsia="Arial" w:hAnsi="Arial"/>
                <w:sz w:val="18"/>
                <w:szCs w:val="18"/>
                <w:b w:val="1"/>
                <w:bCs w:val="1"/>
                <w:color w:val="auto"/>
                <w:w w:val="99"/>
              </w:rPr>
              <w:t>19103-2838</w:t>
            </w:r>
          </w:p>
        </w:tc>
      </w:tr>
      <w:tr>
        <w:trPr>
          <w:trHeight w:val="212"/>
        </w:trPr>
        <w:tc>
          <w:tcPr>
            <w:tcW w:w="5480" w:type="dxa"/>
            <w:vAlign w:val="bottom"/>
          </w:tcPr>
          <w:p>
            <w:pPr>
              <w:jc w:val="center"/>
              <w:ind w:right="2291"/>
              <w:spacing w:after="0"/>
              <w:rPr>
                <w:sz w:val="20"/>
                <w:szCs w:val="20"/>
                <w:color w:val="auto"/>
              </w:rPr>
            </w:pPr>
            <w:r>
              <w:rPr>
                <w:rFonts w:ascii="Arial" w:cs="Arial" w:eastAsia="Arial" w:hAnsi="Arial"/>
                <w:sz w:val="18"/>
                <w:szCs w:val="18"/>
                <w:color w:val="auto"/>
                <w:w w:val="98"/>
              </w:rPr>
              <w:t>(Address of Principal Executive Offices)</w:t>
            </w:r>
          </w:p>
        </w:tc>
        <w:tc>
          <w:tcPr>
            <w:tcW w:w="4980" w:type="dxa"/>
            <w:vAlign w:val="bottom"/>
          </w:tcPr>
          <w:p>
            <w:pPr>
              <w:jc w:val="center"/>
              <w:ind w:left="2291"/>
              <w:spacing w:after="0"/>
              <w:rPr>
                <w:sz w:val="20"/>
                <w:szCs w:val="20"/>
                <w:color w:val="auto"/>
              </w:rPr>
            </w:pPr>
            <w:r>
              <w:rPr>
                <w:rFonts w:ascii="Arial" w:cs="Arial" w:eastAsia="Arial" w:hAnsi="Arial"/>
                <w:sz w:val="18"/>
                <w:szCs w:val="18"/>
                <w:color w:val="auto"/>
                <w:w w:val="98"/>
              </w:rPr>
              <w:t>(Zip Code)</w:t>
            </w:r>
          </w:p>
        </w:tc>
      </w:tr>
    </w:tbl>
    <w:p>
      <w:pPr>
        <w:spacing w:after="0" w:line="16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1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2" w:lineRule="exact"/>
        <w:rPr>
          <w:sz w:val="24"/>
          <w:szCs w:val="24"/>
          <w:color w:val="auto"/>
        </w:rPr>
      </w:pPr>
    </w:p>
    <w:p>
      <w:pPr>
        <w:ind w:firstLine="319"/>
        <w:spacing w:after="0" w:line="23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8" w:lineRule="exact"/>
        <w:rPr>
          <w:sz w:val="24"/>
          <w:szCs w:val="24"/>
          <w:color w:val="auto"/>
        </w:rPr>
      </w:pPr>
    </w:p>
    <w:p>
      <w:pPr>
        <w:ind w:left="820" w:hanging="45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5" w:lineRule="exact"/>
        <w:rPr>
          <w:rFonts w:ascii="Arial" w:cs="Arial" w:eastAsia="Arial" w:hAnsi="Arial"/>
          <w:sz w:val="18"/>
          <w:szCs w:val="18"/>
          <w:color w:val="auto"/>
        </w:rPr>
      </w:pPr>
    </w:p>
    <w:p>
      <w:pPr>
        <w:ind w:left="820" w:hanging="45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5" w:lineRule="exact"/>
        <w:rPr>
          <w:rFonts w:ascii="Arial" w:cs="Arial" w:eastAsia="Arial" w:hAnsi="Arial"/>
          <w:sz w:val="18"/>
          <w:szCs w:val="18"/>
          <w:color w:val="auto"/>
        </w:rPr>
      </w:pPr>
    </w:p>
    <w:p>
      <w:pPr>
        <w:ind w:left="820" w:hanging="45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5" w:lineRule="exact"/>
        <w:rPr>
          <w:rFonts w:ascii="Arial" w:cs="Arial" w:eastAsia="Arial" w:hAnsi="Arial"/>
          <w:sz w:val="18"/>
          <w:szCs w:val="18"/>
          <w:color w:val="auto"/>
        </w:rPr>
      </w:pPr>
    </w:p>
    <w:p>
      <w:pPr>
        <w:ind w:left="820" w:hanging="45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316865</wp:posOffset>
            </wp:positionV>
            <wp:extent cx="724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334010</wp:posOffset>
            </wp:positionV>
            <wp:extent cx="72485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772795</wp:posOffset>
            </wp:positionV>
            <wp:extent cx="724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260"/>
          </w:cols>
          <w:pgMar w:left="240" w:top="1029"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At a special meeting of shareholders of Comcast Corporation (“Comcast”) held on December 10, 2015 (the “Special Meeting”), the shareholders of Comcast approved a proposal to amend and restate the Company’s Amended and Restated Articles of Incorporation (the “Prior Articles” and, as amended, the “New Articles”) in order to reclassify each issued share of Class A Special common stock into one share of Class A common stock (the “Reclassification”) and make other minor changes to the Prior Articles as described in the definitive proxy materials relating thereto, as filed on Schedule 14A with the U.S. Securities and Exchange Commission on November 10, 2015 (the “Definitive Proxy”). Following the Special Meeting, on December 11, 2015, Comcast filed Articles of Amendment effecting the New Articles with the Department of State of the Commonwealth of Pennsylvania, and the New Articles and the Reclassification became effective as of the close of business that day.</w:t>
      </w:r>
    </w:p>
    <w:p>
      <w:pPr>
        <w:spacing w:after="0" w:line="18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As result of the Reclassification, there are no longer outstanding any shares of Class A Special common stock of Comcast. Accordingly, Comcast has requested the delisting of shares of Class A Special common stock, which previously traded on the NASDAQ Stock Market under the ticker symbol “CMCSK.” NASDAQ has notified Comcast that trading of the Class A Special common stock on NASDAQ has ceased as of the close of business on December 11, 2015. The new shares of Class A common stock into which all issued shares of Class A Special common stock were reclassified are now listed on NASDAQ under the ticker symbol “CMCSA” (the same ticker symbol under which all shares of Class A common stock have historically traded and continue to trade) and will use the same CUSIP security identification number used by shares of Class A common stock and otherwise trade indistinguishably from the previously outstanding shares of Class A common stock. The Reclassification had no effect on the continued listing of the previously outstanding shares of Class A common stock, or the manner in which such shares are traded.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a result of the Reclassification, Comcast issued a number of shares of Class A common stock equal to the number of shares of Class A Special common stock issued as of the effective time of the Reclassification to the holders thereof. The issuance of the shares in connection with the Reclassification was exempt from registration under the Securities Act of 1933, as amended, pursuant to Section 3(a)(9)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Securities 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Following the effectiveness of the Reclassification,</w:t>
      </w:r>
    </w:p>
    <w:p>
      <w:pPr>
        <w:spacing w:after="0" w:line="192" w:lineRule="exact"/>
        <w:rPr>
          <w:sz w:val="20"/>
          <w:szCs w:val="20"/>
          <w:color w:val="auto"/>
        </w:rPr>
      </w:pPr>
    </w:p>
    <w:p>
      <w:pPr>
        <w:ind w:left="800" w:hanging="47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Class A Special common stock was eliminated;</w:t>
      </w:r>
    </w:p>
    <w:p>
      <w:pPr>
        <w:spacing w:after="0" w:line="205" w:lineRule="exact"/>
        <w:rPr>
          <w:rFonts w:ascii="Arial" w:cs="Arial" w:eastAsia="Arial" w:hAnsi="Arial"/>
          <w:sz w:val="18"/>
          <w:szCs w:val="18"/>
          <w:color w:val="auto"/>
        </w:rPr>
      </w:pPr>
    </w:p>
    <w:p>
      <w:pPr>
        <w:ind w:left="800" w:hanging="474"/>
        <w:spacing w:after="0" w:line="23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prior holders of Class A Special common stock became holders of Class A common stock and are now entitled to vote together with the other holders of Class A common stock on any matter for which shares of Class A common stock are entitled to vote;</w:t>
      </w:r>
    </w:p>
    <w:p>
      <w:pPr>
        <w:spacing w:after="0" w:line="188" w:lineRule="exact"/>
        <w:rPr>
          <w:rFonts w:ascii="Arial" w:cs="Arial" w:eastAsia="Arial" w:hAnsi="Arial"/>
          <w:sz w:val="18"/>
          <w:szCs w:val="18"/>
          <w:color w:val="auto"/>
        </w:rPr>
      </w:pPr>
    </w:p>
    <w:p>
      <w:pPr>
        <w:ind w:left="800" w:hanging="47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holders of Class A common stock continue to hold 66 2⁄3% of the voting power of the Company’s capital stock; and</w:t>
      </w:r>
    </w:p>
    <w:p>
      <w:pPr>
        <w:spacing w:after="0" w:line="205" w:lineRule="exact"/>
        <w:rPr>
          <w:rFonts w:ascii="Arial" w:cs="Arial" w:eastAsia="Arial" w:hAnsi="Arial"/>
          <w:sz w:val="18"/>
          <w:szCs w:val="18"/>
          <w:color w:val="auto"/>
        </w:rPr>
      </w:pPr>
    </w:p>
    <w:p>
      <w:pPr>
        <w:ind w:left="800" w:right="320" w:hanging="474"/>
        <w:spacing w:after="0" w:line="23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share of Class A common stock remains entitled to a number of votes calculated as provided in the Prior Articles and the New Articles.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Reclassification had no impact on the economic equity interest of holders of Class A common stock, Class A Special common stock or Class B common stock, including with regard to dividends, liquidation rights or redemption; except that stock dividends on, or stock splits of, Class B common stock may be paid or issued in shares of Class A common stock instead of Class A Special common stock as was previously the case.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Description of our Class A Common Stock</w:t>
      </w:r>
    </w:p>
    <w:p>
      <w:pPr>
        <w:spacing w:after="0" w:line="21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Class A common stock of Comcast was deemed registered under Section 12(g) of the Securities Exchange Act of 1934, as amended (the “Exchange Act”), in reliance on Rule 12g-3(d) upon the filing on November 18, 2002 by Comcast of a current report on Form 8-K. In connection with the application by the NASDAQ to transition to a national securities exchange, effective August 1, 2006, the Class A common stock became registered under Section 12(b) of the Exchange Act pursuant to the Securities and Exchange Commission’s Release No. 34-54240 dated July 31, 2006.</w:t>
      </w:r>
    </w:p>
    <w:p>
      <w:pPr>
        <w:spacing w:after="0" w:line="18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Comcast’s authorized capital stock consists of 7,500,000,000 shares of Class A common stock, par value $0.01, 75,000,000 shares of Class B common stock, par value $0.01, and 20,000,000 shares of Preferred Stock, par value $0.01 per share. As of the close of business on December 11, 2015, 2,436,465,724 shares of Class A common stock, 9,444,375 shares of Class B common stock and no shares of Preferred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246380</wp:posOffset>
            </wp:positionV>
            <wp:extent cx="724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ind w:right="320"/>
        <w:spacing w:after="0" w:line="236"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As a general matter, on all matters submitted for a vote to holders of all classes of Comcast’s voting stock, holders of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 the aggregate hold 33 1⁄3% of the aggregate voting power of Comcast’s capital stock (regardless of the number of shares of Class A common stock or any other class of Comcast’s capital stock outstanding at any time) and holders of Class A common stock in the aggregate hold the remaining 66 2⁄3% of the aggregate voting power of Comcast’s capital stock (because there are no other classes of voting stock of Comcast outstanding (other than the Class B common stock)). Each share of Class B common stock is entitled to 15 votes and each share of Class A common stock is entitled to a number of votes determined pursuant to a formula provided in the New Articles (which is unchanged from that provided in the Prior Articles) that ensures the previously-described allocation of voting power.</w:t>
      </w:r>
    </w:p>
    <w:p>
      <w:pPr>
        <w:spacing w:after="0" w:line="17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Right to Dividends and Other Distributions</w:t>
      </w:r>
      <w:r>
        <w:rPr>
          <w:rFonts w:ascii="Arial" w:cs="Arial" w:eastAsia="Arial" w:hAnsi="Arial"/>
          <w:sz w:val="18"/>
          <w:szCs w:val="18"/>
          <w:color w:val="auto"/>
        </w:rPr>
        <w:t>. The holders of Class A common stock are entitled to receive dividends and other distributions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property of Comcast as and when declared by the board of directors of Comcast out of legally available funds.</w:t>
      </w:r>
    </w:p>
    <w:p>
      <w:pPr>
        <w:spacing w:after="0" w:line="15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i w:val="1"/>
          <w:iCs w:val="1"/>
          <w:color w:val="auto"/>
        </w:rPr>
        <w:t>Right to Receive Liquidation Distributions</w:t>
      </w:r>
      <w:r>
        <w:rPr>
          <w:rFonts w:ascii="Arial" w:cs="Arial" w:eastAsia="Arial" w:hAnsi="Arial"/>
          <w:sz w:val="18"/>
          <w:szCs w:val="18"/>
          <w:color w:val="auto"/>
        </w:rPr>
        <w:t>. Upon the liquidation, dissolution or winding-up of Comcast, the holders of Class A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Class B common stock are entitled to share equally in all of Comcast’s assets remaining after payment of all liabilities and the liquidation preferences of any outstanding Preferred Stock.</w:t>
      </w:r>
    </w:p>
    <w:p>
      <w:pPr>
        <w:spacing w:after="0" w:line="164" w:lineRule="exact"/>
        <w:rPr>
          <w:sz w:val="20"/>
          <w:szCs w:val="20"/>
          <w:color w:val="auto"/>
        </w:rPr>
      </w:pPr>
    </w:p>
    <w:p>
      <w:pPr>
        <w:ind w:right="60"/>
        <w:spacing w:after="0"/>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Shares of Class A common stock are not convertible into other securities of Comcast. The holders of Class A common stock have</w:t>
      </w:r>
      <w:r>
        <w:rPr>
          <w:rFonts w:ascii="Arial" w:cs="Arial" w:eastAsia="Arial" w:hAnsi="Arial"/>
          <w:sz w:val="18"/>
          <w:szCs w:val="18"/>
          <w:i w:val="1"/>
          <w:iCs w:val="1"/>
          <w:color w:val="auto"/>
        </w:rPr>
        <w:t xml:space="preserve"> </w:t>
      </w:r>
      <w:r>
        <w:rPr>
          <w:rFonts w:ascii="Arial" w:cs="Arial" w:eastAsia="Arial" w:hAnsi="Arial"/>
          <w:sz w:val="18"/>
          <w:szCs w:val="18"/>
          <w:color w:val="auto"/>
        </w:rPr>
        <w:t>no cumulative voting rights or preemptive rights enabling them to subscribe for or receive shares of any class of Comcast’s capital stock or any other securities convertible into shares of any class of Comcast’s capital stock. There are no redemption rights or sinking fund provisions applicable to the Class A common stock. All outstanding shares of Class A common stock are fully paid and non-assessable.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w:t>
      </w:r>
      <w:r>
        <w:rPr>
          <w:rFonts w:ascii="Arial" w:cs="Arial" w:eastAsia="Arial" w:hAnsi="Arial"/>
          <w:sz w:val="18"/>
          <w:szCs w:val="18"/>
          <w:color w:val="auto"/>
        </w:rPr>
        <w:t>. Wells Fargo Bank, National Association, is the registrar and transfer agent for Comcast’s Class A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1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To effect the Reclassification, on December 11, 2015, Comcast filed Articles of Amendment with the Department of State of the Commonwealth of Pennsylvania which amended the Prior Articles, as provided in the New Articles. The New Articles also:</w:t>
      </w:r>
    </w:p>
    <w:p>
      <w:pPr>
        <w:spacing w:after="0" w:line="188" w:lineRule="exact"/>
        <w:rPr>
          <w:sz w:val="20"/>
          <w:szCs w:val="20"/>
          <w:color w:val="auto"/>
        </w:rPr>
      </w:pPr>
    </w:p>
    <w:p>
      <w:pPr>
        <w:ind w:left="800" w:right="160" w:hanging="474"/>
        <w:spacing w:after="0" w:line="23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clarified the ambiguous use of the term “share exchange” in Article FIFTH of the Prior Articles by replacing the term “share exchange” with the term “interest exchange under 15 Pa.C.S. Subch. 3D”;</w:t>
      </w:r>
    </w:p>
    <w:p>
      <w:pPr>
        <w:spacing w:after="0" w:line="188" w:lineRule="exact"/>
        <w:rPr>
          <w:rFonts w:ascii="Arial" w:cs="Arial" w:eastAsia="Arial" w:hAnsi="Arial"/>
          <w:sz w:val="18"/>
          <w:szCs w:val="18"/>
          <w:color w:val="auto"/>
        </w:rPr>
      </w:pPr>
    </w:p>
    <w:p>
      <w:pPr>
        <w:ind w:left="800" w:right="180" w:hanging="474"/>
        <w:spacing w:after="0" w:line="236"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deleted obsolete provisions in Article SIXTH of the Prior Articles relating to the removal of the Chairman of the Board of Directors and the Chief Executive Officer of Comcast, the appointment of a Chairman of an executive committee of the Board of Directors and the amendment of such provisions; and</w:t>
      </w:r>
    </w:p>
    <w:p>
      <w:pPr>
        <w:spacing w:after="0" w:line="187" w:lineRule="exact"/>
        <w:rPr>
          <w:rFonts w:ascii="Arial" w:cs="Arial" w:eastAsia="Arial" w:hAnsi="Arial"/>
          <w:sz w:val="18"/>
          <w:szCs w:val="18"/>
          <w:color w:val="auto"/>
        </w:rPr>
      </w:pPr>
    </w:p>
    <w:p>
      <w:pPr>
        <w:ind w:left="800" w:right="500" w:hanging="474"/>
        <w:spacing w:after="0" w:line="23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removed from Article SIXTH of the Prior Articles provisions relating to the appointment of Ralph J. Roberts as the Chairman of an executive committee of the Board of Directors if the Board established such a committee.</w:t>
      </w:r>
    </w:p>
    <w:p>
      <w:pPr>
        <w:spacing w:after="0" w:line="188"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A description of the proposal with respect to these amendments was disclosed in the Definitive Proxy. A copy of the New Articles is filed as Exhibit 3.1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14"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At the Special Meeting, Comcast’s shareholders approved the proposal to amend and restate the Prior Articles as described in the Definitive Proxy, and in connection therewith, to effect the Reclassification. The number of votes cast for and against and the number of abstentions with respect to such proposal are set forth below, in each case, as such number of votes is calculated under our Amended and Restated Articles of Incorporation.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6"/>
              </w:rPr>
              <w:t>For</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8"/>
                <w:szCs w:val="18"/>
                <w:color w:val="auto"/>
                <w:w w:val="96"/>
              </w:rPr>
              <w:t>Against</w:t>
            </w:r>
          </w:p>
        </w:tc>
        <w:tc>
          <w:tcPr>
            <w:tcW w:w="8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Abstain</w:t>
            </w:r>
          </w:p>
        </w:tc>
      </w:tr>
      <w:tr>
        <w:trPr>
          <w:trHeight w:val="20"/>
        </w:trPr>
        <w:tc>
          <w:tcPr>
            <w:tcW w:w="4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5"/>
        </w:trPr>
        <w:tc>
          <w:tcPr>
            <w:tcW w:w="4840" w:type="dxa"/>
            <w:vAlign w:val="bottom"/>
          </w:tcPr>
          <w:p>
            <w:pPr>
              <w:spacing w:after="0" w:line="206" w:lineRule="exact"/>
              <w:rPr>
                <w:sz w:val="20"/>
                <w:szCs w:val="20"/>
                <w:color w:val="auto"/>
              </w:rPr>
            </w:pPr>
            <w:r>
              <w:rPr>
                <w:rFonts w:ascii="Arial" w:cs="Arial" w:eastAsia="Arial" w:hAnsi="Arial"/>
                <w:sz w:val="18"/>
                <w:szCs w:val="18"/>
                <w:color w:val="auto"/>
              </w:rPr>
              <w:t>Combined Vote – Class A Common Stock and Class</w:t>
            </w:r>
          </w:p>
        </w:tc>
        <w:tc>
          <w:tcPr>
            <w:tcW w:w="2380" w:type="dxa"/>
            <w:vAlign w:val="bottom"/>
            <w:gridSpan w:val="3"/>
          </w:tcPr>
          <w:p>
            <w:pPr>
              <w:jc w:val="center"/>
              <w:spacing w:after="0" w:line="206" w:lineRule="exact"/>
              <w:rPr>
                <w:sz w:val="20"/>
                <w:szCs w:val="20"/>
                <w:color w:val="auto"/>
              </w:rPr>
            </w:pPr>
            <w:r>
              <w:rPr>
                <w:rFonts w:ascii="Arial" w:cs="Arial" w:eastAsia="Arial" w:hAnsi="Arial"/>
                <w:sz w:val="18"/>
                <w:szCs w:val="18"/>
                <w:color w:val="auto"/>
                <w:w w:val="97"/>
              </w:rPr>
              <w:t>359,699,543</w:t>
            </w:r>
          </w:p>
        </w:tc>
        <w:tc>
          <w:tcPr>
            <w:tcW w:w="2020" w:type="dxa"/>
            <w:vAlign w:val="bottom"/>
            <w:gridSpan w:val="3"/>
          </w:tcPr>
          <w:p>
            <w:pPr>
              <w:jc w:val="center"/>
              <w:ind w:right="60"/>
              <w:spacing w:after="0" w:line="206" w:lineRule="exact"/>
              <w:rPr>
                <w:sz w:val="20"/>
                <w:szCs w:val="20"/>
                <w:color w:val="auto"/>
              </w:rPr>
            </w:pPr>
            <w:r>
              <w:rPr>
                <w:rFonts w:ascii="Arial" w:cs="Arial" w:eastAsia="Arial" w:hAnsi="Arial"/>
                <w:sz w:val="18"/>
                <w:szCs w:val="18"/>
                <w:color w:val="auto"/>
                <w:w w:val="98"/>
              </w:rPr>
              <w:t>678,600</w:t>
            </w:r>
          </w:p>
        </w:tc>
        <w:tc>
          <w:tcPr>
            <w:tcW w:w="2180" w:type="dxa"/>
            <w:vAlign w:val="bottom"/>
            <w:gridSpan w:val="3"/>
          </w:tcPr>
          <w:p>
            <w:pPr>
              <w:jc w:val="center"/>
              <w:spacing w:after="0" w:line="206" w:lineRule="exact"/>
              <w:rPr>
                <w:sz w:val="20"/>
                <w:szCs w:val="20"/>
                <w:color w:val="auto"/>
              </w:rPr>
            </w:pPr>
            <w:r>
              <w:rPr>
                <w:rFonts w:ascii="Arial" w:cs="Arial" w:eastAsia="Arial" w:hAnsi="Arial"/>
                <w:sz w:val="18"/>
                <w:szCs w:val="18"/>
                <w:color w:val="auto"/>
                <w:w w:val="98"/>
              </w:rPr>
              <w:t>832,958</w:t>
            </w:r>
          </w:p>
        </w:tc>
      </w:tr>
      <w:tr>
        <w:trPr>
          <w:trHeight w:val="212"/>
        </w:trPr>
        <w:tc>
          <w:tcPr>
            <w:tcW w:w="4840" w:type="dxa"/>
            <w:vAlign w:val="bottom"/>
          </w:tcPr>
          <w:p>
            <w:pPr>
              <w:spacing w:after="0"/>
              <w:rPr>
                <w:sz w:val="20"/>
                <w:szCs w:val="20"/>
                <w:color w:val="auto"/>
              </w:rPr>
            </w:pPr>
            <w:r>
              <w:rPr>
                <w:rFonts w:ascii="Arial" w:cs="Arial" w:eastAsia="Arial" w:hAnsi="Arial"/>
                <w:sz w:val="18"/>
                <w:szCs w:val="18"/>
                <w:color w:val="auto"/>
              </w:rPr>
              <w:t>B Common Stock</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9"/>
        </w:trPr>
        <w:tc>
          <w:tcPr>
            <w:tcW w:w="4840" w:type="dxa"/>
            <w:vAlign w:val="bottom"/>
          </w:tcPr>
          <w:p>
            <w:pPr>
              <w:spacing w:after="0"/>
              <w:rPr>
                <w:sz w:val="20"/>
                <w:szCs w:val="20"/>
                <w:color w:val="auto"/>
              </w:rPr>
            </w:pPr>
            <w:r>
              <w:rPr>
                <w:rFonts w:ascii="Arial" w:cs="Arial" w:eastAsia="Arial" w:hAnsi="Arial"/>
                <w:sz w:val="18"/>
                <w:szCs w:val="18"/>
                <w:color w:val="auto"/>
              </w:rPr>
              <w:t>Class Vote – Class A Common Stock</w:t>
            </w: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97"/>
              </w:rPr>
              <w:t>218,033,918</w:t>
            </w: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678,600</w:t>
            </w:r>
          </w:p>
        </w:tc>
        <w:tc>
          <w:tcPr>
            <w:tcW w:w="2180" w:type="dxa"/>
            <w:vAlign w:val="bottom"/>
            <w:gridSpan w:val="3"/>
          </w:tcPr>
          <w:p>
            <w:pPr>
              <w:jc w:val="center"/>
              <w:spacing w:after="0"/>
              <w:rPr>
                <w:sz w:val="20"/>
                <w:szCs w:val="20"/>
                <w:color w:val="auto"/>
              </w:rPr>
            </w:pPr>
            <w:r>
              <w:rPr>
                <w:rFonts w:ascii="Arial" w:cs="Arial" w:eastAsia="Arial" w:hAnsi="Arial"/>
                <w:sz w:val="18"/>
                <w:szCs w:val="18"/>
                <w:color w:val="auto"/>
                <w:w w:val="98"/>
              </w:rPr>
              <w:t>832,958</w:t>
            </w:r>
          </w:p>
        </w:tc>
      </w:tr>
      <w:tr>
        <w:trPr>
          <w:trHeight w:val="399"/>
        </w:trPr>
        <w:tc>
          <w:tcPr>
            <w:tcW w:w="4840" w:type="dxa"/>
            <w:vAlign w:val="bottom"/>
          </w:tcPr>
          <w:p>
            <w:pPr>
              <w:spacing w:after="0"/>
              <w:rPr>
                <w:sz w:val="20"/>
                <w:szCs w:val="20"/>
                <w:color w:val="auto"/>
              </w:rPr>
            </w:pPr>
            <w:r>
              <w:rPr>
                <w:rFonts w:ascii="Arial" w:cs="Arial" w:eastAsia="Arial" w:hAnsi="Arial"/>
                <w:sz w:val="18"/>
                <w:szCs w:val="18"/>
                <w:color w:val="auto"/>
              </w:rPr>
              <w:t>Class Vote – Class A Special Common Stock</w:t>
            </w: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97"/>
              </w:rPr>
              <w:t>280,231,010</w:t>
            </w: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458,134</w:t>
            </w:r>
          </w:p>
        </w:tc>
        <w:tc>
          <w:tcPr>
            <w:tcW w:w="2180" w:type="dxa"/>
            <w:vAlign w:val="bottom"/>
            <w:gridSpan w:val="3"/>
          </w:tcPr>
          <w:p>
            <w:pPr>
              <w:jc w:val="center"/>
              <w:spacing w:after="0"/>
              <w:rPr>
                <w:sz w:val="20"/>
                <w:szCs w:val="20"/>
                <w:color w:val="auto"/>
              </w:rPr>
            </w:pPr>
            <w:r>
              <w:rPr>
                <w:rFonts w:ascii="Arial" w:cs="Arial" w:eastAsia="Arial" w:hAnsi="Arial"/>
                <w:sz w:val="18"/>
                <w:szCs w:val="18"/>
                <w:color w:val="auto"/>
                <w:w w:val="97"/>
              </w:rPr>
              <w:t>1,873,956</w:t>
            </w:r>
          </w:p>
        </w:tc>
      </w:tr>
      <w:tr>
        <w:trPr>
          <w:trHeight w:val="587"/>
        </w:trPr>
        <w:tc>
          <w:tcPr>
            <w:tcW w:w="4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1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On December 10, 2015, Comcast issued a press release announcing that Comcast’s shareholders had approved the Reclassification. A copy of such press release is furnished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7"/>
                <w:szCs w:val="17"/>
                <w:color w:val="auto"/>
              </w:rPr>
            </w:pPr>
          </w:p>
        </w:tc>
        <w:tc>
          <w:tcPr>
            <w:tcW w:w="10260" w:type="dxa"/>
            <w:vAlign w:val="bottom"/>
          </w:tcPr>
          <w:p>
            <w:pPr>
              <w:spacing w:after="0"/>
              <w:rPr>
                <w:sz w:val="17"/>
                <w:szCs w:val="17"/>
                <w:color w:val="auto"/>
              </w:rPr>
            </w:pPr>
          </w:p>
        </w:tc>
      </w:tr>
      <w:tr>
        <w:trPr>
          <w:trHeight w:val="222"/>
        </w:trPr>
        <w:tc>
          <w:tcPr>
            <w:tcW w:w="700" w:type="dxa"/>
            <w:vAlign w:val="bottom"/>
          </w:tcPr>
          <w:p>
            <w:pPr>
              <w:spacing w:after="0"/>
              <w:rPr>
                <w:sz w:val="20"/>
                <w:szCs w:val="20"/>
                <w:color w:val="auto"/>
              </w:rPr>
            </w:pPr>
            <w:r>
              <w:rPr>
                <w:rFonts w:ascii="Arial" w:cs="Arial" w:eastAsia="Arial" w:hAnsi="Arial"/>
                <w:sz w:val="18"/>
                <w:szCs w:val="18"/>
                <w:b w:val="1"/>
                <w:bCs w:val="1"/>
                <w:color w:val="auto"/>
                <w:w w:val="99"/>
              </w:rPr>
              <w:t>Number</w:t>
            </w:r>
          </w:p>
        </w:tc>
        <w:tc>
          <w:tcPr>
            <w:tcW w:w="10720" w:type="dxa"/>
            <w:vAlign w:val="bottom"/>
            <w:gridSpan w:val="2"/>
          </w:tcPr>
          <w:p>
            <w:pPr>
              <w:ind w:left="460"/>
              <w:spacing w:after="0"/>
              <w:rPr>
                <w:sz w:val="20"/>
                <w:szCs w:val="20"/>
                <w:color w:val="auto"/>
              </w:rPr>
            </w:pPr>
            <w:r>
              <w:rPr>
                <w:rFonts w:ascii="Arial" w:cs="Arial" w:eastAsia="Arial" w:hAnsi="Arial"/>
                <w:sz w:val="18"/>
                <w:szCs w:val="18"/>
                <w:b w:val="1"/>
                <w:bCs w:val="1"/>
                <w:color w:val="auto"/>
              </w:rPr>
              <w:t>Description</w:t>
            </w:r>
          </w:p>
        </w:tc>
      </w:tr>
      <w:tr>
        <w:trPr>
          <w:trHeight w:val="206"/>
        </w:trPr>
        <w:tc>
          <w:tcPr>
            <w:tcW w:w="700" w:type="dxa"/>
            <w:vAlign w:val="bottom"/>
            <w:tcBorders>
              <w:top w:val="single" w:sz="8" w:color="auto"/>
            </w:tcBorders>
          </w:tcPr>
          <w:p>
            <w:pPr>
              <w:spacing w:after="0" w:line="206" w:lineRule="exact"/>
              <w:rPr>
                <w:sz w:val="20"/>
                <w:szCs w:val="20"/>
                <w:color w:val="auto"/>
              </w:rPr>
            </w:pPr>
            <w:r>
              <w:rPr>
                <w:rFonts w:ascii="Arial" w:cs="Arial" w:eastAsia="Arial" w:hAnsi="Arial"/>
                <w:sz w:val="18"/>
                <w:szCs w:val="18"/>
                <w:color w:val="auto"/>
              </w:rPr>
              <w:t>3.1</w:t>
            </w:r>
          </w:p>
        </w:tc>
        <w:tc>
          <w:tcPr>
            <w:tcW w:w="460" w:type="dxa"/>
            <w:vAlign w:val="bottom"/>
          </w:tcPr>
          <w:p>
            <w:pPr>
              <w:spacing w:after="0"/>
              <w:rPr>
                <w:sz w:val="17"/>
                <w:szCs w:val="17"/>
                <w:color w:val="auto"/>
              </w:rPr>
            </w:pPr>
          </w:p>
        </w:tc>
        <w:tc>
          <w:tcPr>
            <w:tcW w:w="10260" w:type="dxa"/>
            <w:vAlign w:val="bottom"/>
            <w:tcBorders>
              <w:top w:val="single" w:sz="8" w:color="auto"/>
            </w:tcBorders>
          </w:tcPr>
          <w:p>
            <w:pPr>
              <w:spacing w:after="0" w:line="206" w:lineRule="exact"/>
              <w:rPr>
                <w:sz w:val="20"/>
                <w:szCs w:val="20"/>
                <w:color w:val="auto"/>
              </w:rPr>
            </w:pPr>
            <w:r>
              <w:rPr>
                <w:rFonts w:ascii="Arial" w:cs="Arial" w:eastAsia="Arial" w:hAnsi="Arial"/>
                <w:sz w:val="18"/>
                <w:szCs w:val="18"/>
                <w:color w:val="auto"/>
              </w:rPr>
              <w:t>Amended and Restated Articles of Incorporation of Comcast Corporation</w:t>
            </w:r>
          </w:p>
        </w:tc>
      </w:tr>
      <w:tr>
        <w:trPr>
          <w:trHeight w:val="398"/>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10720" w:type="dxa"/>
            <w:vAlign w:val="bottom"/>
            <w:gridSpan w:val="2"/>
          </w:tcPr>
          <w:p>
            <w:pPr>
              <w:ind w:left="460"/>
              <w:spacing w:after="0"/>
              <w:rPr>
                <w:sz w:val="20"/>
                <w:szCs w:val="20"/>
                <w:color w:val="auto"/>
              </w:rPr>
            </w:pPr>
            <w:r>
              <w:rPr>
                <w:rFonts w:ascii="Arial" w:cs="Arial" w:eastAsia="Arial" w:hAnsi="Arial"/>
                <w:sz w:val="18"/>
                <w:szCs w:val="18"/>
                <w:color w:val="auto"/>
              </w:rPr>
              <w:t>Press Release</w:t>
            </w:r>
          </w:p>
        </w:tc>
      </w:tr>
      <w:tr>
        <w:trPr>
          <w:trHeight w:val="627"/>
        </w:trPr>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right="140" w:firstLine="319"/>
        <w:spacing w:after="0" w:line="23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48525" cy="380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38036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20" w:type="dxa"/>
            <w:vAlign w:val="bottom"/>
            <w:vMerge w:val="restart"/>
          </w:tcPr>
          <w:p>
            <w:pPr>
              <w:spacing w:after="0"/>
              <w:rPr>
                <w:sz w:val="24"/>
                <w:szCs w:val="24"/>
                <w:color w:val="auto"/>
              </w:rPr>
            </w:pPr>
          </w:p>
        </w:tc>
        <w:tc>
          <w:tcPr>
            <w:tcW w:w="560" w:type="dxa"/>
            <w:vAlign w:val="bottom"/>
          </w:tcPr>
          <w:p>
            <w:pPr>
              <w:spacing w:after="0"/>
              <w:rPr>
                <w:sz w:val="24"/>
                <w:szCs w:val="24"/>
                <w:color w:val="auto"/>
              </w:rPr>
            </w:pPr>
          </w:p>
        </w:tc>
        <w:tc>
          <w:tcPr>
            <w:tcW w:w="5140" w:type="dxa"/>
            <w:vAlign w:val="bottom"/>
            <w:vMerge w:val="restart"/>
            <w:shd w:val="clear" w:color="auto" w:fill="FEFEFE"/>
          </w:tcPr>
          <w:p>
            <w:pPr>
              <w:spacing w:after="0"/>
              <w:rPr>
                <w:sz w:val="20"/>
                <w:szCs w:val="20"/>
                <w:color w:val="auto"/>
              </w:rPr>
            </w:pPr>
            <w:r>
              <w:rPr>
                <w:rFonts w:ascii="Arial" w:cs="Arial" w:eastAsia="Arial" w:hAnsi="Arial"/>
                <w:sz w:val="18"/>
                <w:szCs w:val="18"/>
                <w:color w:val="auto"/>
              </w:rPr>
              <w:t>December 14, 2015</w:t>
            </w:r>
          </w:p>
        </w:tc>
        <w:tc>
          <w:tcPr>
            <w:tcW w:w="480" w:type="dxa"/>
            <w:vAlign w:val="bottom"/>
            <w:vMerge w:val="restart"/>
            <w:shd w:val="clear" w:color="auto" w:fill="FEFEFE"/>
          </w:tcPr>
          <w:p>
            <w:pPr>
              <w:spacing w:after="0"/>
              <w:rPr>
                <w:sz w:val="20"/>
                <w:szCs w:val="20"/>
                <w:color w:val="auto"/>
              </w:rPr>
            </w:pPr>
            <w:r>
              <w:rPr>
                <w:rFonts w:ascii="Arial" w:cs="Arial" w:eastAsia="Arial" w:hAnsi="Arial"/>
                <w:sz w:val="18"/>
                <w:szCs w:val="18"/>
                <w:color w:val="auto"/>
              </w:rPr>
              <w:t>By:</w:t>
            </w:r>
          </w:p>
        </w:tc>
        <w:tc>
          <w:tcPr>
            <w:tcW w:w="4100" w:type="dxa"/>
            <w:vAlign w:val="bottom"/>
            <w:vMerge w:val="restart"/>
            <w:shd w:val="clear" w:color="auto" w:fill="FEFEFE"/>
          </w:tcPr>
          <w:p>
            <w:pPr>
              <w:spacing w:after="0"/>
              <w:rPr>
                <w:sz w:val="20"/>
                <w:szCs w:val="20"/>
                <w:color w:val="auto"/>
              </w:rPr>
            </w:pPr>
            <w:r>
              <w:rPr>
                <w:rFonts w:ascii="Arial" w:cs="Arial" w:eastAsia="Arial" w:hAnsi="Arial"/>
                <w:sz w:val="18"/>
                <w:szCs w:val="18"/>
                <w:color w:val="auto"/>
              </w:rPr>
              <w:t>/s/ Arthur R. Block</w:t>
            </w:r>
          </w:p>
        </w:tc>
        <w:tc>
          <w:tcPr>
            <w:tcW w:w="11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tcBorders>
              <w:bottom w:val="single" w:sz="8" w:color="FEFEFE"/>
            </w:tcBorders>
            <w:shd w:val="clear" w:color="auto" w:fill="FEFEFE"/>
          </w:tcPr>
          <w:p>
            <w:pPr>
              <w:spacing w:after="0" w:line="200" w:lineRule="exact"/>
              <w:rPr>
                <w:sz w:val="20"/>
                <w:szCs w:val="20"/>
                <w:color w:val="auto"/>
              </w:rPr>
            </w:pPr>
            <w:r>
              <w:rPr>
                <w:rFonts w:ascii="Arial" w:cs="Arial" w:eastAsia="Arial" w:hAnsi="Arial"/>
                <w:sz w:val="18"/>
                <w:szCs w:val="18"/>
                <w:color w:val="auto"/>
              </w:rPr>
              <w:t>Date:</w:t>
            </w:r>
          </w:p>
        </w:tc>
        <w:tc>
          <w:tcPr>
            <w:tcW w:w="5140" w:type="dxa"/>
            <w:vAlign w:val="bottom"/>
            <w:tcBorders>
              <w:bottom w:val="single" w:sz="8" w:color="FEFEFE"/>
            </w:tcBorders>
            <w:vMerge w:val="continue"/>
            <w:shd w:val="clear" w:color="auto" w:fill="FEFEFE"/>
          </w:tcPr>
          <w:p>
            <w:pPr>
              <w:spacing w:after="0"/>
              <w:rPr>
                <w:sz w:val="17"/>
                <w:szCs w:val="17"/>
                <w:color w:val="auto"/>
              </w:rPr>
            </w:pPr>
          </w:p>
        </w:tc>
        <w:tc>
          <w:tcPr>
            <w:tcW w:w="480" w:type="dxa"/>
            <w:vAlign w:val="bottom"/>
            <w:tcBorders>
              <w:bottom w:val="single" w:sz="8" w:color="FEFEFE"/>
            </w:tcBorders>
            <w:vMerge w:val="continue"/>
            <w:shd w:val="clear" w:color="auto" w:fill="FEFEFE"/>
          </w:tcPr>
          <w:p>
            <w:pPr>
              <w:spacing w:after="0"/>
              <w:rPr>
                <w:sz w:val="17"/>
                <w:szCs w:val="17"/>
                <w:color w:val="auto"/>
              </w:rPr>
            </w:pPr>
          </w:p>
        </w:tc>
        <w:tc>
          <w:tcPr>
            <w:tcW w:w="4100" w:type="dxa"/>
            <w:vAlign w:val="bottom"/>
            <w:tcBorders>
              <w:bottom w:val="single" w:sz="8" w:color="auto"/>
            </w:tcBorders>
            <w:vMerge w:val="continue"/>
            <w:shd w:val="clear" w:color="auto" w:fill="FEFEFE"/>
          </w:tcPr>
          <w:p>
            <w:pPr>
              <w:spacing w:after="0"/>
              <w:rPr>
                <w:sz w:val="17"/>
                <w:szCs w:val="17"/>
                <w:color w:val="auto"/>
              </w:rPr>
            </w:pPr>
          </w:p>
        </w:tc>
        <w:tc>
          <w:tcPr>
            <w:tcW w:w="112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0" w:type="dxa"/>
            <w:vAlign w:val="bottom"/>
            <w:shd w:val="clear" w:color="auto" w:fill="FEFEFE"/>
          </w:tcPr>
          <w:p>
            <w:pPr>
              <w:spacing w:after="0"/>
              <w:rPr>
                <w:sz w:val="16"/>
                <w:szCs w:val="16"/>
                <w:color w:val="auto"/>
              </w:rPr>
            </w:pPr>
          </w:p>
        </w:tc>
        <w:tc>
          <w:tcPr>
            <w:tcW w:w="5140" w:type="dxa"/>
            <w:vAlign w:val="bottom"/>
            <w:shd w:val="clear" w:color="auto" w:fill="FEFEFE"/>
          </w:tcPr>
          <w:p>
            <w:pPr>
              <w:spacing w:after="0"/>
              <w:rPr>
                <w:sz w:val="16"/>
                <w:szCs w:val="16"/>
                <w:color w:val="auto"/>
              </w:rPr>
            </w:pPr>
          </w:p>
        </w:tc>
        <w:tc>
          <w:tcPr>
            <w:tcW w:w="480" w:type="dxa"/>
            <w:vAlign w:val="bottom"/>
            <w:shd w:val="clear" w:color="auto" w:fill="FEFEFE"/>
          </w:tcPr>
          <w:p>
            <w:pPr>
              <w:spacing w:after="0"/>
              <w:rPr>
                <w:sz w:val="16"/>
                <w:szCs w:val="16"/>
                <w:color w:val="auto"/>
              </w:rPr>
            </w:pPr>
          </w:p>
        </w:tc>
        <w:tc>
          <w:tcPr>
            <w:tcW w:w="4100" w:type="dxa"/>
            <w:vAlign w:val="bottom"/>
            <w:shd w:val="clear" w:color="auto" w:fill="FEFEFE"/>
          </w:tcPr>
          <w:p>
            <w:pPr>
              <w:spacing w:after="0" w:line="192" w:lineRule="exact"/>
              <w:rPr>
                <w:sz w:val="20"/>
                <w:szCs w:val="20"/>
                <w:color w:val="auto"/>
              </w:rPr>
            </w:pPr>
            <w:r>
              <w:rPr>
                <w:rFonts w:ascii="Arial" w:cs="Arial" w:eastAsia="Arial" w:hAnsi="Arial"/>
                <w:sz w:val="18"/>
                <w:szCs w:val="18"/>
                <w:color w:val="auto"/>
              </w:rPr>
              <w:t>Arthur R. Block</w:t>
            </w:r>
          </w:p>
        </w:tc>
        <w:tc>
          <w:tcPr>
            <w:tcW w:w="112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5140" w:type="dxa"/>
            <w:vAlign w:val="bottom"/>
            <w:shd w:val="clear" w:color="auto" w:fill="FEFEFE"/>
          </w:tcPr>
          <w:p>
            <w:pPr>
              <w:spacing w:after="0"/>
              <w:rPr>
                <w:sz w:val="17"/>
                <w:szCs w:val="17"/>
                <w:color w:val="auto"/>
              </w:rPr>
            </w:pPr>
          </w:p>
        </w:tc>
        <w:tc>
          <w:tcPr>
            <w:tcW w:w="480" w:type="dxa"/>
            <w:vAlign w:val="bottom"/>
            <w:shd w:val="clear" w:color="auto" w:fill="FEFEFE"/>
          </w:tcPr>
          <w:p>
            <w:pPr>
              <w:spacing w:after="0"/>
              <w:rPr>
                <w:sz w:val="17"/>
                <w:szCs w:val="17"/>
                <w:color w:val="auto"/>
              </w:rPr>
            </w:pPr>
          </w:p>
        </w:tc>
        <w:tc>
          <w:tcPr>
            <w:tcW w:w="4100" w:type="dxa"/>
            <w:vAlign w:val="bottom"/>
            <w:shd w:val="clear" w:color="auto" w:fill="FEFEFE"/>
          </w:tcPr>
          <w:p>
            <w:pPr>
              <w:spacing w:after="0" w:line="200" w:lineRule="exact"/>
              <w:rPr>
                <w:sz w:val="20"/>
                <w:szCs w:val="20"/>
                <w:color w:val="auto"/>
              </w:rPr>
            </w:pPr>
            <w:r>
              <w:rPr>
                <w:rFonts w:ascii="Arial" w:cs="Arial" w:eastAsia="Arial" w:hAnsi="Arial"/>
                <w:sz w:val="18"/>
                <w:szCs w:val="18"/>
                <w:color w:val="auto"/>
              </w:rPr>
              <w:t>Executive Senior Vice President, General Counsel</w:t>
            </w:r>
          </w:p>
        </w:tc>
        <w:tc>
          <w:tcPr>
            <w:tcW w:w="112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5140" w:type="dxa"/>
            <w:vAlign w:val="bottom"/>
            <w:shd w:val="clear" w:color="auto" w:fill="FEFEFE"/>
          </w:tcPr>
          <w:p>
            <w:pPr>
              <w:spacing w:after="0"/>
              <w:rPr>
                <w:sz w:val="17"/>
                <w:szCs w:val="17"/>
                <w:color w:val="auto"/>
              </w:rPr>
            </w:pPr>
          </w:p>
        </w:tc>
        <w:tc>
          <w:tcPr>
            <w:tcW w:w="480" w:type="dxa"/>
            <w:vAlign w:val="bottom"/>
            <w:shd w:val="clear" w:color="auto" w:fill="FEFEFE"/>
          </w:tcPr>
          <w:p>
            <w:pPr>
              <w:spacing w:after="0"/>
              <w:rPr>
                <w:sz w:val="17"/>
                <w:szCs w:val="17"/>
                <w:color w:val="auto"/>
              </w:rPr>
            </w:pPr>
          </w:p>
        </w:tc>
        <w:tc>
          <w:tcPr>
            <w:tcW w:w="4100" w:type="dxa"/>
            <w:vAlign w:val="bottom"/>
            <w:shd w:val="clear" w:color="auto" w:fill="FEFEFE"/>
          </w:tcPr>
          <w:p>
            <w:pPr>
              <w:spacing w:after="0" w:line="201" w:lineRule="exact"/>
              <w:rPr>
                <w:sz w:val="20"/>
                <w:szCs w:val="20"/>
                <w:color w:val="auto"/>
              </w:rPr>
            </w:pPr>
            <w:r>
              <w:rPr>
                <w:rFonts w:ascii="Arial" w:cs="Arial" w:eastAsia="Arial" w:hAnsi="Arial"/>
                <w:sz w:val="18"/>
                <w:szCs w:val="18"/>
                <w:color w:val="auto"/>
              </w:rPr>
              <w:t>and Secretary</w:t>
            </w:r>
          </w:p>
        </w:tc>
        <w:tc>
          <w:tcPr>
            <w:tcW w:w="112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277"/>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color w:val="auto"/>
        </w:rPr>
        <w:t>Exhibit 3.1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Articles of Incorporation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FIRST: The name of the Corporation is Comcast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SECOND: The name of the commercial registered office provider and the county of venue of the Corporation's current registered office in this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Commonwealth are:</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CT Corporation System</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Philadelphia County, Pennsylvania</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THIRD: The Corporation is incorporated under the provisions of the Business Corporation Law of 1988. The purpose or purposes for which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Corporation is organized are:</w:t>
      </w:r>
    </w:p>
    <w:p>
      <w:pPr>
        <w:spacing w:after="0" w:line="208" w:lineRule="exact"/>
        <w:rPr>
          <w:sz w:val="20"/>
          <w:szCs w:val="20"/>
          <w:color w:val="auto"/>
        </w:rPr>
      </w:pPr>
    </w:p>
    <w:p>
      <w:pPr>
        <w:ind w:right="100" w:firstLine="319"/>
        <w:spacing w:after="0" w:line="266" w:lineRule="auto"/>
        <w:rPr>
          <w:sz w:val="20"/>
          <w:szCs w:val="20"/>
          <w:color w:val="auto"/>
        </w:rPr>
      </w:pPr>
      <w:r>
        <w:rPr>
          <w:rFonts w:ascii="Arial" w:cs="Arial" w:eastAsia="Arial" w:hAnsi="Arial"/>
          <w:sz w:val="18"/>
          <w:szCs w:val="18"/>
          <w:color w:val="auto"/>
        </w:rPr>
        <w:t>To have unlimited power to engage in and to do any lawful act concerning any or all lawful business for which corporations may be incorporated under the Business Corporation Law.</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FOURTH: The term of its existence is perpetual.</w:t>
      </w:r>
    </w:p>
    <w:p>
      <w:pPr>
        <w:spacing w:after="0" w:line="219" w:lineRule="exact"/>
        <w:rPr>
          <w:sz w:val="20"/>
          <w:szCs w:val="20"/>
          <w:color w:val="auto"/>
        </w:rPr>
      </w:pPr>
    </w:p>
    <w:p>
      <w:pPr>
        <w:ind w:right="60" w:firstLine="319"/>
        <w:spacing w:after="0" w:line="270" w:lineRule="auto"/>
        <w:rPr>
          <w:sz w:val="20"/>
          <w:szCs w:val="20"/>
          <w:color w:val="auto"/>
        </w:rPr>
      </w:pPr>
      <w:r>
        <w:rPr>
          <w:rFonts w:ascii="Arial" w:cs="Arial" w:eastAsia="Arial" w:hAnsi="Arial"/>
          <w:sz w:val="17"/>
          <w:szCs w:val="17"/>
          <w:color w:val="auto"/>
        </w:rPr>
        <w:t>FIFTH: A. The aggregate number of shares which the Corporation shall have authority to issue is SEVEN BILLION FIVE HUNDRED MILLION (7,500,000,000) shares of Class A Common Stock, par value $0.01 per share, SEVENTY-FIVE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178" w:lineRule="exact"/>
        <w:rPr>
          <w:sz w:val="20"/>
          <w:szCs w:val="20"/>
          <w:color w:val="auto"/>
        </w:rPr>
      </w:pPr>
    </w:p>
    <w:p>
      <w:pPr>
        <w:ind w:right="60" w:firstLine="645"/>
        <w:spacing w:after="0" w:line="266"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descriptions, preferences, qualifications, limitations, restrictions and the voting, special, or relative rights in respect of the shares of each class of Common Stock are as follows:</w:t>
      </w:r>
    </w:p>
    <w:p>
      <w:pPr>
        <w:spacing w:after="0" w:line="179" w:lineRule="exact"/>
        <w:rPr>
          <w:rFonts w:ascii="Arial" w:cs="Arial" w:eastAsia="Arial" w:hAnsi="Arial"/>
          <w:sz w:val="18"/>
          <w:szCs w:val="18"/>
          <w:color w:val="auto"/>
        </w:rPr>
      </w:pPr>
    </w:p>
    <w:p>
      <w:pPr>
        <w:ind w:right="40" w:firstLine="964"/>
        <w:spacing w:after="0" w:line="266" w:lineRule="auto"/>
        <w:tabs>
          <w:tab w:leader="none" w:pos="1313" w:val="left"/>
        </w:tabs>
        <w:numPr>
          <w:ilvl w:val="1"/>
          <w:numId w:val="4"/>
        </w:numPr>
        <w:rPr>
          <w:rFonts w:ascii="Arial" w:cs="Arial" w:eastAsia="Arial" w:hAnsi="Arial"/>
          <w:sz w:val="17"/>
          <w:szCs w:val="17"/>
          <w:color w:val="auto"/>
        </w:rPr>
      </w:pPr>
      <w:r>
        <w:rPr>
          <w:rFonts w:ascii="Arial" w:cs="Arial" w:eastAsia="Arial" w:hAnsi="Arial"/>
          <w:sz w:val="17"/>
          <w:szCs w:val="17"/>
          <w:color w:val="auto"/>
        </w:rPr>
        <w:t>(a) Subject to paragraph (B)(1)(c) of this Article FIFTH, each share of Class A Common Stock shall entitle the holder thereof to the number of votes equal to a quotient the numerator of which is the excess of (i)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"Total Number of Votes" on any record date is equal to a quotient the numerator of which is the Total Number of B Votes on such record date and the denominator of which is the B Voting Percentage (as defined below) on such record date. "Total Number of B Votes" on any record date is equal to the product of (i) 15 and (ii) the number of outstanding shares of Class B</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right="80"/>
        <w:spacing w:after="0" w:line="270" w:lineRule="auto"/>
        <w:rPr>
          <w:sz w:val="20"/>
          <w:szCs w:val="20"/>
          <w:color w:val="auto"/>
        </w:rPr>
      </w:pPr>
      <w:r>
        <w:rPr>
          <w:rFonts w:ascii="Arial" w:cs="Arial" w:eastAsia="Arial" w:hAnsi="Arial"/>
          <w:sz w:val="17"/>
          <w:szCs w:val="17"/>
          <w:color w:val="auto"/>
        </w:rPr>
        <w:t>Common Stock on such record date. "Total Number of Other Votes" on any record date means the aggregate number of votes to which holders of all classes of capital stock of the Corporation other than holders of Class A Common Stock and Class B Common Stock are entitled to cast on such record date in an election of Directors. "B Voting Percentage" on any record date means the portion (expressed as a percentage) of the total number of votes entitled to be cast in an election of Directors by the holders of capital stock of the Corporation to which all holders of Class B Common Stock are entitled to cast on such record date in an election of Directors, as specified and determined pursuant to paragraph (B)(1)(c) of this Article FIFTH.</w:t>
      </w:r>
    </w:p>
    <w:p>
      <w:pPr>
        <w:spacing w:after="0" w:line="178" w:lineRule="exact"/>
        <w:rPr>
          <w:sz w:val="20"/>
          <w:szCs w:val="20"/>
          <w:color w:val="auto"/>
        </w:rPr>
      </w:pPr>
    </w:p>
    <w:p>
      <w:pPr>
        <w:ind w:firstLine="1284"/>
        <w:spacing w:after="0" w:line="286" w:lineRule="auto"/>
        <w:tabs>
          <w:tab w:leader="none" w:pos="1706"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Amended and Restated Articles of Incorporation, or the Bylaws of the Corporation. Whenever applicable law, these Amended and Restated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Amended and Restated Articles of Incorporation or the Bylaws of the Corporation.</w:t>
      </w:r>
    </w:p>
    <w:p>
      <w:pPr>
        <w:spacing w:after="0" w:line="168" w:lineRule="exact"/>
        <w:rPr>
          <w:rFonts w:ascii="Arial" w:cs="Arial" w:eastAsia="Arial" w:hAnsi="Arial"/>
          <w:sz w:val="16"/>
          <w:szCs w:val="16"/>
          <w:color w:val="auto"/>
        </w:rPr>
      </w:pPr>
    </w:p>
    <w:p>
      <w:pPr>
        <w:ind w:right="80" w:firstLine="1284"/>
        <w:spacing w:after="0" w:line="281" w:lineRule="auto"/>
        <w:tabs>
          <w:tab w:leader="none" w:pos="1696"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Notwithstanding any other provision of these Amended and Restated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thirty-three and one-third (33 1/3) percent of the total votes cast by all such holders, subject to reduction as set forth in the following sentence. If at any time after November 18, 2002 for any reason whatsoever the number of shares of Class B Common Stock outstanding at such time is reduced below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thirty-three and one-third (33 1/3) and (ii) the fraction obtained by dividing the number of shares of Class B Common Stock outstanding at such time by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713" w:right="239" w:bottom="1440" w:gutter="0" w:footer="0" w:header="0"/>
        </w:sectPr>
      </w:pPr>
    </w:p>
    <w:bookmarkStart w:id="7" w:name="page8"/>
    <w:bookmarkEnd w:id="7"/>
    <w:p>
      <w:pPr>
        <w:ind w:right="40" w:firstLine="964"/>
        <w:spacing w:after="0" w:line="278" w:lineRule="auto"/>
        <w:tabs>
          <w:tab w:leader="none" w:pos="130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holders of Class A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172" w:lineRule="exact"/>
        <w:rPr>
          <w:rFonts w:ascii="Arial" w:cs="Arial" w:eastAsia="Arial" w:hAnsi="Arial"/>
          <w:sz w:val="17"/>
          <w:szCs w:val="17"/>
          <w:color w:val="auto"/>
        </w:rPr>
      </w:pPr>
    </w:p>
    <w:p>
      <w:pPr>
        <w:ind w:firstLine="964"/>
        <w:spacing w:after="0" w:line="280" w:lineRule="auto"/>
        <w:tabs>
          <w:tab w:leader="none" w:pos="130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holders of Class A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Common Stock. Any decrease in the number of shares of Class A Common Stock or Class B Common Stock resulting from a combination or consolidation of shares or other capital reclassification shall not be permitted unless parallel action is taken with respect to the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and the holders of Class B Common Stock, respectively and as separate classes, shall receive with respect to their Class A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and Class B Common Stock. Except as provided above, if there should be any distribution of property, merger, consolidation, purchase or acquisition of property or stock, asset transfer, division, interest exchange under 15 Pa.C.S. Subch. 3D, recapitalization or reorganization of the Corporation, the holders of Class A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interest exchange, recapitalization or reorganization in proportion to the number of shares held by them, respectively, without regard to class.</w:t>
      </w:r>
    </w:p>
    <w:p>
      <w:pPr>
        <w:spacing w:after="0" w:line="177" w:lineRule="exact"/>
        <w:rPr>
          <w:rFonts w:ascii="Arial" w:cs="Arial" w:eastAsia="Arial" w:hAnsi="Arial"/>
          <w:sz w:val="16"/>
          <w:szCs w:val="16"/>
          <w:color w:val="auto"/>
        </w:rPr>
      </w:pPr>
    </w:p>
    <w:p>
      <w:pPr>
        <w:ind w:right="100" w:firstLine="964"/>
        <w:spacing w:after="0" w:line="266" w:lineRule="auto"/>
        <w:tabs>
          <w:tab w:leader="none" w:pos="1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share of Class B Common Stock shall be convertible at the option of the holder thereof into one share of Class A Common Stock. Each share of Class B Common Stock shall be cancelled after it has been converted as provided herein.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713" w:right="239" w:bottom="1440" w:gutter="0" w:footer="0" w:header="0"/>
        </w:sectPr>
      </w:pPr>
    </w:p>
    <w:bookmarkStart w:id="8" w:name="page9"/>
    <w:bookmarkEnd w:id="8"/>
    <w:p>
      <w:pPr>
        <w:ind w:right="60" w:firstLine="964"/>
        <w:spacing w:after="0" w:line="250"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Article SEVENTH and except as otherwise permitted by applicable law, each and any provision of these Amended and Restated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96" w:lineRule="exact"/>
        <w:rPr>
          <w:rFonts w:ascii="Arial" w:cs="Arial" w:eastAsia="Arial" w:hAnsi="Arial"/>
          <w:sz w:val="18"/>
          <w:szCs w:val="18"/>
          <w:color w:val="auto"/>
        </w:rPr>
      </w:pPr>
    </w:p>
    <w:p>
      <w:pPr>
        <w:ind w:right="40" w:firstLine="964"/>
        <w:spacing w:after="0" w:line="290" w:lineRule="auto"/>
        <w:tabs>
          <w:tab w:leader="none" w:pos="1313"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there should be any merger, consolidation, purchase or acquisition of property or stock, separation, reorganization, division or interest exchange under 15 Pa.C.S. Subch. 3D, the Board of Directors shall take such action as may be necessary to enable the holders of the Class B Common Stock to receive upon any subsequent conversion of their stock into Class A Common Stock, in whole or in part, in lieu of any shares of Class A Common Stock of the Corporation, the shares of stock, securities, or other assets as would be issuable or payable upon such merger, consolidation, purchase, or acquisition of property or stock, separation, reorganization, division or interest exchange in respect of or in exchange for such share or shares of Class A Common Stock.</w:t>
      </w:r>
    </w:p>
    <w:p>
      <w:pPr>
        <w:spacing w:after="0" w:line="165" w:lineRule="exact"/>
        <w:rPr>
          <w:rFonts w:ascii="Arial" w:cs="Arial" w:eastAsia="Arial" w:hAnsi="Arial"/>
          <w:sz w:val="16"/>
          <w:szCs w:val="16"/>
          <w:color w:val="auto"/>
        </w:rPr>
      </w:pPr>
    </w:p>
    <w:p>
      <w:pPr>
        <w:ind w:right="320" w:firstLine="964"/>
        <w:spacing w:after="0" w:line="256"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of any liquidation, dissolution or winding up (either voluntary or involuntary) of the Corporation, the holders of Class A Common Stock and the holders of Class B Common Stock shall be entitled to receive the assets and funds of the Corporation in proportion to the number of shares held by them, respectively, without regard to class.</w:t>
      </w:r>
    </w:p>
    <w:p>
      <w:pPr>
        <w:spacing w:after="0" w:line="189" w:lineRule="exact"/>
        <w:rPr>
          <w:rFonts w:ascii="Arial" w:cs="Arial" w:eastAsia="Arial" w:hAnsi="Arial"/>
          <w:sz w:val="18"/>
          <w:szCs w:val="18"/>
          <w:color w:val="auto"/>
        </w:rPr>
      </w:pPr>
    </w:p>
    <w:p>
      <w:pPr>
        <w:ind w:right="60" w:firstLine="964"/>
        <w:spacing w:after="0" w:line="256" w:lineRule="auto"/>
        <w:tabs>
          <w:tab w:leader="none" w:pos="1303"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189" w:lineRule="exact"/>
        <w:rPr>
          <w:rFonts w:ascii="Arial" w:cs="Arial" w:eastAsia="Arial" w:hAnsi="Arial"/>
          <w:sz w:val="18"/>
          <w:szCs w:val="18"/>
          <w:color w:val="auto"/>
        </w:rPr>
      </w:pPr>
    </w:p>
    <w:p>
      <w:pPr>
        <w:ind w:right="20" w:firstLine="964"/>
        <w:spacing w:after="0" w:line="329" w:lineRule="auto"/>
        <w:tabs>
          <w:tab w:leader="none" w:pos="1313"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expressly set forth in these Amended and Restated Articles of Incorporation (including, without limitation, this Article FIFTH and Article SEVENTH), the rights of the holders of Class A Common Stock and the rights of the holders of Class B Common Stock shall be in all respects identical.</w:t>
      </w:r>
    </w:p>
    <w:p>
      <w:pPr>
        <w:spacing w:after="0" w:line="134" w:lineRule="exact"/>
        <w:rPr>
          <w:rFonts w:ascii="Arial" w:cs="Arial" w:eastAsia="Arial" w:hAnsi="Arial"/>
          <w:sz w:val="16"/>
          <w:szCs w:val="16"/>
          <w:color w:val="auto"/>
        </w:rPr>
      </w:pPr>
    </w:p>
    <w:p>
      <w:pPr>
        <w:ind w:firstLine="964"/>
        <w:spacing w:after="0" w:line="266"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holders of the Class A Common Stock nor the holders of the Class B Common Stock nor the holders of any other class or series of Common Stock, Preferred Stock or other class of capital stock of the Corporation shall have cumulative voting rights.</w:t>
      </w:r>
    </w:p>
    <w:p>
      <w:pPr>
        <w:spacing w:after="0" w:line="180" w:lineRule="exact"/>
        <w:rPr>
          <w:sz w:val="20"/>
          <w:szCs w:val="20"/>
          <w:color w:val="auto"/>
        </w:rPr>
      </w:pPr>
    </w:p>
    <w:p>
      <w:pPr>
        <w:jc w:val="both"/>
        <w:ind w:right="20" w:firstLine="645"/>
        <w:spacing w:after="0" w:line="256" w:lineRule="auto"/>
        <w:tabs>
          <w:tab w:leader="none" w:pos="979"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the authority granted to the Board of Directors in paragraph A of this Article FIFTH, the Board of Directors has fixed and designated a Series A Participating Cumulative Preferred Stock having the voting rights and designations, preferences, qualifications, privileges, limitations, restrictions, and other special and relative rights as are hereinafter set forth:</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9" w:name="page10"/>
    <w:bookmarkEnd w:id="9"/>
    <w:p>
      <w:pPr>
        <w:jc w:val="both"/>
        <w:ind w:firstLine="964"/>
        <w:spacing w:after="0" w:line="348" w:lineRule="auto"/>
        <w:tabs>
          <w:tab w:leader="none" w:pos="1309"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shares of such series shall be designated as "Series A Participating Cumulative Preferred Stock" (the "Series A Preferred Stock"), and the number of shares constituting such series shall be 2,500,000. Such number of shares of the Series A Preferred Stock may be increased or decreased by resolution of the Board of Directors; provided that no decrease shall reduce the number of shares of Series A Preferred Stock to a number less than the number of shares then outstanding plus the number of shares issuable upon exercise or conversion of outstanding rights, options or other securities issued by the Corporation.</w:t>
      </w:r>
    </w:p>
    <w:p>
      <w:pPr>
        <w:spacing w:after="0" w:line="130" w:lineRule="exact"/>
        <w:rPr>
          <w:rFonts w:ascii="Arial" w:cs="Arial" w:eastAsia="Arial" w:hAnsi="Arial"/>
          <w:sz w:val="14"/>
          <w:szCs w:val="14"/>
          <w:color w:val="auto"/>
        </w:rPr>
      </w:pPr>
    </w:p>
    <w:p>
      <w:pPr>
        <w:ind w:right="40" w:firstLine="964"/>
        <w:spacing w:after="0" w:line="281" w:lineRule="auto"/>
        <w:tabs>
          <w:tab w:leader="none" w:pos="1313" w:val="left"/>
        </w:tabs>
        <w:numPr>
          <w:ilvl w:val="0"/>
          <w:numId w:val="9"/>
        </w:numPr>
        <w:rPr>
          <w:rFonts w:ascii="Arial" w:cs="Arial" w:eastAsia="Arial" w:hAnsi="Arial"/>
          <w:sz w:val="16"/>
          <w:szCs w:val="16"/>
          <w:color w:val="auto"/>
        </w:rPr>
      </w:pPr>
      <w:r>
        <w:rPr>
          <w:rFonts w:ascii="Arial" w:cs="Arial" w:eastAsia="Arial" w:hAnsi="Arial"/>
          <w:sz w:val="16"/>
          <w:szCs w:val="16"/>
          <w:color w:val="auto"/>
        </w:rPr>
        <w:t>(a) The holders of shares of Series A Preferred Stock shall be entitled to receive, when, as and if declared by the Board of Directors out of funds legally available for the purpose, quarterly dividends payable on March 31, June 30, September 30 and December 31 of each year (each such date being referred to herein as a "Quarterly Dividend Payment Date"), commencing on the first Quarterly Dividend Payment Date after the first issuance of any share or fraction of a share of Series A Preferred Stock, in an amount per share (rounded to the nearest cent) equal to the greater of (i) $10.00 and (ii) subject to the provision for adjustment hereinafter set forth, 1000 times the aggregate per share amount of all cash dividends or other distributions and 1000 times the aggregate per share amount of all non-cash dividends or other distributions (other than (A) a dividend payable in shares of Common Stock, par value $0.01 per share, of the Corporation (the "Common Stock") or (B)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Corporation, at any time after November 18, 2002 (the "Rights Declaration Date"), pays any dividend on Common Stock payable in shares of Common Stock or effects a subdivision or combination of the outstanding shares of Common Stock (by reclassification or otherwise) into a greater or lesser number of shares of Common Stock, then in each such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7" w:lineRule="exact"/>
        <w:rPr>
          <w:rFonts w:ascii="Arial" w:cs="Arial" w:eastAsia="Arial" w:hAnsi="Arial"/>
          <w:sz w:val="16"/>
          <w:szCs w:val="16"/>
          <w:color w:val="auto"/>
        </w:rPr>
      </w:pPr>
    </w:p>
    <w:p>
      <w:pPr>
        <w:ind w:right="180" w:firstLine="1284"/>
        <w:spacing w:after="0" w:line="250" w:lineRule="auto"/>
        <w:tabs>
          <w:tab w:leader="none" w:pos="170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Corporation shall declare a dividend or distribution on the Series A Preferred Stock as provided in paragraph (C)(2)(a) of this Article FIFTH immediately after it declares a dividend or distribution on the Common Stock (other than as described in clauses (ii)(A) and (ii)(B) of the first sentence of paragraph (C)(2) (a) of this Article FIFTH); provided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A Preferred Stock and such first Quarterly Dividend Payment Date), a dividend of $10.00 per share on the Series A Preferred Stock shall nevertheless be payable on such subsequent Quarterly Dividend Payment Date.</w:t>
      </w:r>
    </w:p>
    <w:p>
      <w:pPr>
        <w:spacing w:after="0" w:line="193" w:lineRule="exact"/>
        <w:rPr>
          <w:rFonts w:ascii="Arial" w:cs="Arial" w:eastAsia="Arial" w:hAnsi="Arial"/>
          <w:sz w:val="18"/>
          <w:szCs w:val="18"/>
          <w:color w:val="auto"/>
        </w:rPr>
      </w:pPr>
    </w:p>
    <w:p>
      <w:pPr>
        <w:ind w:right="480" w:firstLine="1284"/>
        <w:spacing w:after="0" w:line="266" w:lineRule="auto"/>
        <w:tabs>
          <w:tab w:leader="none" w:pos="1696" w:val="left"/>
        </w:tabs>
        <w:numPr>
          <w:ilvl w:val="1"/>
          <w:numId w:val="9"/>
        </w:numPr>
        <w:rPr>
          <w:rFonts w:ascii="Arial" w:cs="Arial" w:eastAsia="Arial" w:hAnsi="Arial"/>
          <w:sz w:val="18"/>
          <w:szCs w:val="18"/>
          <w:color w:val="auto"/>
        </w:rPr>
      </w:pPr>
      <w:r>
        <w:rPr>
          <w:rFonts w:ascii="Arial" w:cs="Arial" w:eastAsia="Arial" w:hAnsi="Arial"/>
          <w:sz w:val="18"/>
          <w:szCs w:val="18"/>
          <w:color w:val="auto"/>
        </w:rPr>
        <w:t>Dividends shall begin to accrue and be cumulative on outstanding shares of Series A Preferred Stock from the Quarterly Dividend Payment Date next preceding the</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10" w:name="page11"/>
    <w:bookmarkEnd w:id="10"/>
    <w:p>
      <w:pPr>
        <w:ind w:right="20"/>
        <w:spacing w:after="0" w:line="285" w:lineRule="auto"/>
        <w:rPr>
          <w:sz w:val="20"/>
          <w:szCs w:val="20"/>
          <w:color w:val="auto"/>
        </w:rPr>
      </w:pPr>
      <w:r>
        <w:rPr>
          <w:rFonts w:ascii="Arial" w:cs="Arial" w:eastAsia="Arial" w:hAnsi="Arial"/>
          <w:sz w:val="16"/>
          <w:szCs w:val="16"/>
          <w:color w:val="auto"/>
        </w:rPr>
        <w:t>date of issuance of such shares of Series A Preferred Stock, unless the date of issuance of such shares is on or before the record date for the first Quarterly Dividend Payment Date, in which case dividends on such shares shall begin to accrue and be cumulative from the date of issue of such shares, or unless the date of issue is a date after the record date for the determination of holders of shares of Series A Preferred Stock entitled to receive a quarterly dividend and on or before such Quarterly Dividend Payment Date, in which case dividends shall begin to accrue and be cumulative from such Quarterly Dividend Payment Date. Accrued but unpaid dividends shall not bear interest. Dividends paid on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not be more than 60 days prior to the date fixed for the payment thereof.</w:t>
      </w:r>
    </w:p>
    <w:p>
      <w:pPr>
        <w:spacing w:after="0" w:line="168" w:lineRule="exact"/>
        <w:rPr>
          <w:sz w:val="20"/>
          <w:szCs w:val="20"/>
          <w:color w:val="auto"/>
        </w:rPr>
      </w:pPr>
    </w:p>
    <w:p>
      <w:pPr>
        <w:ind w:left="1320" w:hanging="356"/>
        <w:spacing w:after="0"/>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addition to any other voting rights required by law, the holders of shares of Series A Preferred Stock shall have the following voting rights:</w:t>
      </w:r>
    </w:p>
    <w:p>
      <w:pPr>
        <w:spacing w:after="0" w:line="241" w:lineRule="exact"/>
        <w:rPr>
          <w:rFonts w:ascii="Arial" w:cs="Arial" w:eastAsia="Arial" w:hAnsi="Arial"/>
          <w:sz w:val="16"/>
          <w:szCs w:val="16"/>
          <w:color w:val="auto"/>
        </w:rPr>
      </w:pPr>
    </w:p>
    <w:p>
      <w:pPr>
        <w:ind w:firstLine="1284"/>
        <w:spacing w:after="0" w:line="283" w:lineRule="auto"/>
        <w:tabs>
          <w:tab w:leader="none" w:pos="1607" w:val="left"/>
        </w:tabs>
        <w:numPr>
          <w:ilvl w:val="1"/>
          <w:numId w:val="10"/>
        </w:numPr>
        <w:rPr>
          <w:rFonts w:ascii="Arial" w:cs="Arial" w:eastAsia="Arial" w:hAnsi="Arial"/>
          <w:sz w:val="16"/>
          <w:szCs w:val="16"/>
          <w:color w:val="auto"/>
        </w:rPr>
      </w:pPr>
      <w:r>
        <w:rPr>
          <w:rFonts w:ascii="Arial" w:cs="Arial" w:eastAsia="Arial" w:hAnsi="Arial"/>
          <w:sz w:val="16"/>
          <w:szCs w:val="16"/>
          <w:color w:val="auto"/>
        </w:rPr>
        <w:t>Each share of Series A Preferred Stock shall entitle the holder thereof to a number of votes equal to 1000 (as adjusted as described below, the "Adjustable Factor") times the number of votes a share of Class A Common Stock is entitled to cast on all matters submitted to a vote of stockholders of the Corporation. For purposes of calculating the number of votes a share of Class A Common Stock is entitled to cast on all matters submitted to a vote of stockholders of the Corporation, as set forth in these Amended and Restated Articles of Incorporation, votes represented by shares of Series A Preferred Stock shall be included in the "Total Number of Other Votes" (as defined in paragraph (B)(1)(a) of this Article FIFTH).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A Preferred Stock were entitled immediately prior to such event shall be adjusted by multiplying the Adjustable Factor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2" w:lineRule="exact"/>
        <w:rPr>
          <w:rFonts w:ascii="Arial" w:cs="Arial" w:eastAsia="Arial" w:hAnsi="Arial"/>
          <w:sz w:val="16"/>
          <w:szCs w:val="16"/>
          <w:color w:val="auto"/>
        </w:rPr>
      </w:pPr>
    </w:p>
    <w:p>
      <w:pPr>
        <w:ind w:right="260" w:firstLine="1284"/>
        <w:spacing w:after="0" w:line="266" w:lineRule="auto"/>
        <w:tabs>
          <w:tab w:leader="none" w:pos="161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otherwise provided herein or by law, the holders of shares of Series A Preferred Stock and the holders of shares of Common Stock shall vote together as a single class on all matters submitted to a vote of stockholders of the Corporation.</w:t>
      </w:r>
    </w:p>
    <w:p>
      <w:pPr>
        <w:spacing w:after="0" w:line="179" w:lineRule="exact"/>
        <w:rPr>
          <w:rFonts w:ascii="Arial" w:cs="Arial" w:eastAsia="Arial" w:hAnsi="Arial"/>
          <w:sz w:val="18"/>
          <w:szCs w:val="18"/>
          <w:color w:val="auto"/>
        </w:rPr>
      </w:pPr>
    </w:p>
    <w:p>
      <w:pPr>
        <w:ind w:right="200" w:firstLine="1284"/>
        <w:spacing w:after="0" w:line="250" w:lineRule="auto"/>
        <w:tabs>
          <w:tab w:leader="none" w:pos="16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If at any time dividends on any Series A Preferred Stock shall be in arrears in an amount equal to six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additional Directors to the Board of Directors.</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11" w:name="page12"/>
    <w:bookmarkEnd w:id="11"/>
    <w:p>
      <w:pPr>
        <w:ind w:right="80" w:firstLine="1603"/>
        <w:spacing w:after="0" w:line="283" w:lineRule="auto"/>
        <w:tabs>
          <w:tab w:leader="none" w:pos="20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any default period, such voting right of the holders of Series A Preferred Stock may be exercised initially at a special meeting called pursuant to paragraph (C)(3)(c)(iii) of this Article FIFTH or at any annual meeting 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percent in number of shares of Preferred Stock outstanding shall be present in person or by proxy. The absence of a quorum of holders of Common Stock shall not affect the exercise by holders of Preferred Stock of such voting right. If at any meeting at which holders of Preferred Stock shall initially exercise such voting right the number of additional Directors which may be so elected does not amount to the required number, the holders of the Preferred Stock shall have the right to make such increase in the number of Directors as shall be necessary to permit the election by them of the required number. After the holders of the Preferred Stock shall have initially exercised their right to elect two additional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Preferred Stock.</w:t>
      </w:r>
    </w:p>
    <w:p>
      <w:pPr>
        <w:spacing w:after="0" w:line="172" w:lineRule="exact"/>
        <w:rPr>
          <w:rFonts w:ascii="Arial" w:cs="Arial" w:eastAsia="Arial" w:hAnsi="Arial"/>
          <w:sz w:val="16"/>
          <w:szCs w:val="16"/>
          <w:color w:val="auto"/>
        </w:rPr>
      </w:pPr>
    </w:p>
    <w:p>
      <w:pPr>
        <w:ind w:right="20" w:firstLine="1603"/>
        <w:spacing w:after="0" w:line="283" w:lineRule="auto"/>
        <w:tabs>
          <w:tab w:leader="none" w:pos="19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Unless the holders of Preferred Stock shall have previously exercised their right to elect Directors during an existing default period, the Board of Directors may order, or any stockholder or stockholders owning in the aggregate not less than 10 percent of the total number of shares of Preferred Stock outstanding, irrespective of series, may request, the calling of a special meeting of holders of Preferred Stock, which meeting shall thereupon be called by the Chief Executive Officer, the President, a Vice President or the Secretary of the Corporation. Notice of such meeting and of any annual meeting at which holders of Preferred Stock are entitled to vote pursuant to this paragraph (C)(3)(c) (iii) of this Article FIFTH shall be given to each holder of record of Preferred Stock by mailing a copy of such notice to him at the address of such holder shown on the registry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percent of the total number of shares of Preferred Stock outstanding, irrespective of series. Notwithstanding the provisions of this paragraph (C)(3)(c)(iii) of this Article FIFTH, no such special meeting shall be called during the period within 60 days immediately preceding the date fixed for the next annual meeting of stockholders.</w:t>
      </w:r>
    </w:p>
    <w:p>
      <w:pPr>
        <w:spacing w:after="0" w:line="172" w:lineRule="exact"/>
        <w:rPr>
          <w:rFonts w:ascii="Arial" w:cs="Arial" w:eastAsia="Arial" w:hAnsi="Arial"/>
          <w:sz w:val="16"/>
          <w:szCs w:val="16"/>
          <w:color w:val="auto"/>
        </w:rPr>
      </w:pPr>
    </w:p>
    <w:p>
      <w:pPr>
        <w:ind w:firstLine="1603"/>
        <w:spacing w:after="0" w:line="251" w:lineRule="auto"/>
        <w:tabs>
          <w:tab w:leader="none" w:pos="19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(C)(3)(c)(ii) of this Article FIFTH) be</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12" w:name="page13"/>
    <w:bookmarkEnd w:id="12"/>
    <w:p>
      <w:pPr>
        <w:ind w:right="80"/>
        <w:spacing w:after="0" w:line="256" w:lineRule="auto"/>
        <w:rPr>
          <w:sz w:val="20"/>
          <w:szCs w:val="20"/>
          <w:color w:val="auto"/>
        </w:rPr>
      </w:pPr>
      <w:r>
        <w:rPr>
          <w:rFonts w:ascii="Arial" w:cs="Arial" w:eastAsia="Arial" w:hAnsi="Arial"/>
          <w:sz w:val="18"/>
          <w:szCs w:val="18"/>
          <w:color w:val="auto"/>
        </w:rPr>
        <w:t>filled by vote of a majority of the remaining Directors theretofore elected by the holders of the class of stock which elected the Director whose office shall have become vacant. References in this paragraph (C)(3)(c) of this Article FIFTH to Directors elected by the holders of a particular class of stock shall include Directors elected by such Directors to fill vacancies as provided in clause (y) of the foregoing sentence.</w:t>
      </w:r>
    </w:p>
    <w:p>
      <w:pPr>
        <w:spacing w:after="0" w:line="189" w:lineRule="exact"/>
        <w:rPr>
          <w:sz w:val="20"/>
          <w:szCs w:val="20"/>
          <w:color w:val="auto"/>
        </w:rPr>
      </w:pPr>
    </w:p>
    <w:p>
      <w:pPr>
        <w:jc w:val="both"/>
        <w:ind w:right="80" w:firstLine="1603"/>
        <w:spacing w:after="0" w:line="250" w:lineRule="auto"/>
        <w:tabs>
          <w:tab w:leader="none" w:pos="1981" w:val="left"/>
        </w:tabs>
        <w:numPr>
          <w:ilvl w:val="2"/>
          <w:numId w:val="12"/>
        </w:numPr>
        <w:rPr>
          <w:rFonts w:ascii="Arial" w:cs="Arial" w:eastAsia="Arial" w:hAnsi="Arial"/>
          <w:sz w:val="18"/>
          <w:szCs w:val="18"/>
          <w:color w:val="auto"/>
        </w:rPr>
      </w:pPr>
      <w:r>
        <w:rPr>
          <w:rFonts w:ascii="Arial" w:cs="Arial" w:eastAsia="Arial" w:hAnsi="Arial"/>
          <w:sz w:val="18"/>
          <w:szCs w:val="18"/>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these Amended and Restated Articles of Incorporation or bylaws irrespective of any increase made pursuant to the provisions of Section (C)(3)(c)(ii) of this Article FIFTH (such number being subject, however, to change thereafter in any manner provided by law or in these Amended and Restated Articles of Incorporation or bylaws). Any vacancies in the Board of Directors effected by the provisions of clauses (y) and (z) in the preceding sentence may be filled by a majority of the remaining Directors.</w:t>
      </w:r>
    </w:p>
    <w:p>
      <w:pPr>
        <w:spacing w:after="0" w:line="196" w:lineRule="exact"/>
        <w:rPr>
          <w:rFonts w:ascii="Arial" w:cs="Arial" w:eastAsia="Arial" w:hAnsi="Arial"/>
          <w:sz w:val="18"/>
          <w:szCs w:val="18"/>
          <w:color w:val="auto"/>
        </w:rPr>
      </w:pPr>
    </w:p>
    <w:p>
      <w:pPr>
        <w:ind w:right="280" w:firstLine="1284"/>
        <w:spacing w:after="0" w:line="256" w:lineRule="auto"/>
        <w:tabs>
          <w:tab w:leader="none" w:pos="161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These Amended and Restated Articles of Incorporation shall not be amended in any manner (whether by merger or otherwise) so as to adversely affect the powers, preferences or special rights of the Series A Preferred Stock without the affirmative vote of the holders of a majority of the outstanding shares of Series A Preferred Stock, voting separately as a class.</w:t>
      </w:r>
    </w:p>
    <w:p>
      <w:pPr>
        <w:spacing w:after="0" w:line="189" w:lineRule="exact"/>
        <w:rPr>
          <w:rFonts w:ascii="Arial" w:cs="Arial" w:eastAsia="Arial" w:hAnsi="Arial"/>
          <w:sz w:val="18"/>
          <w:szCs w:val="18"/>
          <w:color w:val="auto"/>
        </w:rPr>
      </w:pPr>
    </w:p>
    <w:p>
      <w:pPr>
        <w:ind w:right="200" w:firstLine="1284"/>
        <w:spacing w:after="0" w:line="266" w:lineRule="auto"/>
        <w:tabs>
          <w:tab w:leader="none" w:pos="16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Except as otherwise provided herein, holders of Series A Preferred Stock shall have no special voting rights, and their consent shall not be required for taking any corporate action.</w:t>
      </w:r>
    </w:p>
    <w:p>
      <w:pPr>
        <w:spacing w:after="0" w:line="179" w:lineRule="exact"/>
        <w:rPr>
          <w:rFonts w:ascii="Arial" w:cs="Arial" w:eastAsia="Arial" w:hAnsi="Arial"/>
          <w:sz w:val="18"/>
          <w:szCs w:val="18"/>
          <w:color w:val="auto"/>
        </w:rPr>
      </w:pPr>
    </w:p>
    <w:p>
      <w:pPr>
        <w:ind w:firstLine="964"/>
        <w:spacing w:after="0" w:line="256" w:lineRule="auto"/>
        <w:tabs>
          <w:tab w:leader="none" w:pos="13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Whenever quarterly dividends or other dividends or distributions payable on the Series A Preferred Stock as provided in paragraph (C)(2) of this Article FIFTH are in arrears, thereafter and until all accrued and unpaid dividends and distributions, whether or not declared, on outstanding shares of Series A Preferred Stock shall have been paid in full, the Corporation shall not:</w:t>
      </w:r>
    </w:p>
    <w:p>
      <w:pPr>
        <w:spacing w:after="0" w:line="189" w:lineRule="exact"/>
        <w:rPr>
          <w:rFonts w:ascii="Arial" w:cs="Arial" w:eastAsia="Arial" w:hAnsi="Arial"/>
          <w:sz w:val="18"/>
          <w:szCs w:val="18"/>
          <w:color w:val="auto"/>
        </w:rPr>
      </w:pPr>
    </w:p>
    <w:p>
      <w:pPr>
        <w:ind w:right="240" w:firstLine="1603"/>
        <w:spacing w:after="0" w:line="266" w:lineRule="auto"/>
        <w:tabs>
          <w:tab w:leader="none" w:pos="1986" w:val="left"/>
        </w:tabs>
        <w:numPr>
          <w:ilvl w:val="2"/>
          <w:numId w:val="14"/>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junior (either as to dividends or upon liquidation, dissolution or winding up) to the Series A Preferred Stock;</w:t>
      </w:r>
    </w:p>
    <w:p>
      <w:pPr>
        <w:spacing w:after="0" w:line="180" w:lineRule="exact"/>
        <w:rPr>
          <w:sz w:val="20"/>
          <w:szCs w:val="20"/>
          <w:color w:val="auto"/>
        </w:rPr>
      </w:pPr>
    </w:p>
    <w:p>
      <w:pPr>
        <w:ind w:right="100" w:firstLine="1603"/>
        <w:spacing w:after="0" w:line="303" w:lineRule="auto"/>
        <w:tabs>
          <w:tab w:leader="none" w:pos="1991"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other parity stock on which dividends are payable or in arrears in proportion to the total amounts to which the holders of all such shares are then entitled;</w:t>
      </w:r>
    </w:p>
    <w:p>
      <w:pPr>
        <w:spacing w:after="0" w:line="154" w:lineRule="exact"/>
        <w:rPr>
          <w:rFonts w:ascii="Arial" w:cs="Arial" w:eastAsia="Arial" w:hAnsi="Arial"/>
          <w:sz w:val="16"/>
          <w:szCs w:val="16"/>
          <w:color w:val="auto"/>
        </w:rPr>
      </w:pPr>
    </w:p>
    <w:p>
      <w:pPr>
        <w:ind w:right="500" w:firstLine="1603"/>
        <w:spacing w:after="0" w:line="296" w:lineRule="auto"/>
        <w:tabs>
          <w:tab w:leader="none" w:pos="19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redeem, purchase or otherwise acquire for value any shares of stock ranking junior (either as to dividends or upon liquidation, dissolution or winding up) to the Series A Preferred Stock; provided that the Corporation may at any time redeem, purchase or</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13" w:name="page14"/>
    <w:bookmarkEnd w:id="13"/>
    <w:p>
      <w:pPr>
        <w:ind w:right="500"/>
        <w:spacing w:after="0" w:line="266" w:lineRule="auto"/>
        <w:rPr>
          <w:sz w:val="20"/>
          <w:szCs w:val="20"/>
          <w:color w:val="auto"/>
        </w:rPr>
      </w:pPr>
      <w:r>
        <w:rPr>
          <w:rFonts w:ascii="Arial" w:cs="Arial" w:eastAsia="Arial" w:hAnsi="Arial"/>
          <w:sz w:val="18"/>
          <w:szCs w:val="18"/>
          <w:color w:val="auto"/>
        </w:rPr>
        <w:t>otherwise acquire shares of any such junior stock in exchange for shares of stock of the Corporation ranking junior (as to dividends and upon dissolution, liquidation or winding up) to the Series A Preferred Stock; or</w:t>
      </w:r>
    </w:p>
    <w:p>
      <w:pPr>
        <w:spacing w:after="0" w:line="180" w:lineRule="exact"/>
        <w:rPr>
          <w:sz w:val="20"/>
          <w:szCs w:val="20"/>
          <w:color w:val="auto"/>
        </w:rPr>
      </w:pPr>
    </w:p>
    <w:p>
      <w:pPr>
        <w:ind w:right="60" w:firstLine="1603"/>
        <w:spacing w:after="0" w:line="270" w:lineRule="auto"/>
        <w:tabs>
          <w:tab w:leader="none" w:pos="1986" w:val="left"/>
        </w:tabs>
        <w:numPr>
          <w:ilvl w:val="2"/>
          <w:numId w:val="16"/>
        </w:numPr>
        <w:rPr>
          <w:rFonts w:ascii="Arial" w:cs="Arial" w:eastAsia="Arial" w:hAnsi="Arial"/>
          <w:sz w:val="17"/>
          <w:szCs w:val="17"/>
          <w:color w:val="auto"/>
        </w:rPr>
      </w:pPr>
      <w:r>
        <w:rPr>
          <w:rFonts w:ascii="Arial" w:cs="Arial" w:eastAsia="Arial" w:hAnsi="Arial"/>
          <w:sz w:val="17"/>
          <w:szCs w:val="17"/>
          <w:color w:val="auto"/>
        </w:rPr>
        <w:t>redeem, purchase or otherwise acquire for value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Series A Preferred Stock and all such other parity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7" w:lineRule="exact"/>
        <w:rPr>
          <w:rFonts w:ascii="Arial" w:cs="Arial" w:eastAsia="Arial" w:hAnsi="Arial"/>
          <w:sz w:val="17"/>
          <w:szCs w:val="17"/>
          <w:color w:val="auto"/>
        </w:rPr>
      </w:pPr>
    </w:p>
    <w:p>
      <w:pPr>
        <w:ind w:right="160" w:firstLine="1284"/>
        <w:spacing w:after="0" w:line="329" w:lineRule="auto"/>
        <w:tabs>
          <w:tab w:leader="none" w:pos="1569"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134" w:lineRule="exact"/>
        <w:rPr>
          <w:rFonts w:ascii="Arial" w:cs="Arial" w:eastAsia="Arial" w:hAnsi="Arial"/>
          <w:sz w:val="16"/>
          <w:szCs w:val="16"/>
          <w:color w:val="auto"/>
        </w:rPr>
      </w:pPr>
    </w:p>
    <w:p>
      <w:pPr>
        <w:jc w:val="both"/>
        <w:ind w:right="200" w:firstLine="964"/>
        <w:spacing w:after="0" w:line="295" w:lineRule="auto"/>
        <w:tabs>
          <w:tab w:leader="none" w:pos="130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shares of Series A Preferred Stock redeemed, purchased or otherwise acquired by the Corporation in any manner whatsoever shall be retired and canceled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 by these Amended and Restated Articles of Incorporation or as otherwise permitted under Pennsylvania Law.</w:t>
      </w:r>
    </w:p>
    <w:p>
      <w:pPr>
        <w:spacing w:after="0" w:line="159" w:lineRule="exact"/>
        <w:rPr>
          <w:rFonts w:ascii="Arial" w:cs="Arial" w:eastAsia="Arial" w:hAnsi="Arial"/>
          <w:sz w:val="16"/>
          <w:szCs w:val="16"/>
          <w:color w:val="auto"/>
        </w:rPr>
      </w:pPr>
    </w:p>
    <w:p>
      <w:pPr>
        <w:ind w:firstLine="964"/>
        <w:spacing w:after="0" w:line="282" w:lineRule="auto"/>
        <w:tabs>
          <w:tab w:leader="none" w:pos="13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Upon any liquidation, dissolution or winding up of the Corporation, no distribution shall be made (a)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Common Stock, or (b) to the holders of stock ranking on a parity (either as to dividends or upon liquidation, dissolution or winding up) with the Series A Preferred Stock, except distributions made ratably on the Series A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aggregate amount to which holders of shares of Series A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380"/>
          </w:cols>
          <w:pgMar w:left="240" w:top="686" w:right="279" w:bottom="1440" w:gutter="0" w:footer="0" w:header="0"/>
        </w:sectPr>
      </w:pPr>
    </w:p>
    <w:bookmarkStart w:id="14" w:name="page15"/>
    <w:bookmarkEnd w:id="14"/>
    <w:p>
      <w:pPr>
        <w:ind w:right="20" w:firstLine="964"/>
        <w:spacing w:after="0" w:line="284" w:lineRule="auto"/>
        <w:tabs>
          <w:tab w:leader="none" w:pos="13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Corporation shall enter into any consolidation, merger, combination or other transaction in which the shares of Common Stock are exchanged for or changed into other stock or securities, cash or any other property, then in any such case the shares of Series A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9" w:lineRule="exact"/>
        <w:rPr>
          <w:rFonts w:ascii="Arial" w:cs="Arial" w:eastAsia="Arial" w:hAnsi="Arial"/>
          <w:sz w:val="16"/>
          <w:szCs w:val="16"/>
          <w:color w:val="auto"/>
        </w:rPr>
      </w:pPr>
    </w:p>
    <w:p>
      <w:pPr>
        <w:ind w:left="1320" w:hanging="356"/>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Series A Preferred Stock shall not be redeemable.</w:t>
      </w:r>
    </w:p>
    <w:p>
      <w:pPr>
        <w:spacing w:after="0" w:line="218" w:lineRule="exact"/>
        <w:rPr>
          <w:rFonts w:ascii="Arial" w:cs="Arial" w:eastAsia="Arial" w:hAnsi="Arial"/>
          <w:sz w:val="18"/>
          <w:szCs w:val="18"/>
          <w:color w:val="auto"/>
        </w:rPr>
      </w:pPr>
    </w:p>
    <w:p>
      <w:pPr>
        <w:ind w:right="220" w:firstLine="964"/>
        <w:spacing w:after="0" w:line="329" w:lineRule="auto"/>
        <w:tabs>
          <w:tab w:leader="none" w:pos="13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Series A Preferred Stock shall rank junior (as to dividends and upon liquidation, dissolution and winding up) to all other series of the Corporation's Preferred Stock except any series that specifically provides that such series shall rank junior to or on a parity with the Series A Preferred Stock.</w:t>
      </w:r>
    </w:p>
    <w:p>
      <w:pPr>
        <w:spacing w:after="0" w:line="134" w:lineRule="exact"/>
        <w:rPr>
          <w:rFonts w:ascii="Arial" w:cs="Arial" w:eastAsia="Arial" w:hAnsi="Arial"/>
          <w:sz w:val="16"/>
          <w:szCs w:val="16"/>
          <w:color w:val="auto"/>
        </w:rPr>
      </w:pPr>
    </w:p>
    <w:p>
      <w:pPr>
        <w:ind w:firstLine="964"/>
        <w:spacing w:after="0" w:line="329" w:lineRule="auto"/>
        <w:tabs>
          <w:tab w:leader="none" w:pos="13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Series A Preferred Stock may be issued in fractions of a share which shall entitle the holder, in proportion to such holder's fractional shares, to exercise voting rights, receive dividends, participate in distributions and to have the benefit of all other rights of holders of Series A Preferred Stock.</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SIXTH: Governance</w:t>
      </w:r>
    </w:p>
    <w:p>
      <w:pPr>
        <w:spacing w:after="0" w:line="219" w:lineRule="exact"/>
        <w:rPr>
          <w:sz w:val="20"/>
          <w:szCs w:val="20"/>
          <w:color w:val="auto"/>
        </w:rPr>
      </w:pPr>
    </w:p>
    <w:p>
      <w:pPr>
        <w:ind w:left="1000" w:hanging="355"/>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12" w:lineRule="exact"/>
        <w:rPr>
          <w:rFonts w:ascii="Arial" w:cs="Arial" w:eastAsia="Arial" w:hAnsi="Arial"/>
          <w:sz w:val="18"/>
          <w:szCs w:val="18"/>
          <w:color w:val="auto"/>
        </w:rPr>
      </w:pPr>
    </w:p>
    <w:p>
      <w:pPr>
        <w:ind w:left="1440" w:hanging="476"/>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Corporation.</w:t>
      </w:r>
    </w:p>
    <w:p>
      <w:pPr>
        <w:spacing w:after="0" w:line="218" w:lineRule="exact"/>
        <w:rPr>
          <w:rFonts w:ascii="Arial" w:cs="Arial" w:eastAsia="Arial" w:hAnsi="Arial"/>
          <w:sz w:val="18"/>
          <w:szCs w:val="18"/>
          <w:color w:val="auto"/>
        </w:rPr>
      </w:pPr>
    </w:p>
    <w:p>
      <w:pPr>
        <w:ind w:left="1440" w:hanging="476"/>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CEO</w:t>
      </w:r>
      <w:r>
        <w:rPr>
          <w:rFonts w:ascii="Arial" w:cs="Arial" w:eastAsia="Arial" w:hAnsi="Arial"/>
          <w:sz w:val="18"/>
          <w:szCs w:val="18"/>
          <w:color w:val="auto"/>
        </w:rPr>
        <w:t>" means the Chief Executive Officer of the Corporation.</w:t>
      </w:r>
    </w:p>
    <w:p>
      <w:pPr>
        <w:spacing w:after="0" w:line="218" w:lineRule="exact"/>
        <w:rPr>
          <w:rFonts w:ascii="Arial" w:cs="Arial" w:eastAsia="Arial" w:hAnsi="Arial"/>
          <w:sz w:val="18"/>
          <w:szCs w:val="18"/>
          <w:color w:val="auto"/>
        </w:rPr>
      </w:pPr>
    </w:p>
    <w:p>
      <w:pPr>
        <w:ind w:left="1440" w:hanging="476"/>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Board of Directors.</w:t>
      </w:r>
    </w:p>
    <w:p>
      <w:pPr>
        <w:spacing w:after="0" w:line="218" w:lineRule="exact"/>
        <w:rPr>
          <w:rFonts w:ascii="Arial" w:cs="Arial" w:eastAsia="Arial" w:hAnsi="Arial"/>
          <w:sz w:val="18"/>
          <w:szCs w:val="18"/>
          <w:color w:val="auto"/>
        </w:rPr>
      </w:pPr>
    </w:p>
    <w:p>
      <w:pPr>
        <w:ind w:left="1440" w:hanging="476"/>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director of the Corporation.</w:t>
      </w:r>
    </w:p>
    <w:p>
      <w:pPr>
        <w:spacing w:after="0" w:line="218" w:lineRule="exact"/>
        <w:rPr>
          <w:rFonts w:ascii="Arial" w:cs="Arial" w:eastAsia="Arial" w:hAnsi="Arial"/>
          <w:sz w:val="18"/>
          <w:szCs w:val="18"/>
          <w:color w:val="auto"/>
        </w:rPr>
      </w:pPr>
    </w:p>
    <w:p>
      <w:pPr>
        <w:ind w:left="1440" w:hanging="476"/>
        <w:spacing w:after="0"/>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Person</w:t>
      </w:r>
      <w:r>
        <w:rPr>
          <w:rFonts w:ascii="Arial" w:cs="Arial" w:eastAsia="Arial" w:hAnsi="Arial"/>
          <w:sz w:val="18"/>
          <w:szCs w:val="18"/>
          <w:color w:val="auto"/>
        </w:rPr>
        <w:t>" means an independent person with respect to the</w:t>
      </w:r>
    </w:p>
    <w:p>
      <w:pPr>
        <w:spacing w:after="0" w:line="225"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Corporation (determined in accordance with the rules of the principal stock exchange or interdealer quotation system on which the class of Corporation's common stock with the greatest</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00"/>
          </w:cols>
          <w:pgMar w:left="240" w:top="713" w:right="259" w:bottom="1440" w:gutter="0" w:footer="0" w:header="0"/>
        </w:sectPr>
      </w:pPr>
    </w:p>
    <w:bookmarkStart w:id="15" w:name="page16"/>
    <w:bookmarkEnd w:id="15"/>
    <w:p>
      <w:pPr>
        <w:jc w:val="both"/>
        <w:ind w:right="60"/>
        <w:spacing w:after="0" w:line="256" w:lineRule="auto"/>
        <w:rPr>
          <w:sz w:val="20"/>
          <w:szCs w:val="20"/>
          <w:color w:val="auto"/>
        </w:rPr>
      </w:pPr>
      <w:r>
        <w:rPr>
          <w:rFonts w:ascii="Arial" w:cs="Arial" w:eastAsia="Arial" w:hAnsi="Arial"/>
          <w:sz w:val="18"/>
          <w:szCs w:val="18"/>
          <w:color w:val="auto"/>
        </w:rPr>
        <w:t>aggregate market capitalization (as determined in good faith by the Board of Directors) is traded), it being understood that none of the spouse, parents, siblings, lineal descendants, aunts, uncles, cousins and other close relatives (or their respective spouses) of Mr. Brian L. Roberts will be deemed Independent Persons at any time.</w:t>
      </w:r>
    </w:p>
    <w:p>
      <w:pPr>
        <w:spacing w:after="0" w:line="200" w:lineRule="exact"/>
        <w:rPr>
          <w:sz w:val="20"/>
          <w:szCs w:val="20"/>
          <w:color w:val="auto"/>
        </w:rPr>
      </w:pPr>
    </w:p>
    <w:p>
      <w:pPr>
        <w:spacing w:after="0" w:line="202" w:lineRule="exact"/>
        <w:rPr>
          <w:sz w:val="20"/>
          <w:szCs w:val="20"/>
          <w:color w:val="auto"/>
        </w:rPr>
      </w:pPr>
    </w:p>
    <w:p>
      <w:pPr>
        <w:ind w:firstLine="645"/>
        <w:spacing w:after="0" w:line="267" w:lineRule="auto"/>
        <w:tabs>
          <w:tab w:leader="none" w:pos="1023" w:val="left"/>
        </w:tabs>
        <w:numPr>
          <w:ilvl w:val="0"/>
          <w:numId w:val="21"/>
        </w:numPr>
        <w:rPr>
          <w:rFonts w:ascii="Arial" w:cs="Arial" w:eastAsia="Arial" w:hAnsi="Arial"/>
          <w:sz w:val="17"/>
          <w:szCs w:val="17"/>
          <w:color w:val="auto"/>
        </w:rPr>
      </w:pPr>
      <w:r>
        <w:rPr>
          <w:rFonts w:ascii="Arial" w:cs="Arial" w:eastAsia="Arial" w:hAnsi="Arial"/>
          <w:sz w:val="17"/>
          <w:szCs w:val="17"/>
          <w:color w:val="auto"/>
        </w:rPr>
        <w:t>Board of Directors. At all times, the Board of Directors shall include a majority of Independent Persons.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 In addition to the foregoing, for a ninety (90) day period following the occurrence of a vacancy in the Board of Directors that results in less than a majority of Independent Persons serving on the Board of Directors, the Directors then in office shall have and may exercise all of the powers of the Board of Directors to the extent provided under these Amended and Restated Articles of Incorporation, the Bylaws of the Corporation and applicable law.</w:t>
      </w:r>
    </w:p>
    <w:p>
      <w:pPr>
        <w:spacing w:after="0" w:line="180" w:lineRule="exact"/>
        <w:rPr>
          <w:rFonts w:ascii="Arial" w:cs="Arial" w:eastAsia="Arial" w:hAnsi="Arial"/>
          <w:sz w:val="17"/>
          <w:szCs w:val="17"/>
          <w:color w:val="auto"/>
        </w:rPr>
      </w:pPr>
    </w:p>
    <w:p>
      <w:pPr>
        <w:ind w:left="1020" w:hanging="375"/>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Chief Executive Officer and President</w:t>
      </w:r>
    </w:p>
    <w:p>
      <w:pPr>
        <w:spacing w:after="0" w:line="218" w:lineRule="exact"/>
        <w:rPr>
          <w:rFonts w:ascii="Arial" w:cs="Arial" w:eastAsia="Arial" w:hAnsi="Arial"/>
          <w:sz w:val="18"/>
          <w:szCs w:val="18"/>
          <w:color w:val="auto"/>
        </w:rPr>
      </w:pPr>
    </w:p>
    <w:p>
      <w:pPr>
        <w:ind w:left="1320" w:hanging="356"/>
        <w:spacing w:after="0"/>
        <w:tabs>
          <w:tab w:leader="none" w:pos="13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Chairman.</w:t>
      </w:r>
    </w:p>
    <w:p>
      <w:pPr>
        <w:spacing w:after="0" w:line="218" w:lineRule="exact"/>
        <w:rPr>
          <w:rFonts w:ascii="Arial" w:cs="Arial" w:eastAsia="Arial" w:hAnsi="Arial"/>
          <w:sz w:val="18"/>
          <w:szCs w:val="18"/>
          <w:color w:val="auto"/>
        </w:rPr>
      </w:pPr>
    </w:p>
    <w:p>
      <w:pPr>
        <w:ind w:left="1620" w:hanging="336"/>
        <w:spacing w:after="0"/>
        <w:tabs>
          <w:tab w:leader="none" w:pos="16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Chairman shall be Mr. Brian L. Roberts if he is willing and available to serve.</w:t>
      </w:r>
    </w:p>
    <w:p>
      <w:pPr>
        <w:spacing w:after="0" w:line="218" w:lineRule="exact"/>
        <w:rPr>
          <w:rFonts w:ascii="Arial" w:cs="Arial" w:eastAsia="Arial" w:hAnsi="Arial"/>
          <w:sz w:val="18"/>
          <w:szCs w:val="18"/>
          <w:color w:val="auto"/>
        </w:rPr>
      </w:pPr>
    </w:p>
    <w:p>
      <w:pPr>
        <w:ind w:right="300" w:firstLine="1284"/>
        <w:spacing w:after="0" w:line="266" w:lineRule="auto"/>
        <w:tabs>
          <w:tab w:leader="none" w:pos="1614"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179" w:lineRule="exact"/>
        <w:rPr>
          <w:rFonts w:ascii="Arial" w:cs="Arial" w:eastAsia="Arial" w:hAnsi="Arial"/>
          <w:sz w:val="18"/>
          <w:szCs w:val="18"/>
          <w:color w:val="auto"/>
        </w:rPr>
      </w:pPr>
    </w:p>
    <w:p>
      <w:pPr>
        <w:ind w:left="1620" w:hanging="336"/>
        <w:spacing w:after="0"/>
        <w:tabs>
          <w:tab w:leader="none" w:pos="162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Chairman shall have the authority to call special meetings of the Board of Directors, in the manner provided by the Bylaws of the</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w:t>
      </w:r>
    </w:p>
    <w:p>
      <w:pPr>
        <w:spacing w:after="0" w:line="207" w:lineRule="exact"/>
        <w:rPr>
          <w:rFonts w:ascii="Arial" w:cs="Arial" w:eastAsia="Arial" w:hAnsi="Arial"/>
          <w:sz w:val="16"/>
          <w:szCs w:val="16"/>
          <w:color w:val="auto"/>
        </w:rPr>
      </w:pPr>
    </w:p>
    <w:p>
      <w:pPr>
        <w:ind w:left="1320" w:hanging="356"/>
        <w:spacing w:after="0"/>
        <w:tabs>
          <w:tab w:leader="none" w:pos="13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Chief Executive Officer and President.</w:t>
      </w:r>
    </w:p>
    <w:p>
      <w:pPr>
        <w:spacing w:after="0" w:line="218" w:lineRule="exact"/>
        <w:rPr>
          <w:rFonts w:ascii="Arial" w:cs="Arial" w:eastAsia="Arial" w:hAnsi="Arial"/>
          <w:sz w:val="18"/>
          <w:szCs w:val="18"/>
          <w:color w:val="auto"/>
        </w:rPr>
      </w:pPr>
    </w:p>
    <w:p>
      <w:pPr>
        <w:ind w:right="200" w:firstLine="1284"/>
        <w:spacing w:after="0" w:line="266" w:lineRule="auto"/>
        <w:tabs>
          <w:tab w:leader="none" w:pos="1604"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CEO shall be Mr. Brian L. Roberts if he is willing and available to serve. For so long as Mr. Brian L. Roberts shall be the CEO, he shall also be the President of the Corporation.</w:t>
      </w:r>
    </w:p>
    <w:p>
      <w:pPr>
        <w:spacing w:after="0" w:line="179" w:lineRule="exact"/>
        <w:rPr>
          <w:rFonts w:ascii="Arial" w:cs="Arial" w:eastAsia="Arial" w:hAnsi="Arial"/>
          <w:sz w:val="18"/>
          <w:szCs w:val="18"/>
          <w:color w:val="auto"/>
        </w:rPr>
      </w:pPr>
    </w:p>
    <w:p>
      <w:pPr>
        <w:ind w:right="180" w:firstLine="1284"/>
        <w:spacing w:after="0" w:line="266" w:lineRule="auto"/>
        <w:tabs>
          <w:tab w:leader="none" w:pos="1614"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powers, rights, functions and responsibilities of the CEO shall include, without limitation, the following, subject to the control and direction of the Board of Directors:</w:t>
      </w:r>
    </w:p>
    <w:p>
      <w:pPr>
        <w:spacing w:after="0" w:line="179" w:lineRule="exact"/>
        <w:rPr>
          <w:rFonts w:ascii="Arial" w:cs="Arial" w:eastAsia="Arial" w:hAnsi="Arial"/>
          <w:sz w:val="18"/>
          <w:szCs w:val="18"/>
          <w:color w:val="auto"/>
        </w:rPr>
      </w:pPr>
    </w:p>
    <w:p>
      <w:pPr>
        <w:ind w:left="2000" w:hanging="397"/>
        <w:spacing w:after="0"/>
        <w:tabs>
          <w:tab w:leader="none" w:pos="2000" w:val="left"/>
        </w:tabs>
        <w:numPr>
          <w:ilvl w:val="3"/>
          <w:numId w:val="21"/>
        </w:numPr>
        <w:rPr>
          <w:rFonts w:ascii="Arial" w:cs="Arial" w:eastAsia="Arial" w:hAnsi="Arial"/>
          <w:sz w:val="16"/>
          <w:szCs w:val="16"/>
          <w:color w:val="auto"/>
        </w:rPr>
      </w:pPr>
      <w:r>
        <w:rPr>
          <w:rFonts w:ascii="Arial" w:cs="Arial" w:eastAsia="Arial" w:hAnsi="Arial"/>
          <w:sz w:val="16"/>
          <w:szCs w:val="16"/>
          <w:color w:val="auto"/>
        </w:rPr>
        <w:t>the supervision, coordination and management of the Corporation's business, operations, activities, operating expenses and capital</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allocation;</w:t>
      </w:r>
    </w:p>
    <w:p>
      <w:pPr>
        <w:spacing w:after="0" w:line="207" w:lineRule="exact"/>
        <w:rPr>
          <w:rFonts w:ascii="Arial" w:cs="Arial" w:eastAsia="Arial" w:hAnsi="Arial"/>
          <w:sz w:val="16"/>
          <w:szCs w:val="16"/>
          <w:color w:val="auto"/>
        </w:rPr>
      </w:pPr>
    </w:p>
    <w:p>
      <w:pPr>
        <w:ind w:left="2000" w:hanging="397"/>
        <w:spacing w:after="0"/>
        <w:tabs>
          <w:tab w:leader="none" w:pos="2000" w:val="left"/>
        </w:tabs>
        <w:numPr>
          <w:ilvl w:val="3"/>
          <w:numId w:val="21"/>
        </w:numPr>
        <w:rPr>
          <w:rFonts w:ascii="Arial" w:cs="Arial" w:eastAsia="Arial" w:hAnsi="Arial"/>
          <w:sz w:val="16"/>
          <w:szCs w:val="16"/>
          <w:color w:val="auto"/>
        </w:rPr>
      </w:pPr>
      <w:r>
        <w:rPr>
          <w:rFonts w:ascii="Arial" w:cs="Arial" w:eastAsia="Arial" w:hAnsi="Arial"/>
          <w:sz w:val="16"/>
          <w:szCs w:val="16"/>
          <w:color w:val="auto"/>
        </w:rPr>
        <w:t>matters relating to officers (other than the Chairman) and employees, including, without limitation, hiring, terminating, changing</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positions and allocating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380"/>
          </w:cols>
          <w:pgMar w:left="240" w:top="686" w:right="279" w:bottom="1440" w:gutter="0" w:footer="0" w:header="0"/>
        </w:sectPr>
      </w:pPr>
    </w:p>
    <w:bookmarkStart w:id="16" w:name="page17"/>
    <w:bookmarkEnd w:id="16"/>
    <w:p>
      <w:pPr>
        <w:ind w:right="160"/>
        <w:spacing w:after="0" w:line="266" w:lineRule="auto"/>
        <w:rPr>
          <w:sz w:val="20"/>
          <w:szCs w:val="20"/>
          <w:color w:val="auto"/>
        </w:rPr>
      </w:pPr>
      <w:r>
        <w:rPr>
          <w:rFonts w:ascii="Arial" w:cs="Arial" w:eastAsia="Arial" w:hAnsi="Arial"/>
          <w:sz w:val="18"/>
          <w:szCs w:val="18"/>
          <w:color w:val="auto"/>
        </w:rPr>
        <w:t>responsibilities of such officers and employees; provided that, if the Chairman and the CEO are not the same person, the CEO shall consult with the Chairman in connection with the foregoing as it relates to the senior executives of the Corporation;</w:t>
      </w:r>
    </w:p>
    <w:p>
      <w:pPr>
        <w:spacing w:after="0" w:line="18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(iii)  all of the powers, rights, functions and responsibilities typically exercised by a chief executive officer and president of 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corporation; and</w:t>
      </w:r>
    </w:p>
    <w:p>
      <w:pPr>
        <w:spacing w:after="0" w:line="208" w:lineRule="exact"/>
        <w:rPr>
          <w:sz w:val="20"/>
          <w:szCs w:val="20"/>
          <w:color w:val="auto"/>
        </w:rPr>
      </w:pPr>
    </w:p>
    <w:p>
      <w:pPr>
        <w:ind w:left="2000" w:hanging="397"/>
        <w:spacing w:after="0"/>
        <w:tabs>
          <w:tab w:leader="none" w:pos="2000" w:val="left"/>
        </w:tabs>
        <w:numPr>
          <w:ilvl w:val="2"/>
          <w:numId w:val="22"/>
        </w:numPr>
        <w:rPr>
          <w:rFonts w:ascii="Arial" w:cs="Arial" w:eastAsia="Arial" w:hAnsi="Arial"/>
          <w:sz w:val="17"/>
          <w:szCs w:val="17"/>
          <w:color w:val="auto"/>
        </w:rPr>
      </w:pPr>
      <w:r>
        <w:rPr>
          <w:rFonts w:ascii="Arial" w:cs="Arial" w:eastAsia="Arial" w:hAnsi="Arial"/>
          <w:sz w:val="17"/>
          <w:szCs w:val="17"/>
          <w:color w:val="auto"/>
        </w:rPr>
        <w:t>the authority to call special meetings of the Board of Directors, in the manner provided by the Bylaws of the Corporation.</w:t>
      </w:r>
    </w:p>
    <w:p>
      <w:pPr>
        <w:spacing w:after="0" w:line="230"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6"/>
          <w:szCs w:val="16"/>
          <w:color w:val="auto"/>
        </w:rPr>
        <w:t>D.  Termination. If Mr. Brian L. Roberts is no longer serving as the Chairman or the CEO, the provisions of this Article SIXTH (other than paragraphs</w:t>
      </w:r>
    </w:p>
    <w:p>
      <w:pPr>
        <w:spacing w:after="0" w:line="40" w:lineRule="exact"/>
        <w:rPr>
          <w:rFonts w:ascii="Arial" w:cs="Arial" w:eastAsia="Arial" w:hAnsi="Arial"/>
          <w:sz w:val="17"/>
          <w:szCs w:val="17"/>
          <w:color w:val="auto"/>
        </w:rPr>
      </w:pPr>
    </w:p>
    <w:p>
      <w:pPr>
        <w:ind w:left="300" w:hanging="294"/>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 (B)) shall terminate automatically without any further action of the Board of Directors or the shareholders of the Corporation.</w:t>
      </w:r>
    </w:p>
    <w:p>
      <w:pPr>
        <w:spacing w:after="0" w:line="208" w:lineRule="exact"/>
        <w:rPr>
          <w:sz w:val="20"/>
          <w:szCs w:val="20"/>
          <w:color w:val="auto"/>
        </w:rPr>
      </w:pPr>
    </w:p>
    <w:p>
      <w:pPr>
        <w:ind w:firstLine="319"/>
        <w:spacing w:after="0" w:line="281" w:lineRule="auto"/>
        <w:rPr>
          <w:sz w:val="20"/>
          <w:szCs w:val="20"/>
          <w:color w:val="auto"/>
        </w:rPr>
      </w:pPr>
      <w:r>
        <w:rPr>
          <w:rFonts w:ascii="Arial" w:cs="Arial" w:eastAsia="Arial" w:hAnsi="Arial"/>
          <w:sz w:val="16"/>
          <w:szCs w:val="16"/>
          <w:color w:val="auto"/>
        </w:rPr>
        <w:t>SEVENTH: In addition to any other approval required by law or by these Amended and Restated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Amended and Restated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Amended and Restated Articles of Incorporation, and notwithstanding any provision of Article FIFTH, the approval of the holder of any class or series of shares of the Corporation shall be necessary to approve any amendment to these Amended and Restated Articles of Incorporation which would make any change in the preferences, limitations or rights of the shares of such class or series adverse to such class or series.</w:t>
      </w:r>
    </w:p>
    <w:p>
      <w:pPr>
        <w:spacing w:after="0" w:line="17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EIGHTH: Special meetings of shareholders may be called only by the Board of Directors and may not be called by shareholders of the Corporation.</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00"/>
          </w:cols>
          <w:pgMar w:left="240" w:top="686" w:right="259" w:bottom="1440" w:gutter="0" w:footer="0" w:header="0"/>
        </w:sectPr>
      </w:pPr>
    </w:p>
    <w:bookmarkStart w:id="17" w:name="page18"/>
    <w:bookmarkEnd w:id="17"/>
    <w:p>
      <w:pPr>
        <w:jc w:val="both"/>
        <w:ind w:right="500" w:firstLine="319"/>
        <w:spacing w:after="0" w:line="256" w:lineRule="auto"/>
        <w:rPr>
          <w:sz w:val="20"/>
          <w:szCs w:val="20"/>
          <w:color w:val="auto"/>
        </w:rPr>
      </w:pPr>
      <w:r>
        <w:rPr>
          <w:rFonts w:ascii="Arial" w:cs="Arial" w:eastAsia="Arial" w:hAnsi="Arial"/>
          <w:sz w:val="18"/>
          <w:szCs w:val="18"/>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189" w:lineRule="exact"/>
        <w:rPr>
          <w:sz w:val="20"/>
          <w:szCs w:val="20"/>
          <w:color w:val="auto"/>
        </w:rPr>
      </w:pPr>
    </w:p>
    <w:p>
      <w:pPr>
        <w:ind w:right="100" w:firstLine="319"/>
        <w:spacing w:after="0" w:line="256" w:lineRule="auto"/>
        <w:rPr>
          <w:sz w:val="20"/>
          <w:szCs w:val="20"/>
          <w:color w:val="auto"/>
        </w:rPr>
      </w:pPr>
      <w:r>
        <w:rPr>
          <w:rFonts w:ascii="Arial" w:cs="Arial" w:eastAsia="Arial" w:hAnsi="Arial"/>
          <w:sz w:val="18"/>
          <w:szCs w:val="18"/>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189" w:lineRule="exact"/>
        <w:rPr>
          <w:sz w:val="20"/>
          <w:szCs w:val="20"/>
          <w:color w:val="auto"/>
        </w:rPr>
      </w:pPr>
    </w:p>
    <w:p>
      <w:pPr>
        <w:ind w:right="40" w:firstLine="319"/>
        <w:spacing w:after="0" w:line="268" w:lineRule="auto"/>
        <w:rPr>
          <w:sz w:val="20"/>
          <w:szCs w:val="20"/>
          <w:color w:val="auto"/>
        </w:rPr>
      </w:pPr>
      <w:r>
        <w:rPr>
          <w:rFonts w:ascii="Arial" w:cs="Arial" w:eastAsia="Arial" w:hAnsi="Arial"/>
          <w:sz w:val="17"/>
          <w:szCs w:val="17"/>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180" w:lineRule="exact"/>
        <w:rPr>
          <w:sz w:val="20"/>
          <w:szCs w:val="20"/>
          <w:color w:val="auto"/>
        </w:rPr>
      </w:pPr>
    </w:p>
    <w:p>
      <w:pPr>
        <w:ind w:right="240" w:firstLine="319"/>
        <w:spacing w:after="0" w:line="288" w:lineRule="auto"/>
        <w:rPr>
          <w:sz w:val="20"/>
          <w:szCs w:val="20"/>
          <w:color w:val="auto"/>
        </w:rPr>
      </w:pPr>
      <w:r>
        <w:rPr>
          <w:rFonts w:ascii="Arial" w:cs="Arial" w:eastAsia="Arial" w:hAnsi="Arial"/>
          <w:sz w:val="16"/>
          <w:szCs w:val="16"/>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65" w:lineRule="exact"/>
        <w:rPr>
          <w:sz w:val="20"/>
          <w:szCs w:val="20"/>
          <w:color w:val="auto"/>
        </w:rPr>
      </w:pPr>
    </w:p>
    <w:p>
      <w:pPr>
        <w:ind w:firstLine="319"/>
        <w:spacing w:after="0" w:line="290" w:lineRule="auto"/>
        <w:rPr>
          <w:sz w:val="20"/>
          <w:szCs w:val="20"/>
          <w:color w:val="auto"/>
        </w:rPr>
      </w:pPr>
      <w:r>
        <w:rPr>
          <w:rFonts w:ascii="Arial" w:cs="Arial" w:eastAsia="Arial" w:hAnsi="Arial"/>
          <w:sz w:val="16"/>
          <w:szCs w:val="16"/>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166" w:lineRule="exact"/>
        <w:rPr>
          <w:sz w:val="20"/>
          <w:szCs w:val="20"/>
          <w:color w:val="auto"/>
        </w:rPr>
      </w:pPr>
    </w:p>
    <w:p>
      <w:pPr>
        <w:ind w:right="160" w:firstLine="319"/>
        <w:spacing w:after="0" w:line="266" w:lineRule="auto"/>
        <w:rPr>
          <w:sz w:val="20"/>
          <w:szCs w:val="20"/>
          <w:color w:val="auto"/>
        </w:rPr>
      </w:pPr>
      <w:r>
        <w:rPr>
          <w:rFonts w:ascii="Arial" w:cs="Arial" w:eastAsia="Arial" w:hAnsi="Arial"/>
          <w:sz w:val="18"/>
          <w:szCs w:val="18"/>
          <w:color w:val="auto"/>
        </w:rPr>
        <w:t>FOURTEENTH: Subchapters E, F, G, H, I and J and Section 2538 of Subchapter D, in each case of Chapter 25 of the Business Corporation Law of 1988, shall not be applicable to the Corporation.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380"/>
          </w:cols>
          <w:pgMar w:left="240" w:top="686" w:right="279" w:bottom="1440" w:gutter="0" w:footer="0" w:header="0"/>
        </w:sectPr>
      </w:pPr>
    </w:p>
    <w:bookmarkStart w:id="18" w:name="page19"/>
    <w:bookmarkEnd w:id="18"/>
    <w:p>
      <w:pPr>
        <w:ind w:firstLine="319"/>
        <w:spacing w:after="0" w:line="266" w:lineRule="auto"/>
        <w:rPr>
          <w:sz w:val="20"/>
          <w:szCs w:val="20"/>
          <w:color w:val="auto"/>
        </w:rPr>
      </w:pPr>
      <w:r>
        <w:rPr>
          <w:rFonts w:ascii="Arial" w:cs="Arial" w:eastAsia="Arial" w:hAnsi="Arial"/>
          <w:sz w:val="18"/>
          <w:szCs w:val="18"/>
          <w:color w:val="auto"/>
        </w:rPr>
        <w:t>FIFTEENTH: Henceforth, these Amended and Restated Articles of Incorporation supersede the original Articles of Incorporation and all prior amendments thereto and restatements thereof.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380"/>
          </w:cols>
          <w:pgMar w:left="240" w:top="686" w:right="279" w:bottom="1440" w:gutter="0" w:footer="0" w:header="0"/>
        </w:sectPr>
      </w:pPr>
    </w:p>
    <w:bookmarkStart w:id="19" w:name="page20"/>
    <w:bookmarkEnd w:id="19"/>
    <w:p>
      <w:pPr>
        <w:jc w:val="right"/>
        <w:spacing w:after="0"/>
        <w:rPr>
          <w:sz w:val="20"/>
          <w:szCs w:val="20"/>
          <w:color w:val="auto"/>
        </w:rPr>
      </w:pPr>
      <w:r>
        <w:rPr>
          <w:rFonts w:ascii="Arial" w:cs="Arial" w:eastAsia="Arial" w:hAnsi="Arial"/>
          <w:sz w:val="21"/>
          <w:szCs w:val="2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164465</wp:posOffset>
            </wp:positionV>
            <wp:extent cx="1960245" cy="692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0245" cy="692785"/>
                    </a:xfrm>
                    <a:prstGeom prst="rect">
                      <a:avLst/>
                    </a:prstGeom>
                    <a:noFill/>
                  </pic:spPr>
                </pic:pic>
              </a:graphicData>
            </a:graphic>
          </wp:anchor>
        </w:drawing>
      </w:r>
    </w:p>
    <w:p>
      <w:pPr>
        <w:spacing w:after="0" w:line="265" w:lineRule="exact"/>
        <w:rPr>
          <w:sz w:val="20"/>
          <w:szCs w:val="20"/>
          <w:color w:val="auto"/>
        </w:rPr>
      </w:pPr>
    </w:p>
    <w:p>
      <w:pPr>
        <w:ind w:left="8000"/>
        <w:spacing w:after="0"/>
        <w:rPr>
          <w:sz w:val="20"/>
          <w:szCs w:val="20"/>
          <w:color w:val="auto"/>
        </w:rPr>
      </w:pPr>
      <w:r>
        <w:rPr>
          <w:rFonts w:ascii="Arial" w:cs="Arial" w:eastAsia="Arial" w:hAnsi="Arial"/>
          <w:sz w:val="20"/>
          <w:szCs w:val="20"/>
          <w:b w:val="1"/>
          <w:bCs w:val="1"/>
          <w:color w:val="auto"/>
        </w:rPr>
        <w:t>PRESS RELEASE</w:t>
      </w:r>
    </w:p>
    <w:p>
      <w:pPr>
        <w:spacing w:after="0" w:line="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Comcast Corporation</w:t>
      </w:r>
    </w:p>
    <w:p>
      <w:pPr>
        <w:ind w:left="8000"/>
        <w:spacing w:after="0" w:line="231" w:lineRule="auto"/>
        <w:rPr>
          <w:sz w:val="20"/>
          <w:szCs w:val="20"/>
          <w:color w:val="auto"/>
        </w:rPr>
      </w:pPr>
      <w:r>
        <w:rPr>
          <w:rFonts w:ascii="Arial" w:cs="Arial" w:eastAsia="Arial" w:hAnsi="Arial"/>
          <w:sz w:val="18"/>
          <w:szCs w:val="18"/>
          <w:color w:val="auto"/>
        </w:rPr>
        <w:t>One Comcast Center</w:t>
      </w:r>
    </w:p>
    <w:p>
      <w:pPr>
        <w:ind w:left="8000"/>
        <w:spacing w:after="0" w:line="231" w:lineRule="auto"/>
        <w:rPr>
          <w:sz w:val="20"/>
          <w:szCs w:val="20"/>
          <w:color w:val="auto"/>
        </w:rPr>
      </w:pPr>
      <w:r>
        <w:rPr>
          <w:rFonts w:ascii="Arial" w:cs="Arial" w:eastAsia="Arial" w:hAnsi="Arial"/>
          <w:sz w:val="18"/>
          <w:szCs w:val="18"/>
          <w:color w:val="auto"/>
        </w:rPr>
        <w:t>Philadelphia, PA 19103</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3113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1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COMCAST SHAREHOLDERS APPROVE THE RECLASSIFICATION OF EACH SHARE OF</w:t>
      </w:r>
    </w:p>
    <w:p>
      <w:pPr>
        <w:spacing w:after="0" w:line="1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CLASS A SPECIAL COMMON STOCK INTO ONE SHARE OF CLASS A COMMON STOCK</w:t>
      </w:r>
    </w:p>
    <w:p>
      <w:pPr>
        <w:spacing w:after="0" w:line="192"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PHILADELPHIA — December 10, 2015 — Comcast Corporation announced that at its special meeting of shareholders today in Philadelphia, holders of its Class A Common Stock and Class A Special Common Stock, each voting separately as a class, and Class A Common Stock and Class B Common Stock, voting together as a single class, approved the Company’s proposal to amend and restate its Amended and Restated Articles of Incorporation in order to reclassify each share of Comcast Class A Special Common Stock (Nasdaq: CMCSK) into one share of Comcast Class A Common Stock (Nasdaq: CMCSA).</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Effective as of 5:00 PM (EST) on December 11, 2015, each share of Comcast’s Class A Special Common Stock will be reclassified into one share of Comcast’s Class A Common Stock, and the Class A Special Common Stock will cease trading on Nasdaq. Comcast’s Class A Common Stock, including the new shares of Class A Common Stock into which the shares of Class A Special Common Stock were reclassified, will continue to trade on Nasdaq under the ticker symbol CMCSA.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1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b w:val="1"/>
          <w:bCs w:val="1"/>
          <w:u w:val="single" w:color="auto"/>
          <w:color w:val="800080"/>
        </w:rPr>
        <w:t>www.comcastcorporation.com</w:t>
      </w:r>
      <w:r>
        <w:rPr>
          <w:rFonts w:ascii="Arial" w:cs="Arial" w:eastAsia="Arial" w:hAnsi="Arial"/>
          <w:sz w:val="18"/>
          <w:szCs w:val="18"/>
          <w:color w:val="auto"/>
        </w:rPr>
        <w:t xml:space="preserve"> for more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John Demming</w:t>
      </w:r>
    </w:p>
    <w:p>
      <w:pPr>
        <w:ind w:left="240" w:hanging="234"/>
        <w:spacing w:after="0" w:line="231"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(215) 286-8011</w:t>
      </w:r>
    </w:p>
    <w:p>
      <w:pPr>
        <w:ind w:left="260" w:hanging="254"/>
        <w:spacing w:after="0" w:line="231"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(215) 429-4744</w:t>
      </w:r>
    </w:p>
    <w:p>
      <w:pPr>
        <w:spacing w:after="0"/>
        <w:rPr>
          <w:rFonts w:ascii="Arial" w:cs="Arial" w:eastAsia="Arial" w:hAnsi="Arial"/>
          <w:sz w:val="18"/>
          <w:szCs w:val="18"/>
          <w:color w:val="auto"/>
        </w:rPr>
      </w:pPr>
      <w:r>
        <w:rPr>
          <w:rFonts w:ascii="Arial" w:cs="Arial" w:eastAsia="Arial" w:hAnsi="Arial"/>
          <w:sz w:val="18"/>
          <w:szCs w:val="18"/>
          <w:u w:val="single" w:color="auto"/>
          <w:color w:val="auto"/>
        </w:rPr>
        <w:t>John Demming@Comcast.com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409575</wp:posOffset>
            </wp:positionV>
            <wp:extent cx="7248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upperLetter"/>
      <w:start w:val="2"/>
    </w:lvl>
    <w:lvl w:ilvl="1">
      <w:lvlJc w:val="left"/>
      <w:lvlText w:val="%2."/>
      <w:numFmt w:val="decimal"/>
      <w:start w:val="1"/>
    </w:lvl>
  </w:abstractNum>
  <w:abstractNum w:abstractNumId="4">
    <w:nsid w:val="1BEFD79F"/>
    <w:multiLevelType w:val="hybridMultilevel"/>
    <w:lvl w:ilvl="0">
      <w:lvlJc w:val="left"/>
      <w:lvlText w:val="(%1)"/>
      <w:numFmt w:val="lowerLetter"/>
      <w:start w:val="2"/>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upperLetter"/>
      <w:start w:val="3"/>
    </w:lvl>
  </w:abstractNum>
  <w:abstractNum w:abstractNumId="8">
    <w:nsid w:val="25E45D32"/>
    <w:multiLevelType w:val="hybridMultilevel"/>
    <w:lvl w:ilvl="0">
      <w:lvlJc w:val="left"/>
      <w:lvlText w:val="%1."/>
      <w:numFmt w:val="decimal"/>
      <w:start w:val="1"/>
    </w:lvl>
    <w:lvl w:ilvl="1">
      <w:lvlJc w:val="left"/>
      <w:lvlText w:val="(%2)"/>
      <w:numFmt w:val="lowerLetter"/>
      <w:start w:val="2"/>
    </w:lvl>
  </w:abstractNum>
  <w:abstractNum w:abstractNumId="9">
    <w:nsid w:val="519B500D"/>
    <w:multiLevelType w:val="hybridMultilevel"/>
    <w:lvl w:ilvl="0">
      <w:lvlJc w:val="left"/>
      <w:lvlText w:val="%1."/>
      <w:numFmt w:val="decimal"/>
      <w:start w:val="3"/>
    </w:lvl>
    <w:lvl w:ilvl="1">
      <w:lvlJc w:val="left"/>
      <w:lvlText w:val="(%2)"/>
      <w:numFmt w:val="lowerLetter"/>
      <w:start w:val="1"/>
    </w:lvl>
  </w:abstractNum>
  <w:abstractNum w:abstractNumId="10">
    <w:nsid w:val="431BD7B7"/>
    <w:multiLevelType w:val="hybridMultilevel"/>
    <w:lvl w:ilvl="0">
      <w:lvlJc w:val="left"/>
      <w:lvlText w:val="(%1)"/>
      <w:numFmt w:val="lowerRoman"/>
      <w:start w:val="2"/>
    </w:lvl>
  </w:abstractNum>
  <w:abstractNum w:abstractNumId="11">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2">
    <w:nsid w:val="7C83E45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3">
    <w:nsid w:val="257130A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6">
    <w:nsid w:val="628C895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
    <w:nsid w:val="333AB10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
    <w:nsid w:val="721DA317"/>
    <w:multiLevelType w:val="hybridMultilevel"/>
    <w:lvl w:ilvl="0">
      <w:lvlJc w:val="left"/>
      <w:lvlText w:val="%1."/>
      <w:numFmt w:val="decimal"/>
      <w:start w:val="7"/>
    </w:lvl>
  </w:abstractNum>
  <w:abstractNum w:abstractNumId="19">
    <w:nsid w:val="2443A858"/>
    <w:multiLevelType w:val="hybridMultilevel"/>
    <w:lvl w:ilvl="0">
      <w:lvlJc w:val="left"/>
      <w:lvlText w:val="%1."/>
      <w:numFmt w:val="upperLetter"/>
      <w:start w:val="1"/>
    </w:lvl>
    <w:lvl w:ilvl="1">
      <w:lvlJc w:val="left"/>
      <w:lvlText w:val="%2."/>
      <w:numFmt w:val="decimal"/>
      <w:start w:val="1"/>
    </w:lvl>
  </w:abstractNum>
  <w:abstractNum w:abstractNumId="20">
    <w:nsid w:val="2D1D5AE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1">
    <w:nsid w:val="6763845E"/>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4"/>
    </w:lvl>
  </w:abstractNum>
  <w:abstractNum w:abstractNumId="22">
    <w:nsid w:val="75A2A8D4"/>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23">
    <w:nsid w:val="8EDBDAB"/>
    <w:multiLevelType w:val="hybridMultilevel"/>
    <w:lvl w:ilvl="0">
      <w:lvlJc w:val="left"/>
      <w:lvlText w:val="%1:"/>
      <w:numFmt w:val="upperLetter"/>
      <w:start w:val="15"/>
    </w:lvl>
  </w:abstractNum>
  <w:abstractNum w:abstractNumId="24">
    <w:nsid w:val="79838CB2"/>
    <w:multiLevelType w:val="hybridMultilevel"/>
    <w:lvl w:ilvl="0">
      <w:lvlJc w:val="left"/>
      <w:lvlText w:val="%1:"/>
      <w:numFmt w:val="upp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2019-12-08T00:11:51Z</dcterms:created>
  <dcterms:modified xsi:type="dcterms:W3CDTF">2019-12-08T00:11:51Z</dcterms:modified>
</cp:coreProperties>
</file>