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4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COMCAST CORP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1500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KNOT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KNOT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08/15/2006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49"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19102</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49"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23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40" w:type="dxa"/>
            <w:vAlign w:val="bottom"/>
          </w:tcPr>
          <w:p>
            <w:pPr>
              <w:spacing w:after="0"/>
              <w:rPr>
                <w:sz w:val="11"/>
                <w:szCs w:val="11"/>
                <w:color w:val="auto"/>
              </w:rPr>
            </w:pPr>
          </w:p>
        </w:tc>
        <w:tc>
          <w:tcPr>
            <w:tcW w:w="520" w:type="dxa"/>
            <w:vAlign w:val="bottom"/>
          </w:tcPr>
          <w:p>
            <w:pPr>
              <w:spacing w:after="0" w:line="135"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1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4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440" w:type="dxa"/>
            <w:vAlign w:val="bottom"/>
          </w:tcPr>
          <w:p>
            <w:pPr>
              <w:spacing w:after="0"/>
              <w:rPr>
                <w:sz w:val="14"/>
                <w:szCs w:val="14"/>
                <w:color w:val="auto"/>
              </w:rPr>
            </w:pPr>
          </w:p>
        </w:tc>
        <w:tc>
          <w:tcPr>
            <w:tcW w:w="5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11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740" w:type="dxa"/>
            <w:vAlign w:val="bottom"/>
            <w:tcBorders>
              <w:top w:val="single" w:sz="8" w:color="2C2C2C"/>
            </w:tcBorders>
          </w:tcPr>
          <w:p>
            <w:pPr>
              <w:spacing w:after="0"/>
              <w:rPr>
                <w:sz w:val="7"/>
                <w:szCs w:val="7"/>
                <w:color w:val="auto"/>
              </w:rPr>
            </w:pPr>
          </w:p>
        </w:tc>
        <w:tc>
          <w:tcPr>
            <w:tcW w:w="76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11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6"/>
                <w:szCs w:val="6"/>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Comcast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TKI Holdings,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Pr>
          <w:p>
            <w:pPr>
              <w:spacing w:after="0"/>
              <w:rPr>
                <w:sz w:val="18"/>
                <w:szCs w:val="18"/>
                <w:color w:val="auto"/>
              </w:rPr>
            </w:pPr>
          </w:p>
        </w:tc>
        <w:tc>
          <w:tcPr>
            <w:tcW w:w="1140" w:type="dxa"/>
            <w:vAlign w:val="bottom"/>
          </w:tcPr>
          <w:p>
            <w:pPr>
              <w:ind w:left="180"/>
              <w:spacing w:after="0"/>
              <w:rPr>
                <w:sz w:val="20"/>
                <w:szCs w:val="20"/>
                <w:color w:val="auto"/>
              </w:rPr>
            </w:pPr>
            <w:r>
              <w:rPr>
                <w:rFonts w:ascii="Arial" w:cs="Arial" w:eastAsia="Arial" w:hAnsi="Arial"/>
                <w:sz w:val="18"/>
                <w:szCs w:val="18"/>
                <w:color w:val="0000FF"/>
              </w:rPr>
              <w:t>08/15/2006</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18"/>
                <w:szCs w:val="18"/>
                <w:color w:val="auto"/>
              </w:rPr>
            </w:pPr>
          </w:p>
        </w:tc>
        <w:tc>
          <w:tcPr>
            <w:tcW w:w="1140" w:type="dxa"/>
            <w:vAlign w:val="bottom"/>
          </w:tcPr>
          <w:p>
            <w:pPr>
              <w:ind w:left="40"/>
              <w:spacing w:after="0" w:line="217" w:lineRule="exact"/>
              <w:rPr>
                <w:sz w:val="20"/>
                <w:szCs w:val="20"/>
                <w:color w:val="auto"/>
              </w:rPr>
            </w:pPr>
            <w:r>
              <w:rPr>
                <w:rFonts w:ascii="Arial" w:cs="Arial" w:eastAsia="Arial" w:hAnsi="Arial"/>
                <w:sz w:val="18"/>
                <w:szCs w:val="18"/>
                <w:color w:val="0000FF"/>
                <w:w w:val="93"/>
              </w:rPr>
              <w:t>4,025,590</w:t>
            </w:r>
            <w:r>
              <w:rPr>
                <w:rFonts w:ascii="Arial" w:cs="Arial" w:eastAsia="Arial" w:hAnsi="Arial"/>
                <w:sz w:val="22"/>
                <w:szCs w:val="22"/>
                <w:color w:val="008000"/>
                <w:w w:val="93"/>
                <w:vertAlign w:val="superscript"/>
              </w:rPr>
              <w:t>(2)(3)</w:t>
            </w:r>
          </w:p>
        </w:tc>
        <w:tc>
          <w:tcPr>
            <w:tcW w:w="44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ind w:left="4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15.28</w:t>
            </w:r>
            <w:r>
              <w:rPr>
                <w:rFonts w:ascii="Arial" w:cs="Arial" w:eastAsia="Arial" w:hAnsi="Arial"/>
                <w:sz w:val="22"/>
                <w:szCs w:val="22"/>
                <w:color w:val="008000"/>
                <w:w w:val="93"/>
                <w:vertAlign w:val="superscript"/>
              </w:rPr>
              <w:t>(4)</w:t>
            </w:r>
          </w:p>
        </w:tc>
        <w:tc>
          <w:tcPr>
            <w:tcW w:w="760" w:type="dxa"/>
            <w:vAlign w:val="bottom"/>
          </w:tcPr>
          <w:p>
            <w:pPr>
              <w:ind w:left="520"/>
              <w:spacing w:after="0"/>
              <w:rPr>
                <w:sz w:val="20"/>
                <w:szCs w:val="20"/>
                <w:color w:val="auto"/>
              </w:rPr>
            </w:pPr>
            <w:r>
              <w:rPr>
                <w:rFonts w:ascii="Arial" w:cs="Arial" w:eastAsia="Arial" w:hAnsi="Arial"/>
                <w:sz w:val="18"/>
                <w:szCs w:val="18"/>
                <w:color w:val="0000FF"/>
              </w:rPr>
              <w:t>0</w:t>
            </w:r>
          </w:p>
        </w:tc>
        <w:tc>
          <w:tcPr>
            <w:tcW w:w="440" w:type="dxa"/>
            <w:vAlign w:val="bottom"/>
          </w:tcPr>
          <w:p>
            <w:pPr>
              <w:spacing w:after="0"/>
              <w:rPr>
                <w:sz w:val="18"/>
                <w:szCs w:val="18"/>
                <w:color w:val="auto"/>
              </w:rPr>
            </w:pPr>
          </w:p>
        </w:tc>
        <w:tc>
          <w:tcPr>
            <w:tcW w:w="520" w:type="dxa"/>
            <w:vAlign w:val="bottom"/>
          </w:tcPr>
          <w:p>
            <w:pPr>
              <w:ind w:left="360"/>
              <w:spacing w:after="0"/>
              <w:rPr>
                <w:sz w:val="20"/>
                <w:szCs w:val="20"/>
                <w:color w:val="auto"/>
              </w:rPr>
            </w:pPr>
            <w:r>
              <w:rPr>
                <w:rFonts w:ascii="Arial" w:cs="Arial" w:eastAsia="Arial" w:hAnsi="Arial"/>
                <w:sz w:val="18"/>
                <w:szCs w:val="18"/>
                <w:color w:val="0000FF"/>
              </w:rPr>
              <w:t>I</w:t>
            </w:r>
          </w:p>
        </w:tc>
        <w:tc>
          <w:tcPr>
            <w:tcW w:w="38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Inc.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Comcast</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w w:val="88"/>
              </w:rPr>
              <w:t>Foundation</w:t>
            </w:r>
            <w:r>
              <w:rPr>
                <w:rFonts w:ascii="Arial" w:cs="Arial" w:eastAsia="Arial" w:hAnsi="Arial"/>
                <w:sz w:val="22"/>
                <w:szCs w:val="22"/>
                <w:color w:val="008000"/>
                <w:w w:val="88"/>
                <w:vertAlign w:val="superscript"/>
              </w:rPr>
              <w:t>(2)(3)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0"/>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5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3"/>
              </w:rPr>
              <w:t>Form:</w:t>
            </w:r>
          </w:p>
        </w:tc>
        <w:tc>
          <w:tcPr>
            <w:tcW w:w="36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Owned</w:t>
            </w:r>
          </w:p>
        </w:tc>
        <w:tc>
          <w:tcPr>
            <w:tcW w:w="5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Date</w:t>
            </w:r>
          </w:p>
        </w:tc>
        <w:tc>
          <w:tcPr>
            <w:tcW w:w="1140" w:type="dxa"/>
            <w:vAlign w:val="bottom"/>
          </w:tcPr>
          <w:p>
            <w:pPr>
              <w:ind w:left="540"/>
              <w:spacing w:after="0" w:line="135"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See Joint Filer Information</w:t>
      </w:r>
    </w:p>
    <w:p>
      <w:pPr>
        <w:spacing w:after="0" w:line="41" w:lineRule="exact"/>
        <w:rPr>
          <w:rFonts w:ascii="Arial" w:cs="Arial" w:eastAsia="Arial" w:hAnsi="Arial"/>
          <w:sz w:val="14"/>
          <w:szCs w:val="14"/>
          <w:color w:val="008000"/>
        </w:rPr>
      </w:pPr>
    </w:p>
    <w:p>
      <w:pPr>
        <w:ind w:left="40" w:right="260" w:firstLine="9"/>
        <w:spacing w:after="0" w:line="278" w:lineRule="auto"/>
        <w:tabs>
          <w:tab w:leader="none" w:pos="17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Of the 4,025,590 shares of common stock as having been disposed of, 3,621,508 were owned by Comcast TKI Holdings, Inc., an indirect, wholly-owned subsidiary of Comcast Corporation, and 404,082 were owned by The Comcast Foundation, a non-stock, non-profit charitable organization that is under common control with Comcast Corporation. Comcast TKI Holdings, Inc. is a direct, wholly-owned subsidiary of Comcast QIH, Inc.; Comcast QIH, Inc. is a direct, wholly-owned subsidiary of Comcast Holdings Corporation; Comcast Corporation owns, directly and indirectly, all of the outstanding capital stock of Comcast Holdings Corporation. Comcast TKI Holdings, Inc. acquired the shares owned by it from Comcast QIH, Inc. in an intra-company transfer on April 5, 2006.</w:t>
      </w:r>
    </w:p>
    <w:p>
      <w:pPr>
        <w:spacing w:after="0" w:line="8" w:lineRule="exact"/>
        <w:rPr>
          <w:rFonts w:ascii="Arial" w:cs="Arial" w:eastAsia="Arial" w:hAnsi="Arial"/>
          <w:sz w:val="12"/>
          <w:szCs w:val="12"/>
          <w:color w:val="008000"/>
        </w:rPr>
      </w:pPr>
    </w:p>
    <w:p>
      <w:pPr>
        <w:ind w:left="40" w:right="12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Comcast Foundation acquired 139,587 and 131,303 shares from Comcast QIH, Inc. on March 21, 2006 and April 5, 2006, respectively, and 133,192 shares from Comcast TKI Holdings, Inc. on July 11, 2006, all of which were charitable gifts.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Reflects the public offering price of $16 per share less the underwriting discounts and commissions.</w:t>
      </w:r>
    </w:p>
    <w:p>
      <w:pPr>
        <w:sectPr>
          <w:pgSz w:w="11900" w:h="16838" w:orient="portrait"/>
          <w:cols w:equalWidth="0" w:num="1">
            <w:col w:w="11420"/>
          </w:cols>
          <w:pgMar w:left="240" w:top="226" w:right="239" w:bottom="49"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Arthur R. Block Sr. VP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2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General Counsel of Comcast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284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22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37"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Arthur R. Block Sr. VP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27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General Counsel of Comcast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2846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659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37"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James P. McCue 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100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31000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of Comcast QIH,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62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962660" cy="8890"/>
                    </a:xfrm>
                    <a:prstGeom prst="rect">
                      <a:avLst/>
                    </a:prstGeom>
                    <a:noFill/>
                  </pic:spPr>
                </pic:pic>
              </a:graphicData>
            </a:graphic>
          </wp:anchor>
        </w:drawing>
      </w:r>
    </w:p>
    <w:p>
      <w:pPr>
        <w:spacing w:after="0" w:line="37"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James P. McCue 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100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31000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of Comcast TKI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6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William E. Dordelman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8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37858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President of The Comcast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550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Foundation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2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rPr>
          <w:sz w:val="20"/>
          <w:szCs w:val="20"/>
          <w:color w:val="auto"/>
        </w:rPr>
      </w:pPr>
      <w:r>
        <w:rPr>
          <w:rFonts w:ascii="Arial" w:cs="Arial" w:eastAsia="Arial" w:hAnsi="Arial"/>
          <w:sz w:val="15"/>
          <w:szCs w:val="15"/>
          <w:color w:val="0000FF"/>
        </w:rPr>
        <w:t>08/16/2006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Arial" w:cs="Arial" w:eastAsia="Arial" w:hAnsi="Arial"/>
          <w:sz w:val="15"/>
          <w:szCs w:val="15"/>
          <w:color w:val="0000FF"/>
        </w:rPr>
        <w:t>08/16/2006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5"/>
          <w:szCs w:val="15"/>
          <w:color w:val="0000FF"/>
        </w:rPr>
        <w:t>08/16/2006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4"/>
          <w:szCs w:val="24"/>
          <w:color w:val="auto"/>
        </w:rPr>
      </w:pPr>
    </w:p>
    <w:p>
      <w:pPr>
        <w:spacing w:after="0"/>
        <w:rPr>
          <w:sz w:val="20"/>
          <w:szCs w:val="20"/>
          <w:color w:val="auto"/>
        </w:rPr>
      </w:pPr>
      <w:r>
        <w:rPr>
          <w:rFonts w:ascii="Arial" w:cs="Arial" w:eastAsia="Arial" w:hAnsi="Arial"/>
          <w:sz w:val="15"/>
          <w:szCs w:val="15"/>
          <w:color w:val="0000FF"/>
        </w:rPr>
        <w:t>08/16/2006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5"/>
          <w:szCs w:val="15"/>
          <w:color w:val="0000FF"/>
        </w:rPr>
        <w:t>08/16/2006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01"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60" w:space="100"/>
            <w:col w:w="2260"/>
          </w:cols>
          <w:pgMar w:left="240" w:top="226" w:right="239" w:bottom="49"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49"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Filer Information</w:t>
      </w:r>
    </w:p>
    <w:p>
      <w:pPr>
        <w:spacing w:after="0" w:line="23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Comcast Holdings Corporation, Comcast QIH, Inc., Comcast TKI Holdings, Inc. and The Comcast Foundation have designated Comcast Corporation as their “Designated Filer” for the purposes of the attached Form 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Issuer and Ticker Symbol: The Knot, Inc. (KNOT)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of Event Requiring Statement: August 15,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88265</wp:posOffset>
            </wp:positionV>
            <wp:extent cx="23755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5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By: Arthur R. Block, as</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authorized signatory for Comcast Holdings Corporation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Signature: /s/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88265</wp:posOffset>
            </wp:positionV>
            <wp:extent cx="23755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5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By: James P. McCue, as</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authorized signatory for Comcast QIH,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Signature: /s/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88265</wp:posOffset>
            </wp:positionV>
            <wp:extent cx="23755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5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By: James P. McCue, as</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authorized signatory for Comcast TKI Holdings,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Signature: /s/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88265</wp:posOffset>
            </wp:positionV>
            <wp:extent cx="23755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5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By: William E. Dordelman, as</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authorized signatory for The Comcast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12" Type="http://schemas.openxmlformats.org/officeDocument/2006/relationships/hyperlink" Target="http://www.sec.gov/cgi-bin/browse-edgar?action=getcompany&amp;CIK=0001166691" TargetMode="External"/><Relationship Id="rId13" Type="http://schemas.openxmlformats.org/officeDocument/2006/relationships/hyperlink" Target="http://www.sec.gov/cgi-bin/browse-edgar?action=getcompany&amp;CIK=0001062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2019-12-15T05:12:48Z</dcterms:created>
  <dcterms:modified xsi:type="dcterms:W3CDTF">2019-12-15T05:12:48Z</dcterms:modified>
</cp:coreProperties>
</file>