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23, 2026 </w:t>
      </w:r>
    </w:p>
    <w:tbl>
      <w:tblPr>
        <w:tblW w:w="8678" w:type="dxa"/>
        <w:jc w:val="center"/>
        <w:tblInd w:w="0" w:type="dxa"/>
        <w:tblLayout w:type="fixed"/>
        <w:tblCellMar>
          <w:top w:w="28" w:type="dxa"/>
          <w:left w:w="28" w:type="dxa"/>
          <w:bottom w:w="28" w:type="dxa"/>
          <w:right w:w="28" w:type="dxa"/>
        </w:tblCellMar>
      </w:tblPr>
      <w:tblGrid>
        <w:gridCol w:w="593"/>
        <w:gridCol w:w="519"/>
        <w:gridCol w:w="520"/>
        <w:gridCol w:w="427"/>
        <w:gridCol w:w="427"/>
        <w:gridCol w:w="436"/>
        <w:gridCol w:w="536"/>
        <w:gridCol w:w="536"/>
        <w:gridCol w:w="536"/>
        <w:gridCol w:w="536"/>
        <w:gridCol w:w="536"/>
        <w:gridCol w:w="542"/>
        <w:gridCol w:w="740"/>
        <w:gridCol w:w="740"/>
        <w:gridCol w:w="1054"/>
      </w:tblGrid>
      <w:tr>
        <w:trPr/>
        <w:tc>
          <w:tcPr>
            <w:tcW w:w="5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Comcast 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001-32871</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27-0000798</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Comcast Center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Philadelphia,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19103-2838</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(215) 286-1700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64" w:before="0" w:after="20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10205" w:type="dxa"/>
        <w:jc w:val="center"/>
        <w:tblInd w:w="0" w:type="dxa"/>
        <w:tblLayout w:type="fixed"/>
        <w:tblCellMar>
          <w:top w:w="28" w:type="dxa"/>
          <w:left w:w="28" w:type="dxa"/>
          <w:bottom w:w="28" w:type="dxa"/>
          <w:right w:w="28" w:type="dxa"/>
        </w:tblCellMar>
      </w:tblPr>
      <w:tblGrid>
        <w:gridCol w:w="1423"/>
        <w:gridCol w:w="1230"/>
        <w:gridCol w:w="1230"/>
        <w:gridCol w:w="259"/>
        <w:gridCol w:w="259"/>
        <w:gridCol w:w="259"/>
        <w:gridCol w:w="473"/>
        <w:gridCol w:w="466"/>
        <w:gridCol w:w="462"/>
        <w:gridCol w:w="259"/>
        <w:gridCol w:w="259"/>
        <w:gridCol w:w="259"/>
        <w:gridCol w:w="983"/>
        <w:gridCol w:w="983"/>
        <w:gridCol w:w="1401"/>
      </w:tblGrid>
      <w:tr>
        <w:trPr/>
        <w:tc>
          <w:tcPr>
            <w:tcW w:w="14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CMCSA</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 Notes due 2026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2027</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CMCS27</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Notes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0.750% Notes due 2032</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 Notes due 2032</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 Notes due 2036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 Notes due 2036</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1.250% Notes due 2040</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 Notes due 2040</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CMCS40A</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 Notes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CCGBP29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Exchangeable Subordinated Debentures due 2029</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CCZ</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4" w:before="0" w:after="0"/>
        <w:jc w:val="left"/>
        <w:rPr>
          <w:color w:val="000000"/>
        </w:rPr>
      </w:pPr>
      <w:r>
        <w:rPr>
          <w:color w:val="000000"/>
        </w:rPr>
        <w:t> </w:t>
      </w:r>
    </w:p>
    <w:p>
      <w:pPr>
        <w:pStyle w:val="TextBody"/>
        <w:bidi w:val="0"/>
        <w:spacing w:lineRule="auto" w:line="264"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23, 2026, Comcast Corporation (“Comcast”) issued a press release reporting the results of its operations for the three and six months ended June 30, 2026.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pStyle w:val="TextBody"/>
        <w:bidi w:val="0"/>
        <w:spacing w:before="180" w:after="283"/>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Exhibits</w:t>
      </w:r>
    </w:p>
    <w:tbl>
      <w:tblPr>
        <w:tblW w:w="9063" w:type="dxa"/>
        <w:jc w:val="left"/>
        <w:tblInd w:w="0" w:type="dxa"/>
        <w:tblLayout w:type="fixed"/>
        <w:tblCellMar>
          <w:top w:w="28" w:type="dxa"/>
          <w:left w:w="28" w:type="dxa"/>
          <w:bottom w:w="28" w:type="dxa"/>
          <w:right w:w="28" w:type="dxa"/>
        </w:tblCellMar>
      </w:tblPr>
      <w:tblGrid>
        <w:gridCol w:w="124"/>
        <w:gridCol w:w="109"/>
        <w:gridCol w:w="109"/>
        <w:gridCol w:w="489"/>
        <w:gridCol w:w="489"/>
        <w:gridCol w:w="491"/>
        <w:gridCol w:w="109"/>
        <w:gridCol w:w="109"/>
        <w:gridCol w:w="109"/>
        <w:gridCol w:w="1361"/>
        <w:gridCol w:w="1361"/>
        <w:gridCol w:w="1365"/>
        <w:gridCol w:w="411"/>
        <w:gridCol w:w="411"/>
        <w:gridCol w:w="411"/>
        <w:gridCol w:w="411"/>
        <w:gridCol w:w="411"/>
        <w:gridCol w:w="41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630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991-6302026.htm">
              <w:r>
                <w:rPr>
                  <w:rStyle w:val="InternetLink"/>
                  <w:rFonts w:ascii="Times New Roman;serif" w:hAnsi="Times New Roman;serif"/>
                  <w:b w:val="false"/>
                  <w:color w:val="000080"/>
                  <w:sz w:val="20"/>
                  <w:u w:val="single"/>
                </w:rPr>
                <w:t xml:space="preserve">Comcast Corporation press release dated </w:t>
              </w:r>
            </w:hyperlink>
            <w:hyperlink w:anchor="ex991-6302026.htm">
              <w:r>
                <w:rPr>
                  <w:rStyle w:val="InternetLink"/>
                  <w:rFonts w:ascii="Times New Roman;serif" w:hAnsi="Times New Roman;serif"/>
                  <w:b w:val="false"/>
                  <w:color w:val="000080"/>
                  <w:sz w:val="20"/>
                  <w:u w:val="single"/>
                </w:rPr>
                <w:t>Ju</w:t>
              </w:r>
            </w:hyperlink>
            <w:hyperlink w:anchor="ex991-6302026.htm">
              <w:r>
                <w:rPr>
                  <w:rStyle w:val="InternetLink"/>
                  <w:rFonts w:ascii="Times New Roman;serif" w:hAnsi="Times New Roman;serif"/>
                  <w:b w:val="false"/>
                  <w:color w:val="000080"/>
                  <w:sz w:val="20"/>
                  <w:u w:val="single"/>
                </w:rPr>
                <w:t>ly</w:t>
              </w:r>
            </w:hyperlink>
            <w:hyperlink w:anchor="ex991-6302026.htm">
              <w:r>
                <w:rPr>
                  <w:rStyle w:val="InternetLink"/>
                  <w:rFonts w:ascii="Times New Roman;serif" w:hAnsi="Times New Roman;serif"/>
                  <w:b w:val="false"/>
                  <w:color w:val="000080"/>
                  <w:sz w:val="20"/>
                  <w:u w:val="single"/>
                </w:rPr>
                <w:t xml:space="preserve"> 23, 2026.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2-6302026.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992-6302026.htm">
              <w:r>
                <w:rPr>
                  <w:rStyle w:val="InternetLink"/>
                  <w:rFonts w:ascii="Times New Roman;serif" w:hAnsi="Times New Roman;serif"/>
                  <w:b w:val="false"/>
                  <w:color w:val="0000FF"/>
                  <w:sz w:val="20"/>
                  <w:u w:val="single"/>
                </w:rPr>
                <w:t>Explanation of Non-GAAP and Other Financial Measures.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86"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210"/>
        <w:gridCol w:w="210"/>
        <w:gridCol w:w="210"/>
        <w:gridCol w:w="645"/>
        <w:gridCol w:w="645"/>
        <w:gridCol w:w="645"/>
        <w:gridCol w:w="645"/>
        <w:gridCol w:w="645"/>
        <w:gridCol w:w="645"/>
        <w:gridCol w:w="489"/>
        <w:gridCol w:w="489"/>
        <w:gridCol w:w="7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0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COMCAST CORPORATION</w:t>
            </w:r>
          </w:p>
        </w:tc>
      </w:tr>
      <w:tr>
        <w:trPr/>
        <w:tc>
          <w:tcPr>
            <w:tcW w:w="1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C. Murdock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C. Murdock</w:t>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67" w:type="dxa"/>
        <w:jc w:val="center"/>
        <w:tblInd w:w="0" w:type="dxa"/>
        <w:tblLayout w:type="fixed"/>
        <w:tblCellMar>
          <w:top w:w="28" w:type="dxa"/>
          <w:left w:w="28" w:type="dxa"/>
          <w:bottom w:w="28" w:type="dxa"/>
          <w:right w:w="28" w:type="dxa"/>
        </w:tblCellMar>
      </w:tblPr>
      <w:tblGrid>
        <w:gridCol w:w="1124"/>
        <w:gridCol w:w="988"/>
        <w:gridCol w:w="989"/>
        <w:gridCol w:w="109"/>
        <w:gridCol w:w="109"/>
        <w:gridCol w:w="109"/>
        <w:gridCol w:w="597"/>
        <w:gridCol w:w="597"/>
        <w:gridCol w:w="84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000000"/>
              </w:rPr>
              <w:t>          </w:t>
            </w:r>
            <w:r>
              <w:rPr/>
              <w:drawing>
                <wp:inline distT="0" distB="0" distL="0" distR="0">
                  <wp:extent cx="1524000"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600075"/>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PRESS RELEASE</w:t>
            </w:r>
          </w:p>
        </w:tc>
      </w:tr>
    </w:tbl>
    <w:p>
      <w:pPr>
        <w:pStyle w:val="TextBody"/>
        <w:bidi w:val="0"/>
        <w:spacing w:lineRule="auto" w:line="288" w:before="0" w:after="100"/>
        <w:jc w:val="center"/>
        <w:rPr>
          <w:rFonts w:ascii="Helvetica;sans-serif" w:hAnsi="Helvetica;sans-serif"/>
          <w:b/>
          <w:color w:val="000000"/>
          <w:sz w:val="24"/>
        </w:rPr>
      </w:pPr>
      <w:r>
        <w:rPr>
          <w:rFonts w:ascii="Helvetica;sans-serif" w:hAnsi="Helvetica;sans-serif"/>
          <w:b/>
          <w:color w:val="000000"/>
          <w:sz w:val="24"/>
        </w:rPr>
        <w:t>COMCAST REPORTS 2nd QUARTER 2026 RESULTS</w:t>
      </w:r>
    </w:p>
    <w:p>
      <w:pPr>
        <w:pStyle w:val="TextBody"/>
        <w:bidi w:val="0"/>
        <w:spacing w:lineRule="auto" w:line="288" w:before="0" w:after="100"/>
        <w:jc w:val="both"/>
        <w:rPr>
          <w:rFonts w:ascii="Helvetica;sans-serif" w:hAnsi="Helvetica;sans-serif"/>
          <w:b w:val="false"/>
          <w:color w:val="000000"/>
          <w:sz w:val="20"/>
        </w:rPr>
      </w:pPr>
      <w:r>
        <w:rPr>
          <w:rFonts w:ascii="Helvetica;sans-serif" w:hAnsi="Helvetica;sans-serif"/>
          <w:b w:val="false"/>
          <w:color w:val="000000"/>
          <w:sz w:val="20"/>
        </w:rPr>
        <w:t>PHILADELPHIA - July 23, 2026… Comcast Corporation (NASDAQ: CMCSA) today reported results for the quarter ended June 30, 2026.</w:t>
      </w:r>
    </w:p>
    <w:p>
      <w:pPr>
        <w:pStyle w:val="TextBody"/>
        <w:bidi w:val="0"/>
        <w:spacing w:lineRule="auto" w:line="268" w:before="0" w:after="0"/>
        <w:jc w:val="both"/>
        <w:rPr/>
      </w:pPr>
      <w:r>
        <w:rPr>
          <w:color w:val="000000"/>
        </w:rPr>
        <w:t>“</w:t>
      </w:r>
      <w:r>
        <w:rPr>
          <w:rFonts w:ascii="Helvetica;sans-serif" w:hAnsi="Helvetica;sans-serif"/>
          <w:b w:val="false"/>
          <w:i/>
          <w:color w:val="000000"/>
          <w:sz w:val="20"/>
        </w:rPr>
        <w:t>Second quarter results show continued progress against our strategic priorities,</w:t>
      </w:r>
      <w:r>
        <w:rPr>
          <w:rFonts w:ascii="Helvetica;sans-serif" w:hAnsi="Helvetica;sans-serif"/>
          <w:b w:val="false"/>
          <w:color w:val="000000"/>
          <w:sz w:val="20"/>
        </w:rPr>
        <w:t>" said Brian L. Roberts and Mike Cavanagh, co-CEOs of Comcast Corporation. "</w:t>
      </w:r>
      <w:r>
        <w:rPr>
          <w:rFonts w:ascii="Helvetica;sans-serif" w:hAnsi="Helvetica;sans-serif"/>
          <w:b w:val="false"/>
          <w:i/>
          <w:color w:val="000000"/>
          <w:sz w:val="20"/>
        </w:rPr>
        <w:t>In Connectivity &amp; Platforms, our strategic pivot in broadband is gaining traction, and we are seeing that progress extend across the broader connectivity portfolio. We delivered our best wireless quarter ever, surpassing 10 million total lines, while penetration remains below 7% of addressable wireless lines in our footprint - giving us substantial runway to deepen convergence and grow customer relationships. Business Services also continued its industry-leading growth, reinforcing the strength and breadth of our portfolio. Within Content &amp; Experiences, Media delivered mid-single digit EBITDA growth and Peacock reached profitability for the first time, supported by a broad slate of sports, entertainment and major live events that drove strong engagement across our platforms. Our Studios continued to perform at a high level across franchises, animation, originals and specialty titles, capped by the recent success of The Odyssey. While we are seeing some near-term softness in Theme Parks, we remain confident in the long-term opportunity, supported by our world-class brands, attractive locations and proven ability to create attractions and experiences that drive real consumer demand. Across the company, we generated $4.6 billion of free cash flow, returned $2.1 billion to shareholders and announced our intention to separate NBCUniversal and Sky - an important step toward creating two focused companies with the financial strength and flexibility to pursue their respective growth strategies</w:t>
      </w:r>
      <w:r>
        <w:rPr>
          <w:rFonts w:ascii="Helvetica;sans-serif" w:hAnsi="Helvetica;sans-serif"/>
          <w:b w:val="false"/>
          <w:color w:val="000000"/>
          <w:sz w:val="20"/>
        </w:rPr>
        <w:t>."</w:t>
      </w:r>
    </w:p>
    <w:tbl>
      <w:tblPr>
        <w:tblW w:w="6837" w:type="dxa"/>
        <w:jc w:val="left"/>
        <w:tblInd w:w="0" w:type="dxa"/>
        <w:tblLayout w:type="fixed"/>
        <w:tblCellMar>
          <w:top w:w="28" w:type="dxa"/>
          <w:left w:w="28" w:type="dxa"/>
          <w:bottom w:w="28" w:type="dxa"/>
          <w:right w:w="28" w:type="dxa"/>
        </w:tblCellMar>
      </w:tblPr>
      <w:tblGrid>
        <w:gridCol w:w="124"/>
        <w:gridCol w:w="109"/>
        <w:gridCol w:w="109"/>
        <w:gridCol w:w="1053"/>
        <w:gridCol w:w="1053"/>
        <w:gridCol w:w="1059"/>
        <w:gridCol w:w="368"/>
        <w:gridCol w:w="368"/>
        <w:gridCol w:w="156"/>
        <w:gridCol w:w="368"/>
        <w:gridCol w:w="368"/>
        <w:gridCol w:w="156"/>
        <w:gridCol w:w="239"/>
        <w:gridCol w:w="242"/>
        <w:gridCol w:w="36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 except per share data)</w:t>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Consolidated Results</w:t>
            </w:r>
          </w:p>
        </w:tc>
        <w:tc>
          <w:tcPr>
            <w:tcW w:w="892"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92"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2025</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Revenue </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$29,940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$30,313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Pro Forma Revenue</w:t>
            </w:r>
            <w:r>
              <w:rPr>
                <w:rFonts w:ascii="Helvetica;sans-serif" w:hAnsi="Helvetica;sans-serif"/>
                <w:b w:val="false"/>
                <w:i/>
                <w:color w:val="000000"/>
                <w:sz w:val="10"/>
              </w:rPr>
              <w:t>1</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$29,568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$28,249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4.7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DBDBDB"/>
              <w:left w:val="single" w:sz="8" w:space="0" w:color="DBDBDB"/>
            </w:tcBorders>
            <w:shd w:fill="D9D9D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Comcast</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$3,526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$11,123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DBDBDB"/>
            </w:tcBorders>
            <w:shd w:fill="D9D9D6" w:val="clear"/>
            <w:tcMar>
              <w:top w:w="3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Adjusted Net Income</w:t>
            </w:r>
            <w:r>
              <w:rPr>
                <w:rFonts w:ascii="Helvetica;sans-serif" w:hAnsi="Helvetica;sans-serif"/>
                <w:b w:val="false"/>
                <w:color w:val="000000"/>
                <w:sz w:val="10"/>
              </w:rPr>
              <w:t>2</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$3,710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Adjusted EBITDA</w:t>
            </w:r>
            <w:r>
              <w:rPr>
                <w:rFonts w:ascii="Helvetica;sans-serif" w:hAnsi="Helvetica;sans-serif"/>
                <w:b w:val="false"/>
                <w:color w:val="000000"/>
                <w:sz w:val="10"/>
              </w:rPr>
              <w:t>3</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$8,902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$10,283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Pro Forma Adjusted EBITDA</w:t>
            </w:r>
            <w:r>
              <w:rPr>
                <w:rFonts w:ascii="Helvetica;sans-serif" w:hAnsi="Helvetica;sans-serif"/>
                <w:b w:val="false"/>
                <w:i/>
                <w:color w:val="000000"/>
                <w:sz w:val="10"/>
              </w:rPr>
              <w:t>1</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$8,923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$9,423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(5.3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Earnings per Share</w:t>
            </w:r>
            <w:r>
              <w:rPr>
                <w:rFonts w:ascii="Helvetica;sans-serif" w:hAnsi="Helvetica;sans-serif"/>
                <w:b w:val="false"/>
                <w:color w:val="000000"/>
                <w:sz w:val="10"/>
              </w:rPr>
              <w:t>4</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Adjusted Earnings per Share</w:t>
            </w:r>
            <w:r>
              <w:rPr>
                <w:rFonts w:ascii="Helvetica;sans-serif" w:hAnsi="Helvetica;sans-serif"/>
                <w:b w:val="false"/>
                <w:color w:val="000000"/>
                <w:sz w:val="10"/>
              </w:rPr>
              <w:t>2</w:t>
            </w:r>
            <w:r>
              <w:rPr>
                <w:color w:val="000000"/>
              </w:rPr>
              <w:t xml:space="preserve"> </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Operating Activities</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$8,092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$7,815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Free Cash Flow</w:t>
            </w:r>
            <w:r>
              <w:rPr>
                <w:rFonts w:ascii="Helvetica;sans-serif" w:hAnsi="Helvetica;sans-serif"/>
                <w:b w:val="false"/>
                <w:color w:val="000000"/>
                <w:sz w:val="10"/>
              </w:rPr>
              <w:t>5</w:t>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$4,604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$4,501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6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Helvetica;sans-serif" w:hAnsi="Helvetica;sans-serif"/>
          <w:b w:val="false"/>
          <w:color w:val="000000"/>
          <w:sz w:val="16"/>
        </w:rPr>
      </w:pPr>
      <w:r>
        <w:rPr>
          <w:rFonts w:ascii="Helvetica;sans-serif" w:hAnsi="Helvetica;sans-serif"/>
          <w:b w:val="false"/>
          <w:color w:val="000000"/>
          <w:sz w:val="16"/>
        </w:rPr>
        <w:t xml:space="preserve">For additional detail on segment revenue and expenses, customer metrics, capital expenditures, and free cash flow, please refer to the trending schedule on Comcast’s Investor Relations website at www.cmcsa.com. </w:t>
      </w:r>
    </w:p>
    <w:p>
      <w:pPr>
        <w:pStyle w:val="TextBody"/>
        <w:bidi w:val="0"/>
        <w:spacing w:lineRule="auto" w:line="288" w:before="0" w:after="20"/>
        <w:jc w:val="both"/>
        <w:rPr>
          <w:rFonts w:ascii="Helvetica;sans-serif" w:hAnsi="Helvetica;sans-serif"/>
          <w:b/>
          <w:color w:val="000000"/>
          <w:sz w:val="20"/>
        </w:rPr>
      </w:pPr>
      <w:r>
        <w:rPr>
          <w:rFonts w:ascii="Helvetica;sans-serif" w:hAnsi="Helvetica;sans-serif"/>
          <w:b/>
          <w:color w:val="000000"/>
          <w:sz w:val="20"/>
        </w:rPr>
        <w:t>2nd Quarter 2026 Highlights:</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Generated Consolidated Adjusted EBITDA of $8.9 Billion, Adjusted EPS of $1.04 and Free Cash Flow of $4.6 Billion</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Returned $2.1 Billion to Shareholders Through a Combination of $1.2 Billion in Dividend Payments and $900 Million in Share Repurchases</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Continued to Gain Traction with Our New Go-to-Market Strategy Reflected by Domestic Residential Broadband Customer Net Losses Improving by 34,000 Year-over-Year, and Domestic Wireless Customer Line Net Additions of 448,000 - Our Best Quarterly Result on Record; Total Wireless Lines Increased to 10.2 Million, with Penetration at 7% of Total Addressable Wireless Lines in Our Footprint</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 xml:space="preserve">Business Services Connectivity Revenue Increased 3.7% to $2.7 Billion, EBITDA Increased 5.0% to $1.5 Billion and EBITDA Margin Was 56.7% </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Peacock Achieved Quarterly Profitability for the First Time Ever with EBITDA of $189 Million, Increasing $290 Million Year-over-Year; Paid Subscribers Increased by 2 Million Net Additions in the Quarter to 48 Million, Driven by NBA Playoffs, FIFA World Cup and Love Island USA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w:t>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 xml:space="preserve">Studios EBITDA Increased $141 Million Year-over-Year Driven by the Successful Theatrical Performances of </w:t>
      </w:r>
      <w:r>
        <w:rPr>
          <w:rFonts w:ascii="Helvetica;sans-serif" w:hAnsi="Helvetica;sans-serif"/>
          <w:b w:val="false"/>
          <w:i/>
          <w:color w:val="000000"/>
          <w:sz w:val="20"/>
        </w:rPr>
        <w:t>The Super Mario Galaxy Movie</w:t>
      </w:r>
      <w:r>
        <w:rPr>
          <w:rFonts w:ascii="Helvetica;sans-serif" w:hAnsi="Helvetica;sans-serif"/>
          <w:b w:val="false"/>
          <w:color w:val="000000"/>
          <w:sz w:val="20"/>
        </w:rPr>
        <w:t xml:space="preserve">, </w:t>
      </w:r>
      <w:r>
        <w:rPr>
          <w:rFonts w:ascii="Helvetica;sans-serif" w:hAnsi="Helvetica;sans-serif"/>
          <w:b w:val="false"/>
          <w:i/>
          <w:color w:val="000000"/>
          <w:sz w:val="20"/>
        </w:rPr>
        <w:t>Obsession</w:t>
      </w:r>
      <w:r>
        <w:rPr>
          <w:color w:val="000000"/>
        </w:rPr>
        <w:t xml:space="preserve"> </w:t>
      </w:r>
      <w:r>
        <w:rPr>
          <w:rFonts w:ascii="Helvetica;sans-serif" w:hAnsi="Helvetica;sans-serif"/>
          <w:b w:val="false"/>
          <w:color w:val="000000"/>
          <w:sz w:val="20"/>
        </w:rPr>
        <w:t xml:space="preserve">and the International Distribution of </w:t>
      </w:r>
      <w:r>
        <w:rPr>
          <w:rFonts w:ascii="Helvetica;sans-serif" w:hAnsi="Helvetica;sans-serif"/>
          <w:b w:val="false"/>
          <w:i/>
          <w:color w:val="000000"/>
          <w:sz w:val="20"/>
        </w:rPr>
        <w:t>Michael</w:t>
      </w:r>
      <w:r>
        <w:rPr>
          <w:rFonts w:ascii="Helvetica;sans-serif" w:hAnsi="Helvetica;sans-serif"/>
          <w:b w:val="false"/>
          <w:color w:val="000000"/>
          <w:sz w:val="20"/>
        </w:rPr>
        <w:t xml:space="preserve">; </w:t>
      </w:r>
      <w:r>
        <w:rPr>
          <w:rFonts w:ascii="Helvetica;sans-serif" w:hAnsi="Helvetica;sans-serif"/>
          <w:b w:val="false"/>
          <w:i/>
          <w:color w:val="000000"/>
          <w:sz w:val="20"/>
        </w:rPr>
        <w:t>The Super Mario Galaxy Movie</w:t>
      </w:r>
      <w:r>
        <w:rPr>
          <w:color w:val="000000"/>
        </w:rPr>
        <w:t xml:space="preserve"> </w:t>
      </w:r>
      <w:r>
        <w:rPr>
          <w:rFonts w:ascii="Helvetica;sans-serif" w:hAnsi="Helvetica;sans-serif"/>
          <w:b w:val="false"/>
          <w:color w:val="000000"/>
          <w:sz w:val="20"/>
        </w:rPr>
        <w:t xml:space="preserve">Grossed Over $1 Billion in Worldwide Box Office Year-to-Date, Pushing the Franchise's Cumulative Total Past $2 Billion; </w:t>
      </w:r>
      <w:r>
        <w:rPr>
          <w:rFonts w:ascii="Helvetica;sans-serif" w:hAnsi="Helvetica;sans-serif"/>
          <w:b w:val="false"/>
          <w:i/>
          <w:color w:val="000000"/>
          <w:sz w:val="20"/>
        </w:rPr>
        <w:t>Obsession</w:t>
      </w:r>
      <w:r>
        <w:rPr>
          <w:color w:val="000000"/>
        </w:rPr>
        <w:t xml:space="preserve"> </w:t>
      </w:r>
      <w:r>
        <w:rPr>
          <w:rFonts w:ascii="Helvetica;sans-serif" w:hAnsi="Helvetica;sans-serif"/>
          <w:b w:val="false"/>
          <w:color w:val="000000"/>
          <w:sz w:val="20"/>
        </w:rPr>
        <w:t>Grossed Over $400 Million in Worldwide Box Office Year-to-Date, Becoming Focus Features' Highest-Grossing Film in History</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 xml:space="preserve">FIFA World Cup 2026 Drove Record-Breaking Engagement Across Telemundo and Peacock, with the Top Ten Most-Watched Matches in Spanish Language History </w:t>
      </w:r>
    </w:p>
    <w:p>
      <w:pPr>
        <w:pStyle w:val="TextBody"/>
        <w:bidi w:val="0"/>
        <w:spacing w:lineRule="auto" w:line="288" w:before="0" w:after="60"/>
        <w:ind w:left="0" w:right="0" w:hanging="360"/>
        <w:jc w:val="both"/>
        <w:rPr/>
      </w:pPr>
      <w:r>
        <w:rPr>
          <w:color w:val="000000"/>
        </w:rPr>
        <w:t>•</w:t>
      </w:r>
      <w:r>
        <w:rPr>
          <w:rFonts w:ascii="Helvetica;sans-serif" w:hAnsi="Helvetica;sans-serif"/>
          <w:b w:val="false"/>
          <w:color w:val="000000"/>
          <w:sz w:val="20"/>
        </w:rPr>
        <w:t>Announced the Intention to Separate into Two Publicly Traded Companies Through a Tax-Free Spin-off of NBCUniversal and Sky</w:t>
      </w:r>
    </w:p>
    <w:p>
      <w:pPr>
        <w:pStyle w:val="TextBody"/>
        <w:bidi w:val="0"/>
        <w:spacing w:before="0" w:after="60"/>
        <w:jc w:val="both"/>
        <w:rPr/>
      </w:pPr>
      <w:r>
        <w:rPr/>
      </w:r>
    </w:p>
    <w:p>
      <w:pPr>
        <w:pStyle w:val="TextBody"/>
        <w:bidi w:val="0"/>
        <w:spacing w:lineRule="auto" w:line="288" w:before="0" w:after="60"/>
        <w:jc w:val="both"/>
        <w:rPr>
          <w:rFonts w:ascii="Helvetica;sans-serif" w:hAnsi="Helvetica;sans-serif"/>
          <w:b/>
          <w:color w:val="000000"/>
          <w:sz w:val="24"/>
        </w:rPr>
      </w:pPr>
      <w:r>
        <w:rPr>
          <w:rFonts w:ascii="Helvetica;sans-serif" w:hAnsi="Helvetica;sans-serif"/>
          <w:b/>
          <w:color w:val="000000"/>
          <w:sz w:val="24"/>
        </w:rPr>
        <w:t>2nd Quarter Consolidated Financial Results</w:t>
      </w:r>
    </w:p>
    <w:p>
      <w:pPr>
        <w:pStyle w:val="TextBody"/>
        <w:bidi w:val="0"/>
        <w:spacing w:lineRule="auto" w:line="288" w:before="0" w:after="0"/>
        <w:jc w:val="both"/>
        <w:rPr>
          <w:rFonts w:ascii="Helvetica;sans-serif" w:hAnsi="Helvetica;sans-serif"/>
          <w:b w:val="false"/>
          <w:color w:val="000000"/>
          <w:sz w:val="2"/>
        </w:rPr>
      </w:pPr>
      <w:r>
        <w:rPr>
          <w:rFonts w:ascii="Helvetica;sans-serif" w:hAnsi="Helvetica;sans-serif"/>
          <w:b w:val="false"/>
          <w:color w:val="000000"/>
          <w:sz w:val="2"/>
        </w:rPr>
        <w:t>\</w:t>
      </w:r>
    </w:p>
    <w:p>
      <w:pPr>
        <w:pStyle w:val="TextBody"/>
        <w:bidi w:val="0"/>
        <w:spacing w:lineRule="auto" w:line="276" w:before="0" w:after="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decreased 1.2%</w:t>
      </w:r>
      <w:r>
        <w:rPr>
          <w:color w:val="EE2724"/>
        </w:rPr>
        <w:t xml:space="preserve"> </w:t>
      </w:r>
      <w:r>
        <w:rPr>
          <w:rFonts w:ascii="Helvetica;sans-serif" w:hAnsi="Helvetica;sans-serif"/>
          <w:b w:val="false"/>
          <w:color w:val="000000"/>
          <w:sz w:val="20"/>
        </w:rPr>
        <w:t xml:space="preserve">compared to the prior year period. </w:t>
      </w:r>
      <w:r>
        <w:rPr>
          <w:rFonts w:ascii="Helvetica;sans-serif" w:hAnsi="Helvetica;sans-serif"/>
          <w:b/>
          <w:color w:val="000000"/>
          <w:sz w:val="20"/>
        </w:rPr>
        <w:t>Net Income Attributable to Comcast</w:t>
      </w:r>
      <w:r>
        <w:rPr>
          <w:color w:val="000000"/>
        </w:rPr>
        <w:t xml:space="preserve"> </w:t>
      </w:r>
      <w:r>
        <w:rPr>
          <w:rFonts w:ascii="Helvetica;sans-serif" w:hAnsi="Helvetica;sans-serif"/>
          <w:b w:val="false"/>
          <w:color w:val="000000"/>
          <w:sz w:val="20"/>
        </w:rPr>
        <w:t xml:space="preserve">was $3.5 billion, compared to $11.1 billion in the prior year period, which included a </w:t>
      </w:r>
      <w:r>
        <w:rPr>
          <w:rFonts w:ascii="Helvetica;sans-serif" w:hAnsi="Helvetica;sans-serif"/>
          <w:b w:val="false"/>
          <w:color w:val="000000"/>
          <w:sz w:val="20"/>
          <w:shd w:fill="FFFFFF" w:val="clear"/>
        </w:rPr>
        <w:t>$9.4 billion</w:t>
      </w:r>
      <w:r>
        <w:rPr>
          <w:color w:val="000000"/>
        </w:rPr>
        <w:t xml:space="preserve"> </w:t>
      </w:r>
      <w:r>
        <w:rPr>
          <w:rFonts w:ascii="Helvetica;sans-serif" w:hAnsi="Helvetica;sans-serif"/>
          <w:b w:val="false"/>
          <w:color w:val="000000"/>
          <w:sz w:val="20"/>
        </w:rPr>
        <w:t xml:space="preserve">gain from the sale of our interest in Hulu. </w:t>
      </w:r>
      <w:r>
        <w:rPr>
          <w:rFonts w:ascii="Helvetica;sans-serif" w:hAnsi="Helvetica;sans-serif"/>
          <w:b/>
          <w:color w:val="000000"/>
          <w:sz w:val="20"/>
        </w:rPr>
        <w:t>Adjusted Net Income</w:t>
      </w:r>
      <w:r>
        <w:rPr>
          <w:color w:val="000000"/>
        </w:rPr>
        <w:t xml:space="preserve"> </w:t>
      </w:r>
      <w:r>
        <w:rPr>
          <w:rFonts w:ascii="Helvetica;sans-serif" w:hAnsi="Helvetica;sans-serif"/>
          <w:b w:val="false"/>
          <w:color w:val="000000"/>
          <w:sz w:val="20"/>
        </w:rPr>
        <w:t xml:space="preserve">decreased 20.3%. </w:t>
      </w:r>
      <w:r>
        <w:rPr>
          <w:rFonts w:ascii="Helvetica;sans-serif" w:hAnsi="Helvetica;sans-serif"/>
          <w:b/>
          <w:color w:val="000000"/>
          <w:sz w:val="20"/>
        </w:rPr>
        <w:t>Adjusted EBITDA</w:t>
      </w:r>
      <w:r>
        <w:rPr>
          <w:color w:val="000000"/>
        </w:rPr>
        <w:t xml:space="preserve"> </w:t>
      </w:r>
      <w:r>
        <w:rPr>
          <w:rFonts w:ascii="Helvetica;sans-serif" w:hAnsi="Helvetica;sans-serif"/>
          <w:b w:val="false"/>
          <w:color w:val="000000"/>
          <w:sz w:val="20"/>
        </w:rPr>
        <w:t xml:space="preserve">decreased 13.4%. </w:t>
      </w:r>
      <w:r>
        <w:rPr>
          <w:rFonts w:ascii="Helvetica;sans-serif" w:hAnsi="Helvetica;sans-serif"/>
          <w:b/>
          <w:color w:val="000000"/>
          <w:sz w:val="20"/>
        </w:rPr>
        <w:t>On a pro forma basis</w:t>
      </w:r>
      <w:r>
        <w:rPr>
          <w:color w:val="000000"/>
        </w:rPr>
        <w:t xml:space="preserve"> </w:t>
      </w:r>
      <w:r>
        <w:rPr>
          <w:rFonts w:ascii="Helvetica;sans-serif" w:hAnsi="Helvetica;sans-serif"/>
          <w:b w:val="false"/>
          <w:color w:val="000000"/>
          <w:sz w:val="20"/>
        </w:rPr>
        <w:t>to reflect the Versant separation, which was completed on January 2, 2026, and the sale of our Sky operations in Germany, which was completed on May 31, 2026, revenue increased 4.7% and Adjusted EBITDA decreased 5.3%.</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Earnings per Share (EPS)</w:t>
      </w:r>
      <w:r>
        <w:rPr>
          <w:color w:val="000000"/>
        </w:rPr>
        <w:t xml:space="preserve"> </w:t>
      </w:r>
      <w:r>
        <w:rPr>
          <w:rFonts w:ascii="Helvetica;sans-serif" w:hAnsi="Helvetica;sans-serif"/>
          <w:b w:val="false"/>
          <w:color w:val="000000"/>
          <w:sz w:val="20"/>
        </w:rPr>
        <w:t xml:space="preserve">decreased 66.9% to $0.99. </w:t>
      </w:r>
      <w:r>
        <w:rPr>
          <w:rFonts w:ascii="Helvetica;sans-serif" w:hAnsi="Helvetica;sans-serif"/>
          <w:b/>
          <w:i/>
          <w:color w:val="000000"/>
          <w:sz w:val="20"/>
        </w:rPr>
        <w:t>Adjusted EPS</w:t>
      </w:r>
      <w:r>
        <w:rPr>
          <w:color w:val="000000"/>
        </w:rPr>
        <w:t xml:space="preserve"> </w:t>
      </w:r>
      <w:r>
        <w:rPr>
          <w:rFonts w:ascii="Helvetica;sans-serif" w:hAnsi="Helvetica;sans-serif"/>
          <w:b w:val="false"/>
          <w:color w:val="000000"/>
          <w:sz w:val="20"/>
        </w:rPr>
        <w:t>decreased 16.7%</w:t>
      </w:r>
      <w:r>
        <w:rPr>
          <w:color w:val="EE2724"/>
        </w:rPr>
        <w:t xml:space="preserve"> </w:t>
      </w:r>
      <w:r>
        <w:rPr>
          <w:rFonts w:ascii="Helvetica;sans-serif" w:hAnsi="Helvetica;sans-serif"/>
          <w:b w:val="false"/>
          <w:color w:val="000000"/>
          <w:sz w:val="20"/>
        </w:rPr>
        <w:t>to $1.04</w:t>
      </w:r>
      <w:r>
        <w:rPr>
          <w:rFonts w:ascii="Helvetica;sans-serif" w:hAnsi="Helvetica;sans-serif"/>
          <w:b w:val="false"/>
          <w:color w:val="242424"/>
          <w:sz w:val="20"/>
        </w:rPr>
        <w:t xml:space="preserve">. </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Capital Expenditures</w:t>
      </w:r>
      <w:r>
        <w:rPr>
          <w:color w:val="000000"/>
        </w:rPr>
        <w:t xml:space="preserve"> </w:t>
      </w:r>
      <w:r>
        <w:rPr>
          <w:rFonts w:ascii="Helvetica;sans-serif" w:hAnsi="Helvetica;sans-serif"/>
          <w:b w:val="false"/>
          <w:color w:val="000000"/>
          <w:sz w:val="20"/>
        </w:rPr>
        <w:t xml:space="preserve">increased 8.3% to </w:t>
      </w:r>
      <w:r>
        <w:rPr>
          <w:rFonts w:ascii="Helvetica;sans-serif" w:hAnsi="Helvetica;sans-serif"/>
          <w:b w:val="false"/>
          <w:color w:val="000000"/>
          <w:sz w:val="20"/>
          <w:shd w:fill="FFFFFF" w:val="clear"/>
        </w:rPr>
        <w:t>$2.9 billion</w:t>
      </w:r>
      <w:r>
        <w:rPr>
          <w:rFonts w:ascii="Helvetica;sans-serif" w:hAnsi="Helvetica;sans-serif"/>
          <w:b w:val="false"/>
          <w:color w:val="000000"/>
          <w:sz w:val="20"/>
        </w:rPr>
        <w:t xml:space="preserve">. Connectivity &amp; Platforms’ capital expenditures increased 19.9% to </w:t>
      </w:r>
      <w:r>
        <w:rPr>
          <w:rFonts w:ascii="Helvetica;sans-serif" w:hAnsi="Helvetica;sans-serif"/>
          <w:b w:val="false"/>
          <w:color w:val="000000"/>
          <w:sz w:val="20"/>
          <w:shd w:fill="FFFFFF" w:val="clear"/>
        </w:rPr>
        <w:t>$2.3 billion</w:t>
      </w:r>
      <w:r>
        <w:rPr>
          <w:rFonts w:ascii="Helvetica;sans-serif" w:hAnsi="Helvetica;sans-serif"/>
          <w:b w:val="false"/>
          <w:color w:val="000000"/>
          <w:sz w:val="20"/>
        </w:rPr>
        <w:t>, primarily reflecting higher spending on scalable infrastructure and customer premise equipment. Content &amp; Experiences' capital expenditures decreased 20.4% to $584 million, primarily reflecting the opening of Epic Universe in May 2025.</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 xml:space="preserve">Net Cash Provided by Operating Activities </w:t>
      </w:r>
      <w:r>
        <w:rPr>
          <w:rFonts w:ascii="Helvetica;sans-serif" w:hAnsi="Helvetica;sans-serif"/>
          <w:b w:val="false"/>
          <w:color w:val="000000"/>
          <w:sz w:val="20"/>
        </w:rPr>
        <w:t>was $8.1 billion.</w:t>
      </w:r>
      <w:r>
        <w:rPr>
          <w:color w:val="000000"/>
        </w:rPr>
        <w:t xml:space="preserve"> </w:t>
      </w:r>
      <w:r>
        <w:rPr>
          <w:rFonts w:ascii="Helvetica;sans-serif" w:hAnsi="Helvetica;sans-serif"/>
          <w:b/>
          <w:i/>
          <w:color w:val="000000"/>
          <w:sz w:val="20"/>
        </w:rPr>
        <w:t>Free Cash Flow</w:t>
      </w:r>
      <w:r>
        <w:rPr>
          <w:color w:val="000000"/>
        </w:rPr>
        <w:t xml:space="preserve"> </w:t>
      </w:r>
      <w:r>
        <w:rPr>
          <w:rFonts w:ascii="Helvetica;sans-serif" w:hAnsi="Helvetica;sans-serif"/>
          <w:b w:val="false"/>
          <w:color w:val="000000"/>
          <w:sz w:val="20"/>
        </w:rPr>
        <w:t>was $4.6 billion.</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Dividends and Share Repurchases.</w:t>
      </w:r>
      <w:r>
        <w:rPr>
          <w:color w:val="000000"/>
        </w:rPr>
        <w:t xml:space="preserve"> </w:t>
      </w:r>
      <w:r>
        <w:rPr>
          <w:rFonts w:ascii="Helvetica;sans-serif" w:hAnsi="Helvetica;sans-serif"/>
          <w:b w:val="false"/>
          <w:color w:val="000000"/>
          <w:sz w:val="20"/>
        </w:rPr>
        <w:t>Comcast paid dividends totaling $1.2 billion and repurchased 33.8 million of its shares for $900 million, resulting in a total return of capital to shareholders of $2.1 billion. On June 29, 2026, Comcast announced it would pause its share repurchase program as it works through the separation of its businesses into two independent publicly traded companies.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Connectivity &amp; Platforms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28" w:type="dxa"/>
        <w:jc w:val="left"/>
        <w:tblInd w:w="0" w:type="dxa"/>
        <w:tblLayout w:type="fixed"/>
        <w:tblCellMar>
          <w:top w:w="28" w:type="dxa"/>
          <w:left w:w="28" w:type="dxa"/>
          <w:bottom w:w="28" w:type="dxa"/>
          <w:right w:w="28" w:type="dxa"/>
        </w:tblCellMar>
      </w:tblPr>
      <w:tblGrid>
        <w:gridCol w:w="124"/>
        <w:gridCol w:w="109"/>
        <w:gridCol w:w="109"/>
        <w:gridCol w:w="1510"/>
        <w:gridCol w:w="1510"/>
        <w:gridCol w:w="1525"/>
        <w:gridCol w:w="210"/>
        <w:gridCol w:w="211"/>
        <w:gridCol w:w="375"/>
        <w:gridCol w:w="210"/>
        <w:gridCol w:w="211"/>
        <w:gridCol w:w="377"/>
        <w:gridCol w:w="216"/>
        <w:gridCol w:w="217"/>
        <w:gridCol w:w="407"/>
        <w:gridCol w:w="195"/>
        <w:gridCol w:w="196"/>
        <w:gridCol w:w="45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rPr>
              <w:t>7</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84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798"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84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Revenue</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$17,124</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$17,839</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40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2,671</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2,575</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w:t>
            </w:r>
          </w:p>
        </w:tc>
        <w:tc>
          <w:tcPr>
            <w:tcW w:w="40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Revenue</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$19,795</w:t>
            </w:r>
          </w:p>
        </w:tc>
        <w:tc>
          <w:tcPr>
            <w:tcW w:w="798"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$20,414</w:t>
            </w:r>
          </w:p>
        </w:tc>
        <w:tc>
          <w:tcPr>
            <w:tcW w:w="433"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(3.0</w:t>
            </w:r>
          </w:p>
        </w:tc>
        <w:tc>
          <w:tcPr>
            <w:tcW w:w="40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(3.2</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Adjusted EBITDA</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$6,448</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$7,006</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w:t>
            </w:r>
          </w:p>
        </w:tc>
        <w:tc>
          <w:tcPr>
            <w:tcW w:w="40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1,516</w:t>
            </w:r>
          </w:p>
        </w:tc>
        <w:tc>
          <w:tcPr>
            <w:tcW w:w="798"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1,444</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w:t>
            </w:r>
          </w:p>
        </w:tc>
        <w:tc>
          <w:tcPr>
            <w:tcW w:w="40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Adjusted EBITDA</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$7,964</w:t>
            </w:r>
          </w:p>
        </w:tc>
        <w:tc>
          <w:tcPr>
            <w:tcW w:w="798"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$8,450</w:t>
            </w:r>
          </w:p>
        </w:tc>
        <w:tc>
          <w:tcPr>
            <w:tcW w:w="433"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(5.7</w:t>
            </w:r>
          </w:p>
        </w:tc>
        <w:tc>
          <w:tcPr>
            <w:tcW w:w="40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(5.8</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Adjusted EBITDA Margin</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37.7</w:t>
            </w:r>
          </w:p>
        </w:tc>
        <w:tc>
          <w:tcPr>
            <w:tcW w:w="37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39.3</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(160) bps</w:t>
            </w:r>
          </w:p>
        </w:tc>
        <w:tc>
          <w:tcPr>
            <w:tcW w:w="8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56.7</w:t>
            </w:r>
          </w:p>
        </w:tc>
        <w:tc>
          <w:tcPr>
            <w:tcW w:w="37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bps</w:t>
            </w:r>
          </w:p>
        </w:tc>
        <w:tc>
          <w:tcPr>
            <w:tcW w:w="8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Adjusted EBITDA Margin</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40.2</w:t>
            </w:r>
          </w:p>
        </w:tc>
        <w:tc>
          <w:tcPr>
            <w:tcW w:w="375"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41.4</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40"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(120) bps</w:t>
            </w:r>
          </w:p>
        </w:tc>
        <w:tc>
          <w:tcPr>
            <w:tcW w:w="845"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The changes in Adjusted EBITDA margins are presented as year/year basis point changes in the rounded Adjusted EBITDA margins.</w:t>
      </w:r>
    </w:p>
    <w:p>
      <w:pPr>
        <w:pStyle w:val="TextBody"/>
        <w:bidi w:val="0"/>
        <w:spacing w:before="0" w:after="40"/>
        <w:jc w:val="both"/>
        <w:rPr/>
      </w:pPr>
      <w:r>
        <w:rPr/>
      </w:r>
    </w:p>
    <w:p>
      <w:pPr>
        <w:pStyle w:val="TextBody"/>
        <w:bidi w:val="0"/>
        <w:spacing w:lineRule="auto" w:line="256"/>
        <w:jc w:val="both"/>
        <w:rPr/>
      </w:pPr>
      <w:r>
        <w:rPr>
          <w:rFonts w:ascii="Helvetica;sans-serif" w:hAnsi="Helvetica;sans-serif"/>
          <w:b/>
          <w:i/>
          <w:color w:val="000000"/>
          <w:sz w:val="20"/>
        </w:rPr>
        <w:t xml:space="preserve">Revenue </w:t>
      </w:r>
      <w:r>
        <w:rPr>
          <w:rFonts w:ascii="Helvetica;sans-serif" w:hAnsi="Helvetica;sans-serif"/>
          <w:b w:val="false"/>
          <w:color w:val="000000"/>
          <w:sz w:val="20"/>
        </w:rPr>
        <w:t xml:space="preserve">for Connectivity &amp; Platforms decreased compared to the prior year period. </w:t>
      </w:r>
      <w:r>
        <w:rPr>
          <w:rFonts w:ascii="Helvetica;sans-serif" w:hAnsi="Helvetica;sans-serif"/>
          <w:b/>
          <w:i/>
          <w:color w:val="000000"/>
          <w:sz w:val="20"/>
        </w:rPr>
        <w:t xml:space="preserve">Adjusted EBITDA </w:t>
      </w:r>
      <w:r>
        <w:rPr>
          <w:rFonts w:ascii="Helvetica;sans-serif" w:hAnsi="Helvetica;sans-serif"/>
          <w:b w:val="false"/>
          <w:color w:val="000000"/>
          <w:sz w:val="20"/>
        </w:rPr>
        <w:t xml:space="preserve">decreased due to a decline in Residential Connectivity &amp; Platforms, partially offset by growth in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w:t>
                      </w:r>
                    </w:p>
                  </w:txbxContent>
                </v:textbox>
                <w10:wrap type="none"/>
              </v:rect>
            </w:pict>
          </mc:Fallback>
        </mc:AlternateContent>
      </w:r>
    </w:p>
    <w:p>
      <w:pPr>
        <w:pStyle w:val="TextBody"/>
        <w:bidi w:val="0"/>
        <w:spacing w:lineRule="auto" w:line="256" w:before="0" w:after="0"/>
        <w:jc w:val="both"/>
        <w:rPr/>
      </w:pPr>
      <w:r>
        <w:rPr>
          <w:rFonts w:ascii="Helvetica;sans-serif" w:hAnsi="Helvetica;sans-serif"/>
          <w:b w:val="false"/>
          <w:color w:val="000000"/>
          <w:sz w:val="20"/>
        </w:rPr>
        <w:t xml:space="preserve">Services Connectivity. Residential Connectivity &amp; Platforms revenue and Adjusted EBITDA reflect the investment in our new go-to-market strategy.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was 40.2%.</w:t>
      </w:r>
    </w:p>
    <w:p>
      <w:pPr>
        <w:pStyle w:val="TextBody"/>
        <w:bidi w:val="0"/>
        <w:spacing w:before="0" w:after="0"/>
        <w:jc w:val="both"/>
        <w:rPr/>
      </w:pPr>
      <w:r>
        <w:rPr/>
      </w:r>
    </w:p>
    <w:tbl>
      <w:tblPr>
        <w:tblW w:w="9823" w:type="dxa"/>
        <w:jc w:val="left"/>
        <w:tblInd w:w="0" w:type="dxa"/>
        <w:tblLayout w:type="fixed"/>
        <w:tblCellMar>
          <w:top w:w="28" w:type="dxa"/>
          <w:left w:w="28" w:type="dxa"/>
          <w:bottom w:w="28" w:type="dxa"/>
          <w:right w:w="28" w:type="dxa"/>
        </w:tblCellMar>
      </w:tblPr>
      <w:tblGrid>
        <w:gridCol w:w="124"/>
        <w:gridCol w:w="109"/>
        <w:gridCol w:w="109"/>
        <w:gridCol w:w="1829"/>
        <w:gridCol w:w="1829"/>
        <w:gridCol w:w="1847"/>
        <w:gridCol w:w="199"/>
        <w:gridCol w:w="199"/>
        <w:gridCol w:w="203"/>
        <w:gridCol w:w="199"/>
        <w:gridCol w:w="199"/>
        <w:gridCol w:w="203"/>
        <w:gridCol w:w="109"/>
        <w:gridCol w:w="308"/>
        <w:gridCol w:w="308"/>
        <w:gridCol w:w="308"/>
        <w:gridCol w:w="308"/>
        <w:gridCol w:w="308"/>
        <w:gridCol w:w="317"/>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(in thousands)</w:t>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6"/>
            <w:vMerge w:val="restart"/>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Net Additions / (Losses)</w:t>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6"/>
            <w:vMerge w:val="continue"/>
            <w:tcBorders/>
            <w:shd w:fill="D9D9D6" w:val="clear"/>
            <w:tcMar>
              <w:top w:w="0" w:type="dxa"/>
              <w:left w:w="0" w:type="dxa"/>
              <w:bottom w:w="0" w:type="dxa"/>
              <w:right w:w="0" w:type="dxa"/>
            </w:tcMar>
            <w:vAlign w:val="center"/>
          </w:tcPr>
          <w:p>
            <w:pPr>
              <w:pStyle w:val="Normal"/>
              <w:bidi w:val="0"/>
              <w:jc w:val="left"/>
              <w:rPr/>
            </w:pPr>
            <w:r>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gridSpan w:val="6"/>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2Q26</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2Q25</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933"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Residential Connectivity &amp; Platforms Customer Relationships</w:t>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Residential Connectivity &amp; Platforms Customer Relationships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30,179</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30,746</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(166)</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(223)</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International Residential Connectivity &amp; Platforms Customer Relationships</w:t>
            </w:r>
            <w:r>
              <w:rPr>
                <w:rFonts w:ascii="Helvetica;sans-serif" w:hAnsi="Helvetica;sans-serif"/>
                <w:b w:val="false"/>
                <w:color w:val="000000"/>
                <w:sz w:val="10"/>
              </w:rPr>
              <w:t>8</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17,539</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17,573</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Total Residential Connectivity &amp; Platforms Customer Relationships</w:t>
            </w:r>
            <w:r>
              <w:rPr>
                <w:rFonts w:ascii="Helvetica;sans-serif" w:hAnsi="Helvetica;sans-serif"/>
                <w:b/>
                <w:color w:val="000000"/>
                <w:sz w:val="10"/>
              </w:rPr>
              <w:t>8</w:t>
            </w:r>
          </w:p>
        </w:tc>
        <w:tc>
          <w:tcPr>
            <w:tcW w:w="601" w:type="dxa"/>
            <w:gridSpan w:val="3"/>
            <w:tcBorders>
              <w:top w:val="single" w:sz="8"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47,718</w:t>
            </w:r>
          </w:p>
        </w:tc>
        <w:tc>
          <w:tcPr>
            <w:tcW w:w="601" w:type="dxa"/>
            <w:gridSpan w:val="3"/>
            <w:tcBorders>
              <w:top w:val="single" w:sz="8"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48,318</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(230)</w:t>
            </w:r>
          </w:p>
        </w:tc>
        <w:tc>
          <w:tcPr>
            <w:tcW w:w="30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(325)</w:t>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Broadband Residential Customers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28,486</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28,989</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(167)</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(201)</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Wireless Lines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10,187</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8,527</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448</w:t>
            </w:r>
            <w:r>
              <w:rPr>
                <w:color w:val="000000"/>
              </w:rPr>
              <w:t> </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378</w:t>
            </w:r>
            <w:r>
              <w:rPr>
                <w:color w:val="000000"/>
              </w:rPr>
              <w:t> </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Video Customers</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10,668</w:t>
            </w:r>
          </w:p>
        </w:tc>
        <w:tc>
          <w:tcPr>
            <w:tcW w:w="601"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11,771</w:t>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(280)</w:t>
            </w:r>
          </w:p>
        </w:tc>
        <w:tc>
          <w:tcPr>
            <w:tcW w:w="308"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(325)</w:t>
            </w:r>
          </w:p>
        </w:tc>
        <w:tc>
          <w:tcPr>
            <w:tcW w:w="317"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05"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Total Customer Relationships</w:t>
      </w:r>
      <w:r>
        <w:rPr>
          <w:color w:val="000000"/>
        </w:rPr>
        <w:t xml:space="preserve"> </w:t>
      </w:r>
      <w:r>
        <w:rPr>
          <w:rFonts w:ascii="Helvetica;sans-serif" w:hAnsi="Helvetica;sans-serif"/>
          <w:b w:val="false"/>
          <w:color w:val="000000"/>
          <w:sz w:val="20"/>
        </w:rPr>
        <w:t>for Residential Connectivity &amp; Platforms decreased by 230,000 to 47.7 million, reflecting a decrease in domestic and international residential customer relationships. Total domestic broadband residential customer net losses were 167,000, total domestic wireless line net additions were 448,000 and total domestic video customer net losses were 280,000.</w:t>
      </w:r>
    </w:p>
    <w:p>
      <w:pPr>
        <w:pStyle w:val="TextBody"/>
        <w:bidi w:val="0"/>
        <w:spacing w:before="0" w:after="0"/>
        <w:jc w:val="both"/>
        <w:rPr/>
      </w:pPr>
      <w:r>
        <w:rPr/>
      </w:r>
    </w:p>
    <w:p>
      <w:pPr>
        <w:pStyle w:val="TextBody"/>
        <w:bidi w:val="0"/>
        <w:spacing w:lineRule="auto" w:line="256" w:before="0" w:after="0"/>
        <w:jc w:val="both"/>
        <w:rPr>
          <w:rFonts w:ascii="Helvetica;sans-serif" w:hAnsi="Helvetica;sans-serif"/>
          <w:b/>
          <w:color w:val="000000"/>
          <w:sz w:val="20"/>
        </w:rPr>
      </w:pPr>
      <w:r>
        <w:rPr>
          <w:rFonts w:ascii="Helvetica;sans-serif" w:hAnsi="Helvetica;sans-serif"/>
          <w:b/>
          <w:color w:val="000000"/>
          <w:sz w:val="20"/>
        </w:rPr>
        <w:t>Residential Connectivity &amp; Platforms</w:t>
      </w:r>
    </w:p>
    <w:p>
      <w:pPr>
        <w:pStyle w:val="TextBody"/>
        <w:bidi w:val="0"/>
        <w:spacing w:before="0" w:after="0"/>
        <w:jc w:val="both"/>
        <w:rPr/>
      </w:pPr>
      <w:r>
        <w:rPr/>
      </w:r>
    </w:p>
    <w:tbl>
      <w:tblPr>
        <w:tblW w:w="7158" w:type="dxa"/>
        <w:jc w:val="left"/>
        <w:tblInd w:w="0" w:type="dxa"/>
        <w:tblLayout w:type="fixed"/>
        <w:tblCellMar>
          <w:top w:w="28" w:type="dxa"/>
          <w:left w:w="28" w:type="dxa"/>
          <w:bottom w:w="28" w:type="dxa"/>
          <w:right w:w="28" w:type="dxa"/>
        </w:tblCellMar>
      </w:tblPr>
      <w:tblGrid>
        <w:gridCol w:w="124"/>
        <w:gridCol w:w="109"/>
        <w:gridCol w:w="109"/>
        <w:gridCol w:w="855"/>
        <w:gridCol w:w="855"/>
        <w:gridCol w:w="825"/>
        <w:gridCol w:w="210"/>
        <w:gridCol w:w="211"/>
        <w:gridCol w:w="375"/>
        <w:gridCol w:w="210"/>
        <w:gridCol w:w="211"/>
        <w:gridCol w:w="353"/>
        <w:gridCol w:w="215"/>
        <w:gridCol w:w="218"/>
        <w:gridCol w:w="377"/>
        <w:gridCol w:w="209"/>
        <w:gridCol w:w="212"/>
        <w:gridCol w:w="45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rPr>
              <w:t>7</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87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774"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6, 9</w:t>
            </w:r>
          </w:p>
        </w:tc>
        <w:tc>
          <w:tcPr>
            <w:tcW w:w="81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875"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Broadband</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$6,280</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$6,649</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Wireless Service</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1,007</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882</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Convergence Revenue</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7,287</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7,530</w:t>
            </w:r>
          </w:p>
        </w:tc>
        <w:tc>
          <w:tcPr>
            <w:tcW w:w="433"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Wireless Equipment</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404</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28.8</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Connectivity</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1,246</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1,219</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Residential Connectivity</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8,937</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9,063</w:t>
            </w:r>
          </w:p>
        </w:tc>
        <w:tc>
          <w:tcPr>
            <w:tcW w:w="433"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Video</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6,092</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6,605</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Advertising</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962</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951</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Other </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1,133</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1,219</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$17,124</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$17,839</w:t>
            </w:r>
          </w:p>
        </w:tc>
        <w:tc>
          <w:tcPr>
            <w:tcW w:w="433"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(4.0</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(4.3</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Operating Expenses</w:t>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Programming</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$3,698</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$3,998</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Non-Programming</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6,977</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6,835</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Operating Expenses</w:t>
            </w:r>
          </w:p>
        </w:tc>
        <w:tc>
          <w:tcPr>
            <w:tcW w:w="79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$10,676</w:t>
            </w:r>
          </w:p>
        </w:tc>
        <w:tc>
          <w:tcPr>
            <w:tcW w:w="774"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$10,834</w:t>
            </w:r>
          </w:p>
        </w:tc>
        <w:tc>
          <w:tcPr>
            <w:tcW w:w="433"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(1.5</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(1.8</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9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$6,448</w:t>
            </w:r>
          </w:p>
        </w:tc>
        <w:tc>
          <w:tcPr>
            <w:tcW w:w="77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$7,006</w:t>
            </w:r>
          </w:p>
        </w:tc>
        <w:tc>
          <w:tcPr>
            <w:tcW w:w="433"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(8.0</w:t>
            </w:r>
          </w:p>
        </w:tc>
        <w:tc>
          <w:tcPr>
            <w:tcW w:w="377"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(8.0</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Adjusted EBITDA Margin</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37.7</w:t>
            </w:r>
          </w:p>
        </w:tc>
        <w:tc>
          <w:tcPr>
            <w:tcW w:w="37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39.3</w:t>
            </w:r>
          </w:p>
        </w:tc>
        <w:tc>
          <w:tcPr>
            <w:tcW w:w="353"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1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(160) bps</w:t>
            </w:r>
          </w:p>
        </w:tc>
        <w:tc>
          <w:tcPr>
            <w:tcW w:w="87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The changes in Adjusted EBITDA margins are presented as year/year basis point changes in the rounded Adjusted EBITDA margins.</w:t>
      </w:r>
    </w:p>
    <w:p>
      <w:pPr>
        <w:pStyle w:val="TextBody"/>
        <w:bidi w:val="0"/>
        <w:spacing w:before="0" w:after="40"/>
        <w:jc w:val="both"/>
        <w:rPr/>
      </w:pPr>
      <w:r>
        <w:rPr/>
      </w:r>
    </w:p>
    <w:p>
      <w:pPr>
        <w:pStyle w:val="TextBody"/>
        <w:bidi w:val="0"/>
        <w:spacing w:lineRule="auto" w:line="268"/>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Residential Connectivity &amp; Platforms decreased compared to the prior year period, reflecting decreases in video, domestic broadband and other revenue, partially offset by increases in domestic wireless service, domestic wireless equipment, international connectivity and advertising revenue. Domestic broadband revenue decreased due to lower average rates and a decline in the number of domestic broadband customers. Domestic wireless service revenue increased due to an increase in the number of customer lines. Domestic wireless equipment revenue increased due to an increase in device sales. International connectivity revenue increased primarily due to an increase in wireless revenue, reflecting higher equipment and services revenue, as well as the positive impact of foreign currency. Video revenue decreased primarily due to a decline in the number of video customers. Advertising revenue increased primarily due to higher domestic political advertising and higher revenue from our advanced advertising business, partially offset by lower domestic nonpolitical advertising and lower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3</w:t>
                      </w:r>
                    </w:p>
                  </w:txbxContent>
                </v:textbox>
                <w10:wrap type="none"/>
              </v:rect>
            </w:pict>
          </mc:Fallback>
        </mc:AlternateConten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international advertising. Other revenue decreased primarily due to lower residential wireline voice revenue, driven by a decline in the number of customers.</w:t>
      </w:r>
    </w:p>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Residential Connectivity &amp; Platforms decreased due to lower revenue, partially offset by lower operating expenses. Programming expenses decreased primarily due to a decline in the number of domestic video customers. Non-programming expenses increased primarily reflecting an increase in direct product costs, mainly due to growth in our domestic wireless business, higher marketing and promotion costs and the impact of foreign currency.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was 37.7%.</w:t>
      </w:r>
    </w:p>
    <w:p>
      <w:pPr>
        <w:pStyle w:val="TextBody"/>
        <w:bidi w:val="0"/>
        <w:spacing w:before="0" w:after="0"/>
        <w:jc w:val="both"/>
        <w:rPr/>
      </w:pPr>
      <w:r>
        <w:rPr/>
      </w:r>
    </w:p>
    <w:p>
      <w:pPr>
        <w:pStyle w:val="TextBody"/>
        <w:bidi w:val="0"/>
        <w:spacing w:lineRule="auto" w:line="256" w:before="0" w:after="0"/>
        <w:jc w:val="both"/>
        <w:rPr>
          <w:rFonts w:ascii="Helvetica;sans-serif" w:hAnsi="Helvetica;sans-serif"/>
          <w:b/>
          <w:color w:val="000000"/>
          <w:sz w:val="20"/>
        </w:rPr>
      </w:pPr>
      <w:r>
        <w:rPr>
          <w:rFonts w:ascii="Helvetica;sans-serif" w:hAnsi="Helvetica;sans-serif"/>
          <w:b/>
          <w:color w:val="000000"/>
          <w:sz w:val="20"/>
        </w:rPr>
        <w:t>Business Services Connectivity</w:t>
      </w:r>
    </w:p>
    <w:p>
      <w:pPr>
        <w:pStyle w:val="TextBody"/>
        <w:bidi w:val="0"/>
        <w:spacing w:before="0" w:after="0"/>
        <w:jc w:val="both"/>
        <w:rPr/>
      </w:pPr>
      <w:r>
        <w:rPr/>
      </w:r>
    </w:p>
    <w:tbl>
      <w:tblPr>
        <w:tblW w:w="6301" w:type="dxa"/>
        <w:jc w:val="left"/>
        <w:tblInd w:w="0" w:type="dxa"/>
        <w:tblLayout w:type="fixed"/>
        <w:tblCellMar>
          <w:top w:w="28" w:type="dxa"/>
          <w:left w:w="28" w:type="dxa"/>
          <w:bottom w:w="28" w:type="dxa"/>
          <w:right w:w="28" w:type="dxa"/>
        </w:tblCellMar>
      </w:tblPr>
      <w:tblGrid>
        <w:gridCol w:w="124"/>
        <w:gridCol w:w="109"/>
        <w:gridCol w:w="109"/>
        <w:gridCol w:w="643"/>
        <w:gridCol w:w="643"/>
        <w:gridCol w:w="618"/>
        <w:gridCol w:w="210"/>
        <w:gridCol w:w="211"/>
        <w:gridCol w:w="325"/>
        <w:gridCol w:w="210"/>
        <w:gridCol w:w="211"/>
        <w:gridCol w:w="325"/>
        <w:gridCol w:w="165"/>
        <w:gridCol w:w="166"/>
        <w:gridCol w:w="366"/>
        <w:gridCol w:w="193"/>
        <w:gridCol w:w="193"/>
        <w:gridCol w:w="45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rPr>
              <w:t>7</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840"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2025</w:t>
            </w:r>
          </w:p>
        </w:tc>
        <w:tc>
          <w:tcPr>
            <w:tcW w:w="69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840" w:type="dxa"/>
            <w:gridSpan w:val="3"/>
            <w:vMerge w:val="continue"/>
            <w:tcBorders/>
            <w:shd w:fill="D9D9D6" w:val="clear"/>
            <w:tcMar>
              <w:top w:w="0" w:type="dxa"/>
              <w:left w:w="0" w:type="dxa"/>
              <w:bottom w:w="0" w:type="dxa"/>
              <w:right w:w="0" w:type="dxa"/>
            </w:tcMar>
            <w:vAlign w:val="center"/>
          </w:tcPr>
          <w:p>
            <w:pPr>
              <w:pStyle w:val="Normal"/>
              <w:bidi w:val="0"/>
              <w:jc w:val="left"/>
              <w:rPr/>
            </w:pPr>
            <w:r>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$2,671</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$2,575</w:t>
            </w:r>
          </w:p>
        </w:tc>
        <w:tc>
          <w:tcPr>
            <w:tcW w:w="33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8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1,155</w:t>
            </w:r>
          </w:p>
        </w:tc>
        <w:tc>
          <w:tcPr>
            <w:tcW w:w="74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1,131</w:t>
            </w:r>
          </w:p>
        </w:tc>
        <w:tc>
          <w:tcPr>
            <w:tcW w:w="33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8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w:t>
            </w:r>
          </w:p>
        </w:tc>
        <w:tc>
          <w:tcPr>
            <w:tcW w:w="454"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4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$1,516</w:t>
            </w:r>
          </w:p>
        </w:tc>
        <w:tc>
          <w:tcPr>
            <w:tcW w:w="746"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$1,444</w:t>
            </w:r>
          </w:p>
        </w:tc>
        <w:tc>
          <w:tcPr>
            <w:tcW w:w="33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5.0</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86"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5.0</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Adjusted EBITDA Margin</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56.7</w:t>
            </w:r>
          </w:p>
        </w:tc>
        <w:tc>
          <w:tcPr>
            <w:tcW w:w="32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w:t>
            </w:r>
          </w:p>
        </w:tc>
        <w:tc>
          <w:tcPr>
            <w:tcW w:w="325"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bps</w:t>
            </w:r>
          </w:p>
        </w:tc>
        <w:tc>
          <w:tcPr>
            <w:tcW w:w="840"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bps</w:t>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The changes in Adjusted EBITDA margins are presented as year/year basis point changes in the rounded Adjusted EBITDA margins.</w:t>
      </w:r>
    </w:p>
    <w:p>
      <w:pPr>
        <w:pStyle w:val="TextBody"/>
        <w:bidi w:val="0"/>
        <w:spacing w:before="0" w:after="40"/>
        <w:jc w:val="both"/>
        <w:rPr/>
      </w:pPr>
      <w:r>
        <w:rPr/>
      </w:r>
    </w:p>
    <w:p>
      <w:pPr>
        <w:pStyle w:val="TextBody"/>
        <w:bidi w:val="0"/>
        <w:spacing w:lineRule="auto" w:line="256"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Business Services Connectivity increased primarily due to an increase in revenue from enterprise solutions offerings.</w:t>
      </w:r>
    </w:p>
    <w:p>
      <w:pPr>
        <w:pStyle w:val="TextBody"/>
        <w:bidi w:val="0"/>
        <w:spacing w:before="0" w:after="0"/>
        <w:jc w:val="both"/>
        <w:rPr/>
      </w:pPr>
      <w:r>
        <w:rPr/>
      </w:r>
    </w:p>
    <w:p>
      <w:pPr>
        <w:pStyle w:val="TextBody"/>
        <w:bidi w:val="0"/>
        <w:spacing w:lineRule="auto" w:line="256"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Business Services Connectivity increased due to higher revenue, partially offset by higher operating expenses. The increase in operating expenses was primarily due to increases in marketing and promotion expenses and direct product costs.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was 56.7%.</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4</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4"/>
        </w:rPr>
      </w:pPr>
      <w:r>
        <w:rPr>
          <w:rFonts w:ascii="Helvetica;sans-serif" w:hAnsi="Helvetica;sans-serif"/>
          <w:b/>
          <w:color w:val="000000"/>
          <w:sz w:val="24"/>
        </w:rPr>
        <w:t>Content &amp; Experiences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48" w:type="dxa"/>
        <w:jc w:val="left"/>
        <w:tblInd w:w="0" w:type="dxa"/>
        <w:tblLayout w:type="fixed"/>
        <w:tblCellMar>
          <w:top w:w="28" w:type="dxa"/>
          <w:left w:w="28" w:type="dxa"/>
          <w:bottom w:w="28" w:type="dxa"/>
          <w:right w:w="28" w:type="dxa"/>
        </w:tblCellMar>
      </w:tblPr>
      <w:tblGrid>
        <w:gridCol w:w="124"/>
        <w:gridCol w:w="109"/>
        <w:gridCol w:w="109"/>
        <w:gridCol w:w="1260"/>
        <w:gridCol w:w="1260"/>
        <w:gridCol w:w="1274"/>
        <w:gridCol w:w="375"/>
        <w:gridCol w:w="376"/>
        <w:gridCol w:w="203"/>
        <w:gridCol w:w="330"/>
        <w:gridCol w:w="331"/>
        <w:gridCol w:w="203"/>
        <w:gridCol w:w="254"/>
        <w:gridCol w:w="257"/>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7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Content &amp; Experiences Revenue</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Media</w:t>
            </w:r>
          </w:p>
        </w:tc>
        <w:tc>
          <w:tcPr>
            <w:tcW w:w="95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$5,691</w:t>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$4,543</w:t>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Excluding FIFA World Cup</w:t>
            </w:r>
            <w:r>
              <w:rPr>
                <w:rFonts w:ascii="Helvetica;sans-serif" w:hAnsi="Helvetica;sans-serif"/>
                <w:b w:val="false"/>
                <w:i/>
                <w:color w:val="000000"/>
                <w:sz w:val="10"/>
              </w:rPr>
              <w:t>10</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5,250 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4,543 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15.6</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Studios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3,040 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2,432 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25.0</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Theme Parks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2,413 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2,349 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Headquarters &amp; Other</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112.4</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Eliminations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(435)</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(604)</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Content &amp; Experiences Revenue</w:t>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$10,728</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$8,730</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22.9</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Content &amp; Experiences Adjusted EBITDA</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Media</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$708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$683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Studios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Theme Parks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609 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641 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Headquarters &amp; Other</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(214)</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(201)</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Eliminations</w:t>
            </w:r>
          </w:p>
        </w:tc>
        <w:tc>
          <w:tcPr>
            <w:tcW w:w="75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Content &amp; Experiences Adjusted EBITDA</w:t>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$1,329</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$1,241</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7.1</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95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94"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i/>
          <w:color w:val="000000"/>
          <w:sz w:val="20"/>
        </w:rPr>
        <w:t xml:space="preserve">Revenue </w:t>
      </w:r>
      <w:r>
        <w:rPr>
          <w:rFonts w:ascii="Helvetica;sans-serif" w:hAnsi="Helvetica;sans-serif"/>
          <w:b w:val="false"/>
          <w:color w:val="000000"/>
          <w:sz w:val="20"/>
        </w:rPr>
        <w:t xml:space="preserve">for Content &amp; Experiences increased compared to the prior year period driven by Media, which included $440 million of incremental revenue from the FIFA World Cup, and Studios. </w:t>
      </w: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Content &amp; Experiences increased primarily due to growth in Studios and Media, partially offset by a decline in Theme Parks.</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color w:val="000000"/>
          <w:sz w:val="20"/>
        </w:rPr>
        <w:t>Media</w:t>
      </w:r>
      <w:r>
        <w:rPr>
          <w:color w:val="000000"/>
        </w:rPr>
        <w:t xml:space="preserve"> </w:t>
      </w:r>
    </w:p>
    <w:p>
      <w:pPr>
        <w:pStyle w:val="TextBody"/>
        <w:bidi w:val="0"/>
        <w:spacing w:before="0" w:after="0"/>
        <w:jc w:val="both"/>
        <w:rPr/>
      </w:pPr>
      <w:r>
        <w:rPr/>
      </w:r>
    </w:p>
    <w:tbl>
      <w:tblPr>
        <w:tblW w:w="5978" w:type="dxa"/>
        <w:jc w:val="left"/>
        <w:tblInd w:w="0" w:type="dxa"/>
        <w:tblLayout w:type="fixed"/>
        <w:tblCellMar>
          <w:top w:w="28" w:type="dxa"/>
          <w:left w:w="28" w:type="dxa"/>
          <w:bottom w:w="28" w:type="dxa"/>
          <w:right w:w="28" w:type="dxa"/>
        </w:tblCellMar>
      </w:tblPr>
      <w:tblGrid>
        <w:gridCol w:w="124"/>
        <w:gridCol w:w="109"/>
        <w:gridCol w:w="109"/>
        <w:gridCol w:w="723"/>
        <w:gridCol w:w="723"/>
        <w:gridCol w:w="698"/>
        <w:gridCol w:w="330"/>
        <w:gridCol w:w="331"/>
        <w:gridCol w:w="203"/>
        <w:gridCol w:w="330"/>
        <w:gridCol w:w="331"/>
        <w:gridCol w:w="203"/>
        <w:gridCol w:w="239"/>
        <w:gridCol w:w="242"/>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6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Advertising</w:t>
            </w:r>
          </w:p>
        </w:tc>
        <w:tc>
          <w:tcPr>
            <w:tcW w:w="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$2,163</w:t>
            </w:r>
          </w:p>
        </w:tc>
        <w:tc>
          <w:tcPr>
            <w:tcW w:w="8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$1,395</w:t>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Excluding FIFA World Cup</w:t>
            </w:r>
            <w:r>
              <w:rPr>
                <w:rFonts w:ascii="Helvetica;sans-serif" w:hAnsi="Helvetica;sans-serif"/>
                <w:b w:val="false"/>
                <w:i/>
                <w:color w:val="000000"/>
                <w:sz w:val="10"/>
              </w:rPr>
              <w:t>10</w:t>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1,723 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1,395 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23.5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Distribution</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1,993 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1,632 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Networks</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1,330 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1,254 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$5,691</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$4,543</w:t>
            </w:r>
            <w:r>
              <w:rPr>
                <w:color w:val="000000"/>
              </w:rPr>
              <w:t> </w:t>
            </w:r>
          </w:p>
        </w:tc>
        <w:tc>
          <w:tcPr>
            <w:tcW w:w="20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25.3</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i/>
                <w:color w:val="000000"/>
                <w:sz w:val="16"/>
              </w:rPr>
              <w:t>Excluding FIFA World Cup</w:t>
            </w:r>
            <w:r>
              <w:rPr>
                <w:rFonts w:ascii="Helvetica;sans-serif" w:hAnsi="Helvetica;sans-serif"/>
                <w:b w:val="false"/>
                <w:i/>
                <w:color w:val="000000"/>
                <w:sz w:val="10"/>
              </w:rPr>
              <w:t>10</w:t>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5,250 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4,543 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15.6</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4,983 </w:t>
            </w:r>
          </w:p>
        </w:tc>
        <w:tc>
          <w:tcPr>
            <w:tcW w:w="203"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3,860 </w:t>
            </w:r>
          </w:p>
        </w:tc>
        <w:tc>
          <w:tcPr>
            <w:tcW w:w="2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29.1</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$708</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$683</w:t>
            </w:r>
            <w:r>
              <w:rPr>
                <w:color w:val="000000"/>
              </w:rPr>
              <w:t> </w:t>
            </w:r>
          </w:p>
        </w:tc>
        <w:tc>
          <w:tcPr>
            <w:tcW w:w="20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Media increased primarily due to higher domestic advertising and domestic distribution revenue. Excluding $440 million of incremental revenue from the FIFA World Cup, Media revenue increased 15.6%. Domestic advertising revenue increased, including the impact of the FIFA World Cup. Excluding the incremental revenue associated with this event, domestic advertising revenue increased reflecting the positive impact of the NBA this quarter and higher revenue at Peacock. Domestic distribution revenue increased primarily due to higher revenue at Peacock, driven by higher average rates and an increase in paid subscribers compared to the prior year period.</w:t>
      </w:r>
    </w:p>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Media increased due to higher revenue partially offset by higher operating expenses. The increase in operating expenses primarily reflects higher programming costs associated with NBA rights and the FIFA World Cup in the current year period. Media results include $1.9 billion of revenue and Adjusted EBITDA</w:t>
      </w:r>
      <w:r>
        <w:rPr>
          <w:rFonts w:ascii="Helvetica;sans-serif" w:hAnsi="Helvetica;sans-serif"/>
          <w:b w:val="false"/>
          <w:color w:val="000000"/>
          <w:sz w:val="13"/>
        </w:rPr>
        <w:t>11</w:t>
      </w:r>
      <w:r>
        <w:rPr>
          <w:color w:val="000000"/>
        </w:rPr>
        <w:t xml:space="preserve"> </w:t>
      </w:r>
      <w:r>
        <w:rPr>
          <w:rFonts w:ascii="Helvetica;sans-serif" w:hAnsi="Helvetica;sans-serif"/>
          <w:b w:val="false"/>
          <w:color w:val="000000"/>
          <w:sz w:val="20"/>
        </w:rPr>
        <w:t>of $189 million related to Peacock, which includes amounts attributable to the FIFA World Cup, compared to $1.2 billion of revenue and an Adjusted EBITDA</w:t>
      </w:r>
      <w:r>
        <w:rPr>
          <w:rFonts w:ascii="Helvetica;sans-serif" w:hAnsi="Helvetica;sans-serif"/>
          <w:b w:val="false"/>
          <w:color w:val="000000"/>
          <w:sz w:val="13"/>
        </w:rPr>
        <w:t>11</w:t>
      </w:r>
      <w:r>
        <w:rPr>
          <w:color w:val="000000"/>
        </w:rPr>
        <w:t xml:space="preserve"> </w:t>
      </w:r>
      <w:r>
        <w:rPr>
          <w:rFonts w:ascii="Helvetica;sans-serif" w:hAnsi="Helvetica;sans-serif"/>
          <w:b w:val="false"/>
          <w:color w:val="000000"/>
          <w:sz w:val="20"/>
        </w:rPr>
        <w:t>loss of $101 million in the prior year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5</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Studios</w:t>
      </w:r>
    </w:p>
    <w:p>
      <w:pPr>
        <w:pStyle w:val="TextBody"/>
        <w:bidi w:val="0"/>
        <w:spacing w:before="0" w:after="0"/>
        <w:jc w:val="both"/>
        <w:rPr/>
      </w:pPr>
      <w:r>
        <w:rPr/>
      </w:r>
    </w:p>
    <w:tbl>
      <w:tblPr>
        <w:tblW w:w="6204" w:type="dxa"/>
        <w:jc w:val="left"/>
        <w:tblInd w:w="0" w:type="dxa"/>
        <w:tblLayout w:type="fixed"/>
        <w:tblCellMar>
          <w:top w:w="28" w:type="dxa"/>
          <w:left w:w="28" w:type="dxa"/>
          <w:bottom w:w="28" w:type="dxa"/>
          <w:right w:w="28" w:type="dxa"/>
        </w:tblCellMar>
      </w:tblPr>
      <w:tblGrid>
        <w:gridCol w:w="124"/>
        <w:gridCol w:w="109"/>
        <w:gridCol w:w="109"/>
        <w:gridCol w:w="813"/>
        <w:gridCol w:w="813"/>
        <w:gridCol w:w="818"/>
        <w:gridCol w:w="330"/>
        <w:gridCol w:w="331"/>
        <w:gridCol w:w="156"/>
        <w:gridCol w:w="330"/>
        <w:gridCol w:w="331"/>
        <w:gridCol w:w="176"/>
        <w:gridCol w:w="239"/>
        <w:gridCol w:w="242"/>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37"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Content Licensing</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$1,805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Theatrical</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284 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343 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$3,040</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$2,432</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25.0</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2,839 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2,372 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$202</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$61</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81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Studios increased due to higher theatrical revenue, driven by the successful performance of recent releases, including </w:t>
      </w:r>
      <w:r>
        <w:rPr>
          <w:rFonts w:ascii="Helvetica;sans-serif" w:hAnsi="Helvetica;sans-serif"/>
          <w:b w:val="false"/>
          <w:i/>
          <w:color w:val="000000"/>
          <w:sz w:val="20"/>
        </w:rPr>
        <w:t>The Super Mario Galaxy Movie</w:t>
      </w:r>
      <w:r>
        <w:rPr>
          <w:rFonts w:ascii="Helvetica;sans-serif" w:hAnsi="Helvetica;sans-serif"/>
          <w:b w:val="false"/>
          <w:color w:val="000000"/>
          <w:sz w:val="20"/>
        </w:rPr>
        <w:t xml:space="preserve">, </w:t>
      </w:r>
      <w:r>
        <w:rPr>
          <w:rFonts w:ascii="Helvetica;sans-serif" w:hAnsi="Helvetica;sans-serif"/>
          <w:b w:val="false"/>
          <w:i/>
          <w:color w:val="000000"/>
          <w:sz w:val="20"/>
        </w:rPr>
        <w:t>Obsession</w:t>
      </w:r>
      <w:r>
        <w:rPr>
          <w:color w:val="000000"/>
        </w:rPr>
        <w:t xml:space="preserve"> </w:t>
      </w:r>
      <w:r>
        <w:rPr>
          <w:rFonts w:ascii="Helvetica;sans-serif" w:hAnsi="Helvetica;sans-serif"/>
          <w:b w:val="false"/>
          <w:color w:val="000000"/>
          <w:sz w:val="20"/>
        </w:rPr>
        <w:t xml:space="preserve">and the international distribution of </w:t>
      </w:r>
      <w:r>
        <w:rPr>
          <w:rFonts w:ascii="Helvetica;sans-serif" w:hAnsi="Helvetica;sans-serif"/>
          <w:b w:val="false"/>
          <w:i/>
          <w:color w:val="000000"/>
          <w:sz w:val="20"/>
        </w:rPr>
        <w:t>Michael</w:t>
      </w:r>
      <w:r>
        <w:rPr>
          <w:rFonts w:ascii="Helvetica;sans-serif" w:hAnsi="Helvetica;sans-serif"/>
          <w:b w:val="false"/>
          <w:color w:val="000000"/>
          <w:sz w:val="20"/>
        </w:rPr>
        <w:t>. Content licensing revenue was consistent as lower content licensing revenue at our film studios was offset by higher content licensing revenue at our television studios.</w:t>
      </w:r>
    </w:p>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Studios increased due to higher revenue, which more than offset higher operating expenses. The higher operating expenses reflected higher programming and production expenses, primarily due to higher costs associated with theatrical releases, as well as higher marketing and promotion expenses primarily due to increased spending on recent and upcoming theatrical releases.</w:t>
      </w:r>
    </w:p>
    <w:p>
      <w:pPr>
        <w:pStyle w:val="TextBody"/>
        <w:bidi w:val="0"/>
        <w:spacing w:before="0" w:after="0"/>
        <w:jc w:val="both"/>
        <w:rPr/>
      </w:pPr>
      <w:r>
        <w:rPr/>
      </w:r>
    </w:p>
    <w:p>
      <w:pPr>
        <w:pStyle w:val="TextBody"/>
        <w:bidi w:val="0"/>
        <w:spacing w:lineRule="auto" w:line="276" w:before="0" w:after="0"/>
        <w:jc w:val="both"/>
        <w:rPr>
          <w:rFonts w:ascii="Helvetica;sans-serif" w:hAnsi="Helvetica;sans-serif"/>
          <w:b/>
          <w:color w:val="000000"/>
          <w:sz w:val="20"/>
        </w:rPr>
      </w:pPr>
      <w:r>
        <w:rPr>
          <w:rFonts w:ascii="Helvetica;sans-serif" w:hAnsi="Helvetica;sans-serif"/>
          <w:b/>
          <w:color w:val="000000"/>
          <w:sz w:val="20"/>
        </w:rPr>
        <w:t>Theme Parks</w:t>
      </w:r>
    </w:p>
    <w:p>
      <w:pPr>
        <w:pStyle w:val="TextBody"/>
        <w:bidi w:val="0"/>
        <w:spacing w:before="0" w:after="0"/>
        <w:jc w:val="both"/>
        <w:rPr/>
      </w:pPr>
      <w:r>
        <w:rPr/>
      </w:r>
    </w:p>
    <w:tbl>
      <w:tblPr>
        <w:tblW w:w="5463" w:type="dxa"/>
        <w:jc w:val="left"/>
        <w:tblInd w:w="0" w:type="dxa"/>
        <w:tblLayout w:type="fixed"/>
        <w:tblCellMar>
          <w:top w:w="28" w:type="dxa"/>
          <w:left w:w="28" w:type="dxa"/>
          <w:bottom w:w="28" w:type="dxa"/>
          <w:right w:w="28" w:type="dxa"/>
        </w:tblCellMar>
      </w:tblPr>
      <w:tblGrid>
        <w:gridCol w:w="124"/>
        <w:gridCol w:w="109"/>
        <w:gridCol w:w="109"/>
        <w:gridCol w:w="542"/>
        <w:gridCol w:w="542"/>
        <w:gridCol w:w="521"/>
        <w:gridCol w:w="323"/>
        <w:gridCol w:w="323"/>
        <w:gridCol w:w="156"/>
        <w:gridCol w:w="323"/>
        <w:gridCol w:w="323"/>
        <w:gridCol w:w="176"/>
        <w:gridCol w:w="194"/>
        <w:gridCol w:w="197"/>
        <w:gridCol w:w="366"/>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22"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75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$2,413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$2,349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1,805 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1,708 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46"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$609</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$641</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(5.1</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Theme Parks increased primarily due to higher revenue at our theme parks in Orlando driven by the successful opening of Epic Universe in May 2025, partially offset by lower revenue at our international parks.</w:t>
      </w:r>
    </w:p>
    <w:p>
      <w:pPr>
        <w:pStyle w:val="TextBody"/>
        <w:bidi w:val="0"/>
        <w:spacing w:before="0" w:after="0"/>
        <w:jc w:val="both"/>
        <w:rPr/>
      </w:pPr>
      <w:r>
        <w:rPr/>
      </w:r>
    </w:p>
    <w:p>
      <w:pPr>
        <w:pStyle w:val="TextBody"/>
        <w:bidi w:val="0"/>
        <w:spacing w:lineRule="auto" w:line="26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Theme Parks decreased, reflecting higher operating expenses, which more than offset higher revenue. The increase in operating expenses was primarily due to operating costs associated with our domestic parks.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Headquarters &amp; Other</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Content &amp; Experiences Headquarters &amp; Other includes overhead, personnel costs and costs associated with corporate initiatives. Headquarters &amp; Other Adjusted EBITDA loss in the second quarter was $214 million, compared to a loss of $201 million in the prior year period.</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Eliminations</w:t>
      </w:r>
    </w:p>
    <w:p>
      <w:pPr>
        <w:pStyle w:val="TextBody"/>
        <w:bidi w:val="0"/>
        <w:spacing w:before="0" w:after="0"/>
        <w:jc w:val="both"/>
        <w:rPr/>
      </w:pPr>
      <w:r>
        <w:rPr/>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Amounts represent eliminations of transactions between our Content &amp; Experiences segments, the most significant being content licensing between the Studios and Media segments, which are affected by the timing of recognition of content licenses. Revenue eliminations were $435 million, compared to $604 million in the prior year period, and Adjusted EBITDA eliminations were a benefit of $25 million, compared to a benefit of $56 million in the prior year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6</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4"/>
        </w:rPr>
      </w:pPr>
      <w:r>
        <w:rPr>
          <w:rFonts w:ascii="Helvetica;sans-serif" w:hAnsi="Helvetica;sans-serif"/>
          <w:b/>
          <w:color w:val="000000"/>
          <w:sz w:val="24"/>
        </w:rPr>
        <w:t>Corporate, Other and Eliminations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D9D9D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483" w:type="dxa"/>
        <w:jc w:val="left"/>
        <w:tblInd w:w="0" w:type="dxa"/>
        <w:tblLayout w:type="fixed"/>
        <w:tblCellMar>
          <w:top w:w="28" w:type="dxa"/>
          <w:left w:w="28" w:type="dxa"/>
          <w:bottom w:w="28" w:type="dxa"/>
          <w:right w:w="28" w:type="dxa"/>
        </w:tblCellMar>
      </w:tblPr>
      <w:tblGrid>
        <w:gridCol w:w="124"/>
        <w:gridCol w:w="109"/>
        <w:gridCol w:w="109"/>
        <w:gridCol w:w="533"/>
        <w:gridCol w:w="533"/>
        <w:gridCol w:w="539"/>
        <w:gridCol w:w="358"/>
        <w:gridCol w:w="362"/>
        <w:gridCol w:w="156"/>
        <w:gridCol w:w="358"/>
        <w:gridCol w:w="362"/>
        <w:gridCol w:w="176"/>
        <w:gridCol w:w="239"/>
        <w:gridCol w:w="242"/>
        <w:gridCol w:w="366"/>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D9D9D6"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2026</w:t>
            </w:r>
          </w:p>
        </w:tc>
        <w:tc>
          <w:tcPr>
            <w:tcW w:w="896" w:type="dxa"/>
            <w:gridSpan w:val="3"/>
            <w:tcBorders/>
            <w:shd w:fill="D9D9D6"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u w:val="single"/>
              </w:rPr>
              <w:t>2025</w:t>
            </w:r>
            <w:r>
              <w:rPr>
                <w:rFonts w:ascii="Helvetica;sans-serif" w:hAnsi="Helvetica;sans-serif"/>
                <w:b w:val="false"/>
                <w:color w:val="000000"/>
                <w:sz w:val="10"/>
              </w:rPr>
              <w:t>6</w:t>
            </w:r>
          </w:p>
        </w:tc>
        <w:tc>
          <w:tcPr>
            <w:tcW w:w="847"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Corporate &amp; Other</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$368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$322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742 </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609 </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21.9</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($374)</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($287)</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(30.2</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Eliminations</w:t>
            </w:r>
          </w:p>
        </w:tc>
        <w:tc>
          <w:tcPr>
            <w:tcW w:w="87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($1,324)</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($1,217)</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(1,327)</w:t>
            </w:r>
          </w:p>
        </w:tc>
        <w:tc>
          <w:tcPr>
            <w:tcW w:w="15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(1,237)</w:t>
            </w:r>
          </w:p>
        </w:tc>
        <w:tc>
          <w:tcPr>
            <w:tcW w:w="176" w:type="dxa"/>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w:t>
            </w:r>
          </w:p>
        </w:tc>
        <w:tc>
          <w:tcPr>
            <w:tcW w:w="366" w:type="dxa"/>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$20</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(83.4</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 xml:space="preserve">Amounts for 2025 exclude the impacts of Versant and our Sky operations in Germany. Amounts for 2026 exclude the impacts of our Sky operations in Germany through the date of sale. See Table 8 for the reconciliation to consolidated results. </w:t>
      </w:r>
    </w:p>
    <w:p>
      <w:pPr>
        <w:pStyle w:val="TextBody"/>
        <w:bidi w:val="0"/>
        <w:spacing w:before="0" w:after="4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Corporate &amp; Other</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Corporate &amp; Other primarily includes overhead and personnel costs; our regional sports networks; and Comcast Spectacor, which owns the Philadelphia Flyers and the Xfinity Mobile Arena in Philadelphia, Pennsylvania. Corporate &amp; Other Adjusted EBITDA decreased primarily reflecting higher costs related to corporate functions and lower revenue associated with our regional sports networks.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Eliminations</w:t>
      </w:r>
    </w:p>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20"/>
        </w:rPr>
      </w:pPr>
      <w:r>
        <w:rPr>
          <w:rFonts w:ascii="Helvetica;sans-serif" w:hAnsi="Helvetica;sans-serif"/>
          <w:b w:val="false"/>
          <w:color w:val="000000"/>
          <w:sz w:val="20"/>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$1.3 billion, compared to $1.2 billion in the prior year period, and Adjusted EBITDA eliminations were a benefit of $3 million compared to a benefit of $20 million in the prior 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7</w:t>
                      </w:r>
                    </w:p>
                  </w:txbxContent>
                </v:textbox>
                <w10:wrap type="none"/>
              </v:rect>
            </w:pict>
          </mc:Fallback>
        </mc:AlternateConten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D9D9D6"/>
            </w:tcBorders>
            <w:tcMar>
              <w:top w:w="3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color w:val="000000"/>
                <w:sz w:val="20"/>
              </w:rPr>
            </w:pPr>
            <w:r>
              <w:rPr>
                <w:rFonts w:ascii="Helvetica;sans-serif" w:hAnsi="Helvetica;sans-serif"/>
                <w:b/>
                <w:color w:val="000000"/>
                <w:sz w:val="20"/>
              </w:rPr>
              <w:t>Notes:</w:t>
            </w:r>
          </w:p>
        </w:tc>
      </w:tr>
    </w:tbl>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1Certain financial information is presented on a pro forma basis in connection with the separation of Versant, which was completed on January 2, 2026 (the “Versant Separation”), and the sale of our Sky operations in Germany, which was completed on May 31, 2026 (the "Sale"). The pro forma financial measures are non-GAAP financial measures and are presented as if the Versant Separation and the Sale had both occurred on January 1, 2024. The pro forma information is primarily based on historical results of operations and includes pro forma adjustments in accordance with Article 11 of Regulation S-X that are directly attributable to the Versant Separation and the Sale. For the Versant Separation, this includes adjustments related to the commercial services agreement for the sale and use of Versant’s advertising and promotional inventory. This pro forma information is not necessarily indicative of future results. See Table 8 for reconciliations of non-GAAP financial measures.</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2We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3We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4All earnings per share amounts are presented on a diluted basis.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5We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 </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6Beginning in the first quarter of 2026, we updated the composition of our segments to align with the segment-level information that is regularly provided to our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Content &amp; Experiences Headquarters &amp; Other; and (5) adjusting the Media segment and Versant for the effects of our commercial services agreement. Prior periods have been reclassified to reflect the current year presentation.</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7Constant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8Residential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all periods have been recast on a comparable basis.</w:t>
      </w:r>
    </w:p>
    <w:p>
      <w:pPr>
        <w:pStyle w:val="TextBody"/>
        <w:bidi w:val="0"/>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9Beginning in the first quarter of 2026, commission revenue from the sale of certain direct to consumer (“DTC”) streaming services is presented in domestic broadband revenue or video revenue based on whether a customer is entitled to receive the DTC streaming service through a broadband or video service offering. Domestic broadband revenue also includes revenue from streaming devices available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8</w:t>
                      </w:r>
                    </w:p>
                  </w:txbxContent>
                </v:textbox>
                <w10:wrap type="none"/>
              </v:rect>
            </w:pict>
          </mc:Fallback>
        </mc:AlternateConten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our broadband customers. Previously, all of these amounts were in video revenue. Prior periods have been reclassified to reflect the current year presentation.</w:t>
      </w:r>
    </w:p>
    <w:p>
      <w:pPr>
        <w:pStyle w:val="TextBody"/>
        <w:bidi w:val="0"/>
        <w:spacing w:lineRule="auto" w:line="288" w:before="0" w:after="180"/>
        <w:ind w:left="0" w:right="0" w:hanging="270"/>
        <w:jc w:val="both"/>
        <w:rPr>
          <w:rFonts w:ascii="Helvetica;sans-serif" w:hAnsi="Helvetica;sans-serif"/>
          <w:b w:val="false"/>
          <w:color w:val="000000"/>
          <w:sz w:val="20"/>
        </w:rPr>
      </w:pPr>
      <w:r>
        <w:rPr>
          <w:rFonts w:ascii="Helvetica;sans-serif" w:hAnsi="Helvetica;sans-serif"/>
          <w:b w:val="false"/>
          <w:color w:val="000000"/>
          <w:sz w:val="20"/>
        </w:rPr>
        <w:t>10From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pStyle w:val="TextBody"/>
        <w:bidi w:val="0"/>
        <w:spacing w:lineRule="auto" w:line="288" w:before="0" w:after="180"/>
        <w:ind w:left="0" w:right="0" w:hanging="270"/>
        <w:jc w:val="both"/>
        <w:rPr>
          <w:rFonts w:ascii="Helvetica;sans-serif" w:hAnsi="Helvetica;sans-serif"/>
          <w:b w:val="false"/>
          <w:color w:val="000000"/>
          <w:sz w:val="20"/>
        </w:rPr>
      </w:pPr>
      <w:r>
        <w:rPr>
          <w:rFonts w:ascii="Helvetica;sans-serif" w:hAnsi="Helvetica;sans-serif"/>
          <w:b w:val="false"/>
          <w:color w:val="000000"/>
          <w:sz w:val="20"/>
        </w:rPr>
        <w:t>11Adjusted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presented on a consistent basis with the respective segments and disaggregated in accordance with GAAP.</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pStyle w:val="TextBody"/>
        <w:bidi w:val="0"/>
        <w:spacing w:lineRule="auto" w:line="288" w:before="0" w:after="180"/>
        <w:jc w:val="both"/>
        <w:rPr>
          <w:rFonts w:ascii="Helvetica;sans-serif" w:hAnsi="Helvetica;sans-serif"/>
          <w:b/>
          <w:color w:val="000000"/>
          <w:sz w:val="18"/>
        </w:rPr>
      </w:pPr>
      <w:r>
        <w:rPr>
          <w:rFonts w:ascii="Helvetica;sans-serif" w:hAnsi="Helvetica;sans-serif"/>
          <w:b/>
          <w:color w:val="000000"/>
          <w:sz w:val="18"/>
        </w:rPr>
        <w:t>Conference Call and Other Information</w:t>
      </w:r>
    </w:p>
    <w:p>
      <w:pPr>
        <w:pStyle w:val="TextBody"/>
        <w:bidi w:val="0"/>
        <w:spacing w:lineRule="auto" w:line="288" w:before="0" w:after="0"/>
        <w:jc w:val="both"/>
        <w:rPr/>
      </w:pPr>
      <w:r>
        <w:rPr>
          <w:rFonts w:ascii="Helvetica;sans-serif" w:hAnsi="Helvetica;sans-serif"/>
          <w:b w:val="false"/>
          <w:color w:val="000000"/>
          <w:sz w:val="18"/>
        </w:rPr>
        <w:t xml:space="preserve">Comcast Corporation will host a conference call with the financial community today, July 23, 2026, at 8:30 a.m. Eastern Time (ET). The conference call and related materials will be broadcast live and posted on our Investor Relations website at </w:t>
      </w:r>
      <w:r>
        <w:rPr>
          <w:rFonts w:ascii="Helvetica;sans-serif" w:hAnsi="Helvetica;sans-serif"/>
          <w:b w:val="false"/>
          <w:color w:val="0000FF"/>
          <w:sz w:val="18"/>
          <w:u w:val="single"/>
        </w:rPr>
        <w:t>www.cmcsa.com</w:t>
      </w:r>
      <w:r>
        <w:rPr>
          <w:rFonts w:ascii="Helvetica;sans-serif" w:hAnsi="Helvetica;sans-serif"/>
          <w:b w:val="false"/>
          <w:color w:val="000000"/>
          <w:sz w:val="18"/>
        </w:rPr>
        <w:t>. A replay of the call will be available today, July 23, 2026, starting at 11:30 a.m. ET on the Investor Relations website.</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From time to time, we post information that may be of interest to investors on our website at </w:t>
      </w:r>
      <w:r>
        <w:rPr>
          <w:rFonts w:ascii="Helvetica;sans-serif" w:hAnsi="Helvetica;sans-serif"/>
          <w:b w:val="false"/>
          <w:color w:val="0000FF"/>
          <w:sz w:val="18"/>
          <w:u w:val="single"/>
        </w:rPr>
        <w:t>www.cmcsa.com</w:t>
      </w:r>
      <w:r>
        <w:rPr>
          <w:color w:val="000000"/>
        </w:rPr>
        <w:t xml:space="preserve"> </w:t>
      </w:r>
      <w:r>
        <w:rPr>
          <w:rFonts w:ascii="Helvetica;sans-serif" w:hAnsi="Helvetica;sans-serif"/>
          <w:b w:val="false"/>
          <w:color w:val="000000"/>
          <w:sz w:val="18"/>
        </w:rPr>
        <w:t xml:space="preserve">and on our corporate website, </w:t>
      </w:r>
      <w:r>
        <w:rPr>
          <w:rFonts w:ascii="Helvetica;sans-serif" w:hAnsi="Helvetica;sans-serif"/>
          <w:b w:val="false"/>
          <w:color w:val="0000FF"/>
          <w:sz w:val="18"/>
          <w:u w:val="single"/>
        </w:rPr>
        <w:t>www.comcastcorporation.com</w:t>
      </w:r>
      <w:r>
        <w:rPr>
          <w:rFonts w:ascii="Helvetica;sans-serif" w:hAnsi="Helvetica;sans-serif"/>
          <w:b w:val="false"/>
          <w:color w:val="000000"/>
          <w:sz w:val="18"/>
        </w:rPr>
        <w:t xml:space="preserve">. To automatically receive Comcast financial news by email, please visit </w:t>
      </w:r>
      <w:r>
        <w:rPr>
          <w:rFonts w:ascii="Helvetica;sans-serif" w:hAnsi="Helvetica;sans-serif"/>
          <w:b w:val="false"/>
          <w:color w:val="0000FF"/>
          <w:sz w:val="18"/>
          <w:u w:val="single"/>
        </w:rPr>
        <w:t>www.cmcsa.com</w:t>
      </w:r>
      <w:r>
        <w:rPr>
          <w:color w:val="000000"/>
        </w:rPr>
        <w:t xml:space="preserve"> </w:t>
      </w:r>
      <w:r>
        <w:rPr>
          <w:rFonts w:ascii="Helvetica;sans-serif" w:hAnsi="Helvetica;sans-serif"/>
          <w:b w:val="false"/>
          <w:color w:val="000000"/>
          <w:sz w:val="18"/>
        </w:rPr>
        <w:t>and subscribe to email alerts.</w:t>
      </w:r>
    </w:p>
    <w:p>
      <w:pPr>
        <w:pStyle w:val="TextBody"/>
        <w:bidi w:val="0"/>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tbl>
      <w:tblPr>
        <w:tblW w:w="8979" w:type="dxa"/>
        <w:jc w:val="center"/>
        <w:tblInd w:w="0" w:type="dxa"/>
        <w:tblLayout w:type="fixed"/>
        <w:tblCellMar>
          <w:top w:w="28" w:type="dxa"/>
          <w:left w:w="28" w:type="dxa"/>
          <w:bottom w:w="28" w:type="dxa"/>
          <w:right w:w="28" w:type="dxa"/>
        </w:tblCellMar>
      </w:tblPr>
      <w:tblGrid>
        <w:gridCol w:w="619"/>
        <w:gridCol w:w="545"/>
        <w:gridCol w:w="546"/>
        <w:gridCol w:w="884"/>
        <w:gridCol w:w="884"/>
        <w:gridCol w:w="886"/>
        <w:gridCol w:w="109"/>
        <w:gridCol w:w="109"/>
        <w:gridCol w:w="109"/>
        <w:gridCol w:w="499"/>
        <w:gridCol w:w="499"/>
        <w:gridCol w:w="501"/>
        <w:gridCol w:w="816"/>
        <w:gridCol w:w="816"/>
        <w:gridCol w:w="1157"/>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Investor Contacts:</w:t>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Press Contacts:</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Marci Ryvicker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Marci_Ryvicker@Comcast.com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Jennifer Khoury</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Jennifer_Khoury@Comcast.com</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(215) 531-3296</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Jane Kearns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Jane_Kearns@Comcast.com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John Demming</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John_Demming@Comcast.com</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(215) 429-4744</w:t>
            </w:r>
          </w:p>
        </w:tc>
      </w:tr>
    </w:tbl>
    <w:p>
      <w:pPr>
        <w:pStyle w:val="TextBody"/>
        <w:bidi w:val="0"/>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Caution Concerning Forward-Looking Statements</w:t>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significant tax liability if the separation of Versant is not tax-free; laws and regulations; adverse decisions in litigation or governmental investigations; risks related to our intention to separate NBCUniversal and Sky in a spin-off;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before="0" w:after="0"/>
        <w:jc w:val="both"/>
        <w:rPr/>
      </w:pPr>
      <w:r>
        <w:rPr/>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Non-GAAP Financial Measures</w:t>
      </w:r>
    </w:p>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bidi w:val="0"/>
        <w:spacing w:before="0" w:after="0"/>
        <w:jc w:val="center"/>
        <w:rPr/>
      </w:pPr>
      <w:r>
        <w:rPr/>
      </w:r>
    </w:p>
    <w:p>
      <w:pPr>
        <w:pStyle w:val="TextBody"/>
        <w:bidi w:val="0"/>
        <w:spacing w:lineRule="auto" w:line="288" w:before="0" w:after="0"/>
        <w:jc w:val="left"/>
        <w:rPr>
          <w:rFonts w:ascii="Helvetica;sans-serif" w:hAnsi="Helvetica;sans-serif"/>
          <w:b/>
          <w:color w:val="000000"/>
          <w:sz w:val="18"/>
        </w:rPr>
      </w:pPr>
      <w:r>
        <w:rPr>
          <w:rFonts w:ascii="Helvetica;sans-serif" w:hAnsi="Helvetica;sans-serif"/>
          <w:b/>
          <w:color w:val="000000"/>
          <w:sz w:val="18"/>
        </w:rPr>
        <w:t>About Comcast Corporation</w:t>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10</w:t>
                      </w:r>
                    </w:p>
                  </w:txbxContent>
                </v:textbox>
                <w10:wrap type="none"/>
              </v:rect>
            </w:pict>
          </mc:Fallback>
        </mc:AlternateContent>
      </w:r>
    </w:p>
    <w:tbl>
      <w:tblPr>
        <w:tblW w:w="8906" w:type="dxa"/>
        <w:jc w:val="left"/>
        <w:tblInd w:w="0" w:type="dxa"/>
        <w:tblLayout w:type="fixed"/>
        <w:tblCellMar>
          <w:top w:w="28" w:type="dxa"/>
          <w:left w:w="28" w:type="dxa"/>
          <w:bottom w:w="28" w:type="dxa"/>
          <w:right w:w="28" w:type="dxa"/>
        </w:tblCellMar>
      </w:tblPr>
      <w:tblGrid>
        <w:gridCol w:w="328"/>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289"/>
        <w:gridCol w:w="301"/>
        <w:gridCol w:w="301"/>
        <w:gridCol w:w="301"/>
        <w:gridCol w:w="301"/>
        <w:gridCol w:w="301"/>
        <w:gridCol w:w="426"/>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1143000" cy="457200"/>
                          </a:xfrm>
                          <a:prstGeom prst="rect">
                            <a:avLst/>
                          </a:prstGeom>
                        </pic:spPr>
                      </pic:pic>
                    </a:graphicData>
                  </a:graphic>
                </wp:inline>
              </w:drawing>
            </w:r>
          </w:p>
        </w:tc>
      </w:tr>
      <w:tr>
        <w:trPr/>
        <w:tc>
          <w:tcPr>
            <w:tcW w:w="610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1</w:t>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975" w:type="dxa"/>
            <w:gridSpan w:val="24"/>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4"/>
              </w:rPr>
            </w:pPr>
            <w:r>
              <w:rPr>
                <w:rFonts w:ascii="Helvetica;sans-serif" w:hAnsi="Helvetica;sans-serif"/>
                <w:b/>
                <w:color w:val="828282"/>
                <w:sz w:val="24"/>
              </w:rPr>
              <w:t>Condensed Consolidated Statements of Income (Unaudited)</w:t>
            </w:r>
          </w:p>
        </w:tc>
        <w:tc>
          <w:tcPr>
            <w:tcW w:w="1931" w:type="dxa"/>
            <w:gridSpan w:val="6"/>
            <w:vMerge w:val="continue"/>
            <w:tcBorders>
              <w:bottom w:val="single" w:sz="8" w:space="0" w:color="004EA8"/>
            </w:tcBorders>
            <w:tcMar>
              <w:top w:w="0" w:type="dxa"/>
              <w:left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709"/>
        <w:gridCol w:w="1685"/>
        <w:gridCol w:w="723"/>
        <w:gridCol w:w="420"/>
        <w:gridCol w:w="421"/>
        <w:gridCol w:w="134"/>
        <w:gridCol w:w="130"/>
        <w:gridCol w:w="130"/>
        <w:gridCol w:w="130"/>
        <w:gridCol w:w="413"/>
        <w:gridCol w:w="413"/>
        <w:gridCol w:w="134"/>
        <w:gridCol w:w="109"/>
        <w:gridCol w:w="109"/>
        <w:gridCol w:w="109"/>
        <w:gridCol w:w="420"/>
        <w:gridCol w:w="421"/>
        <w:gridCol w:w="171"/>
        <w:gridCol w:w="124"/>
        <w:gridCol w:w="124"/>
        <w:gridCol w:w="124"/>
        <w:gridCol w:w="413"/>
        <w:gridCol w:w="413"/>
        <w:gridCol w:w="226"/>
      </w:tblGrid>
      <w:tr>
        <w:trPr/>
        <w:tc>
          <w:tcPr>
            <w:tcW w:w="270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share data)</w:t>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June 30,</w:t>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Revenue</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$29,940</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$30,313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$61,396</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$60,199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Costs and expenses</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Programming and production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8,389</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7,576 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19,273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15,991 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Marketing and promotion</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2,258</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2,168 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4,422</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4,239 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operating and administrative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10,445</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10,422 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20,853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20,314 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2,391</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2,349 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4,724</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4,580 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1,297</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2,829</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3,423 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24,780</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24,320 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52,101</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48,548 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 xml:space="preserve">Operating income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5,160</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5,992 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9,296</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11,650 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(1,052)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(2,146)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(2,155)</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 in net income (losses) of investees,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285</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Realized and unrealized gains (losses) on equity securities,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(13)</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income (loss), net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232</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9,652 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319</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9,754 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503</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9,760 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195</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9,644 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Income before income taxes </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4,612</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14,647 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7,345</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19,139 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 benefit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(1,194)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(3,603)</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(1,899)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(4,799)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3,419</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11,044 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5,445</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14,340 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Net income (loss) attributable to noncontrolling interests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(158)</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$3,526</w:t>
            </w:r>
            <w:r>
              <w:rPr>
                <w:color w:val="000000"/>
              </w:rPr>
              <w:t>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$11,123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$5,699</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$14,498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Diluted earnings per common share attributable to Comcast Corporation shareholders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$0.99</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$1.59</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511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 weighted-average number of common shares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3,570</w:t>
            </w: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3,727 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3,593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3,756 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11</w:t>
                      </w:r>
                    </w:p>
                  </w:txbxContent>
                </v:textbox>
                <w10:wrap type="none"/>
              </v:rect>
            </w:pict>
          </mc:Fallback>
        </mc:AlternateContent>
      </w:r>
    </w:p>
    <w:tbl>
      <w:tblPr>
        <w:tblW w:w="7998" w:type="dxa"/>
        <w:jc w:val="left"/>
        <w:tblInd w:w="0" w:type="dxa"/>
        <w:tblLayout w:type="fixed"/>
        <w:tblCellMar>
          <w:top w:w="28" w:type="dxa"/>
          <w:left w:w="28" w:type="dxa"/>
          <w:bottom w:w="28" w:type="dxa"/>
          <w:right w:w="28" w:type="dxa"/>
        </w:tblCellMar>
      </w:tblPr>
      <w:tblGrid>
        <w:gridCol w:w="327"/>
        <w:gridCol w:w="287"/>
        <w:gridCol w:w="287"/>
        <w:gridCol w:w="287"/>
        <w:gridCol w:w="287"/>
        <w:gridCol w:w="287"/>
        <w:gridCol w:w="287"/>
        <w:gridCol w:w="287"/>
        <w:gridCol w:w="287"/>
        <w:gridCol w:w="287"/>
        <w:gridCol w:w="287"/>
        <w:gridCol w:w="287"/>
        <w:gridCol w:w="287"/>
        <w:gridCol w:w="287"/>
        <w:gridCol w:w="287"/>
        <w:gridCol w:w="287"/>
        <w:gridCol w:w="287"/>
        <w:gridCol w:w="287"/>
        <w:gridCol w:w="287"/>
        <w:gridCol w:w="287"/>
        <w:gridCol w:w="287"/>
        <w:gridCol w:w="205"/>
        <w:gridCol w:w="205"/>
        <w:gridCol w:w="205"/>
        <w:gridCol w:w="205"/>
        <w:gridCol w:w="205"/>
        <w:gridCol w:w="205"/>
        <w:gridCol w:w="205"/>
        <w:gridCol w:w="205"/>
        <w:gridCol w:w="291"/>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1143000" cy="457200"/>
                          </a:xfrm>
                          <a:prstGeom prst="rect">
                            <a:avLst/>
                          </a:prstGeom>
                        </pic:spPr>
                      </pic:pic>
                    </a:graphicData>
                  </a:graphic>
                </wp:inline>
              </w:drawing>
            </w:r>
          </w:p>
        </w:tc>
      </w:tr>
      <w:tr>
        <w:trPr/>
        <w:tc>
          <w:tcPr>
            <w:tcW w:w="60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2</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067"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4"/>
              </w:rPr>
            </w:pPr>
            <w:r>
              <w:rPr>
                <w:rFonts w:ascii="Helvetica;sans-serif" w:hAnsi="Helvetica;sans-serif"/>
                <w:b/>
                <w:color w:val="828282"/>
                <w:sz w:val="24"/>
              </w:rPr>
              <w:t>Consolidated Statements of Cash Flows (Unaudited)</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tbl>
      <w:tblPr>
        <w:tblW w:w="9876" w:type="dxa"/>
        <w:jc w:val="left"/>
        <w:tblInd w:w="0" w:type="dxa"/>
        <w:tblLayout w:type="fixed"/>
        <w:tblCellMar>
          <w:top w:w="28" w:type="dxa"/>
          <w:left w:w="28" w:type="dxa"/>
          <w:bottom w:w="28" w:type="dxa"/>
          <w:right w:w="28" w:type="dxa"/>
        </w:tblCellMar>
      </w:tblPr>
      <w:tblGrid>
        <w:gridCol w:w="2636"/>
        <w:gridCol w:w="2319"/>
        <w:gridCol w:w="2335"/>
        <w:gridCol w:w="398"/>
        <w:gridCol w:w="398"/>
        <w:gridCol w:w="178"/>
        <w:gridCol w:w="178"/>
        <w:gridCol w:w="178"/>
        <w:gridCol w:w="178"/>
        <w:gridCol w:w="413"/>
        <w:gridCol w:w="413"/>
        <w:gridCol w:w="252"/>
      </w:tblGrid>
      <w:tr>
        <w:trPr/>
        <w:tc>
          <w:tcPr>
            <w:tcW w:w="263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June 30,</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ACTIVITIES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$5,445</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$14,340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Adjustments to reconcile net income to net cash provided by operating activities: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7,553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8,003 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Share-based compensation</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786</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Noncash interest expense (income),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(gain) loss on investment activity and other</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(9,390)</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1,427</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2,556 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Changes in operating assets and liabilities, net of effects of acquisitions and divestitures: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and noncurrent receivables,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(1,338)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1,023 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Film and television costs,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873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188 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 and accrued expenses related to trade creditors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958</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operating assets and liabilities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(891)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(1,602)</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operating activities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14,983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16,109 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INVESTING ACTIVITIES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Capital expenditures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(5,253)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(4,930)</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intangible assets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(1,226)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(1,257)</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Construction of Universal Beijing Resort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Acquisitions, net of cash acquired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(1,279)</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businesses and investments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106</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Purchases of investments </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(485)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(1,132)</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367</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investing activities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(6,491)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(7,903)</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FINANCING ACTIVITIES</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borrowings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1,990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2,494 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Repurchases and repayments of debt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(7,344)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(1,856)</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Repurchases of common stock under repurchase program and employee plans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(2,507)</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(4,066)</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(2,432)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(2,462)</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transferred to Versant, net</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(750)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(270)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financing activities</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(11,313)</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(5,881)</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Impact of foreign currency on cash, cash equivalents and restricted cash</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Increase (decrease) in cash, cash equivalents and restricted cash</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(2,824)</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2,371 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beginning of period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10,559</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7,377 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cash equivalents and restricted cash, end of period</w:t>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$7,735</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$9,748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18"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12</w:t>
                      </w:r>
                    </w:p>
                  </w:txbxContent>
                </v:textbox>
                <w10:wrap type="none"/>
              </v:rect>
            </w:pict>
          </mc:Fallback>
        </mc:AlternateContent>
      </w:r>
    </w:p>
    <w:tbl>
      <w:tblPr>
        <w:tblW w:w="8209" w:type="dxa"/>
        <w:jc w:val="left"/>
        <w:tblInd w:w="0" w:type="dxa"/>
        <w:tblLayout w:type="fixed"/>
        <w:tblCellMar>
          <w:top w:w="28" w:type="dxa"/>
          <w:left w:w="28" w:type="dxa"/>
          <w:bottom w:w="28" w:type="dxa"/>
          <w:right w:w="28" w:type="dxa"/>
        </w:tblCellMar>
      </w:tblPr>
      <w:tblGrid>
        <w:gridCol w:w="338"/>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97"/>
        <w:gridCol w:w="205"/>
        <w:gridCol w:w="205"/>
        <w:gridCol w:w="205"/>
        <w:gridCol w:w="205"/>
        <w:gridCol w:w="205"/>
        <w:gridCol w:w="205"/>
        <w:gridCol w:w="205"/>
        <w:gridCol w:w="205"/>
        <w:gridCol w:w="291"/>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4767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1143000" cy="447675"/>
                          </a:xfrm>
                          <a:prstGeom prst="rect">
                            <a:avLst/>
                          </a:prstGeom>
                        </pic:spPr>
                      </pic:pic>
                    </a:graphicData>
                  </a:graphic>
                </wp:inline>
              </w:drawing>
            </w:r>
          </w:p>
        </w:tc>
      </w:tr>
      <w:tr>
        <w:trPr/>
        <w:tc>
          <w:tcPr>
            <w:tcW w:w="627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3</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278"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4"/>
              </w:rPr>
            </w:pPr>
            <w:r>
              <w:rPr>
                <w:rFonts w:ascii="Helvetica;sans-serif" w:hAnsi="Helvetica;sans-serif"/>
                <w:b/>
                <w:color w:val="828282"/>
                <w:sz w:val="24"/>
              </w:rPr>
              <w:t>Condensed Consolidated Balance Sheets (Unaudited)</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tbl>
      <w:tblPr>
        <w:tblW w:w="8528" w:type="dxa"/>
        <w:jc w:val="left"/>
        <w:tblInd w:w="0" w:type="dxa"/>
        <w:tblLayout w:type="fixed"/>
        <w:tblCellMar>
          <w:top w:w="28" w:type="dxa"/>
          <w:left w:w="28" w:type="dxa"/>
          <w:bottom w:w="28" w:type="dxa"/>
          <w:right w:w="28" w:type="dxa"/>
        </w:tblCellMar>
      </w:tblPr>
      <w:tblGrid>
        <w:gridCol w:w="2368"/>
        <w:gridCol w:w="1564"/>
        <w:gridCol w:w="1574"/>
        <w:gridCol w:w="473"/>
        <w:gridCol w:w="473"/>
        <w:gridCol w:w="276"/>
        <w:gridCol w:w="109"/>
        <w:gridCol w:w="109"/>
        <w:gridCol w:w="109"/>
        <w:gridCol w:w="491"/>
        <w:gridCol w:w="440"/>
        <w:gridCol w:w="542"/>
      </w:tblGrid>
      <w:tr>
        <w:trPr/>
        <w:tc>
          <w:tcPr>
            <w:tcW w:w="236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December 31,</w:t>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ASSETS</w:t>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Assets</w:t>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$7,661</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$9,481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Receivables,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13,955</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13,869 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current assets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4,718</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6,217 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current assets</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26,335</w:t>
            </w: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29,567 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Film and television costs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10,467</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12,214 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7,828</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7,952 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Property and equipment,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66,127</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65,680 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Goodwill</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53,070</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61,502 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Franchise rights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59,365</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59,365 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intangible assets,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19,687</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22,474 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assets, net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14,669</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13,877 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$257,548</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$272,631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LIABILITIES AND EQUITY</w:t>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Liabilities</w:t>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 and accrued expenses related to trade creditors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$11,864</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$11,058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revenue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3,787</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4,097 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expenses and other current liabilities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11,325</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12,410 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portion of debt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6,117</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5,958 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current liabilities</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33,093</w:t>
            </w: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33,524 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Noncurrent portion of debt</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84,264</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92,979 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28,940</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27,788 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liabilities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21,296</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20,965 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Redeemable noncontrolling interests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185</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w:t>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Comcast Corporation shareholders' equity</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89,763</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96,903 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Noncontrolling interests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w:t>
            </w: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equity</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89,770</w:t>
            </w: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97,151 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$257,548</w:t>
            </w:r>
            <w:r>
              <w:rPr>
                <w:color w:val="000000"/>
              </w:rPr>
              <w:t> </w:t>
            </w:r>
          </w:p>
        </w:tc>
        <w:tc>
          <w:tcPr>
            <w:tcW w:w="2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$272,631 </w:t>
            </w:r>
          </w:p>
        </w:tc>
        <w:tc>
          <w:tcPr>
            <w:tcW w:w="54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0"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17"/>
        <w:gridCol w:w="1075"/>
        <w:gridCol w:w="1077"/>
        <w:gridCol w:w="447"/>
        <w:gridCol w:w="371"/>
        <w:gridCol w:w="284"/>
        <w:gridCol w:w="284"/>
        <w:gridCol w:w="284"/>
        <w:gridCol w:w="284"/>
        <w:gridCol w:w="447"/>
        <w:gridCol w:w="414"/>
        <w:gridCol w:w="284"/>
        <w:gridCol w:w="125"/>
        <w:gridCol w:w="125"/>
        <w:gridCol w:w="125"/>
        <w:gridCol w:w="125"/>
        <w:gridCol w:w="125"/>
        <w:gridCol w:w="125"/>
        <w:gridCol w:w="509"/>
        <w:gridCol w:w="332"/>
        <w:gridCol w:w="186"/>
        <w:gridCol w:w="186"/>
        <w:gridCol w:w="186"/>
        <w:gridCol w:w="186"/>
        <w:gridCol w:w="514"/>
        <w:gridCol w:w="312"/>
        <w:gridCol w:w="276"/>
      </w:tblGrid>
      <w:tr>
        <w:trPr/>
        <w:tc>
          <w:tcPr>
            <w:tcW w:w="151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15"/>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143000" cy="44767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143000" cy="447675"/>
                          </a:xfrm>
                          <a:prstGeom prst="rect">
                            <a:avLst/>
                          </a:prstGeom>
                        </pic:spPr>
                      </pic:pic>
                    </a:graphicData>
                  </a:graphic>
                </wp:inline>
              </w:drawing>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4</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67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67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 from Net Income Attributable to Comcast Corporation to Adjusted EBITDA (Unaudited)</w:t>
            </w:r>
          </w:p>
        </w:tc>
        <w:tc>
          <w:tcPr>
            <w:tcW w:w="3437"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3669"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8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$3,526</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$11,123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$5,699</w:t>
            </w:r>
            <w:r>
              <w:rPr>
                <w:color w:val="000000"/>
              </w:rPr>
              <w:t>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$14,498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Net income (loss) attributable to noncontrolling interests </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(107)</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 (benefit)</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1,194</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3,603 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1,899</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4,799 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1,052</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2,146</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2,155 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(503)</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(9,760)</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(195)</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(9,644)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2,391</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2,349 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4,724</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4,580 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1,297</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1,805 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2,829</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3,423 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 costs</w:t>
            </w:r>
            <w:r>
              <w:rPr>
                <w:rFonts w:ascii="Helvetica;sans-serif" w:hAnsi="Helvetica;sans-serif"/>
                <w:b w:val="false"/>
                <w:color w:val="000000"/>
                <w:sz w:val="12"/>
              </w:rPr>
              <w:t>(1)</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51</w:t>
            </w: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Transaction-related costs</w:t>
            </w:r>
            <w:r>
              <w:rPr>
                <w:rFonts w:ascii="Helvetica;sans-serif" w:hAnsi="Helvetica;sans-serif"/>
                <w:b w:val="false"/>
                <w:color w:val="000000"/>
                <w:sz w:val="12"/>
              </w:rPr>
              <w:t>(1)</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Other adjustments </w:t>
            </w:r>
            <w:r>
              <w:rPr>
                <w:rFonts w:ascii="Helvetica;sans-serif" w:hAnsi="Helvetica;sans-serif"/>
                <w:b w:val="false"/>
                <w:color w:val="000000"/>
                <w:sz w:val="12"/>
              </w:rPr>
              <w:t>(2)</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55</w:t>
            </w: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8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$8,902</w:t>
            </w:r>
            <w:r>
              <w:rPr>
                <w:color w:val="000000"/>
              </w:rPr>
              <w:t>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$10,283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$16,831</w:t>
            </w:r>
            <w:r>
              <w:rPr>
                <w:color w:val="000000"/>
              </w:rPr>
              <w:t>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$19,815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617"/>
        <w:gridCol w:w="229"/>
        <w:gridCol w:w="176"/>
        <w:gridCol w:w="450"/>
        <w:gridCol w:w="450"/>
        <w:gridCol w:w="450"/>
        <w:gridCol w:w="674"/>
        <w:gridCol w:w="327"/>
        <w:gridCol w:w="219"/>
        <w:gridCol w:w="219"/>
        <w:gridCol w:w="219"/>
        <w:gridCol w:w="219"/>
        <w:gridCol w:w="659"/>
        <w:gridCol w:w="324"/>
        <w:gridCol w:w="219"/>
        <w:gridCol w:w="219"/>
        <w:gridCol w:w="219"/>
        <w:gridCol w:w="219"/>
        <w:gridCol w:w="219"/>
        <w:gridCol w:w="219"/>
        <w:gridCol w:w="219"/>
        <w:gridCol w:w="769"/>
        <w:gridCol w:w="357"/>
        <w:gridCol w:w="219"/>
        <w:gridCol w:w="219"/>
        <w:gridCol w:w="219"/>
        <w:gridCol w:w="219"/>
        <w:gridCol w:w="756"/>
        <w:gridCol w:w="353"/>
        <w:gridCol w:w="329"/>
      </w:tblGrid>
      <w:tr>
        <w:trPr/>
        <w:tc>
          <w:tcPr>
            <w:tcW w:w="6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 from Net Cash Provided by Operating Activities to Free Cash Flow (Unaudited)</w:t>
            </w:r>
          </w:p>
        </w:tc>
      </w:tr>
      <w:tr>
        <w:trPr/>
        <w:tc>
          <w:tcPr>
            <w:tcW w:w="102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June 30,</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 June 30,</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vMerge w:val="continue"/>
            <w:tcBorders/>
            <w:tcMar>
              <w:top w:w="0" w:type="dxa"/>
              <w:left w:w="0" w:type="dxa"/>
              <w:bottom w:w="0" w:type="dxa"/>
              <w:right w:w="0" w:type="dxa"/>
            </w:tcMar>
            <w:vAlign w:val="center"/>
          </w:tcPr>
          <w:p>
            <w:pPr>
              <w:pStyle w:val="Normal"/>
              <w:bidi w:val="0"/>
              <w:jc w:val="left"/>
              <w:rPr/>
            </w:pPr>
            <w:r>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3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23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provided by operating activities</w:t>
            </w:r>
          </w:p>
        </w:tc>
        <w:tc>
          <w:tcPr>
            <w:tcW w:w="10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$8,092</w:t>
            </w: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$7,815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$14,983</w:t>
            </w: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$16,109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Capital expenditures</w:t>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(2,902)</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(2,679)</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(5,253)</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(4,930)</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capitalized software and other intangible assets</w:t>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(587)</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(636)</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(1,226)</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(1,257)</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tcPr>
          <w:p>
            <w:pPr>
              <w:pStyle w:val="TableContents"/>
              <w:bidi w:val="0"/>
              <w:spacing w:before="0" w:after="283"/>
              <w:jc w:val="left"/>
              <w:rPr>
                <w:sz w:val="4"/>
                <w:szCs w:val="4"/>
              </w:rPr>
            </w:pPr>
            <w:r>
              <w:rPr>
                <w:sz w:val="4"/>
                <w:szCs w:val="4"/>
              </w:rPr>
            </w:r>
          </w:p>
        </w:tc>
      </w:tr>
      <w:tr>
        <w:trPr/>
        <w:tc>
          <w:tcPr>
            <w:tcW w:w="23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Free Cash Flow</w:t>
            </w:r>
          </w:p>
        </w:tc>
        <w:tc>
          <w:tcPr>
            <w:tcW w:w="10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$4,604</w:t>
            </w: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$4,501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$8,505</w:t>
            </w:r>
            <w:r>
              <w:rPr>
                <w:color w:val="000000"/>
              </w:rPr>
              <w:t>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$9,921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(1)</w:t>
            </w:r>
          </w:p>
        </w:tc>
        <w:tc>
          <w:tcPr>
            <w:tcW w:w="9183"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6"/>
              </w:rPr>
            </w:pPr>
            <w:r>
              <w:rPr>
                <w:rFonts w:ascii="Helvetica;sans-serif" w:hAnsi="Helvetica;sans-serif"/>
                <w:b w:val="false"/>
                <w:color w:val="000000"/>
                <w:sz w:val="16"/>
              </w:rPr>
              <w:t xml:space="preserve">Transaction costs are incremental costs directly related to effectuating the Versant Separation and primarily include advisory, legal and audit fees, as well as legal entity separation costs. Transaction-related costs are incremental costs incurred related to the Versant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 </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(2)</w:t>
            </w:r>
          </w:p>
        </w:tc>
        <w:tc>
          <w:tcPr>
            <w:tcW w:w="9183"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16"/>
              </w:rPr>
            </w:pPr>
            <w:r>
              <w:rPr>
                <w:rFonts w:ascii="Helvetica;sans-serif" w:hAnsi="Helvetica;sans-serif"/>
                <w:b w:val="false"/>
                <w:color w:val="000000"/>
                <w:sz w:val="16"/>
              </w:rPr>
              <w:t xml:space="preserve">Amounts represent the impact of certain other events, gains, losses or other charges that are excluded from Adjusted EBITDA. The three and six months ended June 30, 2026 include certain share-based compensation expenses and costs related to our investment portfolio. The six months ended June 30, 2026 also include a gain related to a legal settlement. The three and six months ended June 30, 2025 include costs related to our investment portfolio. </w:t>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4097" w:type="dxa"/>
            <w:gridSpan w:val="12"/>
            <w:tcBorders/>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956" w:type="dxa"/>
            <w:gridSpan w:val="18"/>
            <w:tcBorders/>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022"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7833"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2"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14</w:t>
                      </w:r>
                    </w:p>
                  </w:txbxContent>
                </v:textbox>
                <w10:wrap type="none"/>
              </v:rect>
            </w:pict>
          </mc:Fallback>
        </mc:AlternateContent>
      </w:r>
    </w:p>
    <w:tbl>
      <w:tblPr>
        <w:tblW w:w="10940" w:type="dxa"/>
        <w:jc w:val="center"/>
        <w:tblInd w:w="0" w:type="dxa"/>
        <w:tblLayout w:type="fixed"/>
        <w:tblCellMar>
          <w:top w:w="28" w:type="dxa"/>
          <w:left w:w="28" w:type="dxa"/>
          <w:bottom w:w="28" w:type="dxa"/>
          <w:right w:w="28" w:type="dxa"/>
        </w:tblCellMar>
      </w:tblPr>
      <w:tblGrid>
        <w:gridCol w:w="1012"/>
        <w:gridCol w:w="349"/>
        <w:gridCol w:w="350"/>
        <w:gridCol w:w="263"/>
        <w:gridCol w:w="263"/>
        <w:gridCol w:w="400"/>
        <w:gridCol w:w="109"/>
        <w:gridCol w:w="109"/>
        <w:gridCol w:w="109"/>
        <w:gridCol w:w="263"/>
        <w:gridCol w:w="263"/>
        <w:gridCol w:w="295"/>
        <w:gridCol w:w="109"/>
        <w:gridCol w:w="109"/>
        <w:gridCol w:w="109"/>
        <w:gridCol w:w="260"/>
        <w:gridCol w:w="260"/>
        <w:gridCol w:w="261"/>
        <w:gridCol w:w="109"/>
        <w:gridCol w:w="109"/>
        <w:gridCol w:w="109"/>
        <w:gridCol w:w="262"/>
        <w:gridCol w:w="264"/>
        <w:gridCol w:w="193"/>
        <w:gridCol w:w="109"/>
        <w:gridCol w:w="109"/>
        <w:gridCol w:w="109"/>
        <w:gridCol w:w="109"/>
        <w:gridCol w:w="109"/>
        <w:gridCol w:w="109"/>
        <w:gridCol w:w="263"/>
        <w:gridCol w:w="263"/>
        <w:gridCol w:w="400"/>
        <w:gridCol w:w="109"/>
        <w:gridCol w:w="109"/>
        <w:gridCol w:w="109"/>
        <w:gridCol w:w="263"/>
        <w:gridCol w:w="263"/>
        <w:gridCol w:w="317"/>
        <w:gridCol w:w="114"/>
        <w:gridCol w:w="114"/>
        <w:gridCol w:w="114"/>
        <w:gridCol w:w="260"/>
        <w:gridCol w:w="260"/>
        <w:gridCol w:w="261"/>
        <w:gridCol w:w="114"/>
        <w:gridCol w:w="114"/>
        <w:gridCol w:w="114"/>
        <w:gridCol w:w="262"/>
        <w:gridCol w:w="264"/>
        <w:gridCol w:w="260"/>
      </w:tblGrid>
      <w:tr>
        <w:trPr/>
        <w:tc>
          <w:tcPr>
            <w:tcW w:w="101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1143000" cy="457200"/>
                          </a:xfrm>
                          <a:prstGeom prst="rect">
                            <a:avLst/>
                          </a:prstGeom>
                        </pic:spPr>
                      </pic:pic>
                    </a:graphicData>
                  </a:graphic>
                </wp:inline>
              </w:drawing>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5</w:t>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75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Reconciliations of Adjusted Net Income and Adjusted EPS (Unaudited)</w:t>
            </w:r>
          </w:p>
        </w:tc>
        <w:tc>
          <w:tcPr>
            <w:tcW w:w="327" w:type="dxa"/>
            <w:gridSpan w:val="3"/>
            <w:tcBorders>
              <w:bottom w:val="single" w:sz="8" w:space="0" w:color="004E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15"/>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171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21"/>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21"/>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21"/>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21"/>
            <w:vMerge w:val="continue"/>
            <w:tcBorders/>
            <w:tcMar>
              <w:top w:w="0" w:type="dxa"/>
              <w:left w:w="0" w:type="dxa"/>
              <w:bottom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share data)</w:t>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EPS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EPS</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 and diluted earnings per share attributable to Comcast Corporation shareholders</w:t>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$0.99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$5,699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$1.59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$14,498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$3.86</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 xml:space="preserve">Change </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(68.3</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(66.9</w:t>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(60.7</w:t>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(58.9</w:t>
            </w:r>
          </w:p>
        </w:tc>
        <w:tc>
          <w:tcPr>
            <w:tcW w:w="31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18"/>
              </w:rPr>
              <w:t>Amortization of acquisition-related intangible assets</w:t>
            </w:r>
            <w:r>
              <w:rPr>
                <w:rFonts w:ascii="Helvetica;sans-serif" w:hAnsi="Helvetica;sans-serif"/>
                <w:b w:val="false"/>
                <w:color w:val="000000"/>
                <w:sz w:val="12"/>
              </w:rPr>
              <w:t>(1)</w:t>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0.22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0.33</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Investments</w:t>
            </w:r>
            <w:r>
              <w:rPr>
                <w:rFonts w:ascii="Helvetica;sans-serif" w:hAnsi="Helvetica;sans-serif"/>
                <w:b w:val="false"/>
                <w:color w:val="000000"/>
                <w:sz w:val="12"/>
              </w:rPr>
              <w:t>(2)</w:t>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Items affecting period-over-period comparability:</w:t>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Long-lived asset impairments</w:t>
            </w:r>
            <w:r>
              <w:rPr>
                <w:rFonts w:ascii="Helvetica;sans-serif" w:hAnsi="Helvetica;sans-serif"/>
                <w:b w:val="false"/>
                <w:color w:val="000000"/>
                <w:sz w:val="12"/>
              </w:rPr>
              <w:t>(3)</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155 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 costs</w:t>
            </w:r>
            <w:r>
              <w:rPr>
                <w:rFonts w:ascii="Helvetica;sans-serif" w:hAnsi="Helvetica;sans-serif"/>
                <w:b w:val="false"/>
                <w:color w:val="000000"/>
                <w:sz w:val="12"/>
              </w:rPr>
              <w:t xml:space="preserve">(4) </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Transaction-related costs</w:t>
            </w:r>
            <w:r>
              <w:rPr>
                <w:rFonts w:ascii="Helvetica;sans-serif" w:hAnsi="Helvetica;sans-serif"/>
                <w:b w:val="false"/>
                <w:color w:val="000000"/>
                <w:sz w:val="12"/>
              </w:rPr>
              <w:t xml:space="preserve">(5) </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Sale of Sky operations in Germany</w:t>
            </w:r>
            <w:r>
              <w:rPr>
                <w:rFonts w:ascii="Helvetica;sans-serif" w:hAnsi="Helvetica;sans-serif"/>
                <w:b w:val="false"/>
                <w:color w:val="000000"/>
                <w:sz w:val="12"/>
              </w:rPr>
              <w:t>(6)</w:t>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Gain related to investment</w:t>
            </w:r>
            <w:r>
              <w:rPr>
                <w:rFonts w:ascii="Helvetica;sans-serif" w:hAnsi="Helvetica;sans-serif"/>
                <w:b w:val="false"/>
                <w:color w:val="000000"/>
                <w:sz w:val="12"/>
              </w:rPr>
              <w:t>(7)</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(7,072)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(1.88)</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val="false"/>
                <w:color w:val="000000"/>
                <w:sz w:val="18"/>
              </w:rPr>
              <w:t>Tax benefit from internal corporate reorganization</w:t>
            </w:r>
            <w:r>
              <w:rPr>
                <w:rFonts w:ascii="Helvetica;sans-serif" w:hAnsi="Helvetica;sans-serif"/>
                <w:b w:val="false"/>
                <w:color w:val="000000"/>
                <w:sz w:val="12"/>
              </w:rPr>
              <w:t>(8)</w:t>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(0.05)</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(177)</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Other adjustments</w:t>
            </w:r>
            <w:r>
              <w:rPr>
                <w:rFonts w:ascii="Helvetica;sans-serif" w:hAnsi="Helvetica;sans-serif"/>
                <w:b w:val="false"/>
                <w:color w:val="000000"/>
                <w:sz w:val="12"/>
              </w:rPr>
              <w:t>(9)</w:t>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(0.01)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Net income and Adjusted EPS</w:t>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$8,784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$2.34</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 xml:space="preserve">Change </w:t>
            </w:r>
          </w:p>
        </w:tc>
        <w:tc>
          <w:tcPr>
            <w:tcW w:w="5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(20.3</w:t>
            </w:r>
          </w:p>
        </w:tc>
        <w:tc>
          <w:tcPr>
            <w:tcW w:w="40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(16.7</w:t>
            </w:r>
          </w:p>
        </w:tc>
        <w:tc>
          <w:tcPr>
            <w:tcW w:w="29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(25.2</w:t>
            </w:r>
          </w:p>
        </w:tc>
        <w:tc>
          <w:tcPr>
            <w:tcW w:w="40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i/>
                <w:color w:val="000000"/>
                <w:sz w:val="18"/>
              </w:rPr>
            </w:pPr>
            <w:r>
              <w:rPr>
                <w:rFonts w:ascii="Helvetica;sans-serif" w:hAnsi="Helvetica;sans-serif"/>
                <w:b w:val="false"/>
                <w:i/>
                <w:color w:val="000000"/>
                <w:sz w:val="18"/>
              </w:rPr>
              <w:t>(21.8</w:t>
            </w:r>
          </w:p>
        </w:tc>
        <w:tc>
          <w:tcPr>
            <w:tcW w:w="3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pPr>
      <w:r>
        <w:rPr>
          <w:rFonts w:ascii="Helvetica;sans-serif" w:hAnsi="Helvetica;sans-serif"/>
          <w:b w:val="false"/>
          <w:color w:val="000000"/>
          <w:sz w:val="16"/>
        </w:rPr>
        <w:t>(1)Acquisition-related intangible assets are recognized as a result of the application of Accounting Standards Codification Topic 805, </w:t>
      </w:r>
      <w:r>
        <w:rPr>
          <w:rFonts w:ascii="Helvetica;sans-serif" w:hAnsi="Helvetica;sans-serif"/>
          <w:b w:val="false"/>
          <w:i/>
          <w:color w:val="000000"/>
          <w:sz w:val="16"/>
        </w:rPr>
        <w:t>Business Combinations</w:t>
      </w:r>
      <w:r>
        <w:rPr>
          <w:color w:val="000000"/>
        </w:rPr>
        <w:t> </w:t>
      </w:r>
      <w:r>
        <w:rPr>
          <w:rFonts w:ascii="Helvetica;sans-serif" w:hAnsi="Helvetica;sans-serif"/>
          <w:b w:val="false"/>
          <w:color w:val="000000"/>
          <w:sz w:val="16"/>
        </w:rPr>
        <w:t>(such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tbl>
      <w:tblPr>
        <w:tblW w:w="10072" w:type="dxa"/>
        <w:jc w:val="left"/>
        <w:tblInd w:w="0" w:type="dxa"/>
        <w:tblLayout w:type="fixed"/>
        <w:tblCellMar>
          <w:top w:w="28" w:type="dxa"/>
          <w:left w:w="28" w:type="dxa"/>
          <w:bottom w:w="28" w:type="dxa"/>
          <w:right w:w="28" w:type="dxa"/>
        </w:tblCellMar>
      </w:tblPr>
      <w:tblGrid>
        <w:gridCol w:w="1940"/>
        <w:gridCol w:w="1706"/>
        <w:gridCol w:w="1709"/>
        <w:gridCol w:w="259"/>
        <w:gridCol w:w="252"/>
        <w:gridCol w:w="181"/>
        <w:gridCol w:w="181"/>
        <w:gridCol w:w="181"/>
        <w:gridCol w:w="181"/>
        <w:gridCol w:w="259"/>
        <w:gridCol w:w="252"/>
        <w:gridCol w:w="181"/>
        <w:gridCol w:w="109"/>
        <w:gridCol w:w="109"/>
        <w:gridCol w:w="109"/>
        <w:gridCol w:w="109"/>
        <w:gridCol w:w="109"/>
        <w:gridCol w:w="109"/>
        <w:gridCol w:w="323"/>
        <w:gridCol w:w="323"/>
        <w:gridCol w:w="156"/>
        <w:gridCol w:w="156"/>
        <w:gridCol w:w="156"/>
        <w:gridCol w:w="156"/>
        <w:gridCol w:w="323"/>
        <w:gridCol w:w="323"/>
        <w:gridCol w:w="220"/>
      </w:tblGrid>
      <w:tr>
        <w:trPr/>
        <w:tc>
          <w:tcPr>
            <w:tcW w:w="1940"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Six Months Ended</w:t>
              <w:br/>
              <w:t>June 30,</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Amortization of acquisition-related intangible assets before income taxes</w:t>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$1,600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Amortization of acquisition-related intangible assets, net of tax</w:t>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$1,228</w:t>
            </w:r>
          </w:p>
        </w:tc>
      </w:tr>
    </w:tbl>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 xml:space="preserve">(2)Adjustments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 </w:t>
      </w:r>
    </w:p>
    <w:p>
      <w:pPr>
        <w:pStyle w:val="TextBody"/>
        <w:bidi w:val="0"/>
        <w:spacing w:before="0" w:after="0"/>
        <w:ind w:left="0" w:right="0" w:firstLine="90"/>
        <w:jc w:val="left"/>
        <w:rPr/>
      </w:pPr>
      <w:r>
        <w:rPr/>
      </w:r>
    </w:p>
    <w:tbl>
      <w:tblPr>
        <w:tblW w:w="9390" w:type="dxa"/>
        <w:jc w:val="left"/>
        <w:tblInd w:w="0" w:type="dxa"/>
        <w:tblLayout w:type="fixed"/>
        <w:tblCellMar>
          <w:top w:w="28" w:type="dxa"/>
          <w:left w:w="28" w:type="dxa"/>
          <w:bottom w:w="28" w:type="dxa"/>
          <w:right w:w="28" w:type="dxa"/>
        </w:tblCellMar>
      </w:tblPr>
      <w:tblGrid>
        <w:gridCol w:w="1703"/>
        <w:gridCol w:w="1498"/>
        <w:gridCol w:w="1509"/>
        <w:gridCol w:w="295"/>
        <w:gridCol w:w="290"/>
        <w:gridCol w:w="181"/>
        <w:gridCol w:w="181"/>
        <w:gridCol w:w="181"/>
        <w:gridCol w:w="181"/>
        <w:gridCol w:w="296"/>
        <w:gridCol w:w="289"/>
        <w:gridCol w:w="181"/>
        <w:gridCol w:w="109"/>
        <w:gridCol w:w="109"/>
        <w:gridCol w:w="109"/>
        <w:gridCol w:w="109"/>
        <w:gridCol w:w="109"/>
        <w:gridCol w:w="109"/>
        <w:gridCol w:w="210"/>
        <w:gridCol w:w="211"/>
        <w:gridCol w:w="158"/>
        <w:gridCol w:w="158"/>
        <w:gridCol w:w="158"/>
        <w:gridCol w:w="158"/>
        <w:gridCol w:w="293"/>
        <w:gridCol w:w="293"/>
        <w:gridCol w:w="158"/>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Realized and unrealized (gains) losses on equity securities, net</w:t>
            </w:r>
          </w:p>
        </w:tc>
        <w:tc>
          <w:tcPr>
            <w:tcW w:w="5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($136)</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Equity in net (income) losses of investees, net and other</w:t>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Investments before income taxes</w:t>
            </w:r>
          </w:p>
        </w:tc>
        <w:tc>
          <w:tcPr>
            <w:tcW w:w="5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Investments, net of tax</w:t>
            </w:r>
          </w:p>
        </w:tc>
        <w:tc>
          <w:tcPr>
            <w:tcW w:w="585"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($251)</w:t>
            </w:r>
          </w:p>
        </w:tc>
        <w:tc>
          <w:tcPr>
            <w:tcW w:w="18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w:t>
            </w:r>
          </w:p>
        </w:tc>
        <w:tc>
          <w:tcPr>
            <w:tcW w:w="18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5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 </w:t>
            </w:r>
          </w:p>
        </w:tc>
        <w:tc>
          <w:tcPr>
            <w:tcW w:w="15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(3)Year to date 2026 net income attributable to Comcast Corporation includes $171 million, $130 million net of tax, of long-lived asset impairments. 2nd quarter and year to date 2025 net income attributable to Comcast Corporation includes $155 million of long-lived asset impairments.</w:t>
      </w:r>
    </w:p>
    <w:p>
      <w:pPr>
        <w:pStyle w:val="TextBody"/>
        <w:bidi w:val="0"/>
        <w:spacing w:lineRule="auto" w:line="288" w:before="0" w:after="0"/>
        <w:ind w:left="0" w:right="0" w:hanging="270"/>
        <w:jc w:val="left"/>
        <w:rPr/>
      </w:pPr>
      <w:r>
        <w:rPr>
          <w:rFonts w:ascii="Helvetica;sans-serif" w:hAnsi="Helvetica;sans-serif"/>
          <w:b w:val="false"/>
          <w:color w:val="000000"/>
          <w:sz w:val="16"/>
        </w:rPr>
        <w:t>(4)Year to date 2026 net income attributable to Comcast Corporation includes $51 million, $45 million net of tax, of transaction costs related to the Versant Separation. 2nd quarter and year to date 2025 net income attributable to Comcast Corporation includes</w:t>
      </w:r>
      <w:r>
        <w:rPr>
          <w:color w:val="000000"/>
          <w:shd w:fill="FFFFFF" w:val="clear"/>
        </w:rPr>
        <w:t xml:space="preserve"> </w:t>
      </w:r>
      <w:r>
        <w:rPr>
          <w:rFonts w:ascii="Helvetica;sans-serif" w:hAnsi="Helvetica;sans-serif"/>
          <w:b w:val="false"/>
          <w:color w:val="000000"/>
          <w:sz w:val="16"/>
          <w:shd w:fill="FFFFFF" w:val="clear"/>
        </w:rPr>
        <w:t>$36 million and $55 million, $31 million and $49 million net of tax, respectively, of transaction costs related to the Versant Separation. Transaction costs are incremental costs directly related to effectuating the separation and primarily include advisory, legal and audit fees, and legal entity separation costs.</w:t>
      </w:r>
    </w:p>
    <w:p>
      <w:pPr>
        <w:pStyle w:val="TextBody"/>
        <w:bidi w:val="0"/>
        <w:spacing w:lineRule="auto" w:line="288" w:before="0" w:after="0"/>
        <w:ind w:left="0" w:right="0" w:hanging="270"/>
        <w:jc w:val="left"/>
        <w:rPr/>
      </w:pPr>
      <w:r>
        <w:rPr>
          <w:rFonts w:ascii="Helvetica;sans-serif" w:hAnsi="Helvetica;sans-serif"/>
          <w:b w:val="false"/>
          <w:color w:val="000000"/>
          <w:sz w:val="16"/>
          <w:shd w:fill="FFFFFF" w:val="clear"/>
        </w:rPr>
        <w:t>(5)2nd quarter and year to date 2025 net income attributable to Comcast Corporation includes $75 million and $77 million, $66 million and $67 million net of tax, respectively, of tra</w:t>
      </w:r>
      <w:r>
        <w:rPr>
          <w:rFonts w:ascii="Helvetica;sans-serif" w:hAnsi="Helvetica;sans-serif"/>
          <w:b w:val="false"/>
          <w:color w:val="000000"/>
          <w:sz w:val="16"/>
        </w:rPr>
        <w:t xml:space="preserve">nsaction-related costs related to the Versant Separation. Transaction-related costs are incremental costs incurred related to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 </w:t>
      </w:r>
    </w:p>
    <w:p>
      <w:pPr>
        <w:pStyle w:val="TextBody"/>
        <w:bidi w:val="0"/>
        <w:spacing w:lineRule="auto" w:line="288"/>
        <w:ind w:left="0" w:right="0" w:hanging="270"/>
        <w:jc w:val="left"/>
        <w:rPr>
          <w:rFonts w:ascii="Helvetica;sans-serif" w:hAnsi="Helvetica;sans-serif"/>
          <w:b w:val="false"/>
          <w:color w:val="000000"/>
          <w:sz w:val="16"/>
        </w:rPr>
      </w:pPr>
      <w:r>
        <w:rPr>
          <w:rFonts w:ascii="Helvetica;sans-serif" w:hAnsi="Helvetica;sans-serif"/>
          <w:b w:val="false"/>
          <w:color w:val="000000"/>
          <w:sz w:val="16"/>
        </w:rPr>
        <w:t xml:space="preserve">(6)2nd quarter and year to date 2026 net income attributable to Comcast Corporation includes a loss of $9 million in depreciation expense, $7 million net of tax, due to the sale of our Sky operations in Germany. 2nd quarter and year to date 2026 also includes an $18 million and $75 million income tax benefit, respectively, related to assets of our Sky operations in Germany that were sold on May 31, 2026.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4"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15</w:t>
                      </w:r>
                    </w:p>
                  </w:txbxContent>
                </v:textbox>
                <w10:wrap type="none"/>
              </v:rect>
            </w:pict>
          </mc:Fallback>
        </mc:AlternateConten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 xml:space="preserve">(7)2nd quarter and year to date 2025 net income attributable to Comcast Corporation includes a $9.4 billion pre-tax gain in other income (loss), net, $7.1 billion net of tax, related to the sale of our interest in Hulu. </w: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(8)2nd quarter and year to date 2025 net income attributable to Comcast Corporation includes a $177 million income tax benefit due to an internal corporate reorganization.</w:t>
      </w:r>
    </w:p>
    <w:p>
      <w:pPr>
        <w:pStyle w:val="TextBody"/>
        <w:bidi w:val="0"/>
        <w:spacing w:lineRule="auto" w:line="288" w:before="0" w:after="0"/>
        <w:ind w:left="0" w:right="0" w:hanging="270"/>
        <w:jc w:val="left"/>
        <w:rPr>
          <w:rFonts w:ascii="Helvetica;sans-serif" w:hAnsi="Helvetica;sans-serif"/>
          <w:b w:val="false"/>
          <w:color w:val="000000"/>
          <w:sz w:val="16"/>
        </w:rPr>
      </w:pPr>
      <w:r>
        <w:rPr>
          <w:rFonts w:ascii="Helvetica;sans-serif" w:hAnsi="Helvetica;sans-serif"/>
          <w:b w:val="false"/>
          <w:color w:val="000000"/>
          <w:sz w:val="16"/>
        </w:rPr>
        <w:t>(9)2nd quarter 2026 net income attributable to Comcast Corporation includes $58 million, $44 million net of tax, related to certain share-based compensation expenses. Year to date 2026 net income attributable to Comcast Corporation includes $(65) million, $(48) million net of tax, of other adjustments, which includes a gain related to a legal settlement and certain share-based compensation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5"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16</w:t>
                      </w:r>
                    </w:p>
                  </w:txbxContent>
                </v:textbox>
                <w10:wrap type="none"/>
              </v:rect>
            </w:pict>
          </mc:Fallback>
        </mc:AlternateContent>
      </w:r>
    </w:p>
    <w:tbl>
      <w:tblPr>
        <w:tblW w:w="7475" w:type="dxa"/>
        <w:jc w:val="center"/>
        <w:tblInd w:w="0" w:type="dxa"/>
        <w:tblLayout w:type="fixed"/>
        <w:tblCellMar>
          <w:top w:w="28" w:type="dxa"/>
          <w:left w:w="28" w:type="dxa"/>
          <w:bottom w:w="28" w:type="dxa"/>
          <w:right w:w="28" w:type="dxa"/>
        </w:tblCellMar>
      </w:tblPr>
      <w:tblGrid>
        <w:gridCol w:w="24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16"/>
        <w:gridCol w:w="240"/>
        <w:gridCol w:w="240"/>
        <w:gridCol w:w="240"/>
        <w:gridCol w:w="240"/>
        <w:gridCol w:w="240"/>
        <w:gridCol w:w="240"/>
        <w:gridCol w:w="240"/>
        <w:gridCol w:w="240"/>
        <w:gridCol w:w="341"/>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vMerge w:val="restart"/>
            <w:tcBorders>
              <w:bottom w:val="single" w:sz="8" w:space="0" w:color="0066CC"/>
            </w:tcBorders>
            <w:tcMar>
              <w:top w:w="0" w:type="dxa"/>
              <w:left w:w="0" w:type="dxa"/>
              <w:right w:w="0" w:type="dxa"/>
            </w:tcMar>
            <w:vAlign w:val="center"/>
          </w:tcPr>
          <w:p>
            <w:pPr>
              <w:pStyle w:val="TableContents"/>
              <w:bidi w:val="0"/>
              <w:spacing w:before="0" w:after="0"/>
              <w:jc w:val="right"/>
              <w:rPr/>
            </w:pPr>
            <w:r>
              <w:rPr/>
              <w:drawing>
                <wp:inline distT="0" distB="0" distL="0" distR="0">
                  <wp:extent cx="1352550" cy="533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352550" cy="533400"/>
                          </a:xfrm>
                          <a:prstGeom prst="rect">
                            <a:avLst/>
                          </a:prstGeom>
                        </pic:spPr>
                      </pic:pic>
                    </a:graphicData>
                  </a:graphic>
                </wp:inline>
              </w:drawing>
            </w:r>
          </w:p>
        </w:tc>
      </w:tr>
      <w:tr>
        <w:trPr/>
        <w:tc>
          <w:tcPr>
            <w:tcW w:w="521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6</w:t>
            </w:r>
          </w:p>
        </w:tc>
        <w:tc>
          <w:tcPr>
            <w:tcW w:w="2261" w:type="dxa"/>
            <w:gridSpan w:val="9"/>
            <w:vMerge w:val="continue"/>
            <w:tcBorders>
              <w:bottom w:val="single" w:sz="8" w:space="0" w:color="0066CC"/>
            </w:tcBorders>
            <w:tcMar>
              <w:top w:w="0" w:type="dxa"/>
              <w:left w:w="0" w:type="dxa"/>
              <w:right w:w="0" w:type="dxa"/>
            </w:tcMar>
            <w:vAlign w:val="center"/>
          </w:tcPr>
          <w:p>
            <w:pPr>
              <w:pStyle w:val="Normal"/>
              <w:bidi w:val="0"/>
              <w:jc w:val="left"/>
              <w:rPr/>
            </w:pPr>
            <w:r>
              <w:rPr/>
            </w:r>
          </w:p>
        </w:tc>
      </w:tr>
      <w:tr>
        <w:trPr/>
        <w:tc>
          <w:tcPr>
            <w:tcW w:w="5214" w:type="dxa"/>
            <w:gridSpan w:val="24"/>
            <w:tcBorders>
              <w:bottom w:val="single" w:sz="8" w:space="0" w:color="0066CC"/>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2"/>
              </w:rPr>
            </w:pPr>
            <w:r>
              <w:rPr>
                <w:rFonts w:ascii="Helvetica;sans-serif" w:hAnsi="Helvetica;sans-serif"/>
                <w:b/>
                <w:color w:val="828282"/>
                <w:sz w:val="22"/>
              </w:rPr>
              <w:t>Reconciliation of Constant Currency (Unaudited)</w:t>
            </w:r>
          </w:p>
        </w:tc>
        <w:tc>
          <w:tcPr>
            <w:tcW w:w="2261" w:type="dxa"/>
            <w:gridSpan w:val="9"/>
            <w:vMerge w:val="continue"/>
            <w:tcBorders>
              <w:bottom w:val="single" w:sz="8" w:space="0" w:color="0066CC"/>
            </w:tcBorders>
            <w:tcMar>
              <w:top w:w="0" w:type="dxa"/>
              <w:left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944"/>
        <w:gridCol w:w="594"/>
        <w:gridCol w:w="599"/>
        <w:gridCol w:w="250"/>
        <w:gridCol w:w="219"/>
        <w:gridCol w:w="497"/>
        <w:gridCol w:w="109"/>
        <w:gridCol w:w="109"/>
        <w:gridCol w:w="109"/>
        <w:gridCol w:w="292"/>
        <w:gridCol w:w="563"/>
        <w:gridCol w:w="153"/>
        <w:gridCol w:w="109"/>
        <w:gridCol w:w="109"/>
        <w:gridCol w:w="109"/>
        <w:gridCol w:w="302"/>
        <w:gridCol w:w="225"/>
        <w:gridCol w:w="566"/>
        <w:gridCol w:w="109"/>
        <w:gridCol w:w="109"/>
        <w:gridCol w:w="109"/>
        <w:gridCol w:w="109"/>
        <w:gridCol w:w="109"/>
        <w:gridCol w:w="109"/>
        <w:gridCol w:w="250"/>
        <w:gridCol w:w="219"/>
        <w:gridCol w:w="497"/>
        <w:gridCol w:w="109"/>
        <w:gridCol w:w="109"/>
        <w:gridCol w:w="109"/>
        <w:gridCol w:w="292"/>
        <w:gridCol w:w="563"/>
        <w:gridCol w:w="153"/>
        <w:gridCol w:w="109"/>
        <w:gridCol w:w="109"/>
        <w:gridCol w:w="109"/>
        <w:gridCol w:w="337"/>
        <w:gridCol w:w="183"/>
        <w:gridCol w:w="545"/>
      </w:tblGrid>
      <w:tr>
        <w:trPr/>
        <w:tc>
          <w:tcPr>
            <w:tcW w:w="94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 2025</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Reconciliation of Connectivity &amp; Platforms Constant Currency</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&amp; Platforms Revenue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$17,884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$35,851</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Business Services Connectivity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5,073</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Revenue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$45</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$20,459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$40,575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$348</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$40,923</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and Platforms Adjusted EBITDA</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$13,890</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Business Services Connectivity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2,865</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Adjusted EBITDA</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$8,454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$16,714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$16,755</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&amp; Platforms Adjusted EBITDA Margin</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39.3</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39.2</w:t>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39.0</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38.7</w:t>
            </w:r>
          </w:p>
        </w:tc>
        <w:tc>
          <w:tcPr>
            <w:tcW w:w="54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Business Services Connectivity</w:t>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w:t>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56.5</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Helvetica;sans-serif" w:hAnsi="Helvetica;sans-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56.5</w:t>
            </w:r>
          </w:p>
        </w:tc>
        <w:tc>
          <w:tcPr>
            <w:tcW w:w="545" w:type="dxa"/>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Adjusted EBITDA Margin</w:t>
            </w:r>
          </w:p>
        </w:tc>
        <w:tc>
          <w:tcPr>
            <w:tcW w:w="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41.4</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41.3</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41.2</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40.9</w:t>
            </w:r>
          </w:p>
        </w:tc>
        <w:tc>
          <w:tcPr>
            <w:tcW w:w="5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 2025</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vMerge w:val="continue"/>
            <w:tcBorders/>
            <w:tcMar>
              <w:top w:w="0" w:type="dxa"/>
              <w:left w:w="0" w:type="dxa"/>
              <w:bottom w:w="0" w:type="dxa"/>
              <w:right w:w="0" w:type="dxa"/>
            </w:tcMar>
            <w:vAlign w:val="center"/>
          </w:tcPr>
          <w:p>
            <w:pPr>
              <w:pStyle w:val="Normal"/>
              <w:bidi w:val="0"/>
              <w:jc w:val="left"/>
              <w:rPr/>
            </w:pPr>
            <w:r>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Reconciliation of Residential Connectivity &amp; Platforms Constant Currency</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Revenue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broadband</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$13,327</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wireless service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1,732</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convergence revenue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15,059</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wireless equipment</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587</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International connectivity</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2,445</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residential connectivity</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$17,997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$18,091</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Video</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13,403</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Advertising</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1,880</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2,478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Revenue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$17,839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$17,884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$35,504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$35,851</w:t>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Expenses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Programming</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$8,233</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Non-Programming</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13,728</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Operating Expenses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$10,834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$41</w:t>
            </w: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$10,874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$21,657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$21,961</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$7,010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$13,848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$13,890</w:t>
            </w:r>
          </w:p>
        </w:tc>
      </w:tr>
      <w:tr>
        <w:trPr/>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Adjusted EBITDA Margin</w:t>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39.3</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39.2</w:t>
            </w:r>
          </w:p>
        </w:tc>
        <w:tc>
          <w:tcPr>
            <w:tcW w:w="56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39.0</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38.7</w:t>
            </w:r>
          </w:p>
        </w:tc>
        <w:tc>
          <w:tcPr>
            <w:tcW w:w="54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7"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5"/>
        <w:gridCol w:w="391"/>
        <w:gridCol w:w="391"/>
        <w:gridCol w:w="391"/>
        <w:gridCol w:w="391"/>
        <w:gridCol w:w="391"/>
        <w:gridCol w:w="391"/>
        <w:gridCol w:w="391"/>
        <w:gridCol w:w="391"/>
        <w:gridCol w:w="391"/>
        <w:gridCol w:w="391"/>
        <w:gridCol w:w="391"/>
        <w:gridCol w:w="391"/>
        <w:gridCol w:w="391"/>
        <w:gridCol w:w="391"/>
        <w:gridCol w:w="391"/>
        <w:gridCol w:w="391"/>
        <w:gridCol w:w="391"/>
        <w:gridCol w:w="391"/>
        <w:gridCol w:w="391"/>
        <w:gridCol w:w="391"/>
        <w:gridCol w:w="205"/>
        <w:gridCol w:w="205"/>
        <w:gridCol w:w="205"/>
        <w:gridCol w:w="205"/>
        <w:gridCol w:w="205"/>
        <w:gridCol w:w="205"/>
        <w:gridCol w:w="205"/>
        <w:gridCol w:w="205"/>
        <w:gridCol w:w="30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1143000" cy="457200"/>
                          </a:xfrm>
                          <a:prstGeom prst="rect">
                            <a:avLst/>
                          </a:prstGeom>
                        </pic:spPr>
                      </pic:pic>
                    </a:graphicData>
                  </a:graphic>
                </wp:inline>
              </w:drawing>
            </w:r>
          </w:p>
        </w:tc>
      </w:tr>
      <w:tr>
        <w:trPr/>
        <w:tc>
          <w:tcPr>
            <w:tcW w:w="826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7</w:t>
            </w:r>
          </w:p>
        </w:tc>
        <w:tc>
          <w:tcPr>
            <w:tcW w:w="1940"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826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8265"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Media Revenue Excluding Olympics, Super Bowl and FIFA World Cup (Unaudited)</w:t>
            </w:r>
          </w:p>
        </w:tc>
        <w:tc>
          <w:tcPr>
            <w:tcW w:w="1940"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4"/>
        <w:gridCol w:w="711"/>
        <w:gridCol w:w="709"/>
        <w:gridCol w:w="372"/>
        <w:gridCol w:w="372"/>
        <w:gridCol w:w="178"/>
        <w:gridCol w:w="111"/>
        <w:gridCol w:w="111"/>
        <w:gridCol w:w="111"/>
        <w:gridCol w:w="364"/>
        <w:gridCol w:w="365"/>
        <w:gridCol w:w="178"/>
        <w:gridCol w:w="111"/>
        <w:gridCol w:w="111"/>
        <w:gridCol w:w="111"/>
        <w:gridCol w:w="236"/>
        <w:gridCol w:w="236"/>
        <w:gridCol w:w="431"/>
        <w:gridCol w:w="110"/>
        <w:gridCol w:w="110"/>
        <w:gridCol w:w="110"/>
        <w:gridCol w:w="110"/>
        <w:gridCol w:w="110"/>
        <w:gridCol w:w="110"/>
        <w:gridCol w:w="425"/>
        <w:gridCol w:w="426"/>
        <w:gridCol w:w="178"/>
        <w:gridCol w:w="115"/>
        <w:gridCol w:w="115"/>
        <w:gridCol w:w="115"/>
        <w:gridCol w:w="364"/>
        <w:gridCol w:w="365"/>
        <w:gridCol w:w="178"/>
        <w:gridCol w:w="115"/>
        <w:gridCol w:w="115"/>
        <w:gridCol w:w="115"/>
        <w:gridCol w:w="115"/>
        <w:gridCol w:w="109"/>
        <w:gridCol w:w="233"/>
        <w:gridCol w:w="233"/>
        <w:gridCol w:w="497"/>
      </w:tblGrid>
      <w:tr>
        <w:trPr/>
        <w:tc>
          <w:tcPr>
            <w:tcW w:w="91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2784" w:type="dxa"/>
            <w:gridSpan w:val="14"/>
            <w:tcBorders/>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43" w:type="dxa"/>
            <w:gridSpan w:val="20"/>
            <w:tcBorders/>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7871" w:type="dxa"/>
            <w:gridSpan w:val="38"/>
            <w:tcBorders/>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2784" w:type="dxa"/>
            <w:gridSpan w:val="14"/>
            <w:tcBorders/>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43" w:type="dxa"/>
            <w:gridSpan w:val="20"/>
            <w:tcBorders/>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7871" w:type="dxa"/>
            <w:gridSpan w:val="38"/>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w:t>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3"/>
            <w:vMerge w:val="continue"/>
            <w:tcBorders/>
            <w:tcMar>
              <w:top w:w="0" w:type="dxa"/>
              <w:left w:w="0" w:type="dxa"/>
              <w:bottom w:w="0" w:type="dxa"/>
              <w:right w:w="0" w:type="dxa"/>
            </w:tcMar>
            <w:vAlign w:val="center"/>
          </w:tcPr>
          <w:p>
            <w:pPr>
              <w:pStyle w:val="Normal"/>
              <w:bidi w:val="0"/>
              <w:jc w:val="left"/>
              <w:rPr/>
            </w:pPr>
            <w:r>
              <w:rPr/>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$5,691</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25.3</w:t>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$12,970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43.0</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Milan Cortina Olympics</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1,420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Super Bowl</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758</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FIFA World Cup</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 excluding Olympics, Super Bowl and FIFA World Cup</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$5,250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15.6</w:t>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$10,352</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$9,069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14.1</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3" w:type="dxa"/>
            <w:gridSpan w:val="37"/>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sans-serif" w:hAnsi="Helvetica;sans-serif"/>
                <w:b/>
                <w:sz w:val="21"/>
              </w:rPr>
              <w:br/>
            </w:r>
            <w:r>
              <w:rPr>
                <w:rFonts w:ascii="Helvetica;sans-serif" w:hAnsi="Helvetica;sans-serif"/>
                <w:b/>
                <w:color w:val="828282"/>
                <w:sz w:val="21"/>
              </w:rPr>
              <w:t>Reconciliation of Media Domestic Advertising Revenue Excluding Olympics, Super Bowl and FIFA World Cup (Unaudited)</w:t>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w:t>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3"/>
            <w:vMerge w:val="continue"/>
            <w:tcBorders/>
            <w:tcMar>
              <w:top w:w="0" w:type="dxa"/>
              <w:left w:w="0" w:type="dxa"/>
              <w:bottom w:w="0" w:type="dxa"/>
              <w:right w:w="0" w:type="dxa"/>
            </w:tcMar>
            <w:vAlign w:val="center"/>
          </w:tcPr>
          <w:p>
            <w:pPr>
              <w:pStyle w:val="Normal"/>
              <w:bidi w:val="0"/>
              <w:jc w:val="left"/>
              <w:rPr/>
            </w:pPr>
            <w:r>
              <w:rPr/>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$2,163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$1,395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55.0</w:t>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$5,616</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$2,863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96.2</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Milan Cortina Olympics</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1,159</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Super Bowl</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758</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2026 FIFA World Cup</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440</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 excluding Olympics, Super Bowl and FIFA World Cup</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$1,723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$1,395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23.5</w:t>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$3,259</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$2,863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13.8</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3"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Media Domestic Distribution Revenue Excluding Olympics (Unaudited)</w:t>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w:t>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15"/>
            <w:vMerge w:val="continue"/>
            <w:tcBorders/>
            <w:tcMar>
              <w:top w:w="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3"/>
            <w:vMerge w:val="continue"/>
            <w:tcBorders/>
            <w:tcMar>
              <w:top w:w="0" w:type="dxa"/>
              <w:left w:w="0" w:type="dxa"/>
              <w:bottom w:w="0" w:type="dxa"/>
              <w:right w:w="0" w:type="dxa"/>
            </w:tcMar>
            <w:vAlign w:val="center"/>
          </w:tcPr>
          <w:p>
            <w:pPr>
              <w:pStyle w:val="Normal"/>
              <w:bidi w:val="0"/>
              <w:jc w:val="left"/>
              <w:rPr/>
            </w:pPr>
            <w:r>
              <w:rPr/>
            </w:r>
          </w:p>
        </w:tc>
        <w:tc>
          <w:tcPr>
            <w:tcW w:w="1072" w:type="dxa"/>
            <w:gridSpan w:val="4"/>
            <w:tcBorders/>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$1,993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22.1</w:t>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$4,276</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$3,299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29.6</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Milan Cortina Olympics</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262</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 excluding Olympics</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$1,993</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22.1</w:t>
            </w:r>
          </w:p>
        </w:tc>
        <w:tc>
          <w:tcPr>
            <w:tcW w:w="43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$4,014</w:t>
            </w: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$3,299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21.7</w:t>
            </w:r>
          </w:p>
        </w:tc>
        <w:tc>
          <w:tcPr>
            <w:tcW w:w="497"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18</w:t>
                      </w:r>
                    </w:p>
                  </w:txbxContent>
                </v:textbox>
                <w10:wrap type="none"/>
              </v:rect>
            </w:pict>
          </mc:Fallback>
        </mc:AlternateContent>
      </w:r>
    </w:p>
    <w:tbl>
      <w:tblPr>
        <w:tblW w:w="8589" w:type="dxa"/>
        <w:jc w:val="left"/>
        <w:tblInd w:w="0" w:type="dxa"/>
        <w:tblLayout w:type="fixed"/>
        <w:tblCellMar>
          <w:top w:w="28" w:type="dxa"/>
          <w:left w:w="28" w:type="dxa"/>
          <w:bottom w:w="28" w:type="dxa"/>
          <w:right w:w="28" w:type="dxa"/>
        </w:tblCellMar>
      </w:tblPr>
      <w:tblGrid>
        <w:gridCol w:w="358"/>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205"/>
        <w:gridCol w:w="205"/>
        <w:gridCol w:w="205"/>
        <w:gridCol w:w="205"/>
        <w:gridCol w:w="205"/>
        <w:gridCol w:w="205"/>
        <w:gridCol w:w="205"/>
        <w:gridCol w:w="205"/>
        <w:gridCol w:w="29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restart"/>
            <w:tcBorders>
              <w:bottom w:val="single" w:sz="8" w:space="0" w:color="004EA8"/>
            </w:tcBorders>
            <w:tcMar>
              <w:top w:w="0" w:type="dxa"/>
              <w:left w:w="0" w:type="dxa"/>
              <w:right w:w="0" w:type="dxa"/>
            </w:tcMar>
            <w:vAlign w:val="center"/>
          </w:tcPr>
          <w:p>
            <w:pPr>
              <w:pStyle w:val="TableContents"/>
              <w:bidi w:val="0"/>
              <w:spacing w:before="0" w:after="0"/>
              <w:jc w:val="right"/>
              <w:rPr/>
            </w:pPr>
            <w:r>
              <w:rPr/>
              <w:drawing>
                <wp:inline distT="0" distB="0" distL="0" distR="0">
                  <wp:extent cx="1143000" cy="4572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1143000" cy="457200"/>
                          </a:xfrm>
                          <a:prstGeom prst="rect">
                            <a:avLst/>
                          </a:prstGeom>
                        </pic:spPr>
                      </pic:pic>
                    </a:graphicData>
                  </a:graphic>
                </wp:inline>
              </w:drawing>
            </w:r>
          </w:p>
        </w:tc>
      </w:tr>
      <w:tr>
        <w:trPr/>
        <w:tc>
          <w:tcPr>
            <w:tcW w:w="665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8</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6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r>
        <w:trPr/>
        <w:tc>
          <w:tcPr>
            <w:tcW w:w="6658" w:type="dxa"/>
            <w:gridSpan w:val="21"/>
            <w:tcBorders>
              <w:bottom w:val="single" w:sz="8" w:space="0" w:color="004EA8"/>
            </w:tcBorders>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Pro Forma Consolidated Revenue (Unaudited)</w:t>
            </w:r>
          </w:p>
        </w:tc>
        <w:tc>
          <w:tcPr>
            <w:tcW w:w="1931" w:type="dxa"/>
            <w:gridSpan w:val="9"/>
            <w:vMerge w:val="continue"/>
            <w:tcBorders>
              <w:bottom w:val="single" w:sz="8" w:space="0" w:color="004EA8"/>
            </w:tcBorders>
            <w:tcMar>
              <w:top w:w="0" w:type="dxa"/>
              <w:left w:w="0" w:type="dxa"/>
              <w:right w:w="0" w:type="dxa"/>
            </w:tcMar>
            <w:vAlign w:val="center"/>
          </w:tcPr>
          <w:p>
            <w:pPr>
              <w:pStyle w:val="Normal"/>
              <w:bidi w:val="0"/>
              <w:jc w:val="left"/>
              <w:rPr/>
            </w:pPr>
            <w:r>
              <w:rPr/>
            </w:r>
          </w:p>
        </w:tc>
      </w:tr>
    </w:tbl>
    <w:p>
      <w:pPr>
        <w:pStyle w:val="TextBody"/>
        <w:bidi w:val="0"/>
        <w:spacing w:before="0" w:after="0"/>
        <w:jc w:val="left"/>
        <w:rPr/>
      </w:pPr>
      <w:r>
        <w:rPr/>
      </w:r>
    </w:p>
    <w:tbl>
      <w:tblPr>
        <w:tblW w:w="10215" w:type="dxa"/>
        <w:jc w:val="left"/>
        <w:tblInd w:w="0" w:type="dxa"/>
        <w:tblLayout w:type="fixed"/>
        <w:tblCellMar>
          <w:top w:w="28" w:type="dxa"/>
          <w:left w:w="28" w:type="dxa"/>
          <w:bottom w:w="28" w:type="dxa"/>
          <w:right w:w="28" w:type="dxa"/>
        </w:tblCellMar>
      </w:tblPr>
      <w:tblGrid>
        <w:gridCol w:w="935"/>
        <w:gridCol w:w="386"/>
        <w:gridCol w:w="390"/>
        <w:gridCol w:w="109"/>
        <w:gridCol w:w="109"/>
        <w:gridCol w:w="109"/>
        <w:gridCol w:w="420"/>
        <w:gridCol w:w="421"/>
        <w:gridCol w:w="176"/>
        <w:gridCol w:w="109"/>
        <w:gridCol w:w="109"/>
        <w:gridCol w:w="109"/>
        <w:gridCol w:w="413"/>
        <w:gridCol w:w="413"/>
        <w:gridCol w:w="176"/>
        <w:gridCol w:w="109"/>
        <w:gridCol w:w="109"/>
        <w:gridCol w:w="109"/>
        <w:gridCol w:w="262"/>
        <w:gridCol w:w="264"/>
        <w:gridCol w:w="426"/>
        <w:gridCol w:w="109"/>
        <w:gridCol w:w="109"/>
        <w:gridCol w:w="109"/>
        <w:gridCol w:w="109"/>
        <w:gridCol w:w="109"/>
        <w:gridCol w:w="109"/>
        <w:gridCol w:w="420"/>
        <w:gridCol w:w="421"/>
        <w:gridCol w:w="176"/>
        <w:gridCol w:w="109"/>
        <w:gridCol w:w="109"/>
        <w:gridCol w:w="109"/>
        <w:gridCol w:w="413"/>
        <w:gridCol w:w="413"/>
        <w:gridCol w:w="176"/>
        <w:gridCol w:w="109"/>
        <w:gridCol w:w="109"/>
        <w:gridCol w:w="109"/>
        <w:gridCol w:w="109"/>
        <w:gridCol w:w="109"/>
        <w:gridCol w:w="263"/>
        <w:gridCol w:w="263"/>
        <w:gridCol w:w="481"/>
      </w:tblGrid>
      <w:tr>
        <w:trPr/>
        <w:tc>
          <w:tcPr>
            <w:tcW w:w="93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20"/>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4" w:type="dxa"/>
            <w:gridSpan w:val="26"/>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8504" w:type="dxa"/>
            <w:gridSpan w:val="41"/>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5" w:type="dxa"/>
            <w:gridSpan w:val="20"/>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4" w:type="dxa"/>
            <w:gridSpan w:val="26"/>
            <w:tcBorders/>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8504" w:type="dxa"/>
            <w:gridSpan w:val="41"/>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w:t>
            </w:r>
          </w:p>
        </w:tc>
        <w:tc>
          <w:tcPr>
            <w:tcW w:w="1116"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continue"/>
            <w:tcBorders/>
            <w:tcMar>
              <w:top w:w="0" w:type="dxa"/>
              <w:left w:w="0" w:type="dxa"/>
              <w:bottom w:w="0" w:type="dxa"/>
              <w:right w:w="0" w:type="dxa"/>
            </w:tcMar>
            <w:vAlign w:val="center"/>
          </w:tcPr>
          <w:p>
            <w:pPr>
              <w:pStyle w:val="Normal"/>
              <w:bidi w:val="0"/>
              <w:jc w:val="left"/>
              <w:rPr/>
            </w:pPr>
            <w:r>
              <w:rPr/>
            </w:r>
          </w:p>
        </w:tc>
        <w:tc>
          <w:tcPr>
            <w:tcW w:w="1116"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$29,940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$30,313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$61,396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$60,199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Versant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1,770 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3,539 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Sky operations in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384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966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 Forma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$29,568</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$28,249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4.7 </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$60,460</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$56,114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40"/>
            <w:tcBorders/>
            <w:tcMar>
              <w:top w:w="0" w:type="dxa"/>
              <w:left w:w="0" w:type="dxa"/>
              <w:bottom w:w="0" w:type="dxa"/>
              <w:right w:w="0" w:type="dxa"/>
            </w:tcMar>
            <w:vAlign w:val="center"/>
          </w:tcPr>
          <w:p>
            <w:pPr>
              <w:pStyle w:val="TableContents"/>
              <w:bidi w:val="0"/>
              <w:spacing w:lineRule="auto" w:line="240" w:before="0" w:after="283"/>
              <w:jc w:val="left"/>
              <w:rPr/>
            </w:pPr>
            <w:r>
              <w:rPr>
                <w:rFonts w:ascii="Helvetica;sans-serif" w:hAnsi="Helvetica;sans-serif"/>
                <w:b/>
                <w:sz w:val="21"/>
              </w:rPr>
              <w:br/>
            </w:r>
            <w:r>
              <w:rPr>
                <w:rFonts w:ascii="Helvetica;sans-serif" w:hAnsi="Helvetica;sans-serif"/>
                <w:b/>
                <w:color w:val="828282"/>
                <w:sz w:val="21"/>
              </w:rPr>
              <w:t>Reconciliation of Pro Forma Consolidated Adjusted EBITDA (Unaudited)</w:t>
            </w:r>
          </w:p>
        </w:tc>
        <w:tc>
          <w:tcPr>
            <w:tcW w:w="1116"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4E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Six Months Ended</w:t>
              <w:br/>
              <w:t>June 30,</w:t>
            </w:r>
          </w:p>
        </w:tc>
        <w:tc>
          <w:tcPr>
            <w:tcW w:w="1116"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8"/>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3"/>
            <w:vMerge w:val="continue"/>
            <w:tcBorders/>
            <w:tcMar>
              <w:top w:w="0" w:type="dxa"/>
              <w:left w:w="0" w:type="dxa"/>
              <w:bottom w:w="0" w:type="dxa"/>
              <w:right w:w="0" w:type="dxa"/>
            </w:tcMar>
            <w:vAlign w:val="center"/>
          </w:tcPr>
          <w:p>
            <w:pPr>
              <w:pStyle w:val="Normal"/>
              <w:bidi w:val="0"/>
              <w:jc w:val="left"/>
              <w:rPr/>
            </w:pPr>
            <w:r>
              <w:rPr/>
            </w:r>
          </w:p>
        </w:tc>
        <w:tc>
          <w:tcPr>
            <w:tcW w:w="1116" w:type="dxa"/>
            <w:gridSpan w:val="4"/>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Change</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$3,526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$11,123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$5,699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$14,498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(107)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(254)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1,194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3,603 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1,899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4,799 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1,052</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1,105 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2,146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(503)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(9,760)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(195)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(9,644)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2,391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2,349 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4,724</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4,580 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1,297</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1,805 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2,829</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3,423 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 costs</w:t>
            </w:r>
            <w:r>
              <w:rPr>
                <w:rFonts w:ascii="Helvetica;sans-serif" w:hAnsi="Helvetica;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51</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Transaction-related costs</w:t>
            </w:r>
            <w:r>
              <w:rPr>
                <w:rFonts w:ascii="Helvetica;sans-serif" w:hAnsi="Helvetica;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 xml:space="preserve">Other adjustments </w:t>
            </w:r>
            <w:r>
              <w:rPr>
                <w:rFonts w:ascii="Helvetica;sans-serif" w:hAnsi="Helvetica;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55</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(68)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$8,902</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$10,283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w:t>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$16,831</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$19,815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(15.1</w:t>
            </w:r>
          </w:p>
        </w:tc>
        <w:tc>
          <w:tcPr>
            <w:tcW w:w="48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Versant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1,623 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Sky operations in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(59)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Pro Forma Consolidated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$8,923</w:t>
            </w:r>
            <w:r>
              <w:rPr>
                <w:color w:val="000000"/>
              </w:rPr>
              <w:t>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$9,423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(5.3)</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$16,890</w:t>
            </w:r>
            <w:r>
              <w:rPr>
                <w:color w:val="000000"/>
              </w:rPr>
              <w:t>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$18,118 </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r>
    </w:tbl>
    <w:p>
      <w:pPr>
        <w:pStyle w:val="TextBody"/>
        <w:bidi w:val="0"/>
        <w:spacing w:before="0" w:after="120"/>
        <w:ind w:left="0" w:right="0" w:firstLine="90"/>
        <w:jc w:val="left"/>
        <w:rPr/>
      </w:pPr>
      <w:r>
        <w:rPr/>
      </w:r>
    </w:p>
    <w:p>
      <w:pPr>
        <w:pStyle w:val="TextBody"/>
        <w:bidi w:val="0"/>
        <w:spacing w:lineRule="auto" w:line="288" w:before="0" w:after="120"/>
        <w:ind w:left="0" w:right="0" w:hanging="270"/>
        <w:jc w:val="left"/>
        <w:rPr>
          <w:rFonts w:ascii="Helvetica;sans-serif" w:hAnsi="Helvetica;sans-serif"/>
          <w:b w:val="false"/>
          <w:color w:val="000000"/>
          <w:sz w:val="16"/>
        </w:rPr>
      </w:pPr>
      <w:r>
        <w:rPr>
          <w:rFonts w:ascii="Helvetica;sans-serif" w:hAnsi="Helvetica;sans-serif"/>
          <w:b w:val="false"/>
          <w:color w:val="000000"/>
          <w:sz w:val="16"/>
        </w:rPr>
        <w:t xml:space="preserve">(1)Transaction costs are incremental costs directly related to effectuating the Versant Separation and primarily include advisory, legal and audit fees, as well as legal entity separation costs. Transaction-related costs are incremental costs incurred related to the Versant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 </w:t>
      </w:r>
    </w:p>
    <w:p>
      <w:pPr>
        <w:pStyle w:val="TextBody"/>
        <w:bidi w:val="0"/>
        <w:spacing w:lineRule="auto" w:line="288" w:before="0" w:after="120"/>
        <w:ind w:left="0" w:right="0" w:hanging="270"/>
        <w:jc w:val="left"/>
        <w:rPr>
          <w:rFonts w:ascii="Helvetica;sans-serif" w:hAnsi="Helvetica;sans-serif"/>
          <w:b w:val="false"/>
          <w:color w:val="000000"/>
          <w:sz w:val="16"/>
        </w:rPr>
      </w:pPr>
      <w:r>
        <w:rPr>
          <w:rFonts w:ascii="Helvetica;sans-serif" w:hAnsi="Helvetica;sans-serif"/>
          <w:b w:val="false"/>
          <w:color w:val="000000"/>
          <w:sz w:val="16"/>
        </w:rPr>
        <w:t>(2)Amounts represent the impact of certain other events, gains, losses or other charges that are excluded from Adjusted EBITDA. The three and six months ended June 30, 2026 include costs related to our investment portfolio and certain share-based compensation expenses. The six months ended June 30, 2026 also include a gain related to a legal settlement. The three and six months ended June 30, 2025 include certain costs related to our investment portfolio.</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19</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18"/>
        </w:rPr>
      </w:pPr>
      <w:r>
        <w:rPr>
          <w:rFonts w:ascii="Helvetica;sans-serif" w:hAnsi="Helvetica;sans-serif"/>
          <w:b/>
          <w:color w:val="000000"/>
          <w:sz w:val="18"/>
        </w:rPr>
        <w:t>Exhibit 99.2</w:t>
      </w:r>
    </w:p>
    <w:p>
      <w:pPr>
        <w:pStyle w:val="TextBody"/>
        <w:bidi w:val="0"/>
        <w:spacing w:lineRule="auto" w:line="288" w:before="1" w:after="283"/>
        <w:jc w:val="left"/>
        <w:rPr>
          <w:color w:val="000000"/>
        </w:rPr>
      </w:pPr>
      <w:r>
        <w:rPr>
          <w:color w:val="000000"/>
        </w:rPr>
        <w:t> </w:t>
      </w:r>
    </w:p>
    <w:p>
      <w:pPr>
        <w:pStyle w:val="TextBody"/>
        <w:bidi w:val="0"/>
        <w:spacing w:lineRule="auto" w:line="288" w:before="1" w:after="283"/>
        <w:jc w:val="both"/>
        <w:rPr>
          <w:rFonts w:ascii="Helvetica;sans-serif" w:hAnsi="Helvetica;sans-serif"/>
          <w:b/>
          <w:color w:val="000000"/>
          <w:sz w:val="18"/>
        </w:rPr>
      </w:pPr>
      <w:r>
        <w:rPr>
          <w:rFonts w:ascii="Helvetica;sans-serif" w:hAnsi="Helvetica;sans-serif"/>
          <w:b/>
          <w:color w:val="000000"/>
          <w:sz w:val="18"/>
        </w:rPr>
        <w:t>Exhibit 99.2 - Explanation of Non-GAAP and Other Financial Measures</w:t>
      </w:r>
    </w:p>
    <w:p>
      <w:pPr>
        <w:pStyle w:val="TextBody"/>
        <w:bidi w:val="0"/>
        <w:spacing w:lineRule="auto" w:line="288" w:before="1" w:after="283"/>
        <w:jc w:val="both"/>
        <w:rPr>
          <w:color w:val="000000"/>
        </w:rPr>
      </w:pPr>
      <w:r>
        <w:rPr>
          <w:color w:val="000000"/>
        </w:rPr>
        <w:t> </w:t>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pStyle w:val="TextBody"/>
        <w:bidi w:val="0"/>
        <w:spacing w:before="0" w:after="0"/>
        <w:jc w:val="both"/>
        <w:rPr/>
      </w:pPr>
      <w:r>
        <w:rPr/>
      </w:r>
    </w:p>
    <w:p>
      <w:pPr>
        <w:pStyle w:val="TextBody"/>
        <w:bidi w:val="0"/>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Adjusted EBITDA</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We also use Adjusted EBITDA as the measure of profit or loss for our segments. Our measure of Adjusted EBITDA for our segments is not a non-GAAP financial measure under rules promulgated by the Securities and Exchange Commission. </w:t>
      </w:r>
    </w:p>
    <w:p>
      <w:pPr>
        <w:pStyle w:val="TextBody"/>
        <w:bidi w:val="0"/>
        <w:spacing w:before="0" w:after="0"/>
        <w:jc w:val="both"/>
        <w:rPr/>
      </w:pPr>
      <w:r>
        <w:rPr/>
      </w:r>
    </w:p>
    <w:p>
      <w:pPr>
        <w:pStyle w:val="TextBody"/>
        <w:bidi w:val="0"/>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Adjusted Net Income and Adjusted EPS</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Helvetica;sans-serif" w:hAnsi="Helvetica;sans-serif"/>
          <w:b w:val="false"/>
          <w:i/>
          <w:color w:val="000000"/>
          <w:sz w:val="18"/>
        </w:rPr>
        <w:t>Business Combinations</w:t>
      </w:r>
      <w:r>
        <w:rPr>
          <w:color w:val="000000"/>
        </w:rPr>
        <w:t xml:space="preserve"> </w:t>
      </w:r>
      <w:r>
        <w:rPr>
          <w:rFonts w:ascii="Helvetica;sans-serif" w:hAnsi="Helvetica;sans-serif"/>
          <w:b w:val="false"/>
          <w:color w:val="000000"/>
          <w:sz w:val="18"/>
        </w:rPr>
        <w:t xml:space="preserve">(such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Helvetica;sans-serif" w:hAnsi="Helvetica;sans-serif"/>
          <w:b w:val="false"/>
          <w:i/>
          <w:color w:val="000000"/>
          <w:sz w:val="18"/>
        </w:rPr>
        <w:t>Investments-Equity Securities</w:t>
      </w:r>
      <w:r>
        <w:rPr>
          <w:rFonts w:ascii="Helvetica;sans-serif" w:hAnsi="Helvetica;sans-serif"/>
          <w:b w:val="false"/>
          <w:color w:val="000000"/>
          <w:sz w:val="18"/>
        </w:rPr>
        <w:t xml:space="preserve">, as well as certain investments accounted for under ASC 323, </w:t>
      </w:r>
      <w:r>
        <w:rPr>
          <w:rFonts w:ascii="Helvetica;sans-serif" w:hAnsi="Helvetica;sans-serif"/>
          <w:b w:val="false"/>
          <w:i/>
          <w:color w:val="000000"/>
          <w:sz w:val="18"/>
        </w:rPr>
        <w:t xml:space="preserve">Investments-Equity Method and Joint </w:t>
      </w:r>
      <w:r>
        <w:rPr>
          <w:rFonts w:ascii="Helvetica;sans-serif" w:hAnsi="Helvetica;sans-serif"/>
          <w:b w:val="false"/>
          <w:color w:val="000000"/>
          <w:sz w:val="18"/>
        </w:rPr>
        <w:t>Ventures.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color w:val="000000"/>
          <w:sz w:val="18"/>
        </w:rPr>
      </w:pPr>
      <w:r>
        <w:rPr>
          <w:rFonts w:ascii="Helvetica;sans-serif" w:hAnsi="Helvetica;sans-serif"/>
          <w:b/>
          <w:color w:val="000000"/>
          <w:sz w:val="18"/>
        </w:rPr>
        <w:t>Exhibit 99.2 - Explanation of Non-GAAP and Other Financial Measures, cont’d</w:t>
      </w:r>
    </w:p>
    <w:p>
      <w:pPr>
        <w:pStyle w:val="TextBody"/>
        <w:bidi w:val="0"/>
        <w:spacing w:before="0" w:after="0"/>
        <w:jc w:val="both"/>
        <w:rPr/>
      </w:pPr>
      <w:r>
        <w:rPr/>
      </w:r>
    </w:p>
    <w:p>
      <w:pPr>
        <w:pStyle w:val="TextBody"/>
        <w:bidi w:val="0"/>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Free Cash Flow</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  </w:t>
      </w:r>
    </w:p>
    <w:p>
      <w:pPr>
        <w:pStyle w:val="TextBody"/>
        <w:bidi w:val="0"/>
        <w:spacing w:before="0" w:after="0"/>
        <w:jc w:val="both"/>
        <w:rPr/>
      </w:pPr>
      <w:r>
        <w:rPr/>
      </w:r>
    </w:p>
    <w:p>
      <w:pPr>
        <w:pStyle w:val="TextBody"/>
        <w:bidi w:val="0"/>
        <w:spacing w:lineRule="auto" w:line="276" w:before="0" w:after="0"/>
        <w:jc w:val="both"/>
        <w:rPr>
          <w:rFonts w:ascii="Helvetica;sans-serif" w:hAnsi="Helvetica;sans-serif"/>
          <w:b w:val="false"/>
          <w:color w:val="000000"/>
          <w:sz w:val="18"/>
        </w:rPr>
      </w:pPr>
      <w:r>
        <w:rPr>
          <w:rFonts w:ascii="Helvetica;sans-serif" w:hAnsi="Helvetica;sans-serif"/>
          <w:b w:val="false"/>
          <w:color w:val="000000"/>
          <w:sz w:val="18"/>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Constant Currency</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 </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Other Adjustments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pStyle w:val="TextBody"/>
        <w:bidi w:val="0"/>
        <w:spacing w:lineRule="auto" w:line="288" w:before="1" w:after="283"/>
        <w:jc w:val="both"/>
        <w:rPr>
          <w:color w:val="000000"/>
        </w:rPr>
      </w:pPr>
      <w:r>
        <w:rPr>
          <w:color w:val="000000"/>
        </w:rPr>
        <w:t> </w:t>
      </w:r>
    </w:p>
    <w:p>
      <w:pPr>
        <w:pStyle w:val="TextBody"/>
        <w:bidi w:val="0"/>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Pro Forma Information Related to the Versant Separation and the Sale of Sky operations in Germany</w:t>
      </w:r>
    </w:p>
    <w:p>
      <w:pPr>
        <w:pStyle w:val="TextBody"/>
        <w:bidi w:val="0"/>
        <w:spacing w:before="0" w:after="0"/>
        <w:jc w:val="both"/>
        <w:rPr/>
      </w:pPr>
      <w:r>
        <w:rPr/>
      </w:r>
    </w:p>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Pro forma financial measures presented related to the separation of Versant Media Group, Inc. (“Versant”), which was completed on January 2, 2026, resulting in Versant becoming an independent, publicly traded company (the “Versant Separation”), and to the sale of Sky operations in Germany, which was completed on May 31, 2026 (the "Sale"), are non-GAAP financial measures and are presented as if the Versant Separation and the Sale had both occurred on January 1, 2024. We believe this pro forma information is useful to investors as it enhances comparability of financial information between periods and provides useful information for assessing trends in our ongoing operations. The pro forma information is primarily based on historical results of operations and includes pro forma adjustments in accordance with Article 11 of Regulation S-X that are directly attributable to the Versant Separation and the Sale. For the Versant Separation, this includes adjustments related to the commercial services agreement for the sale and use of Versant’s advertising and promotional inventory. This pro forma information is not necessarily indicative of future results.</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8998</Words>
  <Characters>51922</Characters>
  <CharactersWithSpaces>59737</CharactersWithSpaces>
  <Paragraphs>1830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