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740"/>
        <w:gridCol w:w="1519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42.01</w:t>
            </w:r>
            <w:r>
              <w:rPr/>
              <w:t xml:space="preserve"> </w:t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180,000.5204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20,000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Trust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has elected to notionally reinvest previously deferred compensation into another deferred compensation plan investment, which will settle in shares of Class A Common Stock.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05/25/2022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4719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550</Words>
  <CharactersWithSpaces>3509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