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333-212719</w:t>
      </w:r>
    </w:p>
    <w:p>
      <w:pPr>
        <w:spacing w:after="0" w:line="144" w:lineRule="exact"/>
        <w:rPr>
          <w:sz w:val="24"/>
          <w:szCs w:val="24"/>
          <w:color w:val="auto"/>
        </w:rPr>
      </w:pPr>
    </w:p>
    <w:p>
      <w:pPr>
        <w:ind w:right="60"/>
        <w:spacing w:after="0" w:line="275" w:lineRule="auto"/>
        <w:rPr>
          <w:sz w:val="20"/>
          <w:szCs w:val="20"/>
          <w:color w:val="auto"/>
        </w:rPr>
      </w:pPr>
      <w:r>
        <w:rPr>
          <w:rFonts w:ascii="Arial" w:cs="Arial" w:eastAsia="Arial" w:hAnsi="Arial"/>
          <w:sz w:val="16"/>
          <w:szCs w:val="16"/>
          <w:b w:val="1"/>
          <w:bCs w:val="1"/>
          <w:color w:val="FF4338"/>
        </w:rPr>
        <w:t>The information in this preliminary prospectus supplement is not complete and may be changed. This preliminary prospectus supplement and the accompanying prospectus are part of an effective registration statement filed with the Securities and Exchange Commission under the Securities Act of 1933. This preliminary prospectus supplement and the accompanying prospectus are neither offers to sell these securities nor solicitations of offers to buy these securities in any jurisdiction where such offer or sale is not permitted.</w:t>
      </w:r>
    </w:p>
    <w:p>
      <w:pPr>
        <w:spacing w:after="0" w:line="107" w:lineRule="exact"/>
        <w:rPr>
          <w:sz w:val="24"/>
          <w:szCs w:val="24"/>
          <w:color w:val="auto"/>
        </w:rPr>
      </w:pPr>
    </w:p>
    <w:p>
      <w:pPr>
        <w:spacing w:after="0"/>
        <w:rPr>
          <w:sz w:val="20"/>
          <w:szCs w:val="20"/>
          <w:color w:val="auto"/>
        </w:rPr>
      </w:pPr>
      <w:r>
        <w:rPr>
          <w:rFonts w:ascii="Arial" w:cs="Arial" w:eastAsia="Arial" w:hAnsi="Arial"/>
          <w:sz w:val="14"/>
          <w:szCs w:val="14"/>
          <w:b w:val="1"/>
          <w:bCs w:val="1"/>
          <w:color w:val="FF4338"/>
        </w:rPr>
        <w:t>SUBJECT TO COMPLETION, DATED FEBRUARY 15, 2017</w:t>
      </w:r>
    </w:p>
    <w:p>
      <w:pPr>
        <w:spacing w:after="0" w:line="1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PROSPECTUS SUPPLEMENT</w:t>
      </w: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(To prospectus dated July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53975</wp:posOffset>
            </wp:positionV>
            <wp:extent cx="1397635"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ind w:left="3860"/>
        <w:spacing w:after="0"/>
        <w:tabs>
          <w:tab w:leader="none" w:pos="546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 Notes due 2047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146050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05" w:lineRule="exact"/>
        <w:rPr>
          <w:sz w:val="24"/>
          <w:szCs w:val="24"/>
          <w:color w:val="auto"/>
        </w:rPr>
      </w:pPr>
    </w:p>
    <w:p>
      <w:pPr>
        <w:ind w:left="360"/>
        <w:spacing w:after="0"/>
        <w:tabs>
          <w:tab w:leader="none" w:pos="2020" w:val="left"/>
          <w:tab w:leader="none" w:pos="2340" w:val="left"/>
          <w:tab w:leader="none" w:pos="6900" w:val="left"/>
        </w:tabs>
        <w:rPr>
          <w:sz w:val="20"/>
          <w:szCs w:val="20"/>
          <w:color w:val="auto"/>
        </w:rPr>
      </w:pPr>
      <w:r>
        <w:rPr>
          <w:rFonts w:ascii="Arial" w:cs="Arial" w:eastAsia="Arial" w:hAnsi="Arial"/>
          <w:sz w:val="15"/>
          <w:szCs w:val="15"/>
          <w:color w:val="auto"/>
        </w:rPr>
        <w:t>We are offering U.S. $</w:t>
      </w:r>
      <w:r>
        <w:rPr>
          <w:sz w:val="20"/>
          <w:szCs w:val="20"/>
          <w:color w:val="auto"/>
        </w:rPr>
        <w:tab/>
      </w:r>
      <w:r>
        <w:rPr>
          <w:rFonts w:ascii="Arial" w:cs="Arial" w:eastAsia="Arial" w:hAnsi="Arial"/>
          <w:sz w:val="15"/>
          <w:szCs w:val="15"/>
          <w:color w:val="auto"/>
        </w:rPr>
        <w:t>of</w:t>
        <w:tab/>
        <w:t>% Notes due 2047 (the “notes”). The notes will bear interest at a rate of</w:t>
      </w:r>
      <w:r>
        <w:rPr>
          <w:sz w:val="20"/>
          <w:szCs w:val="20"/>
          <w:color w:val="auto"/>
        </w:rPr>
        <w:tab/>
      </w:r>
      <w:r>
        <w:rPr>
          <w:rFonts w:ascii="Arial" w:cs="Arial" w:eastAsia="Arial" w:hAnsi="Arial"/>
          <w:sz w:val="13"/>
          <w:szCs w:val="13"/>
          <w:color w:val="auto"/>
        </w:rPr>
        <w:t>% per year and will mature on March 15, 2047 unless earlier redeemed.</w:t>
      </w:r>
    </w:p>
    <w:p>
      <w:pPr>
        <w:spacing w:after="0" w:line="2" w:lineRule="exact"/>
        <w:rPr>
          <w:sz w:val="24"/>
          <w:szCs w:val="24"/>
          <w:color w:val="auto"/>
        </w:rPr>
      </w:pPr>
    </w:p>
    <w:p>
      <w:pPr>
        <w:spacing w:after="0"/>
        <w:rPr>
          <w:sz w:val="20"/>
          <w:szCs w:val="20"/>
          <w:color w:val="auto"/>
        </w:rPr>
      </w:pPr>
      <w:r>
        <w:rPr>
          <w:rFonts w:ascii="Arial" w:cs="Arial" w:eastAsia="Arial" w:hAnsi="Arial"/>
          <w:sz w:val="15"/>
          <w:szCs w:val="15"/>
          <w:color w:val="auto"/>
        </w:rPr>
        <w:t>We will pay interest on the notes on March 15 and September 15 of each year, beginning on September 15, 2017.</w:t>
      </w:r>
    </w:p>
    <w:p>
      <w:pPr>
        <w:spacing w:after="0" w:line="59" w:lineRule="exact"/>
        <w:rPr>
          <w:sz w:val="24"/>
          <w:szCs w:val="24"/>
          <w:color w:val="auto"/>
        </w:rPr>
      </w:pPr>
    </w:p>
    <w:p>
      <w:pPr>
        <w:ind w:right="100" w:firstLine="342"/>
        <w:spacing w:after="0" w:line="236" w:lineRule="auto"/>
        <w:rPr>
          <w:sz w:val="20"/>
          <w:szCs w:val="20"/>
          <w:color w:val="auto"/>
        </w:rPr>
      </w:pPr>
      <w:r>
        <w:rPr>
          <w:rFonts w:ascii="Arial" w:cs="Arial" w:eastAsia="Arial" w:hAnsi="Arial"/>
          <w:sz w:val="15"/>
          <w:szCs w:val="15"/>
          <w:color w:val="auto"/>
        </w:rPr>
        <w:t>We may redeem the notes, in whole but not in part, on each March 15 on or after March 15, 2020 at a redemption price equal to 100% of the principal amount of the notes being redeemed plus accrued and unpaid interest to, but not including, the redemption date. See “Description of Notes—Optional Redemption” on page S-10 of this prospectus supplement. In addition, we may redeem the notes, in whole but not in part, at any time at our option, in the event of certain developments affecting United States taxation. See “Description of Notes— Redemption for Tax Reasons.”</w:t>
      </w:r>
    </w:p>
    <w:p>
      <w:pPr>
        <w:spacing w:after="0" w:line="64" w:lineRule="exact"/>
        <w:rPr>
          <w:sz w:val="24"/>
          <w:szCs w:val="24"/>
          <w:color w:val="auto"/>
        </w:rPr>
      </w:pPr>
    </w:p>
    <w:p>
      <w:pPr>
        <w:ind w:right="440" w:firstLine="342"/>
        <w:spacing w:after="0" w:line="255" w:lineRule="auto"/>
        <w:rPr>
          <w:sz w:val="20"/>
          <w:szCs w:val="20"/>
          <w:color w:val="auto"/>
        </w:rPr>
      </w:pPr>
      <w:r>
        <w:rPr>
          <w:rFonts w:ascii="Arial" w:cs="Arial" w:eastAsia="Arial" w:hAnsi="Arial"/>
          <w:sz w:val="15"/>
          <w:szCs w:val="15"/>
          <w:color w:val="auto"/>
        </w:rPr>
        <w:t>The notes will be unsecured and will rank equally with all of our and the guarantors’ unsecured and unsubordinated indebtedness. The notes will be fully and unconditionally guaranteed by our wholly-owned subsidiaries named in this prospectus supplement and in the accompanying prospectus.</w:t>
      </w:r>
    </w:p>
    <w:p>
      <w:pPr>
        <w:spacing w:after="0" w:line="52" w:lineRule="exact"/>
        <w:rPr>
          <w:sz w:val="24"/>
          <w:szCs w:val="24"/>
          <w:color w:val="auto"/>
        </w:rPr>
      </w:pPr>
    </w:p>
    <w:p>
      <w:pPr>
        <w:ind w:left="360"/>
        <w:spacing w:after="0"/>
        <w:rPr>
          <w:sz w:val="20"/>
          <w:szCs w:val="20"/>
          <w:color w:val="auto"/>
        </w:rPr>
      </w:pPr>
      <w:r>
        <w:rPr>
          <w:rFonts w:ascii="Arial" w:cs="Arial" w:eastAsia="Arial" w:hAnsi="Arial"/>
          <w:sz w:val="15"/>
          <w:szCs w:val="15"/>
          <w:color w:val="auto"/>
        </w:rPr>
        <w:t>There is no sinking fund for the notes. The notes will be issued in minimum denominations of U.S. $100,000 and multiples of U.S. $1,000 in excess thereof.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130175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both"/>
        <w:ind w:right="300" w:firstLine="456"/>
        <w:spacing w:after="0" w:line="266" w:lineRule="auto"/>
        <w:rPr>
          <w:sz w:val="20"/>
          <w:szCs w:val="20"/>
          <w:color w:val="auto"/>
        </w:rPr>
      </w:pPr>
      <w:r>
        <w:rPr>
          <w:rFonts w:ascii="Arial" w:cs="Arial" w:eastAsia="Arial" w:hAnsi="Arial"/>
          <w:sz w:val="18"/>
          <w:szCs w:val="18"/>
          <w:b w:val="1"/>
          <w:bCs w:val="1"/>
          <w:color w:val="auto"/>
        </w:rPr>
        <w:t>Investing in these securities involves certain risks. See “Risk Factors” beginning on page S-6 of this prospectus supplement and “Item 1A— Risk Factors” beginning on page 25 of Comcast Corporation’s (“Comcast”) Annual Report on Form 10-K for the year ended December 31, 2016, which is incorporated by reference herein.</w:t>
      </w:r>
    </w:p>
    <w:p>
      <w:pPr>
        <w:spacing w:after="0" w:line="46" w:lineRule="exact"/>
        <w:rPr>
          <w:sz w:val="24"/>
          <w:szCs w:val="24"/>
          <w:color w:val="auto"/>
        </w:rPr>
      </w:pPr>
    </w:p>
    <w:p>
      <w:pPr>
        <w:ind w:right="520" w:firstLine="342"/>
        <w:spacing w:after="0" w:line="250" w:lineRule="auto"/>
        <w:rPr>
          <w:sz w:val="20"/>
          <w:szCs w:val="20"/>
          <w:color w:val="auto"/>
        </w:rPr>
      </w:pPr>
      <w:r>
        <w:rPr>
          <w:rFonts w:ascii="Arial" w:cs="Arial" w:eastAsia="Arial" w:hAnsi="Arial"/>
          <w:sz w:val="14"/>
          <w:szCs w:val="14"/>
          <w:color w:val="auto"/>
        </w:rPr>
        <w:t>Application will be made to the Taipei Exchange (the “TPEx”) for the listing of, and permission to deal in, the notes by way of debt issues only to “professional institutional investors” as defined under Paragraph 2 of Article 4 of the Financial Consumer Protection Act of the Republic of China (the “ROC”), and such permission is expected to become</w:t>
      </w:r>
    </w:p>
    <w:p>
      <w:pPr>
        <w:spacing w:after="0" w:line="1"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effective on or about , 2017. The TPEx is not responsible for the content of this prospectus supplement or the accompanying prospectus, and no representation is made by the TPEx as to the accuracy or completeness of this prospectus supplement or the accompanying prospectus. The TPEx expressly disclaims any and all liability for any losses arising from, or as a result of the reliance on, all or part of the contents of this prospectus supplement or the accompanying prospectus. Admission to the listing and trading of the notes on the TPEx shall not be taken as an indication of the merits of us or the notes. No assurance can be given that such application will be approved, or that the TPEx listing will be maintained.</w:t>
      </w:r>
    </w:p>
    <w:p>
      <w:pPr>
        <w:spacing w:after="0" w:line="55" w:lineRule="exact"/>
        <w:rPr>
          <w:sz w:val="24"/>
          <w:szCs w:val="24"/>
          <w:color w:val="auto"/>
        </w:rPr>
      </w:pPr>
    </w:p>
    <w:p>
      <w:pPr>
        <w:ind w:right="40" w:firstLine="342"/>
        <w:spacing w:after="0" w:line="249" w:lineRule="auto"/>
        <w:rPr>
          <w:sz w:val="20"/>
          <w:szCs w:val="20"/>
          <w:color w:val="auto"/>
        </w:rPr>
      </w:pPr>
      <w:r>
        <w:rPr>
          <w:rFonts w:ascii="Arial" w:cs="Arial" w:eastAsia="Arial" w:hAnsi="Arial"/>
          <w:sz w:val="14"/>
          <w:szCs w:val="14"/>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overseas or domestic (i)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80" w:type="dxa"/>
            <w:vAlign w:val="bottom"/>
            <w:gridSpan w:val="3"/>
            <w:vMerge w:val="restart"/>
          </w:tcPr>
          <w:p>
            <w:pPr>
              <w:ind w:left="1980"/>
              <w:spacing w:after="0"/>
              <w:rPr>
                <w:sz w:val="20"/>
                <w:szCs w:val="20"/>
                <w:color w:val="auto"/>
              </w:rPr>
            </w:pPr>
            <w:r>
              <w:rPr>
                <w:rFonts w:ascii="Arial" w:cs="Arial" w:eastAsia="Arial" w:hAnsi="Arial"/>
                <w:sz w:val="14"/>
                <w:szCs w:val="14"/>
                <w:b w:val="1"/>
                <w:bCs w:val="1"/>
                <w:color w:val="auto"/>
              </w:rPr>
              <w:t>Price to Investors</w:t>
            </w:r>
          </w:p>
        </w:tc>
        <w:tc>
          <w:tcPr>
            <w:tcW w:w="1800" w:type="dxa"/>
            <w:vAlign w:val="bottom"/>
            <w:gridSpan w:val="3"/>
          </w:tcPr>
          <w:p>
            <w:pPr>
              <w:ind w:left="420"/>
              <w:spacing w:after="0"/>
              <w:rPr>
                <w:sz w:val="20"/>
                <w:szCs w:val="20"/>
                <w:color w:val="auto"/>
              </w:rPr>
            </w:pPr>
            <w:r>
              <w:rPr>
                <w:rFonts w:ascii="Arial" w:cs="Arial" w:eastAsia="Arial" w:hAnsi="Arial"/>
                <w:sz w:val="14"/>
                <w:szCs w:val="14"/>
                <w:b w:val="1"/>
                <w:bCs w:val="1"/>
                <w:color w:val="auto"/>
              </w:rPr>
              <w:t>Underwriting</w:t>
            </w:r>
          </w:p>
        </w:tc>
        <w:tc>
          <w:tcPr>
            <w:tcW w:w="400" w:type="dxa"/>
            <w:vAlign w:val="bottom"/>
          </w:tcPr>
          <w:p>
            <w:pPr>
              <w:spacing w:after="0"/>
              <w:rPr>
                <w:sz w:val="14"/>
                <w:szCs w:val="14"/>
                <w:color w:val="auto"/>
              </w:rPr>
            </w:pPr>
          </w:p>
        </w:tc>
        <w:tc>
          <w:tcPr>
            <w:tcW w:w="1900" w:type="dxa"/>
            <w:vAlign w:val="bottom"/>
            <w:gridSpan w:val="3"/>
          </w:tcPr>
          <w:p>
            <w:pPr>
              <w:ind w:left="120"/>
              <w:spacing w:after="0"/>
              <w:rPr>
                <w:sz w:val="20"/>
                <w:szCs w:val="20"/>
                <w:color w:val="auto"/>
              </w:rPr>
            </w:pPr>
            <w:r>
              <w:rPr>
                <w:rFonts w:ascii="Arial" w:cs="Arial" w:eastAsia="Arial" w:hAnsi="Arial"/>
                <w:sz w:val="14"/>
                <w:szCs w:val="14"/>
                <w:b w:val="1"/>
                <w:bCs w:val="1"/>
                <w:color w:val="auto"/>
              </w:rPr>
              <w:t>Proceeds to Us</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380" w:type="dxa"/>
            <w:vAlign w:val="bottom"/>
            <w:gridSpan w:val="2"/>
          </w:tcPr>
          <w:p>
            <w:pPr>
              <w:jc w:val="right"/>
              <w:ind w:right="503"/>
              <w:spacing w:after="0"/>
              <w:rPr>
                <w:sz w:val="20"/>
                <w:szCs w:val="20"/>
                <w:color w:val="auto"/>
              </w:rPr>
            </w:pPr>
            <w:r>
              <w:rPr>
                <w:rFonts w:ascii="Arial" w:cs="Arial" w:eastAsia="Arial" w:hAnsi="Arial"/>
                <w:sz w:val="14"/>
                <w:szCs w:val="14"/>
                <w:b w:val="1"/>
                <w:bCs w:val="1"/>
                <w:color w:val="auto"/>
                <w:w w:val="92"/>
              </w:rPr>
              <w:t>Commission</w:t>
            </w:r>
          </w:p>
        </w:tc>
        <w:tc>
          <w:tcPr>
            <w:tcW w:w="2300" w:type="dxa"/>
            <w:vAlign w:val="bottom"/>
            <w:gridSpan w:val="4"/>
          </w:tcPr>
          <w:p>
            <w:pPr>
              <w:ind w:left="400"/>
              <w:spacing w:after="0"/>
              <w:rPr>
                <w:sz w:val="20"/>
                <w:szCs w:val="20"/>
                <w:color w:val="auto"/>
              </w:rPr>
            </w:pPr>
            <w:r>
              <w:rPr>
                <w:rFonts w:ascii="Arial" w:cs="Arial" w:eastAsia="Arial" w:hAnsi="Arial"/>
                <w:sz w:val="14"/>
                <w:szCs w:val="14"/>
                <w:b w:val="1"/>
                <w:bCs w:val="1"/>
                <w:color w:val="auto"/>
              </w:rPr>
              <w:t>Before Expenses</w:t>
            </w:r>
            <w:r>
              <w:rPr>
                <w:rFonts w:ascii="Arial" w:cs="Arial" w:eastAsia="Arial" w:hAnsi="Arial"/>
                <w:sz w:val="12"/>
                <w:szCs w:val="12"/>
                <w:b w:val="1"/>
                <w:bCs w:val="1"/>
                <w:color w:val="auto"/>
              </w:rPr>
              <w:t>(2)</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Per note due 2047</w:t>
            </w:r>
            <w:r>
              <w:rPr>
                <w:rFonts w:ascii="Arial" w:cs="Arial" w:eastAsia="Arial" w:hAnsi="Arial"/>
                <w:sz w:val="13"/>
                <w:szCs w:val="13"/>
                <w:color w:val="auto"/>
              </w:rPr>
              <w:t>(1)</w:t>
            </w:r>
          </w:p>
        </w:tc>
        <w:tc>
          <w:tcPr>
            <w:tcW w:w="198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CCEEFF"/>
            </w:tcBorders>
            <w:shd w:val="clear" w:color="auto" w:fill="CCEEFF"/>
          </w:tcPr>
          <w:p>
            <w:pPr>
              <w:jc w:val="right"/>
              <w:ind w:right="323"/>
              <w:spacing w:after="0" w:line="156" w:lineRule="exact"/>
              <w:rPr>
                <w:sz w:val="20"/>
                <w:szCs w:val="20"/>
                <w:color w:val="auto"/>
              </w:rPr>
            </w:pPr>
            <w:r>
              <w:rPr>
                <w:rFonts w:ascii="Arial" w:cs="Arial" w:eastAsia="Arial" w:hAnsi="Arial"/>
                <w:sz w:val="15"/>
                <w:szCs w:val="15"/>
                <w:color w:val="auto"/>
                <w:w w:val="74"/>
              </w:rPr>
              <w:t>%</w:t>
            </w:r>
          </w:p>
        </w:tc>
        <w:tc>
          <w:tcPr>
            <w:tcW w:w="420" w:type="dxa"/>
            <w:vAlign w:val="bottom"/>
            <w:tcBorders>
              <w:top w:val="single" w:sz="8" w:color="CCEEFF"/>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jc w:val="right"/>
              <w:ind w:right="343"/>
              <w:spacing w:after="0" w:line="156" w:lineRule="exact"/>
              <w:rPr>
                <w:sz w:val="20"/>
                <w:szCs w:val="20"/>
                <w:color w:val="auto"/>
              </w:rPr>
            </w:pPr>
            <w:r>
              <w:rPr>
                <w:rFonts w:ascii="Arial" w:cs="Arial" w:eastAsia="Arial" w:hAnsi="Arial"/>
                <w:sz w:val="15"/>
                <w:szCs w:val="15"/>
                <w:color w:val="auto"/>
                <w:w w:val="74"/>
              </w:rPr>
              <w:t>%</w:t>
            </w:r>
          </w:p>
        </w:tc>
        <w:tc>
          <w:tcPr>
            <w:tcW w:w="4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4"/>
              </w:rPr>
              <w:t>%</w:t>
            </w: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20"/>
                <w:szCs w:val="20"/>
                <w:color w:val="auto"/>
              </w:rPr>
            </w:pPr>
            <w:r>
              <w:rPr>
                <w:rFonts w:ascii="Arial" w:cs="Arial" w:eastAsia="Arial" w:hAnsi="Arial"/>
                <w:sz w:val="15"/>
                <w:szCs w:val="15"/>
                <w:color w:val="auto"/>
              </w:rPr>
              <w:t>Total</w:t>
            </w:r>
          </w:p>
        </w:tc>
        <w:tc>
          <w:tcPr>
            <w:tcW w:w="3060" w:type="dxa"/>
            <w:vAlign w:val="bottom"/>
            <w:gridSpan w:val="2"/>
          </w:tcPr>
          <w:p>
            <w:pPr>
              <w:ind w:left="198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12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540" w:type="dxa"/>
            <w:vAlign w:val="bottom"/>
          </w:tcPr>
          <w:p>
            <w:pPr>
              <w:spacing w:after="0"/>
              <w:rPr>
                <w:sz w:val="16"/>
                <w:szCs w:val="16"/>
                <w:color w:val="auto"/>
              </w:rPr>
            </w:pPr>
          </w:p>
        </w:tc>
        <w:tc>
          <w:tcPr>
            <w:tcW w:w="15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3"/>
        </w:trPr>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780" w:type="dxa"/>
            <w:vAlign w:val="bottom"/>
            <w:gridSpan w:val="2"/>
          </w:tcPr>
          <w:p>
            <w:pPr>
              <w:spacing w:after="0"/>
              <w:rPr>
                <w:sz w:val="8"/>
                <w:szCs w:val="8"/>
                <w:color w:val="auto"/>
              </w:rPr>
            </w:pPr>
          </w:p>
        </w:tc>
        <w:tc>
          <w:tcPr>
            <w:tcW w:w="3580" w:type="dxa"/>
            <w:vAlign w:val="bottom"/>
            <w:gridSpan w:val="3"/>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3"/>
        </w:trPr>
        <w:tc>
          <w:tcPr>
            <w:tcW w:w="260" w:type="dxa"/>
            <w:vAlign w:val="bottom"/>
          </w:tcPr>
          <w:p>
            <w:pPr>
              <w:jc w:val="right"/>
              <w:ind w:right="3"/>
              <w:spacing w:after="0"/>
              <w:rPr>
                <w:sz w:val="20"/>
                <w:szCs w:val="20"/>
                <w:color w:val="auto"/>
              </w:rPr>
            </w:pPr>
            <w:r>
              <w:rPr>
                <w:rFonts w:ascii="Arial" w:cs="Arial" w:eastAsia="Arial" w:hAnsi="Arial"/>
                <w:sz w:val="15"/>
                <w:szCs w:val="15"/>
                <w:color w:val="auto"/>
                <w:w w:val="87"/>
              </w:rPr>
              <w:t>(1)</w:t>
            </w:r>
          </w:p>
        </w:tc>
        <w:tc>
          <w:tcPr>
            <w:tcW w:w="2680" w:type="dxa"/>
            <w:vAlign w:val="bottom"/>
            <w:gridSpan w:val="3"/>
          </w:tcPr>
          <w:p>
            <w:pPr>
              <w:ind w:left="80"/>
              <w:spacing w:after="0"/>
              <w:rPr>
                <w:sz w:val="20"/>
                <w:szCs w:val="20"/>
                <w:color w:val="auto"/>
              </w:rPr>
            </w:pPr>
            <w:r>
              <w:rPr>
                <w:rFonts w:ascii="Arial" w:cs="Arial" w:eastAsia="Arial" w:hAnsi="Arial"/>
                <w:sz w:val="15"/>
                <w:szCs w:val="15"/>
                <w:color w:val="auto"/>
                <w:w w:val="96"/>
              </w:rPr>
              <w:t>Plus accrued interest, if any, from March</w:t>
            </w:r>
          </w:p>
        </w:tc>
        <w:tc>
          <w:tcPr>
            <w:tcW w:w="3580" w:type="dxa"/>
            <w:vAlign w:val="bottom"/>
            <w:gridSpan w:val="3"/>
          </w:tcPr>
          <w:p>
            <w:pPr>
              <w:ind w:left="100"/>
              <w:spacing w:after="0"/>
              <w:rPr>
                <w:sz w:val="20"/>
                <w:szCs w:val="20"/>
                <w:color w:val="auto"/>
              </w:rPr>
            </w:pPr>
            <w:r>
              <w:rPr>
                <w:rFonts w:ascii="Arial" w:cs="Arial" w:eastAsia="Arial" w:hAnsi="Arial"/>
                <w:sz w:val="15"/>
                <w:szCs w:val="15"/>
                <w:color w:val="auto"/>
              </w:rPr>
              <w:t>, 2017, if settlement occurs after that date.</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60" w:type="dxa"/>
            <w:vAlign w:val="bottom"/>
          </w:tcPr>
          <w:p>
            <w:pPr>
              <w:jc w:val="right"/>
              <w:ind w:right="3"/>
              <w:spacing w:after="0" w:line="162" w:lineRule="exact"/>
              <w:rPr>
                <w:sz w:val="20"/>
                <w:szCs w:val="20"/>
                <w:color w:val="auto"/>
              </w:rPr>
            </w:pPr>
            <w:r>
              <w:rPr>
                <w:rFonts w:ascii="Arial" w:cs="Arial" w:eastAsia="Arial" w:hAnsi="Arial"/>
                <w:sz w:val="15"/>
                <w:szCs w:val="15"/>
                <w:color w:val="auto"/>
                <w:w w:val="87"/>
              </w:rPr>
              <w:t>(2)</w:t>
            </w:r>
          </w:p>
        </w:tc>
        <w:tc>
          <w:tcPr>
            <w:tcW w:w="10360" w:type="dxa"/>
            <w:vAlign w:val="bottom"/>
            <w:gridSpan w:val="13"/>
          </w:tcPr>
          <w:p>
            <w:pPr>
              <w:ind w:left="80"/>
              <w:spacing w:after="0" w:line="162" w:lineRule="exact"/>
              <w:rPr>
                <w:sz w:val="20"/>
                <w:szCs w:val="20"/>
                <w:color w:val="auto"/>
              </w:rPr>
            </w:pPr>
            <w:r>
              <w:rPr>
                <w:rFonts w:ascii="Arial" w:cs="Arial" w:eastAsia="Arial" w:hAnsi="Arial"/>
                <w:sz w:val="15"/>
                <w:szCs w:val="15"/>
                <w:color w:val="auto"/>
                <w:w w:val="93"/>
              </w:rPr>
              <w:t>The net proceeds to us reflect the initial price to investors set forth above as reduced by (a) the underwriting commission set forth above and (b) an aggregate fee of $</w:t>
            </w:r>
          </w:p>
        </w:tc>
        <w:tc>
          <w:tcPr>
            <w:tcW w:w="600" w:type="dxa"/>
            <w:vAlign w:val="bottom"/>
          </w:tcPr>
          <w:p>
            <w:pPr>
              <w:ind w:left="160"/>
              <w:spacing w:after="0" w:line="162" w:lineRule="exact"/>
              <w:rPr>
                <w:sz w:val="20"/>
                <w:szCs w:val="20"/>
                <w:color w:val="auto"/>
              </w:rPr>
            </w:pPr>
            <w:r>
              <w:rPr>
                <w:rFonts w:ascii="Arial" w:cs="Arial" w:eastAsia="Arial" w:hAnsi="Arial"/>
                <w:sz w:val="15"/>
                <w:szCs w:val="15"/>
                <w:color w:val="auto"/>
                <w:w w:val="86"/>
              </w:rPr>
              <w:t>that we</w:t>
            </w: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960" w:type="dxa"/>
            <w:vAlign w:val="bottom"/>
            <w:gridSpan w:val="14"/>
          </w:tcPr>
          <w:p>
            <w:pPr>
              <w:ind w:left="80"/>
              <w:spacing w:after="0"/>
              <w:rPr>
                <w:sz w:val="20"/>
                <w:szCs w:val="20"/>
                <w:color w:val="auto"/>
              </w:rPr>
            </w:pPr>
            <w:r>
              <w:rPr>
                <w:rFonts w:ascii="Arial" w:cs="Arial" w:eastAsia="Arial" w:hAnsi="Arial"/>
                <w:sz w:val="15"/>
                <w:szCs w:val="15"/>
                <w:color w:val="auto"/>
                <w:w w:val="96"/>
              </w:rPr>
              <w:t>will pay to Morgan Stanley &amp; Co. LLC, Barclays Capital Inc., Mizuho Securities USA Inc. and MUFG Securities Americas Inc. (each a “structuring agent” and, together, the</w:t>
            </w:r>
          </w:p>
        </w:tc>
        <w:tc>
          <w:tcPr>
            <w:tcW w:w="0" w:type="dxa"/>
            <w:vAlign w:val="bottom"/>
          </w:tcPr>
          <w:p>
            <w:pPr>
              <w:spacing w:after="0"/>
              <w:rPr>
                <w:sz w:val="1"/>
                <w:szCs w:val="1"/>
                <w:color w:val="auto"/>
              </w:rPr>
            </w:pPr>
          </w:p>
        </w:tc>
      </w:tr>
    </w:tbl>
    <w:p>
      <w:pPr>
        <w:ind w:left="340" w:right="180"/>
        <w:spacing w:after="0" w:line="234" w:lineRule="auto"/>
        <w:rPr>
          <w:sz w:val="20"/>
          <w:szCs w:val="20"/>
          <w:color w:val="auto"/>
        </w:rPr>
      </w:pPr>
      <w:r>
        <w:rPr>
          <w:rFonts w:ascii="Arial" w:cs="Arial" w:eastAsia="Arial" w:hAnsi="Arial"/>
          <w:sz w:val="15"/>
          <w:szCs w:val="15"/>
          <w:color w:val="auto"/>
        </w:rPr>
        <w:t>“structuring agents”) in connection with structuring services that they provided in connection with the notes. Morgan Stanley &amp; Co. LLC has agreed to reimburse us for certain of our expenses. Each structuring agent is an entity not licensed in the ROC, has not offered or sold, and will not subscribe for or sell or underwrite, any notes offered hereby. See “Selling.”</w:t>
      </w:r>
    </w:p>
    <w:p>
      <w:pPr>
        <w:spacing w:after="0" w:line="47" w:lineRule="exact"/>
        <w:rPr>
          <w:sz w:val="24"/>
          <w:szCs w:val="24"/>
          <w:color w:val="auto"/>
        </w:rPr>
      </w:pPr>
    </w:p>
    <w:p>
      <w:pPr>
        <w:ind w:right="280" w:firstLine="342"/>
        <w:spacing w:after="0" w:line="261"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48" w:lineRule="exact"/>
        <w:rPr>
          <w:sz w:val="24"/>
          <w:szCs w:val="24"/>
          <w:color w:val="auto"/>
        </w:rPr>
      </w:pPr>
    </w:p>
    <w:p>
      <w:pPr>
        <w:ind w:left="360"/>
        <w:spacing w:after="0"/>
        <w:rPr>
          <w:sz w:val="20"/>
          <w:szCs w:val="20"/>
          <w:color w:val="auto"/>
        </w:rPr>
      </w:pPr>
      <w:r>
        <w:rPr>
          <w:rFonts w:ascii="Arial" w:cs="Arial" w:eastAsia="Arial" w:hAnsi="Arial"/>
          <w:sz w:val="14"/>
          <w:szCs w:val="14"/>
          <w:color w:val="auto"/>
        </w:rPr>
        <w:t xml:space="preserve">The managers expect to deliver the notes to investors in book-entry delivery only form through the facilities of Clearstream Banking, </w:t>
      </w:r>
      <w:r>
        <w:rPr>
          <w:rFonts w:ascii="Arial" w:cs="Arial" w:eastAsia="Arial" w:hAnsi="Arial"/>
          <w:sz w:val="14"/>
          <w:szCs w:val="14"/>
          <w:i w:val="1"/>
          <w:iCs w:val="1"/>
          <w:color w:val="auto"/>
        </w:rPr>
        <w:t>société anonyme</w:t>
      </w:r>
      <w:r>
        <w:rPr>
          <w:rFonts w:ascii="Arial" w:cs="Arial" w:eastAsia="Arial" w:hAnsi="Arial"/>
          <w:sz w:val="14"/>
          <w:szCs w:val="14"/>
          <w:color w:val="auto"/>
        </w:rPr>
        <w:t xml:space="preserve"> (“Clearstream”) and</w:t>
      </w:r>
    </w:p>
    <w:p>
      <w:pPr>
        <w:spacing w:after="0" w:line="13" w:lineRule="exact"/>
        <w:rPr>
          <w:sz w:val="24"/>
          <w:szCs w:val="24"/>
          <w:color w:val="auto"/>
        </w:rPr>
      </w:pPr>
    </w:p>
    <w:p>
      <w:pPr>
        <w:ind w:right="540"/>
        <w:spacing w:after="0" w:line="239" w:lineRule="auto"/>
        <w:rPr>
          <w:sz w:val="20"/>
          <w:szCs w:val="20"/>
          <w:color w:val="auto"/>
        </w:rPr>
      </w:pPr>
      <w:r>
        <w:rPr>
          <w:rFonts w:ascii="Arial" w:cs="Arial" w:eastAsia="Arial" w:hAnsi="Arial"/>
          <w:sz w:val="15"/>
          <w:szCs w:val="15"/>
          <w:color w:val="auto"/>
        </w:rPr>
        <w:t>Euroclear Bank S.A./N.V. as operator of the Euroclear System (“Euroclear”), on or about March , 2017, which is the business day following the date of this prospectus supplement. See “Selling.”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116840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2660" w:type="dxa"/>
            <w:vAlign w:val="bottom"/>
            <w:gridSpan w:val="2"/>
          </w:tcPr>
          <w:p>
            <w:pPr>
              <w:ind w:left="260"/>
              <w:spacing w:after="0"/>
              <w:rPr>
                <w:sz w:val="20"/>
                <w:szCs w:val="20"/>
                <w:color w:val="auto"/>
              </w:rPr>
            </w:pPr>
            <w:r>
              <w:rPr>
                <w:rFonts w:ascii="Arial" w:cs="Arial" w:eastAsia="Arial" w:hAnsi="Arial"/>
                <w:sz w:val="15"/>
                <w:szCs w:val="15"/>
                <w:i w:val="1"/>
                <w:iCs w:val="1"/>
                <w:color w:val="auto"/>
              </w:rPr>
              <w:t>Joint Book-Running Managers</w:t>
            </w:r>
          </w:p>
        </w:tc>
        <w:tc>
          <w:tcPr>
            <w:tcW w:w="4240" w:type="dxa"/>
            <w:vAlign w:val="bottom"/>
          </w:tcPr>
          <w:p>
            <w:pPr>
              <w:spacing w:after="0"/>
              <w:rPr>
                <w:sz w:val="16"/>
                <w:szCs w:val="16"/>
                <w:color w:val="auto"/>
              </w:rPr>
            </w:pPr>
          </w:p>
        </w:tc>
      </w:tr>
      <w:tr>
        <w:trPr>
          <w:trHeight w:val="399"/>
        </w:trPr>
        <w:tc>
          <w:tcPr>
            <w:tcW w:w="7180" w:type="dxa"/>
            <w:vAlign w:val="bottom"/>
            <w:gridSpan w:val="3"/>
          </w:tcPr>
          <w:p>
            <w:pPr>
              <w:spacing w:after="0"/>
              <w:rPr>
                <w:sz w:val="20"/>
                <w:szCs w:val="20"/>
                <w:color w:val="auto"/>
              </w:rPr>
            </w:pPr>
            <w:r>
              <w:rPr>
                <w:rFonts w:ascii="Arial" w:cs="Arial" w:eastAsia="Arial" w:hAnsi="Arial"/>
                <w:sz w:val="27"/>
                <w:szCs w:val="27"/>
                <w:b w:val="1"/>
                <w:bCs w:val="1"/>
                <w:color w:val="auto"/>
              </w:rPr>
              <w:t>Deutsche Bank AG, Taipei Branch</w:t>
            </w:r>
          </w:p>
        </w:tc>
        <w:tc>
          <w:tcPr>
            <w:tcW w:w="4240" w:type="dxa"/>
            <w:vAlign w:val="bottom"/>
          </w:tcPr>
          <w:p>
            <w:pPr>
              <w:jc w:val="right"/>
              <w:spacing w:after="0"/>
              <w:rPr>
                <w:sz w:val="20"/>
                <w:szCs w:val="20"/>
                <w:color w:val="auto"/>
              </w:rPr>
            </w:pPr>
            <w:r>
              <w:rPr>
                <w:rFonts w:ascii="Arial" w:cs="Arial" w:eastAsia="Arial" w:hAnsi="Arial"/>
                <w:sz w:val="27"/>
                <w:szCs w:val="27"/>
                <w:b w:val="1"/>
                <w:bCs w:val="1"/>
                <w:color w:val="auto"/>
              </w:rPr>
              <w:t>Citibank Taiwan Limited</w:t>
            </w:r>
          </w:p>
        </w:tc>
      </w:tr>
      <w:tr>
        <w:trPr>
          <w:trHeight w:val="190"/>
        </w:trPr>
        <w:tc>
          <w:tcPr>
            <w:tcW w:w="452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240" w:type="dxa"/>
            <w:vAlign w:val="bottom"/>
          </w:tcPr>
          <w:p>
            <w:pPr>
              <w:spacing w:after="0"/>
              <w:rPr>
                <w:sz w:val="16"/>
                <w:szCs w:val="16"/>
                <w:color w:val="auto"/>
              </w:rPr>
            </w:pPr>
          </w:p>
        </w:tc>
      </w:tr>
      <w:tr>
        <w:trPr>
          <w:trHeight w:val="269"/>
        </w:trPr>
        <w:tc>
          <w:tcPr>
            <w:tcW w:w="7180" w:type="dxa"/>
            <w:vAlign w:val="bottom"/>
            <w:gridSpan w:val="3"/>
          </w:tcPr>
          <w:p>
            <w:pPr>
              <w:ind w:left="3740"/>
              <w:spacing w:after="0"/>
              <w:rPr>
                <w:sz w:val="20"/>
                <w:szCs w:val="20"/>
                <w:color w:val="auto"/>
              </w:rPr>
            </w:pPr>
            <w:r>
              <w:rPr>
                <w:rFonts w:ascii="Arial" w:cs="Arial" w:eastAsia="Arial" w:hAnsi="Arial"/>
                <w:sz w:val="15"/>
                <w:szCs w:val="15"/>
                <w:b w:val="1"/>
                <w:bCs w:val="1"/>
                <w:color w:val="auto"/>
                <w:w w:val="92"/>
              </w:rPr>
              <w:t>The date of this prospectus supplement is February</w:t>
            </w:r>
          </w:p>
        </w:tc>
        <w:tc>
          <w:tcPr>
            <w:tcW w:w="4240" w:type="dxa"/>
            <w:vAlign w:val="bottom"/>
          </w:tcPr>
          <w:p>
            <w:pPr>
              <w:jc w:val="right"/>
              <w:ind w:right="3614"/>
              <w:spacing w:after="0"/>
              <w:rPr>
                <w:sz w:val="20"/>
                <w:szCs w:val="20"/>
                <w:color w:val="auto"/>
              </w:rPr>
            </w:pPr>
            <w:r>
              <w:rPr>
                <w:rFonts w:ascii="Arial" w:cs="Arial" w:eastAsia="Arial" w:hAnsi="Arial"/>
                <w:sz w:val="15"/>
                <w:szCs w:val="15"/>
                <w:b w:val="1"/>
                <w:bCs w:val="1"/>
                <w:color w:val="auto"/>
              </w:rPr>
              <w:t>, 2017.</w:t>
            </w: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20" w:type="dxa"/>
            <w:vAlign w:val="bottom"/>
            <w:gridSpan w:val="5"/>
          </w:tcPr>
          <w:p>
            <w:pPr>
              <w:jc w:val="center"/>
              <w:ind w:right="4020"/>
              <w:spacing w:after="0"/>
              <w:rPr>
                <w:sz w:val="20"/>
                <w:szCs w:val="20"/>
                <w:color w:val="auto"/>
              </w:rPr>
            </w:pPr>
            <w:r>
              <w:rPr>
                <w:rFonts w:ascii="Arial" w:cs="Arial" w:eastAsia="Arial" w:hAnsi="Arial"/>
                <w:sz w:val="18"/>
                <w:szCs w:val="18"/>
                <w:b w:val="1"/>
                <w:bCs w:val="1"/>
                <w:color w:val="auto"/>
                <w:w w:val="87"/>
              </w:rPr>
              <w:t>Prospectus Supplement</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880" w:type="dxa"/>
            <w:vAlign w:val="bottom"/>
            <w:gridSpan w:val="15"/>
            <w:vMerge w:val="restart"/>
          </w:tcPr>
          <w:p>
            <w:pPr>
              <w:spacing w:after="0"/>
              <w:rPr>
                <w:rFonts w:ascii="Arial" w:cs="Arial" w:eastAsia="Arial" w:hAnsi="Arial"/>
                <w:sz w:val="18"/>
                <w:szCs w:val="18"/>
                <w:color w:val="0000EE"/>
                <w:w w:val="92"/>
              </w:rPr>
            </w:pPr>
            <w:hyperlink w:anchor="page3">
              <w:r>
                <w:rPr>
                  <w:rFonts w:ascii="Arial" w:cs="Arial" w:eastAsia="Arial" w:hAnsi="Arial"/>
                  <w:sz w:val="18"/>
                  <w:szCs w:val="18"/>
                  <w:color w:val="0000EE"/>
                  <w:w w:val="92"/>
                </w:rPr>
                <w:t>Where You Can Find More Information</w:t>
              </w:r>
            </w:hyperlink>
          </w:p>
        </w:tc>
        <w:tc>
          <w:tcPr>
            <w:tcW w:w="8060" w:type="dxa"/>
            <w:vAlign w:val="bottom"/>
            <w:gridSpan w:val="8"/>
            <w:vMerge w:val="restart"/>
          </w:tcPr>
          <w:p>
            <w:pPr>
              <w:spacing w:after="0"/>
              <w:rPr>
                <w:sz w:val="24"/>
                <w:szCs w:val="24"/>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2880" w:type="dxa"/>
            <w:vAlign w:val="bottom"/>
            <w:tcBorders>
              <w:bottom w:val="single" w:sz="8" w:color="0000EE"/>
            </w:tcBorders>
            <w:gridSpan w:val="15"/>
            <w:vMerge w:val="continue"/>
          </w:tcPr>
          <w:p>
            <w:pPr>
              <w:spacing w:after="0"/>
              <w:rPr>
                <w:sz w:val="13"/>
                <w:szCs w:val="13"/>
                <w:color w:val="auto"/>
              </w:rPr>
            </w:pPr>
          </w:p>
        </w:tc>
        <w:tc>
          <w:tcPr>
            <w:tcW w:w="8060" w:type="dxa"/>
            <w:vAlign w:val="bottom"/>
            <w:gridSpan w:val="8"/>
            <w:vMerge w:val="continue"/>
          </w:tcPr>
          <w:p>
            <w:pPr>
              <w:spacing w:after="0"/>
              <w:rPr>
                <w:sz w:val="13"/>
                <w:szCs w:val="13"/>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840" w:type="dxa"/>
            <w:vAlign w:val="bottom"/>
            <w:tcBorders>
              <w:bottom w:val="single" w:sz="8" w:color="0000EE"/>
            </w:tcBorders>
            <w:gridSpan w:val="14"/>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Information Incorporated by Reference</w:t>
              </w:r>
            </w:hyperlink>
          </w:p>
        </w:tc>
        <w:tc>
          <w:tcPr>
            <w:tcW w:w="8100" w:type="dxa"/>
            <w:vAlign w:val="bottom"/>
            <w:gridSpan w:val="9"/>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4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Prospectus Supplement Summary</w:t>
              </w:r>
            </w:hyperlink>
          </w:p>
        </w:tc>
        <w:tc>
          <w:tcPr>
            <w:tcW w:w="8500" w:type="dxa"/>
            <w:vAlign w:val="bottom"/>
            <w:gridSpan w:val="1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Risk Factors</w:t>
              </w:r>
            </w:hyperlink>
          </w:p>
        </w:tc>
        <w:tc>
          <w:tcPr>
            <w:tcW w:w="10020" w:type="dxa"/>
            <w:vAlign w:val="bottom"/>
            <w:gridSpan w:val="19"/>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Use of Proceeds</w:t>
              </w:r>
            </w:hyperlink>
          </w:p>
        </w:tc>
        <w:tc>
          <w:tcPr>
            <w:tcW w:w="9760" w:type="dxa"/>
            <w:vAlign w:val="bottom"/>
            <w:gridSpan w:val="15"/>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Ratios of Earnings to Fixed Charges and of Earnings to Combined Fixed Charges and Preferred</w:t>
              </w:r>
            </w:hyperlink>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Dividends</w:t>
              </w:r>
            </w:hyperlink>
          </w:p>
        </w:tc>
        <w:tc>
          <w:tcPr>
            <w:tcW w:w="4060" w:type="dxa"/>
            <w:vAlign w:val="bottom"/>
            <w:gridSpan w:val="3"/>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Description of Notes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Material U.S. Federal Income Tax Consequences for Non-U.S. Holders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S-17</w:t>
            </w:r>
          </w:p>
        </w:tc>
        <w:tc>
          <w:tcPr>
            <w:tcW w:w="0" w:type="dxa"/>
            <w:vAlign w:val="bottom"/>
          </w:tcPr>
          <w:p>
            <w:pPr>
              <w:spacing w:after="0"/>
              <w:rPr>
                <w:sz w:val="1"/>
                <w:szCs w:val="1"/>
                <w:color w:val="auto"/>
              </w:rPr>
            </w:pPr>
          </w:p>
        </w:tc>
      </w:tr>
      <w:tr>
        <w:trPr>
          <w:trHeight w:val="196"/>
        </w:trPr>
        <w:tc>
          <w:tcPr>
            <w:tcW w:w="10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ROC Taxation</w:t>
              </w:r>
            </w:hyperlink>
          </w:p>
        </w:tc>
        <w:tc>
          <w:tcPr>
            <w:tcW w:w="4080" w:type="dxa"/>
            <w:vAlign w:val="bottom"/>
            <w:tcBorders>
              <w:top w:val="single" w:sz="8" w:color="0000EE"/>
            </w:tcBorders>
            <w:gridSpan w:val="13"/>
          </w:tcPr>
          <w:p>
            <w:pPr>
              <w:spacing w:after="0"/>
              <w:rPr>
                <w:sz w:val="17"/>
                <w:szCs w:val="17"/>
                <w:color w:val="auto"/>
              </w:rPr>
            </w:pPr>
          </w:p>
        </w:tc>
        <w:tc>
          <w:tcPr>
            <w:tcW w:w="5800" w:type="dxa"/>
            <w:vAlign w:val="bottom"/>
            <w:gridSpan w:val="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Selling</w:t>
              </w:r>
            </w:hyperlink>
          </w:p>
        </w:tc>
        <w:tc>
          <w:tcPr>
            <w:tcW w:w="10420" w:type="dxa"/>
            <w:vAlign w:val="bottom"/>
            <w:gridSpan w:val="2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S-21</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29">
              <w:r>
                <w:rPr>
                  <w:rFonts w:ascii="Arial" w:cs="Arial" w:eastAsia="Arial" w:hAnsi="Arial"/>
                  <w:sz w:val="18"/>
                  <w:szCs w:val="18"/>
                  <w:color w:val="0000EE"/>
                  <w:w w:val="91"/>
                </w:rPr>
                <w:t>Legal Matters</w:t>
              </w:r>
            </w:hyperlink>
          </w:p>
        </w:tc>
        <w:tc>
          <w:tcPr>
            <w:tcW w:w="992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Experts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S-25</w:t>
            </w:r>
          </w:p>
        </w:tc>
        <w:tc>
          <w:tcPr>
            <w:tcW w:w="0" w:type="dxa"/>
            <w:vAlign w:val="bottom"/>
          </w:tcPr>
          <w:p>
            <w:pPr>
              <w:spacing w:after="0"/>
              <w:rPr>
                <w:sz w:val="1"/>
                <w:szCs w:val="1"/>
                <w:color w:val="auto"/>
              </w:rPr>
            </w:pPr>
          </w:p>
        </w:tc>
      </w:tr>
      <w:tr>
        <w:trPr>
          <w:trHeight w:val="453"/>
        </w:trPr>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0" w:type="dxa"/>
            <w:vAlign w:val="bottom"/>
            <w:gridSpan w:val="4"/>
          </w:tcPr>
          <w:p>
            <w:pPr>
              <w:jc w:val="center"/>
              <w:ind w:right="4640"/>
              <w:spacing w:after="0"/>
              <w:rPr>
                <w:sz w:val="20"/>
                <w:szCs w:val="20"/>
                <w:color w:val="auto"/>
              </w:rPr>
            </w:pPr>
            <w:r>
              <w:rPr>
                <w:rFonts w:ascii="Arial" w:cs="Arial" w:eastAsia="Arial" w:hAnsi="Arial"/>
                <w:sz w:val="18"/>
                <w:szCs w:val="18"/>
                <w:b w:val="1"/>
                <w:bCs w:val="1"/>
                <w:color w:val="auto"/>
                <w:w w:val="85"/>
              </w:rPr>
              <w:t>Prospectus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0940" w:type="dxa"/>
            <w:vAlign w:val="bottom"/>
            <w:gridSpan w:val="23"/>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The Companies</w:t>
              </w:r>
            </w:hyperlink>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Caution Concerning Forward-Looking Statements</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36">
              <w:r>
                <w:rPr>
                  <w:rFonts w:ascii="Arial" w:cs="Arial" w:eastAsia="Arial" w:hAnsi="Arial"/>
                  <w:sz w:val="18"/>
                  <w:szCs w:val="18"/>
                  <w:color w:val="0000EE"/>
                  <w:w w:val="87"/>
                </w:rPr>
                <w:t>Use of Proceeds</w:t>
              </w:r>
            </w:hyperlink>
          </w:p>
        </w:tc>
        <w:tc>
          <w:tcPr>
            <w:tcW w:w="2440" w:type="dxa"/>
            <w:vAlign w:val="bottom"/>
            <w:tcBorders>
              <w:top w:val="single" w:sz="8" w:color="0000EE"/>
            </w:tcBorders>
            <w:gridSpan w:val="9"/>
          </w:tcPr>
          <w:p>
            <w:pPr>
              <w:spacing w:after="0"/>
              <w:rPr>
                <w:sz w:val="17"/>
                <w:szCs w:val="17"/>
                <w:color w:val="auto"/>
              </w:rPr>
            </w:pPr>
          </w:p>
        </w:tc>
        <w:tc>
          <w:tcPr>
            <w:tcW w:w="7320" w:type="dxa"/>
            <w:vAlign w:val="bottom"/>
            <w:gridSpan w:val="6"/>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Dividend Policy</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60" w:type="dxa"/>
            <w:vAlign w:val="bottom"/>
            <w:gridSpan w:val="3"/>
            <w:shd w:val="clear" w:color="auto" w:fill="0000EE"/>
          </w:tcPr>
          <w:p>
            <w:pPr>
              <w:spacing w:after="0" w:line="20" w:lineRule="exact"/>
              <w:rPr>
                <w:sz w:val="1"/>
                <w:szCs w:val="1"/>
                <w:color w:val="auto"/>
              </w:rPr>
            </w:pPr>
          </w:p>
        </w:tc>
        <w:tc>
          <w:tcPr>
            <w:tcW w:w="6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60" w:type="dxa"/>
            <w:vAlign w:val="bottom"/>
            <w:gridSpan w:val="5"/>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8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36">
              <w:r>
                <w:rPr>
                  <w:rFonts w:ascii="Arial" w:cs="Arial" w:eastAsia="Arial" w:hAnsi="Arial"/>
                  <w:sz w:val="18"/>
                  <w:szCs w:val="18"/>
                  <w:color w:val="0000EE"/>
                  <w:w w:val="90"/>
                </w:rPr>
                <w:t>Ratios of Earnings to Fixed Charges and of Earnings to Combined Fixed Charges and Preferred Dividends</w:t>
              </w:r>
            </w:hyperlink>
          </w:p>
        </w:tc>
        <w:tc>
          <w:tcPr>
            <w:tcW w:w="3260" w:type="dxa"/>
            <w:vAlign w:val="bottom"/>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3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Description of Debt Securities and Guarantees</w:t>
              </w:r>
            </w:hyperlink>
          </w:p>
        </w:tc>
        <w:tc>
          <w:tcPr>
            <w:tcW w:w="7580" w:type="dxa"/>
            <w:vAlign w:val="bottom"/>
            <w:gridSpan w:val="7"/>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Global Securities</w:t>
              </w:r>
            </w:hyperlink>
          </w:p>
        </w:tc>
        <w:tc>
          <w:tcPr>
            <w:tcW w:w="9680" w:type="dxa"/>
            <w:vAlign w:val="bottom"/>
            <w:gridSpan w:val="14"/>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Description of Capital Stock</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6"/>
              </w:rPr>
            </w:pPr>
            <w:hyperlink w:anchor="page54">
              <w:r>
                <w:rPr>
                  <w:rFonts w:ascii="Arial" w:cs="Arial" w:eastAsia="Arial" w:hAnsi="Arial"/>
                  <w:sz w:val="18"/>
                  <w:szCs w:val="18"/>
                  <w:color w:val="0000EE"/>
                  <w:w w:val="96"/>
                </w:rPr>
                <w:t>Plan of Distribution</w:t>
              </w:r>
            </w:hyperlink>
          </w:p>
        </w:tc>
        <w:tc>
          <w:tcPr>
            <w:tcW w:w="560" w:type="dxa"/>
            <w:vAlign w:val="bottom"/>
            <w:tcBorders>
              <w:top w:val="single" w:sz="8" w:color="0000EE"/>
            </w:tcBorders>
            <w:gridSpan w:val="2"/>
          </w:tcPr>
          <w:p>
            <w:pPr>
              <w:spacing w:after="0"/>
              <w:rPr>
                <w:sz w:val="17"/>
                <w:szCs w:val="17"/>
                <w:color w:val="auto"/>
              </w:rPr>
            </w:pPr>
          </w:p>
        </w:tc>
        <w:tc>
          <w:tcPr>
            <w:tcW w:w="8880" w:type="dxa"/>
            <w:vAlign w:val="bottom"/>
            <w:gridSpan w:val="11"/>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5">
              <w:r>
                <w:rPr>
                  <w:rFonts w:ascii="Arial" w:cs="Arial" w:eastAsia="Arial" w:hAnsi="Arial"/>
                  <w:sz w:val="18"/>
                  <w:szCs w:val="18"/>
                  <w:color w:val="0000EE"/>
                  <w:w w:val="91"/>
                </w:rPr>
                <w:t>Legal Matters</w:t>
              </w:r>
            </w:hyperlink>
          </w:p>
        </w:tc>
        <w:tc>
          <w:tcPr>
            <w:tcW w:w="9920" w:type="dxa"/>
            <w:vAlign w:val="bottom"/>
            <w:gridSpan w:val="18"/>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5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Experts</w:t>
              </w:r>
            </w:hyperlink>
          </w:p>
        </w:tc>
        <w:tc>
          <w:tcPr>
            <w:tcW w:w="10380" w:type="dxa"/>
            <w:vAlign w:val="bottom"/>
            <w:gridSpan w:val="20"/>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600" w:type="dxa"/>
            <w:vAlign w:val="bottom"/>
            <w:tcBorders>
              <w:bottom w:val="single" w:sz="8" w:color="0000EE"/>
            </w:tcBorders>
            <w:gridSpan w:val="11"/>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Available Information</w:t>
              </w:r>
            </w:hyperlink>
          </w:p>
        </w:tc>
        <w:tc>
          <w:tcPr>
            <w:tcW w:w="9340" w:type="dxa"/>
            <w:vAlign w:val="bottom"/>
            <w:gridSpan w:val="12"/>
          </w:tcPr>
          <w:p>
            <w:pPr>
              <w:spacing w:after="0"/>
              <w:rPr>
                <w:sz w:val="17"/>
                <w:szCs w:val="17"/>
                <w:color w:val="auto"/>
              </w:rPr>
            </w:pPr>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0940" w:type="dxa"/>
            <w:vAlign w:val="bottom"/>
            <w:gridSpan w:val="23"/>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Incorporation of Certain Documents by Reference</w:t>
              </w:r>
            </w:hyperlink>
          </w:p>
        </w:tc>
        <w:tc>
          <w:tcPr>
            <w:tcW w:w="4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We have not, and the managers have not, authorized anyone to provide you any information other than that contained or incorporated by reference in this prospectus supplement, the accompanying prospectus or in any free writing prospectus prepared by or on behalf of us or to which we have referred you. Neither we nor the managers take any responsibility for, or can provide any assurance as to the reliability of, any other information that others may give you. If information in this prospectus supplement is inconsistent with the accompanying prospectus, you should rely on this prospectus supplement. We are not, and the managers are not, making an offer of these securities in any jurisdiction where the offer or sale is not permitted. You should not assume that the information provided in this prospectus supplement, the accompanying prospectus or the documents incorporated by reference in this prospectus supplement and in the accompanying prospectus is accurate as of any date other than their respective dates. Our business, financial condition, results of operations and prospects may have changed since those dates.</w:t>
      </w:r>
    </w:p>
    <w:p>
      <w:pPr>
        <w:spacing w:after="0" w:line="179" w:lineRule="exact"/>
        <w:rPr>
          <w:sz w:val="20"/>
          <w:szCs w:val="20"/>
          <w:color w:val="auto"/>
        </w:rPr>
      </w:pPr>
    </w:p>
    <w:p>
      <w:pPr>
        <w:ind w:right="580" w:firstLine="456"/>
        <w:spacing w:after="0" w:line="342" w:lineRule="auto"/>
        <w:rPr>
          <w:sz w:val="20"/>
          <w:szCs w:val="20"/>
          <w:color w:val="auto"/>
        </w:rPr>
      </w:pPr>
      <w:r>
        <w:rPr>
          <w:rFonts w:ascii="Arial" w:cs="Arial" w:eastAsia="Arial" w:hAnsi="Arial"/>
          <w:sz w:val="16"/>
          <w:szCs w:val="16"/>
          <w:color w:val="auto"/>
        </w:rPr>
        <w:t>References herein to “U.S. $”, “$” and “dollars” are to the currency of the United States. The financial information presented in this prospectus supplement and the accompanying prospectus has been prepared in accordance with Generally Accepted Accounting Principles in the United States.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270"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YOU CAN FIND MORE INFORMATION</w:t>
      </w:r>
    </w:p>
    <w:p>
      <w:pPr>
        <w:spacing w:after="0" w:line="229"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 xml:space="preserve">We file annual reports on Form 10-K, quarterly reports on Form 10-Q, current reports on Form 8-K, proxy statements and information statements and amendments to reports filed or furnished pursuant to the Securities Exchange Act of 1934, as amended (the “Exchange Act”), with the Securities and Exchange Commission (the “SEC”). You may read and copy any materials we file at the SEC’s Public Reference Room at 100 F Street, N.E., Washington, D.C. 20549. Please call the SEC at 1-800-SEC-0330 for further information about the Public Reference Room. The SEC also maintains an internet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periodic and current reports, proxy and information statements, and other information regarding registrants that file electronically with the SEC.</w:t>
      </w:r>
    </w:p>
    <w:p>
      <w:pPr>
        <w:spacing w:after="0" w:line="1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supplement is part of a registration statement that we filed with the SEC, using a “shelf” registration process under the Securities Act of 1933, as amended (the “Securities Act”), relating to the securities to be offered. This prospectus supplement does not contain all of the information set forth in the registration statement, certain parts of which are omitted in accordance with the rules and regulations of the SEC. For further information with respect to Comcast and the notes offered by this prospectus supplement, reference is hereby made to the registration statement. The registration statement, including the exhibits thereto, may be inspected at the Public Reference Room maintained by the SEC at the address set forth above or may be obtained at the SEC’s website set forth above. Statements contained herein concerning any document filed as an exhibit are not necessarily complete, and, in each instance, reference is made to the copy of such document filed as an exhibit to the registration statement. Each such statement is qualified in its entirety by such reference.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270"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INCORPORATED BY REFERENCE</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supplement. In addition, information we file with the SEC in the future will automatically update and supersede information contained in this prospectus supplement and the accompanying prospectus.</w:t>
      </w:r>
    </w:p>
    <w:p>
      <w:pPr>
        <w:spacing w:after="0" w:line="187"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prospectus supplement incorporates by reference the documents of Comcast and NBCUniversal Media, LLC (“NBCUniversal”) set forth below that we or NBCUniversal have previously filed with the SEC:</w:t>
      </w:r>
    </w:p>
    <w:p>
      <w:pPr>
        <w:spacing w:after="0" w:line="76"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Comcast’s and NBCUniversal’s combined Annual Report on Form 10-K for the year ended December 31, 2016, filed on February 3, 2017.</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Comcast’s Current Reports on Form 8-K filed on January 10, 2017 and January 27, 2017.</w:t>
      </w:r>
    </w:p>
    <w:p>
      <w:pPr>
        <w:spacing w:after="0" w:line="225"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We and NBCUniversal also incorporate by reference into this prospectus supplement and the accompanying prospectus additional documents that we or NBCUniversal may file with the SEC under Sections 13(a), 13(c), 14 or 15(d) of the Securities Exchange Act of 1934, as amended (the “Exchange Act”), until we sell all of the securities we are offering. Any statement contained in a previously filed document incorporated by reference into this prospectus supplement is deemed to be modified or superseded for purposes of this prospectus supplement to the extent that a statement contained in this prospectus supplement,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270" w:right="239" w:bottom="1440" w:gutter="0" w:footer="0" w:header="0"/>
        </w:sectPr>
      </w:pPr>
    </w:p>
    <w:bookmarkStart w:id="4" w:name="page5"/>
    <w:bookmarkEnd w:id="4"/>
    <w:p>
      <w:pPr>
        <w:jc w:val="center"/>
        <w:ind w:right="-2"/>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485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6485255"/>
                    </a:xfrm>
                    <a:prstGeom prst="rect">
                      <a:avLst/>
                    </a:prstGeom>
                    <a:noFill/>
                  </pic:spPr>
                </pic:pic>
              </a:graphicData>
            </a:graphic>
          </wp:anchor>
        </w:drawing>
        <w:t>PROSPECTUS SUPPLEMENT SUMMARY</w:t>
      </w:r>
    </w:p>
    <w:p>
      <w:pPr>
        <w:spacing w:after="0" w:line="225" w:lineRule="exact"/>
        <w:rPr>
          <w:sz w:val="20"/>
          <w:szCs w:val="20"/>
          <w:color w:val="auto"/>
        </w:rPr>
      </w:pPr>
    </w:p>
    <w:p>
      <w:pPr>
        <w:jc w:val="center"/>
        <w:ind w:right="-2"/>
        <w:spacing w:after="0"/>
        <w:rPr>
          <w:sz w:val="20"/>
          <w:szCs w:val="20"/>
          <w:color w:val="auto"/>
        </w:rPr>
      </w:pPr>
      <w:r>
        <w:rPr>
          <w:rFonts w:ascii="Arial" w:cs="Arial" w:eastAsia="Arial" w:hAnsi="Arial"/>
          <w:sz w:val="18"/>
          <w:szCs w:val="18"/>
          <w:b w:val="1"/>
          <w:bCs w:val="1"/>
          <w:color w:val="auto"/>
        </w:rPr>
        <w:t>The Companies</w:t>
      </w:r>
    </w:p>
    <w:p>
      <w:pPr>
        <w:spacing w:after="0" w:line="333"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Comcast Corporation</w:t>
      </w:r>
    </w:p>
    <w:p>
      <w:pPr>
        <w:spacing w:after="0" w:line="121" w:lineRule="exact"/>
        <w:rPr>
          <w:sz w:val="20"/>
          <w:szCs w:val="20"/>
          <w:color w:val="auto"/>
        </w:rPr>
      </w:pPr>
    </w:p>
    <w:p>
      <w:pPr>
        <w:ind w:left="3" w:right="240" w:firstLine="443"/>
        <w:spacing w:after="0" w:line="264" w:lineRule="auto"/>
        <w:rPr>
          <w:sz w:val="20"/>
          <w:szCs w:val="20"/>
          <w:color w:val="auto"/>
        </w:rPr>
      </w:pPr>
      <w:r>
        <w:rPr>
          <w:rFonts w:ascii="Arial" w:cs="Arial" w:eastAsia="Arial" w:hAnsi="Arial"/>
          <w:sz w:val="18"/>
          <w:szCs w:val="18"/>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83" w:lineRule="exact"/>
        <w:rPr>
          <w:sz w:val="20"/>
          <w:szCs w:val="20"/>
          <w:color w:val="auto"/>
        </w:rPr>
      </w:pPr>
    </w:p>
    <w:p>
      <w:pPr>
        <w:ind w:left="863" w:right="240" w:hanging="431"/>
        <w:spacing w:after="0" w:line="266" w:lineRule="auto"/>
        <w:tabs>
          <w:tab w:leader="none" w:pos="86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w:t>
      </w:r>
      <w:r>
        <w:rPr>
          <w:rFonts w:ascii="Arial" w:cs="Arial" w:eastAsia="Arial" w:hAnsi="Arial"/>
          <w:sz w:val="18"/>
          <w:szCs w:val="18"/>
          <w:b w:val="1"/>
          <w:bCs w:val="1"/>
          <w:color w:val="auto"/>
        </w:rPr>
        <w:t xml:space="preserve"> </w:t>
      </w:r>
      <w:r>
        <w:rPr>
          <w:rFonts w:ascii="Arial" w:cs="Arial" w:eastAsia="Arial" w:hAnsi="Arial"/>
          <w:sz w:val="18"/>
          <w:szCs w:val="18"/>
          <w:color w:val="auto"/>
        </w:rPr>
        <w:t>Internet and voice services to residential customers under the XFINITY brand; we also provide these and other services to business customers and sell advertising.</w:t>
      </w:r>
    </w:p>
    <w:p>
      <w:pPr>
        <w:spacing w:after="0" w:line="81" w:lineRule="exact"/>
        <w:rPr>
          <w:rFonts w:ascii="Arial" w:cs="Arial" w:eastAsia="Arial" w:hAnsi="Arial"/>
          <w:sz w:val="18"/>
          <w:szCs w:val="18"/>
          <w:color w:val="auto"/>
        </w:rPr>
      </w:pPr>
    </w:p>
    <w:p>
      <w:pPr>
        <w:ind w:left="863" w:right="20" w:hanging="431"/>
        <w:spacing w:after="0" w:line="282" w:lineRule="auto"/>
        <w:tabs>
          <w:tab w:leader="none" w:pos="86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w:t>
      </w:r>
      <w:r>
        <w:rPr>
          <w:rFonts w:ascii="Arial" w:cs="Arial" w:eastAsia="Arial" w:hAnsi="Arial"/>
          <w:sz w:val="18"/>
          <w:szCs w:val="18"/>
          <w:b w:val="1"/>
          <w:bCs w:val="1"/>
          <w:color w:val="auto"/>
        </w:rPr>
        <w:t xml:space="preserve"> </w:t>
      </w:r>
      <w:r>
        <w:rPr>
          <w:rFonts w:ascii="Arial" w:cs="Arial" w:eastAsia="Arial" w:hAnsi="Arial"/>
          <w:sz w:val="18"/>
          <w:szCs w:val="18"/>
          <w:color w:val="auto"/>
        </w:rPr>
        <w:t>and our cable television studio production operations.</w:t>
      </w:r>
    </w:p>
    <w:p>
      <w:pPr>
        <w:spacing w:after="0" w:line="67" w:lineRule="exact"/>
        <w:rPr>
          <w:rFonts w:ascii="Arial" w:cs="Arial" w:eastAsia="Arial" w:hAnsi="Arial"/>
          <w:sz w:val="18"/>
          <w:szCs w:val="18"/>
          <w:color w:val="auto"/>
        </w:rPr>
      </w:pPr>
    </w:p>
    <w:p>
      <w:pPr>
        <w:ind w:left="863" w:right="160" w:hanging="431"/>
        <w:spacing w:after="0" w:line="282" w:lineRule="auto"/>
        <w:tabs>
          <w:tab w:leader="none" w:pos="86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Broadcast Television: </w:t>
      </w:r>
      <w:r>
        <w:rPr>
          <w:rFonts w:ascii="Arial" w:cs="Arial" w:eastAsia="Arial" w:hAnsi="Arial"/>
          <w:sz w:val="18"/>
          <w:szCs w:val="18"/>
          <w:color w:val="auto"/>
        </w:rPr>
        <w:t>Consists primarily of the NBC and Telemundo broadcast networks, our NBC and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67" w:lineRule="exact"/>
        <w:rPr>
          <w:rFonts w:ascii="Arial" w:cs="Arial" w:eastAsia="Arial" w:hAnsi="Arial"/>
          <w:sz w:val="18"/>
          <w:szCs w:val="18"/>
          <w:color w:val="auto"/>
        </w:rPr>
      </w:pPr>
    </w:p>
    <w:p>
      <w:pPr>
        <w:ind w:left="863" w:right="40" w:hanging="431"/>
        <w:spacing w:after="0" w:line="266" w:lineRule="auto"/>
        <w:tabs>
          <w:tab w:leader="none" w:pos="86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Filmed Entertainment: </w:t>
      </w:r>
      <w:r>
        <w:rPr>
          <w:rFonts w:ascii="Arial" w:cs="Arial" w:eastAsia="Arial" w:hAnsi="Arial"/>
          <w:sz w:val="18"/>
          <w:szCs w:val="18"/>
          <w:color w:val="auto"/>
        </w:rPr>
        <w:t>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 as well as DreamWorks Animation, which we acquired in August 2016; our films are also produced under the Illumination and Focus Features names.</w:t>
      </w:r>
    </w:p>
    <w:p>
      <w:pPr>
        <w:spacing w:after="0" w:line="81" w:lineRule="exact"/>
        <w:rPr>
          <w:rFonts w:ascii="Arial" w:cs="Arial" w:eastAsia="Arial" w:hAnsi="Arial"/>
          <w:sz w:val="18"/>
          <w:szCs w:val="18"/>
          <w:color w:val="auto"/>
        </w:rPr>
      </w:pPr>
    </w:p>
    <w:p>
      <w:pPr>
        <w:ind w:left="863" w:right="200" w:hanging="431"/>
        <w:spacing w:after="0" w:line="282" w:lineRule="auto"/>
        <w:tabs>
          <w:tab w:leader="none" w:pos="863"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Theme Parks: </w:t>
      </w:r>
      <w:r>
        <w:rPr>
          <w:rFonts w:ascii="Arial" w:cs="Arial" w:eastAsia="Arial" w:hAnsi="Arial"/>
          <w:sz w:val="18"/>
          <w:szCs w:val="18"/>
          <w:color w:val="auto"/>
        </w:rPr>
        <w:t>Consists primarily of our Universal theme parks in Orlando, Florida and Hollywood, California and our 51% interest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Universal Studios theme park in Osaka, Japan, which we acquired in November 2015.</w:t>
      </w:r>
    </w:p>
    <w:p>
      <w:pPr>
        <w:spacing w:after="0" w:line="166" w:lineRule="exact"/>
        <w:rPr>
          <w:sz w:val="20"/>
          <w:szCs w:val="20"/>
          <w:color w:val="auto"/>
        </w:rPr>
      </w:pPr>
    </w:p>
    <w:p>
      <w:pPr>
        <w:ind w:left="3" w:right="400" w:firstLine="443"/>
        <w:spacing w:after="0" w:line="277" w:lineRule="auto"/>
        <w:rPr>
          <w:sz w:val="20"/>
          <w:szCs w:val="20"/>
          <w:color w:val="auto"/>
        </w:rPr>
      </w:pPr>
      <w:r>
        <w:rPr>
          <w:rFonts w:ascii="Arial" w:cs="Arial" w:eastAsia="Arial" w:hAnsi="Arial"/>
          <w:sz w:val="18"/>
          <w:szCs w:val="18"/>
          <w:color w:val="auto"/>
        </w:rPr>
        <w:t>The Cable Networks, Broadcast Television, Filmed Entertainment and Theme Parks segments comprise the NBCUniversal businesses and are collectively referred to as the “NBCUniversal segments.”</w:t>
      </w:r>
    </w:p>
    <w:p>
      <w:pPr>
        <w:spacing w:after="0" w:line="170" w:lineRule="exact"/>
        <w:rPr>
          <w:sz w:val="20"/>
          <w:szCs w:val="20"/>
          <w:color w:val="auto"/>
        </w:rPr>
      </w:pPr>
    </w:p>
    <w:p>
      <w:pPr>
        <w:ind w:left="3" w:right="460" w:firstLine="443"/>
        <w:spacing w:after="0" w:line="277" w:lineRule="auto"/>
        <w:rPr>
          <w:sz w:val="20"/>
          <w:szCs w:val="20"/>
          <w:color w:val="auto"/>
        </w:rPr>
      </w:pPr>
      <w:r>
        <w:rPr>
          <w:rFonts w:ascii="Arial" w:cs="Arial" w:eastAsia="Arial" w:hAnsi="Arial"/>
          <w:sz w:val="18"/>
          <w:szCs w:val="18"/>
          <w:color w:val="auto"/>
        </w:rPr>
        <w:t>Our other business interests consist primarily of Comcast Spectacor, which owns the Philadelphia Flyers and the Wells Fargo Center arena in Philadelphia, Pennsylvania and operates arena management-related businesses.</w:t>
      </w:r>
    </w:p>
    <w:p>
      <w:pPr>
        <w:spacing w:after="0" w:line="170" w:lineRule="exact"/>
        <w:rPr>
          <w:sz w:val="20"/>
          <w:szCs w:val="20"/>
          <w:color w:val="auto"/>
        </w:rPr>
      </w:pPr>
    </w:p>
    <w:p>
      <w:pPr>
        <w:ind w:left="3" w:right="240" w:firstLine="443"/>
        <w:spacing w:after="0" w:line="264"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81" w:lineRule="exact"/>
        <w:rPr>
          <w:sz w:val="20"/>
          <w:szCs w:val="20"/>
          <w:color w:val="auto"/>
        </w:rPr>
      </w:pPr>
    </w:p>
    <w:p>
      <w:pPr>
        <w:ind w:left="443"/>
        <w:spacing w:after="0"/>
        <w:rPr>
          <w:sz w:val="20"/>
          <w:szCs w:val="20"/>
          <w:color w:val="auto"/>
        </w:rPr>
      </w:pPr>
      <w:r>
        <w:rPr>
          <w:rFonts w:ascii="Arial" w:cs="Arial" w:eastAsia="Arial" w:hAnsi="Arial"/>
          <w:sz w:val="16"/>
          <w:szCs w:val="16"/>
          <w:color w:val="auto"/>
        </w:rPr>
        <w:t>Comcast’s principal executive offices are located at One Comcast Center, Philadelphia, Pennsylvania 19103-2838. Comcast’s telephone number is</w:t>
      </w:r>
    </w:p>
    <w:p>
      <w:pPr>
        <w:spacing w:after="0" w:line="46" w:lineRule="exact"/>
        <w:rPr>
          <w:sz w:val="20"/>
          <w:szCs w:val="20"/>
          <w:color w:val="auto"/>
        </w:rPr>
      </w:pPr>
    </w:p>
    <w:p>
      <w:pPr>
        <w:ind w:left="3" w:right="200" w:hanging="3"/>
        <w:spacing w:after="0" w:line="261" w:lineRule="auto"/>
        <w:tabs>
          <w:tab w:leader="none" w:pos="438" w:val="left"/>
        </w:tabs>
        <w:numPr>
          <w:ilvl w:val="0"/>
          <w:numId w:val="3"/>
        </w:numPr>
        <w:rPr>
          <w:rFonts w:ascii="Arial" w:cs="Arial" w:eastAsia="Arial" w:hAnsi="Arial"/>
          <w:sz w:val="18"/>
          <w:szCs w:val="18"/>
          <w:color w:val="auto"/>
        </w:rPr>
      </w:pPr>
      <w:r>
        <w:rPr>
          <w:rFonts w:ascii="Arial" w:cs="Arial" w:eastAsia="Arial" w:hAnsi="Arial"/>
          <w:sz w:val="18"/>
          <w:szCs w:val="18"/>
          <w:color w:val="auto"/>
        </w:rPr>
        <w:t>286-1700. The address of our website is www.comcastcorporation.com. The information on, or accessible through, our website is not part of this prospectus supplement or the accompanying prospectus.</w:t>
      </w:r>
    </w:p>
    <w:p>
      <w:pPr>
        <w:spacing w:after="0" w:line="288"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The Guarantors</w:t>
      </w:r>
    </w:p>
    <w:p>
      <w:pPr>
        <w:spacing w:after="0" w:line="121" w:lineRule="exact"/>
        <w:rPr>
          <w:sz w:val="20"/>
          <w:szCs w:val="20"/>
          <w:color w:val="auto"/>
        </w:rPr>
      </w:pPr>
    </w:p>
    <w:p>
      <w:pPr>
        <w:ind w:left="3" w:firstLine="443"/>
        <w:spacing w:after="0" w:line="264"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Communications”) and NBCUniversal. In this prospectus supplement, we refer to these guarantors as the guarantors and to these guarantees as the guarantees.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7"/>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063"/>
          </w:cols>
          <w:pgMar w:left="437" w:top="459" w:right="399" w:bottom="1440" w:gutter="0" w:footer="0" w:header="0"/>
        </w:sectPr>
      </w:pPr>
    </w:p>
    <w:bookmarkStart w:id="5" w:name="page6"/>
    <w:bookmarkEnd w:id="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5887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1588770"/>
                    </a:xfrm>
                    <a:prstGeom prst="rect">
                      <a:avLst/>
                    </a:prstGeom>
                    <a:noFill/>
                  </pic:spPr>
                </pic:pic>
              </a:graphicData>
            </a:graphic>
          </wp:anchor>
        </w:drawing>
        <w:t>The guarantees will not contain any restrictions on the ability of any guarantor to:</w:t>
      </w:r>
    </w:p>
    <w:p>
      <w:pPr>
        <w:spacing w:after="0" w:line="131" w:lineRule="exact"/>
        <w:rPr>
          <w:sz w:val="20"/>
          <w:szCs w:val="20"/>
          <w:color w:val="auto"/>
        </w:rPr>
      </w:pPr>
    </w:p>
    <w:p>
      <w:pPr>
        <w:ind w:left="860" w:hanging="431"/>
        <w:spacing w:after="0" w:line="277"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75" w:lineRule="exact"/>
        <w:rPr>
          <w:rFonts w:ascii="Arial" w:cs="Arial" w:eastAsia="Arial" w:hAnsi="Arial"/>
          <w:sz w:val="18"/>
          <w:szCs w:val="18"/>
          <w:color w:val="auto"/>
        </w:rPr>
      </w:pPr>
    </w:p>
    <w:p>
      <w:pPr>
        <w:ind w:left="860" w:hanging="431"/>
        <w:spacing w:after="0"/>
        <w:tabs>
          <w:tab w:leader="none" w:pos="860" w:val="left"/>
        </w:tabs>
        <w:numPr>
          <w:ilvl w:val="0"/>
          <w:numId w:val="4"/>
        </w:numPr>
        <w:rPr>
          <w:rFonts w:ascii="Arial" w:cs="Arial" w:eastAsia="Arial" w:hAnsi="Arial"/>
          <w:sz w:val="17"/>
          <w:szCs w:val="17"/>
          <w:color w:val="auto"/>
        </w:rPr>
      </w:pPr>
      <w:r>
        <w:rPr>
          <w:rFonts w:ascii="Arial" w:cs="Arial" w:eastAsia="Arial" w:hAnsi="Arial"/>
          <w:sz w:val="17"/>
          <w:szCs w:val="17"/>
          <w:color w:val="auto"/>
        </w:rPr>
        <w:t>make any payment of principal, interest or premium, if any, on or repay, repurchase or redeem any debt securities of that guarantor.</w:t>
      </w:r>
    </w:p>
    <w:p>
      <w:pPr>
        <w:spacing w:after="0" w:line="237" w:lineRule="exact"/>
        <w:rPr>
          <w:sz w:val="20"/>
          <w:szCs w:val="20"/>
          <w:color w:val="auto"/>
        </w:rPr>
      </w:pPr>
    </w:p>
    <w:p>
      <w:pPr>
        <w:ind w:right="280" w:firstLine="443"/>
        <w:spacing w:after="0" w:line="277" w:lineRule="auto"/>
        <w:rPr>
          <w:sz w:val="20"/>
          <w:szCs w:val="20"/>
          <w:color w:val="auto"/>
        </w:rPr>
      </w:pPr>
      <w:r>
        <w:rPr>
          <w:rFonts w:ascii="Arial" w:cs="Arial" w:eastAsia="Arial" w:hAnsi="Arial"/>
          <w:sz w:val="18"/>
          <w:szCs w:val="18"/>
          <w:color w:val="auto"/>
        </w:rPr>
        <w:t>Comcast Cable Communications’ principal place of business is One Comcast Center, Philadelphia, Pennsylvania 19103-2838. NBCUniversal’s principal executive offices are located at 30 Rockefeller Plaza, New York, New York 10112-0015.</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040"/>
          </w:cols>
          <w:pgMar w:left="440" w:top="463" w:right="4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420" w:type="dxa"/>
            <w:vAlign w:val="bottom"/>
          </w:tcPr>
          <w:p>
            <w:pPr>
              <w:ind w:left="40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Issuer</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Comcast Corporation.</w:t>
            </w: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Securities Offered</w:t>
            </w:r>
          </w:p>
        </w:tc>
        <w:tc>
          <w:tcPr>
            <w:tcW w:w="1480" w:type="dxa"/>
            <w:vAlign w:val="bottom"/>
          </w:tcPr>
          <w:p>
            <w:pPr>
              <w:ind w:left="1060"/>
              <w:spacing w:after="0"/>
              <w:rPr>
                <w:sz w:val="20"/>
                <w:szCs w:val="20"/>
                <w:color w:val="auto"/>
              </w:rPr>
            </w:pPr>
            <w:r>
              <w:rPr>
                <w:rFonts w:ascii="Arial" w:cs="Arial" w:eastAsia="Arial" w:hAnsi="Arial"/>
                <w:sz w:val="18"/>
                <w:szCs w:val="18"/>
                <w:color w:val="auto"/>
              </w:rPr>
              <w:t>$</w:t>
            </w:r>
          </w:p>
        </w:tc>
        <w:tc>
          <w:tcPr>
            <w:tcW w:w="6420" w:type="dxa"/>
            <w:vAlign w:val="bottom"/>
          </w:tcPr>
          <w:p>
            <w:pPr>
              <w:ind w:left="20"/>
              <w:spacing w:after="0"/>
              <w:rPr>
                <w:sz w:val="20"/>
                <w:szCs w:val="20"/>
                <w:color w:val="auto"/>
              </w:rPr>
            </w:pPr>
            <w:r>
              <w:rPr>
                <w:rFonts w:ascii="Arial" w:cs="Arial" w:eastAsia="Arial" w:hAnsi="Arial"/>
                <w:sz w:val="18"/>
                <w:szCs w:val="18"/>
                <w:color w:val="auto"/>
              </w:rPr>
              <w:t>aggregate principal amount of   % Notes due 2047.</w:t>
            </w:r>
          </w:p>
        </w:tc>
      </w:tr>
      <w:tr>
        <w:trPr>
          <w:trHeight w:val="473"/>
        </w:trPr>
        <w:tc>
          <w:tcPr>
            <w:tcW w:w="3140" w:type="dxa"/>
            <w:vAlign w:val="bottom"/>
          </w:tcPr>
          <w:p>
            <w:pPr>
              <w:spacing w:after="0"/>
              <w:rPr>
                <w:sz w:val="20"/>
                <w:szCs w:val="20"/>
                <w:color w:val="auto"/>
              </w:rPr>
            </w:pPr>
            <w:r>
              <w:rPr>
                <w:rFonts w:ascii="Arial" w:cs="Arial" w:eastAsia="Arial" w:hAnsi="Arial"/>
                <w:sz w:val="18"/>
                <w:szCs w:val="18"/>
                <w:color w:val="auto"/>
              </w:rPr>
              <w:t>Maturity</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March 15, 2047.</w:t>
            </w:r>
          </w:p>
        </w:tc>
      </w:tr>
      <w:tr>
        <w:trPr>
          <w:trHeight w:val="458"/>
        </w:trPr>
        <w:tc>
          <w:tcPr>
            <w:tcW w:w="3140" w:type="dxa"/>
            <w:vAlign w:val="bottom"/>
          </w:tcPr>
          <w:p>
            <w:pPr>
              <w:spacing w:after="0"/>
              <w:rPr>
                <w:sz w:val="20"/>
                <w:szCs w:val="20"/>
                <w:color w:val="auto"/>
              </w:rPr>
            </w:pPr>
            <w:r>
              <w:rPr>
                <w:rFonts w:ascii="Arial" w:cs="Arial" w:eastAsia="Arial" w:hAnsi="Arial"/>
                <w:sz w:val="18"/>
                <w:szCs w:val="18"/>
                <w:color w:val="auto"/>
              </w:rPr>
              <w:t>Interest</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The notes will bear interest from March   , 2017 at the rate of   % per annum, payable</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semiannually in cash in arrears on March 15 and September 15, beginning on September 15,</w:t>
            </w:r>
          </w:p>
        </w:tc>
      </w:tr>
      <w:tr>
        <w:trPr>
          <w:trHeight w:val="230"/>
        </w:trPr>
        <w:tc>
          <w:tcPr>
            <w:tcW w:w="3140" w:type="dxa"/>
            <w:vAlign w:val="bottom"/>
          </w:tcPr>
          <w:p>
            <w:pPr>
              <w:spacing w:after="0"/>
              <w:rPr>
                <w:sz w:val="20"/>
                <w:szCs w:val="20"/>
                <w:color w:val="auto"/>
              </w:rPr>
            </w:pPr>
          </w:p>
        </w:tc>
        <w:tc>
          <w:tcPr>
            <w:tcW w:w="1480" w:type="dxa"/>
            <w:vAlign w:val="bottom"/>
          </w:tcPr>
          <w:p>
            <w:pPr>
              <w:ind w:left="1060"/>
              <w:spacing w:after="0"/>
              <w:rPr>
                <w:sz w:val="20"/>
                <w:szCs w:val="20"/>
                <w:color w:val="auto"/>
              </w:rPr>
            </w:pPr>
            <w:r>
              <w:rPr>
                <w:rFonts w:ascii="Arial" w:cs="Arial" w:eastAsia="Arial" w:hAnsi="Arial"/>
                <w:sz w:val="18"/>
                <w:szCs w:val="18"/>
                <w:color w:val="auto"/>
                <w:w w:val="88"/>
              </w:rPr>
              <w:t>2017.</w:t>
            </w:r>
          </w:p>
        </w:tc>
        <w:tc>
          <w:tcPr>
            <w:tcW w:w="6420" w:type="dxa"/>
            <w:vAlign w:val="bottom"/>
          </w:tcPr>
          <w:p>
            <w:pPr>
              <w:spacing w:after="0"/>
              <w:rPr>
                <w:sz w:val="20"/>
                <w:szCs w:val="20"/>
                <w:color w:val="auto"/>
              </w:rPr>
            </w:pP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Ranking</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The notes will be unsecured and will rank equally with all of our and the guarantors’</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unsecured and unsubordinated indebtedness.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Currency of Payments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7"/>
              </w:rPr>
              <w:t>The notes will be denominated in U.S. dollars and we will pay principal, interest and any</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premium in U.S. dollars.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Additional Amounts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3"/>
              </w:rPr>
              <w:t>Subject to certain exceptions and limitations set forth herein, we will pay additional amounts</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88"/>
              </w:rPr>
              <w:t>as may be necessary to ensure that every net payment on a note to a holder who is not a United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4"/>
              </w:rPr>
              <w:t>States person, after deduction or withholding by us or our paying agent for or on account of</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88"/>
              </w:rPr>
              <w:t>any present or future tax, assessment or other governmental charge imposed upon or as a result</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5"/>
              </w:rPr>
              <w:t>of such payment by the United States or any political subdivision or taxing authority of the</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7"/>
              </w:rPr>
              <w:t>United States, will not be less than the amount provided in such note to be then due and</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payable. See “Description of Notes—Payment of Additional Amounts.”</w:t>
            </w:r>
          </w:p>
        </w:tc>
      </w:tr>
      <w:tr>
        <w:trPr>
          <w:trHeight w:val="459"/>
        </w:trPr>
        <w:tc>
          <w:tcPr>
            <w:tcW w:w="3140" w:type="dxa"/>
            <w:vAlign w:val="bottom"/>
          </w:tcPr>
          <w:p>
            <w:pPr>
              <w:spacing w:after="0"/>
              <w:rPr>
                <w:sz w:val="20"/>
                <w:szCs w:val="20"/>
                <w:color w:val="auto"/>
              </w:rPr>
            </w:pPr>
            <w:r>
              <w:rPr>
                <w:rFonts w:ascii="Arial" w:cs="Arial" w:eastAsia="Arial" w:hAnsi="Arial"/>
                <w:sz w:val="18"/>
                <w:szCs w:val="18"/>
                <w:color w:val="auto"/>
              </w:rPr>
              <w:t>Guarantors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Comcast Cable Communications and NBCUniversal.</w:t>
            </w:r>
          </w:p>
        </w:tc>
      </w:tr>
      <w:tr>
        <w:trPr>
          <w:trHeight w:val="458"/>
        </w:trPr>
        <w:tc>
          <w:tcPr>
            <w:tcW w:w="3140" w:type="dxa"/>
            <w:vAlign w:val="bottom"/>
          </w:tcPr>
          <w:p>
            <w:pPr>
              <w:spacing w:after="0"/>
              <w:rPr>
                <w:sz w:val="20"/>
                <w:szCs w:val="20"/>
                <w:color w:val="auto"/>
              </w:rPr>
            </w:pPr>
            <w:r>
              <w:rPr>
                <w:rFonts w:ascii="Arial" w:cs="Arial" w:eastAsia="Arial" w:hAnsi="Arial"/>
                <w:sz w:val="18"/>
                <w:szCs w:val="18"/>
                <w:color w:val="auto"/>
              </w:rPr>
              <w:t>Guarantees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4"/>
              </w:rPr>
              <w:t>The guarantors will fully and unconditionally guarantee the notes, including the payment of</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principal, premium, if any, and interest. The guarantees will rank equally with all other general</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unsecured and unsubordinated obligations of the guarantors.</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Optional Redemption</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89"/>
              </w:rPr>
              <w:t>We may, at our option, redeem the notes, in whole but not in part, on each March 15 on or after</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2"/>
              </w:rPr>
              <w:t>March 15, 2020. Any redemption described in this paragraph must be on not less than 30 nor</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5"/>
              </w:rPr>
              <w:t>more than 60 days’ notice and will be at a redemption price equal to 100% of the principal</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0"/>
              </w:rPr>
              <w:t>amount of the notes being redeemed plus accrued and unpaid interest to, but not including, the</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redemption date.</w:t>
            </w:r>
          </w:p>
        </w:tc>
      </w:tr>
      <w:tr>
        <w:trPr>
          <w:trHeight w:val="445"/>
        </w:trPr>
        <w:tc>
          <w:tcPr>
            <w:tcW w:w="3140" w:type="dxa"/>
            <w:vAlign w:val="bottom"/>
          </w:tcPr>
          <w:p>
            <w:pPr>
              <w:spacing w:after="0"/>
              <w:rPr>
                <w:sz w:val="20"/>
                <w:szCs w:val="20"/>
                <w:color w:val="auto"/>
              </w:rPr>
            </w:pPr>
            <w:r>
              <w:rPr>
                <w:rFonts w:ascii="Arial" w:cs="Arial" w:eastAsia="Arial" w:hAnsi="Arial"/>
                <w:sz w:val="18"/>
                <w:szCs w:val="18"/>
                <w:color w:val="auto"/>
              </w:rPr>
              <w:t>Redemption for Tax Reasons</w:t>
            </w: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2"/>
              </w:rPr>
              <w:t>We may redeem the notes, in whole but not in part, in the event of certain changes in the tax</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1"/>
              </w:rPr>
              <w:t>laws of the United States (or any taxing authority in the United States). This redemption would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0"/>
              </w:rPr>
              <w:t>be at 100% of the principal amount of the notes to be redeemed (plus any accrued interest and</w:t>
            </w:r>
          </w:p>
        </w:tc>
      </w:tr>
      <w:tr>
        <w:trPr>
          <w:trHeight w:val="216"/>
        </w:trPr>
        <w:tc>
          <w:tcPr>
            <w:tcW w:w="3140" w:type="dxa"/>
            <w:vAlign w:val="bottom"/>
          </w:tcPr>
          <w:p>
            <w:pPr>
              <w:spacing w:after="0"/>
              <w:rPr>
                <w:sz w:val="18"/>
                <w:szCs w:val="18"/>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w w:val="90"/>
              </w:rPr>
              <w:t>additional amounts then payable with respect to the notes to, but not including, the redemption</w:t>
            </w:r>
          </w:p>
        </w:tc>
      </w:tr>
      <w:tr>
        <w:trPr>
          <w:trHeight w:val="230"/>
        </w:trPr>
        <w:tc>
          <w:tcPr>
            <w:tcW w:w="3140" w:type="dxa"/>
            <w:vAlign w:val="bottom"/>
          </w:tcPr>
          <w:p>
            <w:pPr>
              <w:spacing w:after="0"/>
              <w:rPr>
                <w:sz w:val="20"/>
                <w:szCs w:val="20"/>
                <w:color w:val="auto"/>
              </w:rPr>
            </w:pPr>
          </w:p>
        </w:tc>
        <w:tc>
          <w:tcPr>
            <w:tcW w:w="7900" w:type="dxa"/>
            <w:vAlign w:val="bottom"/>
            <w:gridSpan w:val="2"/>
          </w:tcPr>
          <w:p>
            <w:pPr>
              <w:ind w:left="1060"/>
              <w:spacing w:after="0"/>
              <w:rPr>
                <w:sz w:val="20"/>
                <w:szCs w:val="20"/>
                <w:color w:val="auto"/>
              </w:rPr>
            </w:pPr>
            <w:r>
              <w:rPr>
                <w:rFonts w:ascii="Arial" w:cs="Arial" w:eastAsia="Arial" w:hAnsi="Arial"/>
                <w:sz w:val="18"/>
                <w:szCs w:val="18"/>
                <w:color w:val="auto"/>
              </w:rPr>
              <w:t>date). See “Description of Notes—Redemption for Tax Reasons.”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6597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659701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040"/>
          </w:cols>
          <w:pgMar w:left="440" w:top="459" w:right="419" w:bottom="144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We intend to use the net proceeds from the offering, after deducting the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-2800985</wp:posOffset>
            </wp:positionH>
            <wp:positionV relativeFrom="paragraph">
              <wp:posOffset>-335915</wp:posOffset>
            </wp:positionV>
            <wp:extent cx="7289165" cy="6073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607377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commission, structuring fee and expenses, for working capital and general corporate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may include the repayment at maturity of our 8.875% notes due May 2017</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($550 million principal amount outstanding) and repayment of a portion of our outstanding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commercial paper. As of February 15, 2017, our commercial paper had a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annual interest rate of approximately 1.153% and a weighted average remaining maturity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approximately 6 days.</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Book-Entry</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notes will be issued in book-entry form and will be represented by global notes deposited with, or on behalf of, a common depositary on behalf of Euroclear and Clearstream and registered in the name of the common depositary or its nominee. Beneficial interests in any of the notes will be shown on, and transfers will be effected only through, records maintained by Euroclear and Clearstream and their participants, and these beneficial interests may not be exchanged for certificated notes, except in limited circumstances. See “Description of Notes— Book-Entry System” in this prospectus supplement.</w:t>
      </w:r>
    </w:p>
    <w:p>
      <w:pPr>
        <w:spacing w:after="0" w:line="194"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5"/>
          <w:szCs w:val="15"/>
          <w:color w:val="auto"/>
        </w:rPr>
        <w:t>Further Issuances</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Arial" w:cs="Arial" w:eastAsia="Arial" w:hAnsi="Arial"/>
          <w:sz w:val="17"/>
          <w:szCs w:val="17"/>
          <w:color w:val="auto"/>
        </w:rPr>
        <w:t>To the extent permitted by applicable authorities in the ROC and subject to the receipt of all necessary regulatory and listing approvals from such authorities, including but not limited to the TPEx and the Taiwan Securities Association (the “TSA”), we may from time to time, without notice to or the consent of the holders of notes, create and issue further notes ranking equally and ratably with such notes in all respects, or in all respects except for the payment of interest accruing prior to the issue date or except for the first payment of interest following the issue date of those further notes; provided, that if such additional notes are not fungible with the notes offered hereby for U.S. federal income tax purposes, such additional notes will have one or more separate ISIN numbers. Any further notes will have the same terms as to status, redemption or otherwise as the notes.</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Bank of New York Mellon.</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Markets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notes are offered for sale in those jurisdictions in the United States, Europe and Asia where it is legal to make such offers. See “Selling.”</w:t>
      </w:r>
    </w:p>
    <w:p>
      <w:pPr>
        <w:spacing w:after="0" w:line="197"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Application will be made for the notes to be admitted to listing on the TPEx. No assurance can be given that such application will be approved, or that the TPEx listing will be maintained.</w:t>
      </w:r>
    </w:p>
    <w:p>
      <w:pPr>
        <w:spacing w:after="0" w:line="151"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0"/>
        <w:spacing w:after="0" w:line="257" w:lineRule="auto"/>
        <w:rPr>
          <w:sz w:val="20"/>
          <w:szCs w:val="20"/>
          <w:color w:val="auto"/>
        </w:rPr>
      </w:pPr>
      <w:r>
        <w:rPr>
          <w:rFonts w:ascii="Arial" w:cs="Arial" w:eastAsia="Arial" w:hAnsi="Arial"/>
          <w:sz w:val="18"/>
          <w:szCs w:val="18"/>
          <w:color w:val="auto"/>
        </w:rPr>
        <w:t>You should consider carefully all the information set forth and incorporated by reference in this prospectus supplement and the accompanying prospectus and, in particular, you should evaluate the specific factors set forth under the heading “Risk Factors” beginning on page S-6 of this prospectus supplement and described under “Risk Factors” in our Annual Report on Form 10-K for the year ended</w:t>
      </w:r>
    </w:p>
    <w:p>
      <w:pPr>
        <w:spacing w:after="0" w:line="200" w:lineRule="exact"/>
        <w:rPr>
          <w:sz w:val="20"/>
          <w:szCs w:val="20"/>
          <w:color w:val="auto"/>
        </w:rPr>
      </w:pPr>
    </w:p>
    <w:p>
      <w:pPr>
        <w:sectPr>
          <w:pgSz w:w="11900" w:h="16838" w:orient="portrait"/>
          <w:cols w:equalWidth="0" w:num="2">
            <w:col w:w="3480" w:space="720"/>
            <w:col w:w="6820"/>
          </w:cols>
          <w:pgMar w:left="440" w:top="463" w:right="43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S-4</w:t>
      </w:r>
    </w:p>
    <w:p>
      <w:pPr>
        <w:sectPr>
          <w:pgSz w:w="11900" w:h="16838" w:orient="portrait"/>
          <w:cols w:equalWidth="0" w:num="1">
            <w:col w:w="11020"/>
          </w:cols>
          <w:pgMar w:left="440" w:top="463" w:right="439" w:bottom="1440" w:gutter="0" w:footer="0" w:header="0"/>
          <w:type w:val="continuous"/>
        </w:sectPr>
      </w:pPr>
    </w:p>
    <w:bookmarkStart w:id="8" w:name="page9"/>
    <w:bookmarkEnd w:id="8"/>
    <w:p>
      <w:pPr>
        <w:ind w:left="4200"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1185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1185545"/>
                    </a:xfrm>
                    <a:prstGeom prst="rect">
                      <a:avLst/>
                    </a:prstGeom>
                    <a:noFill/>
                  </pic:spPr>
                </pic:pic>
              </a:graphicData>
            </a:graphic>
          </wp:anchor>
        </w:drawing>
        <w:t>December 31, 2016, as well as the other information contained or incorporated herein by reference, before investing in any of the notes offered hereby.</w:t>
      </w:r>
    </w:p>
    <w:p>
      <w:pPr>
        <w:sectPr>
          <w:pgSz w:w="11900" w:h="16838" w:orient="portrait"/>
          <w:cols w:equalWidth="0" w:num="1">
            <w:col w:w="10660"/>
          </w:cols>
          <w:pgMar w:left="440" w:top="463" w:right="79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Governing Law</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indenture governing the notes is, and the notes will be, governed by, and construed in accordance with, the laws of the State of New York.</w:t>
      </w:r>
    </w:p>
    <w:p>
      <w:pPr>
        <w:spacing w:after="0" w:line="200" w:lineRule="exact"/>
        <w:rPr>
          <w:sz w:val="20"/>
          <w:szCs w:val="20"/>
          <w:color w:val="auto"/>
        </w:rPr>
      </w:pPr>
    </w:p>
    <w:p>
      <w:pPr>
        <w:sectPr>
          <w:pgSz w:w="11900" w:h="16838" w:orient="portrait"/>
          <w:cols w:equalWidth="0" w:num="2">
            <w:col w:w="3480" w:space="720"/>
            <w:col w:w="6460"/>
          </w:cols>
          <w:pgMar w:left="440" w:top="463" w:right="79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0660"/>
          </w:cols>
          <w:pgMar w:left="440" w:top="463" w:right="79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 FACTORS</w:t>
      </w:r>
    </w:p>
    <w:p>
      <w:pPr>
        <w:spacing w:after="0" w:line="229"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An investment in the notes involves certain risks. You should carefully consider the risk factors described under “Risk Factors” in our Annual Report on Form 10-K for the year ended December 31, 2016, as well as the other information included or incorporated by reference in this prospectus supplement and the accompanying prospectus, before making an investment decision. Additional risks and uncertainties not now known to us or that we now deem immaterial may also adversely affect our business or financial performance. Our business, financial condition, results of operations or cash flows could be materially adversely affected by any of these risks. The market or trading price of the notes could decline due to any of these risks or other factors, and you may lose all or part of your investment.</w:t>
      </w:r>
    </w:p>
    <w:p>
      <w:pPr>
        <w:spacing w:after="0" w:line="193"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 addition to the risks relating to us described in our reports described above and any subsequent filings, the following are additional risks relating to an investment in the notes.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Active trading markets for the notes may not develop.</w:t>
      </w:r>
    </w:p>
    <w:p>
      <w:pPr>
        <w:spacing w:after="0" w:line="11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No public market exists for the notes. Application will be made for the listing of the notes on the TPEx. No assurances can be given as to whether the notes will be, or will remain, listed on the TPEx or whether a trading market for the notes will develop or as to the liquidity of any such trading market. If the notes fail to or cease to be listed on the TPEx, certain investors may not invest in, or continue to hold or invest in, the notes. If any of the notes are traded after their initial issue, they may trade at a discount or premium from their initial offering price, depending on prevailing interest rates, the market for similar securities and the market for the notes and other factors, including general economic conditions and our financial condition, performance and prospects. No assurance can be given as to the future price level of the notes after their initial issue. The notes may be sold to a limited number of investors, and liquidity of the notes may be adversely affected if a significant portion of the notes are bought by a limited number of investors.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Trading in the clearing systems is subject to minimum denomination requirements.</w:t>
      </w:r>
    </w:p>
    <w:p>
      <w:pPr>
        <w:spacing w:after="0" w:line="11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terms of the notes provide that notes will be issued with a minimum denomination of $100,000 and multiples of $1,000 in excess thereof. It is possible that the clearing systems may process trades which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may adversely affect your return on the notes.</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right to redeem the notes, in whole but not in part, prior to maturity on each March 15 on or after March 15, 2020. We may also redeem the notes, in whole but not in part, prior to maturity if certain events involving U.S. taxation occur. The redemption price in each case will not include a premium. We may redeem the notes at times when prevailing interest rates may be relatively low. Accordingly, you may not be able to reinvest the amount received upon a redemption in a comparable security at an effective interest rate as high as that of the notes.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270" w:right="2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229"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intend to use the net proceeds from the offering, after deducting the underwriting commission, structuring fee and expenses, for working capital and general corporate purposes, which may include the repayment at maturity of our 8.875% notes due May 2017 ($550 million principal amount outstanding) and repayment of a portion of our outstanding commercial paper. As of February 15, 2017, our commercial paper had a weighted average annual interest rate of approximately 1.153% and a weighted average remaining maturity of approximately 6 days.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00"/>
          </w:cols>
          <w:pgMar w:left="240" w:top="270" w:right="2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RATIOS OF EARNINGS TO FIXED CHARGES AND OF EARNINGS TO COMBINED FIXED CHARGES AND PREFERRED DIVIDENDS</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89"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460" w:type="dxa"/>
        <w:tblCellMar>
          <w:top w:w="0" w:type="dxa"/>
          <w:left w:w="0" w:type="dxa"/>
          <w:bottom w:w="0" w:type="dxa"/>
          <w:right w:w="0" w:type="dxa"/>
        </w:tblCellMar>
      </w:tblPr>
      <w:tr>
        <w:trPr>
          <w:trHeight w:val="142"/>
        </w:trPr>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2016</w:t>
            </w:r>
          </w:p>
        </w:tc>
        <w:tc>
          <w:tcPr>
            <w:tcW w:w="19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2015</w:t>
            </w:r>
          </w:p>
        </w:tc>
        <w:tc>
          <w:tcPr>
            <w:tcW w:w="18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2014</w:t>
            </w:r>
          </w:p>
        </w:tc>
        <w:tc>
          <w:tcPr>
            <w:tcW w:w="190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188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r>
      <w:tr>
        <w:trPr>
          <w:trHeight w:val="210"/>
        </w:trPr>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5.26x</w:t>
            </w:r>
          </w:p>
        </w:tc>
        <w:tc>
          <w:tcPr>
            <w:tcW w:w="1900" w:type="dxa"/>
            <w:vAlign w:val="bottom"/>
            <w:shd w:val="clear" w:color="auto" w:fill="CCEEFF"/>
          </w:tcPr>
          <w:p>
            <w:pPr>
              <w:spacing w:after="0"/>
              <w:rPr>
                <w:sz w:val="18"/>
                <w:szCs w:val="18"/>
                <w:color w:val="auto"/>
              </w:rPr>
            </w:pP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6"/>
              </w:rPr>
              <w:t>5.48x</w:t>
            </w:r>
          </w:p>
        </w:tc>
        <w:tc>
          <w:tcPr>
            <w:tcW w:w="1880" w:type="dxa"/>
            <w:vAlign w:val="bottom"/>
            <w:shd w:val="clear" w:color="auto" w:fill="CCEEFF"/>
          </w:tcPr>
          <w:p>
            <w:pPr>
              <w:spacing w:after="0"/>
              <w:rPr>
                <w:sz w:val="18"/>
                <w:szCs w:val="18"/>
                <w:color w:val="auto"/>
              </w:rPr>
            </w:pPr>
          </w:p>
        </w:tc>
        <w:tc>
          <w:tcPr>
            <w:tcW w:w="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6"/>
              </w:rPr>
              <w:t>5.22x</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4.85x</w:t>
            </w:r>
          </w:p>
        </w:tc>
        <w:tc>
          <w:tcPr>
            <w:tcW w:w="18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4.82x</w:t>
            </w:r>
          </w:p>
        </w:tc>
        <w:tc>
          <w:tcPr>
            <w:tcW w:w="1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5" w:lineRule="exact"/>
        <w:rPr>
          <w:sz w:val="20"/>
          <w:szCs w:val="20"/>
          <w:color w:val="auto"/>
        </w:rPr>
      </w:pPr>
    </w:p>
    <w:p>
      <w:pPr>
        <w:ind w:right="240" w:firstLine="8"/>
        <w:spacing w:after="0" w:line="254" w:lineRule="auto"/>
        <w:tabs>
          <w:tab w:leader="none" w:pos="29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270" w:right="25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NOTES</w:t>
      </w:r>
    </w:p>
    <w:p>
      <w:pPr>
        <w:spacing w:after="0" w:line="229" w:lineRule="exact"/>
        <w:rPr>
          <w:sz w:val="20"/>
          <w:szCs w:val="20"/>
          <w:color w:val="auto"/>
        </w:rPr>
      </w:pPr>
    </w:p>
    <w:p>
      <w:pPr>
        <w:ind w:left="460"/>
        <w:spacing w:after="0"/>
        <w:tabs>
          <w:tab w:leader="none" w:pos="2060" w:val="left"/>
          <w:tab w:leader="none" w:pos="4740" w:val="left"/>
        </w:tabs>
        <w:rPr>
          <w:sz w:val="20"/>
          <w:szCs w:val="20"/>
          <w:color w:val="auto"/>
        </w:rPr>
      </w:pPr>
      <w:r>
        <w:rPr>
          <w:rFonts w:ascii="Arial" w:cs="Arial" w:eastAsia="Arial" w:hAnsi="Arial"/>
          <w:sz w:val="18"/>
          <w:szCs w:val="18"/>
          <w:color w:val="auto"/>
        </w:rPr>
        <w:t>We are offering $</w:t>
      </w:r>
      <w:r>
        <w:rPr>
          <w:sz w:val="20"/>
          <w:szCs w:val="20"/>
          <w:color w:val="auto"/>
        </w:rPr>
        <w:tab/>
      </w:r>
      <w:r>
        <w:rPr>
          <w:rFonts w:ascii="Arial" w:cs="Arial" w:eastAsia="Arial" w:hAnsi="Arial"/>
          <w:sz w:val="18"/>
          <w:szCs w:val="18"/>
          <w:color w:val="auto"/>
        </w:rPr>
        <w:t>aggregate principal amount of our</w:t>
      </w:r>
      <w:r>
        <w:rPr>
          <w:sz w:val="20"/>
          <w:szCs w:val="20"/>
          <w:color w:val="auto"/>
        </w:rPr>
        <w:tab/>
      </w:r>
      <w:r>
        <w:rPr>
          <w:rFonts w:ascii="Arial" w:cs="Arial" w:eastAsia="Arial" w:hAnsi="Arial"/>
          <w:sz w:val="16"/>
          <w:szCs w:val="16"/>
          <w:color w:val="auto"/>
        </w:rPr>
        <w:t>% Notes due 2047. The notes will be issued under a senior indenture dated September 18,</w:t>
      </w:r>
    </w:p>
    <w:p>
      <w:pPr>
        <w:spacing w:after="0" w:line="23" w:lineRule="exact"/>
        <w:rPr>
          <w:sz w:val="20"/>
          <w:szCs w:val="20"/>
          <w:color w:val="auto"/>
        </w:rPr>
      </w:pPr>
    </w:p>
    <w:p>
      <w:pPr>
        <w:ind w:right="240"/>
        <w:spacing w:after="0" w:line="290" w:lineRule="auto"/>
        <w:rPr>
          <w:sz w:val="20"/>
          <w:szCs w:val="20"/>
          <w:color w:val="auto"/>
        </w:rPr>
      </w:pPr>
      <w:r>
        <w:rPr>
          <w:rFonts w:ascii="Arial" w:cs="Arial" w:eastAsia="Arial" w:hAnsi="Arial"/>
          <w:sz w:val="16"/>
          <w:szCs w:val="16"/>
          <w:color w:val="auto"/>
        </w:rPr>
        <w:t>2013, entered into among us, the guarantors and The Bank of New York Mellon, as trustee, as amended by the first supplemental indenture dated as of November 17, 2015, entered into among us, the guarantors and The Bank of New York Mellon, as trustee (as amended, the “indenture”). The notes will be our direct unsecured and unsubordinated obligations and will be fully and unconditionally guaranteed by Comcast Cable Communications and NBCUniversal, referred to as the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Copies of the indenture and the form of notes are available from us upon request.</w:t>
      </w:r>
    </w:p>
    <w:p>
      <w:pPr>
        <w:spacing w:after="0" w:line="164"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Guarantees,” is a summary of the material provisions of the indenture, the notes and the guarantees. Because this is a summary, it may not contain all the information that is important to you. For further information, you should read the notes and the indenture.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460"/>
        <w:spacing w:after="0"/>
        <w:tabs>
          <w:tab w:leader="none" w:pos="3200" w:val="left"/>
          <w:tab w:leader="none" w:pos="5580" w:val="left"/>
        </w:tabs>
        <w:rPr>
          <w:sz w:val="20"/>
          <w:szCs w:val="20"/>
          <w:color w:val="auto"/>
        </w:rPr>
      </w:pPr>
      <w:r>
        <w:rPr>
          <w:rFonts w:ascii="Arial" w:cs="Arial" w:eastAsia="Arial" w:hAnsi="Arial"/>
          <w:sz w:val="18"/>
          <w:szCs w:val="18"/>
          <w:color w:val="auto"/>
        </w:rPr>
        <w:t>We will initially issue a total of $</w:t>
      </w:r>
      <w:r>
        <w:rPr>
          <w:sz w:val="20"/>
          <w:szCs w:val="20"/>
          <w:color w:val="auto"/>
        </w:rPr>
        <w:tab/>
      </w:r>
      <w:r>
        <w:rPr>
          <w:rFonts w:ascii="Arial" w:cs="Arial" w:eastAsia="Arial" w:hAnsi="Arial"/>
          <w:sz w:val="18"/>
          <w:szCs w:val="18"/>
          <w:color w:val="auto"/>
        </w:rPr>
        <w:t>aggregate principal amount of</w:t>
      </w:r>
      <w:r>
        <w:rPr>
          <w:sz w:val="20"/>
          <w:szCs w:val="20"/>
          <w:color w:val="auto"/>
        </w:rPr>
        <w:tab/>
      </w:r>
      <w:r>
        <w:rPr>
          <w:rFonts w:ascii="Arial" w:cs="Arial" w:eastAsia="Arial" w:hAnsi="Arial"/>
          <w:sz w:val="16"/>
          <w:szCs w:val="16"/>
          <w:color w:val="auto"/>
        </w:rPr>
        <w:t>% Senior Notes that will mature on March 15, 2047 (the “notes”), unless earlier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redeemed. We may issue additional notes as described under “—Further Issuances.”</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redeem the notes, in whole but not in part, on each March 15 on or after March 15, 2020 as described under “—Optional Redemption” below.</w:t>
      </w:r>
    </w:p>
    <w:p>
      <w:pPr>
        <w:spacing w:after="0" w:line="24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may also redeem the notes, in whole but not in part, prior to maturity if certain events involving U.S. taxation occur. If any of these special tax events do occur, the notes will be redeemed at a redemption price of 100% of their principal amount plus any accrued interest and additional amounts payable with respect to the notes to, but not including, the redemption date. See “—Redemption for Tax Reasons.”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registered form in denominations of $100,000 and multiples of $1,000 in excess thereof.</w:t>
      </w:r>
    </w:p>
    <w:p>
      <w:pPr>
        <w:spacing w:after="0" w:line="225"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The term “business day” when used with respect to any note means any day, other than a Saturday or Sunday, which is not a day on which banking institutions in the City of New York, London or Taipei, are authorized or required by law, regulation or executive order to close.</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not be subject to any sinking fund.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subject to compliance with applicable law, at any time purchase notes in the open market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121" w:lineRule="exact"/>
        <w:rPr>
          <w:sz w:val="20"/>
          <w:szCs w:val="20"/>
          <w:color w:val="auto"/>
        </w:rPr>
      </w:pPr>
    </w:p>
    <w:p>
      <w:pPr>
        <w:ind w:left="460"/>
        <w:spacing w:after="0"/>
        <w:tabs>
          <w:tab w:leader="none" w:pos="4420" w:val="left"/>
          <w:tab w:leader="none" w:pos="6040" w:val="left"/>
        </w:tabs>
        <w:rPr>
          <w:sz w:val="20"/>
          <w:szCs w:val="20"/>
          <w:color w:val="auto"/>
        </w:rPr>
      </w:pPr>
      <w:r>
        <w:rPr>
          <w:rFonts w:ascii="Arial" w:cs="Arial" w:eastAsia="Arial" w:hAnsi="Arial"/>
          <w:sz w:val="18"/>
          <w:szCs w:val="18"/>
          <w:color w:val="auto"/>
        </w:rPr>
        <w:t>Interest on the notes will accrue from March</w:t>
      </w:r>
      <w:r>
        <w:rPr>
          <w:sz w:val="20"/>
          <w:szCs w:val="20"/>
          <w:color w:val="auto"/>
        </w:rPr>
        <w:tab/>
      </w:r>
      <w:r>
        <w:rPr>
          <w:rFonts w:ascii="Arial" w:cs="Arial" w:eastAsia="Arial" w:hAnsi="Arial"/>
          <w:sz w:val="18"/>
          <w:szCs w:val="18"/>
          <w:color w:val="auto"/>
        </w:rPr>
        <w:t>, 2017 at the rate of</w:t>
      </w:r>
      <w:r>
        <w:rPr>
          <w:sz w:val="20"/>
          <w:szCs w:val="20"/>
          <w:color w:val="auto"/>
        </w:rPr>
        <w:tab/>
      </w:r>
      <w:r>
        <w:rPr>
          <w:rFonts w:ascii="Arial" w:cs="Arial" w:eastAsia="Arial" w:hAnsi="Arial"/>
          <w:sz w:val="16"/>
          <w:szCs w:val="16"/>
          <w:color w:val="auto"/>
        </w:rPr>
        <w:t>% per annum, payable semi-annually in arrears on March 15 and</w:t>
      </w:r>
    </w:p>
    <w:p>
      <w:pPr>
        <w:spacing w:after="0" w:line="23"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September 15 of each year, beginning on September 15, 2017. Interest on the notes will be paid to the person in whose name that note is registered at the close of business on March 1 or September 1, as the case may be, immediately preceding the relevant interest payment date. Interest on the notes will be computed on the basis of a 360-day year composed of twelve 30-day months. If any interest or other payment date of a note falls on a day that is not a business day, the required payment of principal, premium, if</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380"/>
          </w:cols>
          <w:pgMar w:left="240" w:top="270" w:right="279" w:bottom="1440" w:gutter="0" w:footer="0" w:header="0"/>
        </w:sectPr>
      </w:pPr>
    </w:p>
    <w:bookmarkStart w:id="13" w:name="page14"/>
    <w:bookmarkEnd w:id="13"/>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Unless we default on a payment, no interest will accrue for that period from and after the applicable interest payment date, maturity date or redemption date. All payment dates with respect to the notes, whether at maturity, upon earlier redemption or on any interest payment date, shall be determined in accordance with the time-zone applicable to The City of New York. Because of time zone differences, the interest payment date on which we make payment may not be the same business day in the applicable jurisdiction of the relevant holder of notes. In addition, deliveries, payments and other communications involving the notes are likely to be carried out through Euroclear and Clearstream, which means such transaction can only be carried out on days when those systems are open for business. Those systems may not be open for business on days when banks, brokers and other institutions are open for business in the United States or Taiwan. See also “—Book-Entry System—Clearance and Settlement Procedures” below.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Transfer or Exchange</w:t>
      </w:r>
    </w:p>
    <w:p>
      <w:pPr>
        <w:spacing w:after="0" w:line="12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Principal of and premium, if any, and interest on the notes will be payable at the office of the paying agent in London, United Kingdom and any other location we designate. The notes may be registered for transfer or exchanged without payment of any charge (other than any tax or other governmental charge payable in connection therewith) at the office of the registrar in New York, New York. Initially, the paying agent’s office in London, United Kingdom and the registrar’s office in New York, New York will serve as our office and agency for these respective purposes. We may elect that payment of interest on notes be made by wire transfer or by check mailed to the address of the appropriate person as it appears on the security register. So long as the registered owner of the notes is a common depositary of Euroclear and Clearstream or their nominee, payment of principal and interest shall be made in accordance with the requirements of Euroclear and Clearstream. See “—Book-Entry System” below.</w:t>
      </w:r>
    </w:p>
    <w:p>
      <w:pPr>
        <w:spacing w:after="0" w:line="178"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are not required to transfer or exchange any note selected for redemption during a period of 15 days before the electronic delivery or mailing of a notice of redemption of notes to be redeemed.</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note will be treated as the owner of that note for all purposes.</w:t>
      </w:r>
    </w:p>
    <w:p>
      <w:pPr>
        <w:spacing w:after="0" w:line="225"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Subject to applicable escheat laws, all amounts of principal and of premium, if any, and interest on the notes paid by us that remain unclaimed two years after such payment was due and payable will be repaid to us upon our request, and the holders of such notes will thereafter look solely to us for payment.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w:t>
      </w:r>
    </w:p>
    <w:p>
      <w:pPr>
        <w:spacing w:after="0" w:line="121" w:lineRule="exact"/>
        <w:rPr>
          <w:sz w:val="20"/>
          <w:szCs w:val="20"/>
          <w:color w:val="auto"/>
        </w:rPr>
      </w:pPr>
    </w:p>
    <w:p>
      <w:pPr>
        <w:ind w:right="720" w:firstLine="456"/>
        <w:spacing w:after="0" w:line="277" w:lineRule="auto"/>
        <w:rPr>
          <w:sz w:val="20"/>
          <w:szCs w:val="20"/>
          <w:color w:val="auto"/>
        </w:rPr>
      </w:pPr>
      <w:r>
        <w:rPr>
          <w:rFonts w:ascii="Arial" w:cs="Arial" w:eastAsia="Arial" w:hAnsi="Arial"/>
          <w:sz w:val="18"/>
          <w:szCs w:val="18"/>
          <w:color w:val="auto"/>
        </w:rPr>
        <w:t>Our obligations, including the payment of principal, premium, if any, and interest, will be fully and unconditionally guaranteed by each of the guarantors as described in the accompanying prospectus.</w:t>
      </w:r>
    </w:p>
    <w:p>
      <w:pPr>
        <w:spacing w:after="0" w:line="170"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guarantees will not contain any restrictions on the ability of any guarantor to (i) pay dividends or distributions on, or redeem, purchase, acquire, or make a liquidation payment with respect to, any of that guarantor’s capital stock or (ii) make any payment of principal, interest or premium, if any, on or repay, repurchase or redeem any debt securities of that guarantor.</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We have the option to redeem the notes then outstanding, in whole but not in part, on each March 15 on or after March 15, 2020. Any redemption described in this paragraph will be at a redemption price equal to 100% of the principal amount of the notes being redeemed plus accrued and unpaid interest to, but not including, the redemption date. We will calculate the redemption price in connection with any redemption hereunder. Unless we default in payment of the redemption price, on and after the redemption date, interest will cease to accrue on the notes called for redemption.</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274" w:right="259" w:bottom="1440" w:gutter="0" w:footer="0" w:header="0"/>
        </w:sectPr>
      </w:pPr>
    </w:p>
    <w:bookmarkStart w:id="14" w:name="page15"/>
    <w:bookmarkEnd w:id="14"/>
    <w:p>
      <w:pPr>
        <w:ind w:right="48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 of any redemption will be electronically delivered or mailed at least 30 days but not more than 60 days before the redemption date to each holder of the notes to be redeemed.</w:t>
      </w:r>
    </w:p>
    <w:p>
      <w:pPr>
        <w:spacing w:after="0" w:line="170"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In addition, the notes are subject to redemption prior to maturity if certain events involving U.S. taxation occur. If any of these special tax events do occur, the notes will be redeemed at a redemption price of 100% of their principal amount plus any accrued and unpaid interest and additional amounts then payable with respect to the notes.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Issuances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To the extent permitted by applicable authorities in the ROC and subject to the receipt of all necessary regulatory and listing approvals from such authorities, including but not limited to the TPEx and the TSA, we may from time to time, without notice to or the consent of the holders of the notes, create and issue additional notes having the same terms as, and ranking equally and ratably with, the notes in all respects (except for the issue date, the offering price and, if applicable, the payment of interest accruing prior to the issue date of such additional notes and the first payment of interest following the issue date of such additional notes);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additional notes are not fungible with the notes offered hereby for U.S. federal income tax purposes, such additional notes will have one or more separate ISIN numbers. Such additional notes may be, to the extent permitted by applicable authorities in the ROC and subject to the receipt of all necessary regulatory and listing approvals from such authorities, including but not limited to the TPEx and the TSA, consolidated and form a single series with, and will have the same terms as to ranking, redemption, waivers, amendments or otherwise, as the notes, and will vote together as one class on all matters with respect to such notes.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our paying agent of the principal of and interest on the notes to a holder who is not a United States person (as defined below), after withholding or deduction for any present or future tax, assessment or other governmental charge (“Tax”)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94" w:lineRule="exact"/>
        <w:rPr>
          <w:sz w:val="20"/>
          <w:szCs w:val="20"/>
          <w:color w:val="auto"/>
        </w:rPr>
      </w:pPr>
    </w:p>
    <w:p>
      <w:pPr>
        <w:jc w:val="both"/>
        <w:ind w:left="900" w:right="140" w:hanging="446"/>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that is imposed by reason of the holder (or the beneficial owner for whose benefit such holder holds the notes), or a fiduciary, settlor, beneficiary, member or shareholder of the holder if the holder is an estate, trust, partnership or corporation, or a person holding a power over an estate or trust administered by a fiduciary holder, being considered as:</w:t>
      </w:r>
    </w:p>
    <w:p>
      <w:pPr>
        <w:spacing w:after="0" w:line="86" w:lineRule="exact"/>
        <w:rPr>
          <w:rFonts w:ascii="Arial" w:cs="Arial" w:eastAsia="Arial" w:hAnsi="Arial"/>
          <w:sz w:val="18"/>
          <w:szCs w:val="18"/>
          <w:color w:val="auto"/>
        </w:rPr>
      </w:pPr>
    </w:p>
    <w:p>
      <w:pPr>
        <w:ind w:left="1480" w:right="2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75" w:lineRule="exact"/>
        <w:rPr>
          <w:rFonts w:ascii="Arial" w:cs="Arial" w:eastAsia="Arial" w:hAnsi="Arial"/>
          <w:sz w:val="18"/>
          <w:szCs w:val="18"/>
          <w:color w:val="auto"/>
        </w:rPr>
      </w:pPr>
    </w:p>
    <w:p>
      <w:pPr>
        <w:ind w:left="1480" w:right="100" w:hanging="567"/>
        <w:spacing w:after="0" w:line="264"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86" w:lineRule="exact"/>
        <w:rPr>
          <w:rFonts w:ascii="Arial" w:cs="Arial" w:eastAsia="Arial" w:hAnsi="Arial"/>
          <w:sz w:val="18"/>
          <w:szCs w:val="18"/>
          <w:color w:val="auto"/>
        </w:rPr>
      </w:pPr>
    </w:p>
    <w:p>
      <w:pPr>
        <w:ind w:left="1480" w:right="340" w:hanging="567"/>
        <w:spacing w:after="0" w:line="308" w:lineRule="auto"/>
        <w:tabs>
          <w:tab w:leader="none" w:pos="1480" w:val="left"/>
        </w:tabs>
        <w:numPr>
          <w:ilvl w:val="1"/>
          <w:numId w:val="6"/>
        </w:numPr>
        <w:rPr>
          <w:rFonts w:ascii="Arial" w:cs="Arial" w:eastAsia="Arial" w:hAnsi="Arial"/>
          <w:sz w:val="17"/>
          <w:szCs w:val="17"/>
          <w:color w:val="auto"/>
        </w:rPr>
      </w:pPr>
      <w:r>
        <w:rPr>
          <w:rFonts w:ascii="Arial" w:cs="Arial" w:eastAsia="Arial" w:hAnsi="Arial"/>
          <w:sz w:val="17"/>
          <w:szCs w:val="17"/>
          <w:color w:val="auto"/>
        </w:rPr>
        <w:t>being or having been a personal holding company, a passive foreign investment company or a controlled foreign corporation for U.S. federal income tax purposes or a corporation that has accumulated earnings to avoid U.S. federal income tax;</w:t>
      </w:r>
    </w:p>
    <w:p>
      <w:pPr>
        <w:spacing w:after="0" w:line="51" w:lineRule="exact"/>
        <w:rPr>
          <w:rFonts w:ascii="Arial" w:cs="Arial" w:eastAsia="Arial" w:hAnsi="Arial"/>
          <w:sz w:val="17"/>
          <w:szCs w:val="17"/>
          <w:color w:val="auto"/>
        </w:rPr>
      </w:pPr>
    </w:p>
    <w:p>
      <w:pPr>
        <w:ind w:left="1480" w:right="28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or having been a “10-percent shareholder” of us or the applicable guarantor as defined in Section 871(h)(3) of the United States Internal Revenue Code of 1986, as amended (the “Code”);</w:t>
      </w:r>
    </w:p>
    <w:p>
      <w:pPr>
        <w:spacing w:after="0" w:line="75"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a controlled foreign corporation that is related to us or the applicable guarantor within the meaning of Section 864(d)(4) of the Code; or</w:t>
      </w:r>
    </w:p>
    <w:p>
      <w:pPr>
        <w:spacing w:after="0" w:line="75" w:lineRule="exact"/>
        <w:rPr>
          <w:rFonts w:ascii="Arial" w:cs="Arial" w:eastAsia="Arial" w:hAnsi="Arial"/>
          <w:sz w:val="18"/>
          <w:szCs w:val="18"/>
          <w:color w:val="auto"/>
        </w:rPr>
      </w:pPr>
    </w:p>
    <w:p>
      <w:pPr>
        <w:ind w:left="1480" w:right="240" w:hanging="567"/>
        <w:spacing w:after="0" w:line="277" w:lineRule="auto"/>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in the ordinary course of its trade or business;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274" w:right="259" w:bottom="1440" w:gutter="0" w:footer="0" w:header="0"/>
        </w:sectPr>
      </w:pPr>
    </w:p>
    <w:bookmarkStart w:id="15" w:name="page16"/>
    <w:bookmarkEnd w:id="15"/>
    <w:p>
      <w:pPr>
        <w:ind w:left="900" w:right="10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any holder that is not the sole beneficial owner of the notes, or a portion of the notes, or that is a fiduciary, partnership or limited liability company, but only to the extent that a beneficial owner with respect to the holder, a beneficiary or settlor with respect to the fiduciary, or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76" w:lineRule="exact"/>
        <w:rPr>
          <w:rFonts w:ascii="Arial" w:cs="Arial" w:eastAsia="Arial" w:hAnsi="Arial"/>
          <w:sz w:val="17"/>
          <w:szCs w:val="17"/>
          <w:color w:val="auto"/>
        </w:rPr>
      </w:pPr>
    </w:p>
    <w:p>
      <w:pPr>
        <w:ind w:left="900" w:right="60" w:hanging="446"/>
        <w:spacing w:after="0" w:line="279"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any Tax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w:t>
      </w:r>
    </w:p>
    <w:p>
      <w:pPr>
        <w:spacing w:after="0" w:line="76" w:lineRule="exact"/>
        <w:rPr>
          <w:rFonts w:ascii="Arial" w:cs="Arial" w:eastAsia="Arial" w:hAnsi="Arial"/>
          <w:sz w:val="17"/>
          <w:szCs w:val="17"/>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is imposed otherwise than by withholding by us or a paying agent from the payment;</w:t>
      </w:r>
    </w:p>
    <w:p>
      <w:pPr>
        <w:spacing w:after="0" w:line="130" w:lineRule="exact"/>
        <w:rPr>
          <w:rFonts w:ascii="Arial" w:cs="Arial" w:eastAsia="Arial" w:hAnsi="Arial"/>
          <w:sz w:val="18"/>
          <w:szCs w:val="18"/>
          <w:color w:val="auto"/>
        </w:rPr>
      </w:pPr>
    </w:p>
    <w:p>
      <w:pPr>
        <w:ind w:left="900" w:right="62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a change in law, regulation, or administrative or judicial interpretation that becomes effective more than 15 days after the payment becomes due or is duly provided for, whichever occurs later;</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or similar Tax;</w:t>
      </w:r>
    </w:p>
    <w:p>
      <w:pPr>
        <w:spacing w:after="0" w:line="130"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required to be withheld by any paying agent from any payment of principal of or interest on any Note, if such payment can be made without such withholding by at least one other paying agent;</w:t>
      </w:r>
    </w:p>
    <w:p>
      <w:pPr>
        <w:spacing w:after="0" w:line="75" w:lineRule="exact"/>
        <w:rPr>
          <w:rFonts w:ascii="Arial" w:cs="Arial" w:eastAsia="Arial" w:hAnsi="Arial"/>
          <w:sz w:val="18"/>
          <w:szCs w:val="18"/>
          <w:color w:val="auto"/>
        </w:rPr>
      </w:pPr>
    </w:p>
    <w:p>
      <w:pPr>
        <w:ind w:left="900" w:right="40" w:hanging="446"/>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6"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any Tax imposed under Sections 1471 through 1474 of the Code (or any amended or successor provisions),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such sections of the Code; or</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any combination of items (1)-(9) above.</w:t>
      </w:r>
    </w:p>
    <w:p>
      <w:pPr>
        <w:spacing w:after="0" w:line="22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 of Additional Amounts,” we will not be required to make any payment for any Tax imposed by any government or a political subdivision or taxing authority of or in any government or political subdivision. As used under this heading “—Payment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U.S. federal income taxation regardless of its source.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we are required to pay additional amounts with respect to the notes, we will notify the trustee and paying agent pursuant to an officer’s certificate that specifies the additional amounts payable and when the additional amounts are payable. If the trustee and the paying agent do not receive such an officer’s certificate from us, the trustee and paying agent may rely on the absence of such an officer’s certificate in assuming that no such additional amounts are payable.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274" w:right="25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additional amounts paid on the notes will be in U.S. dollars.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10 nor more than 60 days prior notice, at a redemption price equal to 100% of their principal amount, together with accrued and unpaid interest on those notes to, but not including, the date fixed for redemption.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have obtained the information in this section concerning Clearstream and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87"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notes will be issued in registered, global form, in minimum denominations of $100,000 and multiples of $1,000 above that amount. Initially, the notes will be represented by one or more permanent global certificates (the “global notes”) (which may be subdivided) in definitive, fully registered form without interest coupons.</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such global note will be deposited with, or on behalf of, a common depositary, and registered in the name of the common depositary or its nominee for the accounts of Clearstream and Euroclear. Except as set forth below, the global notes may be transferred, in whole and not in part, only to Euroclear or Clearstream or their respective nominees.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 entry interests in the notes and all transfers relating to the notes will be reflected in the book entry records of Clearstream and Euroclear.</w:t>
      </w:r>
    </w:p>
    <w:p>
      <w:pPr>
        <w:spacing w:after="0" w:line="18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 entry interests in the notes will take place through Clearstream and Euroclear participants and will settle in same day funds. Owners of book entry interests in the notes will receive payments relating to their notes in U.S. dollars.</w:t>
      </w:r>
    </w:p>
    <w:p>
      <w:pPr>
        <w:spacing w:after="0" w:line="181"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the notes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274" w:right="259" w:bottom="1440" w:gutter="0" w:footer="0" w:header="0"/>
        </w:sectPr>
      </w:pPr>
    </w:p>
    <w:bookmarkStart w:id="17" w:name="page18"/>
    <w:bookmarkEnd w:id="17"/>
    <w:p>
      <w:pPr>
        <w:jc w:val="both"/>
        <w:ind w:right="8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policies of Clearstream and Euroclear will govern payments, transfers, exchanges and other matters relating to the investor’s interest in the notes held by them. We have no responsibility for any aspect of the records kept by Clearstream or Euroclear or any of their direct or indirect participants. We also do not supervise these systems in any way.</w:t>
      </w:r>
    </w:p>
    <w:p>
      <w:pPr>
        <w:spacing w:after="0" w:line="18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been advised by Clearstream and Euroclear, respectively, as follows: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Clearstream advises that it is incorporated under the laws of Luxembourg as a professional depositary. Clearstream holds securities for its participating organizations (“Clearstream Participants”) and facilitates the clearance and settlement of securities transactions between Clearstream Participants through electronic book entry changes in accounts of Clearstream Participants, thereby eliminating the need for physical movement of certificates. Clearstream, Luxembourg provides to Clearstream Participants, among other things, services for safekeeping, administration, clearance and settlement of internationally traded securities and securities lending and borrowing. Clearstream interfaces with domestic markets in several countries. As a professional depositary, Clearstream is subject to regulation by the Luxembourg Commission for the Supervision of the Financial Sector (Commission de Surveillance du Secteur Financier). Clearstream Participants are recognized financial institutions around the world, including underwriters, securities brokers and dealers, banks, trust companies, clearing corporations and certain other organizations and may include the managers. Indirect access to Clearstream is also available to others, such as banks, brokers, dealers and trust companies that clear through or maintain a custodial relationship with a Clearstream Participant, either directly or indirectly.</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Clearstream will be credited to cash accounts of Clearstream Participants in accordance with its rules and procedures.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Euroclear advises that it was created in 1968 to hold securities for participants of Euroclear (“Euroclear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managers. Indirect access to Euroclear is also available to other firms that clear through or maintain a custodial relationship with a Euroclear Participant, either directly or indirectly.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274" w:right="279" w:bottom="1440" w:gutter="0" w:footer="0" w:header="0"/>
        </w:sectPr>
      </w:pPr>
    </w:p>
    <w:bookmarkStart w:id="18" w:name="page19"/>
    <w:bookmarkEnd w:id="18"/>
    <w:p>
      <w:pPr>
        <w:jc w:val="both"/>
        <w:ind w:right="36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7"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transfers of securities and cash within Euroclear;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withdrawal of securities and cash from Euroclear;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receipt of payments with respect to securities in Euroclear.</w:t>
      </w:r>
    </w:p>
    <w:p>
      <w:pPr>
        <w:spacing w:after="0" w:line="22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8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 and Taiwan.</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or Taiwan. U.S. or Taiwanese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as applicable,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87"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274" w:right="239" w:bottom="1440" w:gutter="0" w:footer="0" w:header="0"/>
        </w:sectPr>
      </w:pPr>
    </w:p>
    <w:bookmarkStart w:id="19" w:name="page20"/>
    <w:bookmarkEnd w:id="19"/>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ROC Trading</w:t>
      </w:r>
    </w:p>
    <w:p>
      <w:pPr>
        <w:spacing w:after="0" w:line="11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Investors with a securities book-entry account with a Taiwan securities broker and a foreign currency deposit account with a Taiwan bank, may request the approval of the Taiwan Depositary &amp; Clearing Corporation (the “TDCC”) for the settlement of the notes through the account of TDCC with Clearstream or Euroclear and if such approval is granted by the TDCC, the notes may be so cleared and settled. In such circumstances, the TDCC will allocate the respective book-entry interest of such investor in the notes position to the securities book-entry account designated by such investor in the ROC. The notes will be traded and settled pursuant to the applicable rules and operating procedures of TDCC and the TPEx as domestic bonds.</w:t>
      </w:r>
    </w:p>
    <w:p>
      <w:pPr>
        <w:spacing w:after="0" w:line="173"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In addition, an investor may apply to TDCC (by filing in a prescribed form) to transfer the notes in its own account with Euroclear or Clearstream to the TDCC account with Euroclear or Clearstream for trading in the domestic market or vice versa for trading in overseas markets.</w:t>
      </w:r>
    </w:p>
    <w:p>
      <w:pPr>
        <w:spacing w:after="0" w:line="147"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such investors who hold their interest in the notes through an account opened and held by TDCC with Euroclear or Clearstream, distributions of principal and/or interest for the notes to such holders may be made by payment services banks whose systems are connected to TDCC to the foreign currency deposit accounts of the holders. Such payment is expected to be made on the second Taiwanese business day following TDCC’s receipt of such payment (due to time difference, the payment is expected to be received by TDCC one Taiwanese business day after the distribution date). However, when the holders will actually receive such distributions may vary depending upon the daily operations of the Taiwan banks with which the holder has the foreign currency deposit account.</w:t>
      </w:r>
    </w:p>
    <w:p>
      <w:pPr>
        <w:spacing w:after="0" w:line="3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117"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$100,000 principal amount and multiples of $1,000 in excess thereof if:</w:t>
      </w:r>
    </w:p>
    <w:p>
      <w:pPr>
        <w:spacing w:after="0" w:line="76" w:lineRule="exact"/>
        <w:rPr>
          <w:sz w:val="20"/>
          <w:szCs w:val="20"/>
          <w:color w:val="auto"/>
        </w:rPr>
      </w:pPr>
    </w:p>
    <w:p>
      <w:pPr>
        <w:ind w:left="900" w:right="620" w:hanging="446"/>
        <w:spacing w:after="0" w:line="264"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depositary (1) notifies us that it is unwilling or unable to continue as depositary for the global notes and we fail to appoint a successor depositary within 90 days or (2) has ceased to be a clearing agency registered under the Exchange Act and we fail to appoint a successor depositary within 90 days;</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225"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In all cases, certificated notes delivered in exchange for any global notes or beneficial interests therein will be registered in the names, and issued in any approved denominations, requested by or on behalf of the depositary. It is expected that the depositary’s instructions will be based upon directions received by the depositary from participants with respect to ownership of beneficial interests in the relevant global note or notes that had been held by the depositary.</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274"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MATERIAL U.S. FEDERAL INCOME TAX CONSEQUENCES FOR NON-U.S. HOLDERS</w:t>
      </w:r>
    </w:p>
    <w:p>
      <w:pPr>
        <w:spacing w:after="0" w:line="22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all of the following conditions:</w:t>
      </w:r>
    </w:p>
    <w:p>
      <w:pPr>
        <w:spacing w:after="0" w:line="76" w:lineRule="exact"/>
        <w:rPr>
          <w:sz w:val="20"/>
          <w:szCs w:val="20"/>
          <w:color w:val="auto"/>
        </w:rPr>
      </w:pPr>
    </w:p>
    <w:p>
      <w:pPr>
        <w:ind w:left="900" w:hanging="446"/>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w:t>
      </w:r>
    </w:p>
    <w:p>
      <w:pPr>
        <w:spacing w:after="0" w:line="86"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held as capital assets;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they are beneficially owned by Non-U.S. Holders (as defined below).</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7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If a partnership or other entity classified as a partnership for U.S. federal income tax purposes holds notes, the tax treatment of a partner will generally depend upon the status of the partner and the activities of the partnership. A partner of a partnership holding the notes is urged to consult his, her or its tax advisor.</w:t>
      </w:r>
    </w:p>
    <w:p>
      <w:pPr>
        <w:spacing w:after="0" w:line="181"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This summary is based on the United States Internal Revenue Code of 1986, as amended (the “Code”), administrative pronouncements, judicial decisions and final, temporary and proposed Treasury Regulations, changes to any of which subsequent to the date of this prospectus supplement may affect the tax consequences described herein, possibly with retroactive effect. This summary does not discuss any aspect of state, local, or non-U.S. taxation, or any U.S. federal tax considerations other than income taxation, and does not discuss the potential application of the Medicare contribution tax under Section 1411 of the Code.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13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“Non-U.S. Holder” does not include a holder who is an individual present in the United States for 183 days or more in the taxable year of disposition. Such a holder is urged to consult his or her tax advisor regarding the U.S. federal income tax consequences of the sale, exchange or other disposition of a note.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270"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Payments on a Note</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87" w:lineRule="exact"/>
        <w:rPr>
          <w:sz w:val="20"/>
          <w:szCs w:val="20"/>
          <w:color w:val="auto"/>
        </w:rPr>
      </w:pPr>
    </w:p>
    <w:p>
      <w:pPr>
        <w:ind w:left="900" w:right="200" w:hanging="446"/>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225"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color w:val="auto"/>
        </w:rPr>
        <w:t>Interest on a note described above will not be exempt from withholding tax unless the beneficial owner of that note certifies on a properly executed Internal Revenue Service Form W-8BEN or W-8BEN-E (or successor form), as appropriate, under penalties of perjury, that it is not a U.S. person.</w:t>
      </w:r>
    </w:p>
    <w:p>
      <w:pPr>
        <w:spacing w:after="0" w:line="12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Internal Revenue Service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Redemption or Other Disposition of a Note</w:t>
      </w:r>
    </w:p>
    <w:p>
      <w:pPr>
        <w:spacing w:after="0" w:line="12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Subject to the discussions below concerning backup withholding and FATCA, a Non-U.S. Holder will not be subject to U.S. federal income tax on gain realized on the sale, exchange, redemption or other disposition of a note, unless the gain is effectively connected with the conduct by the holder of a trade or business in the United States.</w:t>
      </w:r>
    </w:p>
    <w:p>
      <w:pPr>
        <w:spacing w:after="0" w:line="18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If a Non-U.S. Holder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Such holders are urged to consult their tax advisors with respect to other U.S. tax consequences of the ownership and disposition of notes, including the possible imposition of an additional branch profits tax at a rate of 30% (or lower treaty rate).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Information returns will be filed with the Internal Revenue Service in connection with interest payments on the notes. Unless a Non-U.S. Holder complies with certification procedures to establish that it is not a U.S. person, information returns may be filed with the Internal Revenue Service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Backup withholding is not an additional tax. The amount of any backup withholding from a payment to a Non-U.S. Holder will be allowed as a credit against the Non-U.S. Holder’s U.S. federal income tax liability and may entitle the Non-U.S. Holder to a refund, provided that the required information is timely furnished to the Internal Revenue Service.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27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FATCA Legislation</w:t>
      </w:r>
    </w:p>
    <w:p>
      <w:pPr>
        <w:spacing w:after="0" w:line="12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Provisions commonly referred to as “FATCA” impose withholding of 30% on payments of U.S.-source interest and, for dispositions after December 31, 2018, payments of gross proceeds of the sale, exchange, redemption, or other disposition of a note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or an exemption applies. Withholding under FATCA will apply to the applicable payments regardless of whether the recipient is a beneficial owner or acts as an intermediary with respect to such payments. An intergovernmental agreement between the United States and the non-U.S. entity’s jurisdiction may modify these requirements. If FATCA withholding is imposed, a beneficial owner that is not a foreign financial institution generally will be entitled to a refund of any amounts withheld by filing a U.S. federal income tax return (which may entail significant administrative burden). Prospective investors should consult their tax advisors regarding the effects of FATCA on their investment in the notes. We will not pay additional amounts with respect to any withholding taxes imposed under FATCA.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270" w:right="2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ROC TAXATION</w:t>
      </w:r>
    </w:p>
    <w:p>
      <w:pPr>
        <w:spacing w:after="0" w:line="22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following is a summary of certain ROC tax consequences with respect to the holders of the notes, and is prepared based on current laws and regulations of the ROC. It does not purport to be comprehensive and does not constitute legal or tax advice. Investors (particularly those subject to special tax rules, such as banks, dealers, insurance companies and tax-exempt entities) should consult with their own tax advisers regarding the tax consequences of an investment in the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on the Notes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As we, the issuer of the notes, are not an ROC statutory tax withholder, there is no ROC withholding tax on any payment to be paid on the notes. ROC corporate holders must include the interest receivable under the notes as part of their taxable income and pay income tax at a flat rate of 17 percent (unless the total taxable income for a fiscal year is under $120,000 New Taiwan Dollars), as they are subject to income tax on their worldwide income on an accrual basis. The alternative minimum tax (“AMT”) is not applicable.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the Notes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general, the sale of corporate bonds or financial bonds is subject to 0.1 percent securities transaction tax (“STT”) on the transaction price. However, Article 2-1 of the Securities Transaction Tax Act prescribes that STT will cease to be levied on the sale of corporate bonds and financial bonds from 1 January 2010 to 31 December 2026. Therefore, the sale of the notes will be exempt from STT if the sale is conducted on or before 31 December 2026. Starting from 1 January 2027, any sale of the notes will be subject to STT at 0.1 percent of the transaction price, unless otherwise provided by the tax laws that may be in force at that time.</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Capital gains generated from the sale of bonds are exempt from income tax. Accordingly, ROC corporate holders are not subject to income tax on any capital gains generated from the sale of the notes. However, ROC corporate holders should include the capital gains in calculating their basic income for the purpose of calculating their AMT. If the amount of the AMT exceeds the ordinary income tax calculated pursuant to the Income Basic Tax Act (also known as the AMT Act), the excess becomes the ROC corporate holders’ AMT payable. Capital losses, if any, incurred by such holders could be carried over 5 years to offset against capital gains of same category of income for the purposes of calculating their AMT.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270" w:right="2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SELLING</w:t>
      </w:r>
    </w:p>
    <w:p>
      <w:pPr>
        <w:spacing w:after="0" w:line="22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Comcast Corporation and the managers for the offering named below have entered into a subscription agreement with respect to the notes. Subject to certain conditions, the managers have agreed to purchase the principal amount of notes indicated in the following table.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Manager</w:t>
            </w:r>
          </w:p>
        </w:tc>
        <w:tc>
          <w:tcPr>
            <w:tcW w:w="3440" w:type="dxa"/>
            <w:vAlign w:val="bottom"/>
          </w:tcPr>
          <w:p>
            <w:pPr>
              <w:spacing w:after="0"/>
              <w:rPr>
                <w:sz w:val="14"/>
                <w:szCs w:val="1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Principal</w:t>
            </w:r>
          </w:p>
        </w:tc>
        <w:tc>
          <w:tcPr>
            <w:tcW w:w="0" w:type="dxa"/>
            <w:vAlign w:val="bottom"/>
          </w:tcPr>
          <w:p>
            <w:pPr>
              <w:spacing w:after="0"/>
              <w:rPr>
                <w:sz w:val="1"/>
                <w:szCs w:val="1"/>
                <w:color w:val="auto"/>
              </w:rPr>
            </w:pPr>
          </w:p>
        </w:tc>
      </w:tr>
      <w:tr>
        <w:trPr>
          <w:trHeight w:val="158"/>
        </w:trPr>
        <w:tc>
          <w:tcPr>
            <w:tcW w:w="5940" w:type="dxa"/>
            <w:vAlign w:val="bottom"/>
            <w:gridSpan w:val="2"/>
            <w:vMerge w:val="continue"/>
          </w:tcPr>
          <w:p>
            <w:pPr>
              <w:spacing w:after="0"/>
              <w:rPr>
                <w:sz w:val="13"/>
                <w:szCs w:val="13"/>
                <w:color w:val="auto"/>
              </w:rPr>
            </w:pPr>
          </w:p>
        </w:tc>
        <w:tc>
          <w:tcPr>
            <w:tcW w:w="3440" w:type="dxa"/>
            <w:vAlign w:val="bottom"/>
          </w:tcPr>
          <w:p>
            <w:pPr>
              <w:spacing w:after="0"/>
              <w:rPr>
                <w:sz w:val="13"/>
                <w:szCs w:val="13"/>
                <w:color w:val="auto"/>
              </w:rPr>
            </w:pPr>
          </w:p>
        </w:tc>
        <w:tc>
          <w:tcPr>
            <w:tcW w:w="11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8"/>
              </w:rPr>
              <w:t>Amount of notes</w:t>
            </w:r>
          </w:p>
        </w:tc>
        <w:tc>
          <w:tcPr>
            <w:tcW w:w="0" w:type="dxa"/>
            <w:vAlign w:val="bottom"/>
          </w:tcPr>
          <w:p>
            <w:pPr>
              <w:spacing w:after="0"/>
              <w:rPr>
                <w:sz w:val="1"/>
                <w:szCs w:val="1"/>
                <w:color w:val="auto"/>
              </w:rPr>
            </w:pPr>
          </w:p>
        </w:tc>
      </w:tr>
      <w:tr>
        <w:trPr>
          <w:trHeight w:val="20"/>
        </w:trPr>
        <w:tc>
          <w:tcPr>
            <w:tcW w:w="560" w:type="dxa"/>
            <w:vAlign w:val="bottom"/>
            <w:tcBorders>
              <w:bottom w:val="single" w:sz="8" w:color="CCEEFF"/>
            </w:tcBorders>
            <w:shd w:val="clear" w:color="auto" w:fill="000000"/>
          </w:tcPr>
          <w:p>
            <w:pPr>
              <w:spacing w:after="0" w:line="20" w:lineRule="exact"/>
              <w:rPr>
                <w:sz w:val="1"/>
                <w:szCs w:val="1"/>
                <w:color w:val="auto"/>
              </w:rPr>
            </w:pPr>
          </w:p>
        </w:tc>
        <w:tc>
          <w:tcPr>
            <w:tcW w:w="53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Deutsche Bank AG, Taipei Branch</w:t>
            </w:r>
          </w:p>
        </w:tc>
        <w:tc>
          <w:tcPr>
            <w:tcW w:w="34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Arial" w:cs="Arial" w:eastAsia="Arial" w:hAnsi="Arial"/>
                <w:sz w:val="18"/>
                <w:szCs w:val="18"/>
                <w:color w:val="auto"/>
              </w:rPr>
              <w:t>Citibank Taiwan Limited</w:t>
            </w:r>
          </w:p>
        </w:tc>
        <w:tc>
          <w:tcPr>
            <w:tcW w:w="4460" w:type="dxa"/>
            <w:vAlign w:val="bottom"/>
            <w:gridSpan w:val="2"/>
          </w:tcPr>
          <w:p>
            <w:pPr>
              <w:ind w:left="3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4460" w:type="dxa"/>
            <w:vAlign w:val="bottom"/>
            <w:gridSpan w:val="2"/>
            <w:shd w:val="clear" w:color="auto" w:fill="CCEEFF"/>
          </w:tcPr>
          <w:p>
            <w:pPr>
              <w:ind w:left="3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80"/>
        <w:spacing w:after="0" w:line="342" w:lineRule="auto"/>
        <w:rPr>
          <w:sz w:val="20"/>
          <w:szCs w:val="20"/>
          <w:color w:val="auto"/>
        </w:rPr>
      </w:pPr>
      <w:r>
        <w:rPr>
          <w:rFonts w:ascii="Arial" w:cs="Arial" w:eastAsia="Arial" w:hAnsi="Arial"/>
          <w:sz w:val="16"/>
          <w:szCs w:val="16"/>
          <w:color w:val="auto"/>
        </w:rPr>
        <w:t>The managers are committed to take and pay for all of the notes being offered, if any are taken. To the extent permitted by applicable laws and regulations, the managers may make offers and sales in the United States through one or more U.S. registered broker-dealers. See “—Other Relationships.”</w:t>
      </w:r>
    </w:p>
    <w:p>
      <w:pPr>
        <w:spacing w:after="0" w:line="12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Notes sold by the managers to the public will initially be offered at the initial public offering price set forth on the cover of this prospectus supplement. After the initial offering of the notes to the public, the underwriters may change the public offering price. The offering of the notes by the managers is subject to receipt and acceptance and subject to the managers’ right to reject any order in whole or in part.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the underwriting commission that we will pay to the managers in connection with this offering:</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920" w:type="dxa"/>
            <w:vAlign w:val="bottom"/>
            <w:gridSpan w:val="3"/>
          </w:tcPr>
          <w:p>
            <w:pPr>
              <w:ind w:left="3140"/>
              <w:spacing w:after="0"/>
              <w:rPr>
                <w:sz w:val="20"/>
                <w:szCs w:val="20"/>
                <w:color w:val="auto"/>
              </w:rPr>
            </w:pPr>
            <w:r>
              <w:rPr>
                <w:rFonts w:ascii="Arial" w:cs="Arial" w:eastAsia="Arial" w:hAnsi="Arial"/>
                <w:sz w:val="14"/>
                <w:szCs w:val="14"/>
                <w:b w:val="1"/>
                <w:bCs w:val="1"/>
                <w:color w:val="auto"/>
              </w:rPr>
              <w:t>Paid By Us</w:t>
            </w: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note</w:t>
            </w:r>
          </w:p>
        </w:tc>
        <w:tc>
          <w:tcPr>
            <w:tcW w:w="3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Total</w:t>
            </w:r>
          </w:p>
        </w:tc>
        <w:tc>
          <w:tcPr>
            <w:tcW w:w="3820" w:type="dxa"/>
            <w:vAlign w:val="bottom"/>
            <w:gridSpan w:val="2"/>
          </w:tcPr>
          <w:p>
            <w:pPr>
              <w:ind w:left="3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will pay an aggregate fee of $ (the “structuring fee”) to the structuring agents in connection with structuring services that they provided in connection with the notes. Each structuring agent is an entity not licensed in the ROC, has not offered or sold, and will not subscribe for or sell or underwrite, any notes offered hereby. We will pay Morgan Stanley &amp; Co. LLC the full amount of the structuring fee, and Morgan Stanley &amp; Co. LLC will, on our behalf, remit to each structuring agent its portion of the structuring fee.</w:t>
      </w:r>
    </w:p>
    <w:p>
      <w:pPr>
        <w:sectPr>
          <w:pgSz w:w="11900" w:h="16838" w:orient="portrait"/>
          <w:cols w:equalWidth="0" w:num="1">
            <w:col w:w="11380"/>
          </w:cols>
          <w:pgMar w:left="240" w:top="270" w:right="27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right="140" w:firstLine="6"/>
        <w:spacing w:after="0" w:line="277" w:lineRule="auto"/>
        <w:rPr>
          <w:sz w:val="20"/>
          <w:szCs w:val="20"/>
          <w:color w:val="auto"/>
        </w:rPr>
      </w:pPr>
      <w:r>
        <w:rPr>
          <w:rFonts w:ascii="Arial" w:cs="Arial" w:eastAsia="Arial" w:hAnsi="Arial"/>
          <w:sz w:val="18"/>
          <w:szCs w:val="18"/>
          <w:color w:val="auto"/>
        </w:rPr>
        <w:t>We estimate that our expenses in connection with this offering, other than the underwriting commission and the structuring fee, will be approximately . Morgan Stanley &amp; Co. LLC has agreed to reimburse us for $ of our expenses associated with the offering.</w:t>
      </w:r>
    </w:p>
    <w:p>
      <w:pPr>
        <w:spacing w:after="0" w:line="170" w:lineRule="exact"/>
        <w:rPr>
          <w:sz w:val="20"/>
          <w:szCs w:val="20"/>
          <w:color w:val="auto"/>
        </w:rPr>
      </w:pPr>
    </w:p>
    <w:p>
      <w:pPr>
        <w:sectPr>
          <w:pgSz w:w="11900" w:h="16838" w:orient="portrait"/>
          <w:cols w:equalWidth="0" w:num="2">
            <w:col w:w="100" w:space="360"/>
            <w:col w:w="10920"/>
          </w:cols>
          <w:pgMar w:left="240" w:top="270" w:right="279" w:bottom="1440" w:gutter="0" w:footer="0" w:header="0"/>
          <w:type w:val="continuous"/>
        </w:sectPr>
      </w:pPr>
    </w:p>
    <w:p>
      <w:pPr>
        <w:ind w:firstLine="456"/>
        <w:spacing w:after="0" w:line="259" w:lineRule="auto"/>
        <w:rPr>
          <w:sz w:val="20"/>
          <w:szCs w:val="20"/>
          <w:color w:val="auto"/>
        </w:rPr>
      </w:pPr>
      <w:r>
        <w:rPr>
          <w:rFonts w:ascii="Arial" w:cs="Arial" w:eastAsia="Arial" w:hAnsi="Arial"/>
          <w:sz w:val="18"/>
          <w:szCs w:val="18"/>
          <w:color w:val="auto"/>
        </w:rPr>
        <w:t>We have also agreed to indemnify the managers against certain liabilities, including liabilities under the Securities Act, or to contribute to payments which the managers may be required to make in respect of any such liabilities. Separately, in connection with structuring services that the structuring agents provided in connection with the notes, we have agreed to indemnify the structuring agents against certain liabilities in connection with this offering, including liabilities under the Securities Act, or to contribute to payments made in respect of those liabilities.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121"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The notes are a new issue of securities with no established trading market. Application will be made to the TPEx for the listing of, and permission to deal in, the notes by way of debt issues to “professional institutional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270" w:right="27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investors” as defined under Paragraph 2 of Article 4 of the Financial Consumer Protection Act of the ROC only and such permission is expected to become</w:t>
      </w:r>
    </w:p>
    <w:p>
      <w:pPr>
        <w:spacing w:after="0" w:line="46"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effective on or about , 2017. We cannot make any assurance that the TPEx listing will be maintained. The managers are not obligated to carry out market-making activities with respect to the notes. Accordingly, we cannot assure you as to the liquidity of, or the trading market for, the notes.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expect to deliver the notes against payment therefor on or about the date specified in the last paragraph of the cover page of this prospectus</w:t>
      </w:r>
    </w:p>
    <w:p>
      <w:pPr>
        <w:spacing w:after="0" w:line="35"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supplement, which will be the business day following the date of the pricing of the notes. Under Rule 15c6-1 of the Exchange Act, trades in the secondary market are required to settle in three business days, unless the parties to a trade expressly agree otherwise. Accordingly, purchasers who wish to</w:t>
      </w:r>
    </w:p>
    <w:p>
      <w:pPr>
        <w:spacing w:after="0" w:line="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trade notes prior to the third business day preceding the settlement date will be required, by virtue of the fact that the notes initially will settle in T+ , to specify alternative settlement arrangements to prevent a failed settlement.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Deutsche Bank AG, Taipei Branch and Citibank Taiwan Limited are not U.S. registered broker-dealers and, therefore, to the extent permitted by ROC laws and regulations and that they intend to effect any sales of the notes in the United States, they will do so through one or more U.S. registered broker-dealers as permitted by FINRA regulations.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The managers, the structuring agents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managers, the structuring agents and their respective affiliates have, from time to time, performed, and may in the future perform, various financial advisory and investment banking services for us, for which they received or will receive customary fees and expenses.</w:t>
      </w:r>
    </w:p>
    <w:p>
      <w:pPr>
        <w:spacing w:after="0" w:line="188" w:lineRule="exact"/>
        <w:rPr>
          <w:sz w:val="20"/>
          <w:szCs w:val="20"/>
          <w:color w:val="auto"/>
        </w:rPr>
      </w:pPr>
    </w:p>
    <w:p>
      <w:pPr>
        <w:ind w:right="20" w:firstLine="456"/>
        <w:spacing w:after="0" w:line="269" w:lineRule="auto"/>
        <w:rPr>
          <w:sz w:val="20"/>
          <w:szCs w:val="20"/>
          <w:color w:val="auto"/>
        </w:rPr>
      </w:pPr>
      <w:r>
        <w:rPr>
          <w:rFonts w:ascii="Arial" w:cs="Arial" w:eastAsia="Arial" w:hAnsi="Arial"/>
          <w:sz w:val="17"/>
          <w:szCs w:val="17"/>
          <w:color w:val="auto"/>
        </w:rPr>
        <w:t>In the ordinary course of their various business activities, the managers, the structuring agents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If any of the managers, the structuring agents or their respective affiliates has a lending relationship with us, certain of those managers and structuring agents or their respective affiliates routinely hedge, and certain other of those managers or structuring agents or their respective affiliates may hedge, their credit exposure to us consistent with their customary risk management policies. Typically, these managers and structuring agents or their respective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managers, the structuring agents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In relation to each member state of the European Economic Area that has implemented the Prospectus Directive (each, a “Relevant Member State”), the managers have represented and agreed that with effect from and including the date on which the Prospectus Directive is implemented in that Relevant Member State (the “Relevant Implementation Date”) it has not made and will not make an offer of notes to the public in that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274" w:right="239" w:bottom="1440" w:gutter="0" w:footer="0" w:header="0"/>
        </w:sectPr>
      </w:pPr>
    </w:p>
    <w:bookmarkStart w:id="26" w:name="page27"/>
    <w:bookmarkEnd w:id="26"/>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Relevant Member State prior to the publication of a prospectus in relation to such offer that has been approved by the competent authority in that Relevant Member State or, where appropriate, approved in another Relevant Member State and notified to the competent authority in that Relevant Member State, all in accordance with the Prospectus Directive, except that, it may, with effect from and including the relevant implementation date, make an offer of notes to the public in that Relevant Member State at any time:</w:t>
      </w:r>
    </w:p>
    <w:p>
      <w:pPr>
        <w:spacing w:after="0" w:line="79" w:lineRule="exact"/>
        <w:rPr>
          <w:sz w:val="20"/>
          <w:szCs w:val="20"/>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460" w:right="480" w:firstLine="4"/>
        <w:spacing w:after="0" w:line="277" w:lineRule="auto"/>
        <w:tabs>
          <w:tab w:leader="none" w:pos="7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managers for any such offer; or</w:t>
      </w:r>
    </w:p>
    <w:p>
      <w:pPr>
        <w:spacing w:after="0" w:line="62" w:lineRule="exact"/>
        <w:rPr>
          <w:rFonts w:ascii="Arial" w:cs="Arial" w:eastAsia="Arial" w:hAnsi="Arial"/>
          <w:sz w:val="18"/>
          <w:szCs w:val="18"/>
          <w:color w:val="auto"/>
        </w:rPr>
      </w:pPr>
    </w:p>
    <w:p>
      <w:pPr>
        <w:ind w:left="700" w:hanging="236"/>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provided that no such offer of notes shall require us or the managers to publish a prospectus pursuant to Article 3 of the Prospectus Directive or supplement a prospectus pursuant to Article 16 of the Prospectus Directive.</w:t>
      </w:r>
    </w:p>
    <w:p>
      <w:pPr>
        <w:spacing w:after="0" w:line="17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For the purposes of this provision, the expression an “offer of notes to the public” in relation to any notes in any Relevant Member State means the communication in any form and by any means of sufficient information on the terms of the offer and the notes to be offered so as to enable an investor to decide to purchase or subscribe the notes, as the expression may be varied in that Relevant Member State by any measure implementing the Prospectus Directive in that Relevant Member State. The expression “Prospectus Directive” means Directive 2003/71/EC 9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manager has represented and agreed that:</w:t>
      </w:r>
    </w:p>
    <w:p>
      <w:pPr>
        <w:spacing w:after="0" w:line="117" w:lineRule="exact"/>
        <w:rPr>
          <w:sz w:val="20"/>
          <w:szCs w:val="20"/>
          <w:color w:val="auto"/>
        </w:rPr>
      </w:pPr>
    </w:p>
    <w:p>
      <w:pPr>
        <w:ind w:left="460" w:right="120" w:firstLine="4"/>
        <w:spacing w:after="0" w:line="312"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(the “FSMA”)) received by it in connection with the issue or sale of the notes in circumstances in which Section 21(1) of the FSMA does not apply to us; and</w:t>
      </w:r>
    </w:p>
    <w:p>
      <w:pPr>
        <w:spacing w:after="0" w:line="38" w:lineRule="exact"/>
        <w:rPr>
          <w:rFonts w:ascii="Arial" w:cs="Arial" w:eastAsia="Arial" w:hAnsi="Arial"/>
          <w:sz w:val="16"/>
          <w:szCs w:val="16"/>
          <w:color w:val="auto"/>
        </w:rPr>
      </w:pPr>
    </w:p>
    <w:p>
      <w:pPr>
        <w:ind w:left="460" w:right="200" w:firstLine="4"/>
        <w:spacing w:after="0" w:line="277" w:lineRule="auto"/>
        <w:tabs>
          <w:tab w:leader="none" w:pos="715" w:val="left"/>
        </w:tabs>
        <w:numPr>
          <w:ilvl w:val="0"/>
          <w:numId w:val="15"/>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notes in, from or otherwise involving the United Kingdom.</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This prospectus has not been approved by or registered with the Securities and Futures Commission of Hong Kong or the Registrar of Companies of Hong Kong. The notes will not be offered or sold in Hong Kong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notes which is directed at, or the contents of which are likely to be accessed or read by, the public of Hong Kong (except if permitted to do so under the securities laws of Hong Kong) has been issued or will be issued in Hong Kong or elsewhere other than with respect to notes which are or are intended to be disposed of only to persons outside Hong Kong or only to “professional investors” as defined in the Securities and Futures Ordinance and any rules made under that Ordinance.</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notes have not been and will not be registered under the Financial Instruments and Exchange Act. Each manager has agreed that it has not, directly or indirectly, offered or sold and will not offer or sell any notes,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274" w:right="259" w:bottom="1440" w:gutter="0" w:footer="0" w:header="0"/>
        </w:sectPr>
      </w:pPr>
    </w:p>
    <w:bookmarkStart w:id="27" w:name="page28"/>
    <w:bookmarkEnd w:id="27"/>
    <w:p>
      <w:pPr>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 (i) to an institutional investor under Section 274 of the Securities and Futures Act (Chapter 289) (the “SFA”), (ii) to a relevant person, or any person pursuant to Section 275(1A) of the SFA, and in accordance with the conditions, specified in Section 275 of the SFA or (iii) otherwise pursuant to, and in accordance with the conditions of, any other applicable provision of the SFA. Where the notes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then securities, debentures and units of securities and debentures of that corporation or the beneficiaries’ rights and interest in that trust shall not be transferable for 6 months after that corporation or that trust has acquired the notes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Republic of China</w:t>
      </w:r>
    </w:p>
    <w:p>
      <w:pPr>
        <w:spacing w:after="0" w:line="11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notes have not been, and shall not be, offered, sold or re-sold, directly or indirectly, to investors other than “professional institutional investors” as defined under Paragraph 2 of Article 4 of the Financial Consumer Protection Act of the ROC, which currently include: overseas or domestic (i) banks, securities firms, futures firms and insurance companies (excluding insurance agencies, insurance brokers and insurance surveyors), the foregoing as further defined in more details in Paragraph 3 of Article 2 of the Organization Act of the Financial Supervisory Commission of the ROC, (ii) fund management companies, government investment institutions, government funds, pension funds, mutual funds, unit trusts, and funds managed by financial service enterprises pursuant to the ROC Securities Investment Trust and Consulting Act, the ROC Future Trading Act or the ROC Trust Enterprise Act or investment assets mandated and delivered by or transferred for trust by financial consumers, and (iii) other institutions recognized by the Financial Supervisory Commission of the ROC. Purchasers of the notes are not permitted to sell or otherwise dispose of the notes except by transfer to the aforementioned professional institutional investors.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360"/>
          </w:cols>
          <w:pgMar w:left="240" w:top="274" w:right="2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229" w:lineRule="exact"/>
        <w:rPr>
          <w:sz w:val="20"/>
          <w:szCs w:val="20"/>
          <w:color w:val="auto"/>
        </w:rPr>
      </w:pPr>
    </w:p>
    <w:p>
      <w:pPr>
        <w:ind w:right="180" w:firstLine="456"/>
        <w:spacing w:after="0" w:line="257"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Executive Vice President, General Counsel and Secretary of Comcast Corporation, Francis M. Buono, Esquire, Senior Vice President, Legal Regulatory Affairs and Senior Deputy General Counsel of Comcast Corporation, and by Davis Polk &amp; Wardwell LLP, Menlo Park, California. Cahill Gordon &amp; Reindel </w:t>
      </w:r>
      <w:r>
        <w:rPr>
          <w:rFonts w:ascii="Arial" w:cs="Arial" w:eastAsia="Arial" w:hAnsi="Arial"/>
          <w:sz w:val="15"/>
          <w:szCs w:val="15"/>
          <w:color w:val="auto"/>
        </w:rPr>
        <w:t>LLP</w:t>
      </w:r>
      <w:r>
        <w:rPr>
          <w:rFonts w:ascii="Arial" w:cs="Arial" w:eastAsia="Arial" w:hAnsi="Arial"/>
          <w:sz w:val="18"/>
          <w:szCs w:val="18"/>
          <w:color w:val="auto"/>
        </w:rPr>
        <w:t>, New York, New York will issue a legal opinion on certain legal matters for the managers. Lee and Li, Attorneys-at-Law, is acting as special Taiwanese legal counsel to us and will issue an opinion on certain legal matters to the managers.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100" w:firstLine="456"/>
        <w:spacing w:after="0" w:line="297"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herein by reference from Comcast Corporation’s Annual Report on Form 10-K for the year ended December 31, 2016,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5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and its subsidiaries, incorporated herein by reference from NBCUniversal’s Annual Report on Form 10-K for the year ended December 31, 2016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420"/>
          </w:cols>
          <w:pgMar w:left="240" w:top="27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915670</wp:posOffset>
            </wp:positionV>
            <wp:extent cx="1517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194945</wp:posOffset>
            </wp:positionV>
            <wp:extent cx="1397635" cy="4889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Unsecured senior debt securities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Preferred stock</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Warrants</w:t>
            </w:r>
          </w:p>
        </w:tc>
        <w:tc>
          <w:tcPr>
            <w:tcW w:w="1720" w:type="dxa"/>
            <w:vAlign w:val="bottom"/>
          </w:tcPr>
          <w:p>
            <w:pPr>
              <w:ind w:left="1620"/>
              <w:spacing w:after="0"/>
              <w:rPr>
                <w:sz w:val="20"/>
                <w:szCs w:val="20"/>
                <w:color w:val="auto"/>
              </w:rPr>
            </w:pPr>
            <w:r>
              <w:rPr>
                <w:rFonts w:ascii="Arial" w:cs="Arial" w:eastAsia="Arial" w:hAnsi="Arial"/>
                <w:sz w:val="18"/>
                <w:szCs w:val="18"/>
                <w:color w:val="auto"/>
              </w:rPr>
              <w:t>•</w:t>
            </w:r>
          </w:p>
        </w:tc>
        <w:tc>
          <w:tcPr>
            <w:tcW w:w="1680" w:type="dxa"/>
            <w:vAlign w:val="bottom"/>
          </w:tcPr>
          <w:p>
            <w:pPr>
              <w:ind w:left="40"/>
              <w:spacing w:after="0"/>
              <w:rPr>
                <w:sz w:val="20"/>
                <w:szCs w:val="20"/>
                <w:color w:val="auto"/>
              </w:rPr>
            </w:pPr>
            <w:r>
              <w:rPr>
                <w:rFonts w:ascii="Arial" w:cs="Arial" w:eastAsia="Arial" w:hAnsi="Arial"/>
                <w:sz w:val="18"/>
                <w:szCs w:val="18"/>
                <w:color w:val="auto"/>
              </w:rPr>
              <w:t>Depositary shares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 Purchase contracts</w:t>
            </w:r>
          </w:p>
        </w:tc>
        <w:tc>
          <w:tcPr>
            <w:tcW w:w="3400" w:type="dxa"/>
            <w:vAlign w:val="bottom"/>
            <w:gridSpan w:val="2"/>
          </w:tcPr>
          <w:p>
            <w:pPr>
              <w:ind w:left="1620"/>
              <w:spacing w:after="0"/>
              <w:rPr>
                <w:sz w:val="20"/>
                <w:szCs w:val="20"/>
                <w:color w:val="auto"/>
              </w:rPr>
            </w:pPr>
            <w:r>
              <w:rPr>
                <w:rFonts w:ascii="Arial" w:cs="Arial" w:eastAsia="Arial" w:hAnsi="Arial"/>
                <w:sz w:val="18"/>
                <w:szCs w:val="18"/>
                <w:color w:val="auto"/>
                <w:w w:val="90"/>
              </w:rPr>
              <w:t>• Class A common stock</w:t>
            </w:r>
          </w:p>
        </w:tc>
      </w:tr>
      <w:tr>
        <w:trPr>
          <w:trHeight w:val="222"/>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3940" w:type="dxa"/>
            <w:vAlign w:val="bottom"/>
          </w:tcPr>
          <w:p>
            <w:pPr>
              <w:ind w:left="40"/>
              <w:spacing w:after="0"/>
              <w:rPr>
                <w:sz w:val="20"/>
                <w:szCs w:val="20"/>
                <w:color w:val="auto"/>
              </w:rPr>
            </w:pPr>
            <w:r>
              <w:rPr>
                <w:rFonts w:ascii="Arial" w:cs="Arial" w:eastAsia="Arial" w:hAnsi="Arial"/>
                <w:sz w:val="18"/>
                <w:szCs w:val="18"/>
                <w:color w:val="auto"/>
              </w:rPr>
              <w:t>Units</w:t>
            </w: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37"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subsidiaries named in this prospectus.</w:t>
      </w:r>
    </w:p>
    <w:p>
      <w:pPr>
        <w:spacing w:after="0" w:line="21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Class A common stock is quoted on the Nasdaq Global Select Market under the ticker symbol “CMCSA.” On July 27, 2016, the reported last sale price on the Nasdaq Global Select Market for our Class A common stock was $67.92.</w:t>
      </w:r>
    </w:p>
    <w:p>
      <w:pPr>
        <w:spacing w:after="0" w:line="2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Maturity</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Dividends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w w:val="87"/>
              </w:rPr>
              <w:t>Conversion or exchange rights</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Interest rate</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Redemption terms</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Liquidation amount</w:t>
            </w:r>
          </w:p>
        </w:tc>
      </w:tr>
      <w:tr>
        <w:trPr>
          <w:trHeight w:val="216"/>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2160" w:type="dxa"/>
            <w:vAlign w:val="bottom"/>
          </w:tcPr>
          <w:p>
            <w:pPr>
              <w:ind w:left="40"/>
              <w:spacing w:after="0"/>
              <w:rPr>
                <w:sz w:val="20"/>
                <w:szCs w:val="20"/>
                <w:color w:val="auto"/>
              </w:rPr>
            </w:pPr>
            <w:r>
              <w:rPr>
                <w:rFonts w:ascii="Arial" w:cs="Arial" w:eastAsia="Arial" w:hAnsi="Arial"/>
                <w:sz w:val="18"/>
                <w:szCs w:val="18"/>
                <w:color w:val="auto"/>
              </w:rPr>
              <w:t>Sinking fund terms</w:t>
            </w:r>
          </w:p>
        </w:tc>
        <w:tc>
          <w:tcPr>
            <w:tcW w:w="680" w:type="dxa"/>
            <w:vAlign w:val="bottom"/>
          </w:tcPr>
          <w:p>
            <w:pPr>
              <w:ind w:left="580"/>
              <w:spacing w:after="0"/>
              <w:rPr>
                <w:sz w:val="20"/>
                <w:szCs w:val="20"/>
                <w:color w:val="auto"/>
              </w:rPr>
            </w:pPr>
            <w:r>
              <w:rPr>
                <w:rFonts w:ascii="Arial" w:cs="Arial" w:eastAsia="Arial" w:hAnsi="Arial"/>
                <w:sz w:val="18"/>
                <w:szCs w:val="18"/>
                <w:color w:val="auto"/>
              </w:rPr>
              <w:t>•</w:t>
            </w:r>
          </w:p>
        </w:tc>
        <w:tc>
          <w:tcPr>
            <w:tcW w:w="3040" w:type="dxa"/>
            <w:vAlign w:val="bottom"/>
          </w:tcPr>
          <w:p>
            <w:pPr>
              <w:ind w:left="40"/>
              <w:spacing w:after="0"/>
              <w:rPr>
                <w:sz w:val="20"/>
                <w:szCs w:val="20"/>
                <w:color w:val="auto"/>
              </w:rPr>
            </w:pPr>
            <w:r>
              <w:rPr>
                <w:rFonts w:ascii="Arial" w:cs="Arial" w:eastAsia="Arial" w:hAnsi="Arial"/>
                <w:sz w:val="18"/>
                <w:szCs w:val="18"/>
                <w:color w:val="auto"/>
              </w:rPr>
              <w:t>Listing on a securities exchange</w:t>
            </w:r>
          </w:p>
        </w:tc>
        <w:tc>
          <w:tcPr>
            <w:tcW w:w="840" w:type="dxa"/>
            <w:vAlign w:val="bottom"/>
          </w:tcPr>
          <w:p>
            <w:pPr>
              <w:ind w:left="740"/>
              <w:spacing w:after="0"/>
              <w:rPr>
                <w:sz w:val="20"/>
                <w:szCs w:val="20"/>
                <w:color w:val="auto"/>
              </w:rPr>
            </w:pPr>
            <w:r>
              <w:rPr>
                <w:rFonts w:ascii="Arial" w:cs="Arial" w:eastAsia="Arial" w:hAnsi="Arial"/>
                <w:sz w:val="18"/>
                <w:szCs w:val="18"/>
                <w:color w:val="auto"/>
              </w:rPr>
              <w:t>•</w:t>
            </w:r>
          </w:p>
        </w:tc>
        <w:tc>
          <w:tcPr>
            <w:tcW w:w="2200" w:type="dxa"/>
            <w:vAlign w:val="bottom"/>
          </w:tcPr>
          <w:p>
            <w:pPr>
              <w:ind w:left="40"/>
              <w:spacing w:after="0"/>
              <w:rPr>
                <w:sz w:val="20"/>
                <w:szCs w:val="20"/>
                <w:color w:val="auto"/>
              </w:rPr>
            </w:pPr>
            <w:r>
              <w:rPr>
                <w:rFonts w:ascii="Arial" w:cs="Arial" w:eastAsia="Arial" w:hAnsi="Arial"/>
                <w:sz w:val="18"/>
                <w:szCs w:val="18"/>
                <w:color w:val="auto"/>
              </w:rPr>
              <w:t>Subsidiary guarantees</w:t>
            </w:r>
          </w:p>
        </w:tc>
      </w:tr>
      <w:tr>
        <w:trPr>
          <w:trHeight w:val="222"/>
        </w:trPr>
        <w:tc>
          <w:tcPr>
            <w:tcW w:w="2280" w:type="dxa"/>
            <w:vAlign w:val="bottom"/>
            <w:gridSpan w:val="2"/>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gridSpan w:val="2"/>
          </w:tcPr>
          <w:p>
            <w:pPr>
              <w:ind w:left="580"/>
              <w:spacing w:after="0"/>
              <w:rPr>
                <w:sz w:val="20"/>
                <w:szCs w:val="20"/>
                <w:color w:val="auto"/>
              </w:rPr>
            </w:pPr>
            <w:r>
              <w:rPr>
                <w:rFonts w:ascii="Arial" w:cs="Arial" w:eastAsia="Arial" w:hAnsi="Arial"/>
                <w:sz w:val="18"/>
                <w:szCs w:val="18"/>
                <w:color w:val="auto"/>
              </w:rPr>
              <w:t>• Amount payable at maturity</w:t>
            </w:r>
          </w:p>
        </w:tc>
        <w:tc>
          <w:tcPr>
            <w:tcW w:w="840" w:type="dxa"/>
            <w:vAlign w:val="bottom"/>
          </w:tcPr>
          <w:p>
            <w:pPr>
              <w:spacing w:after="0"/>
              <w:rPr>
                <w:sz w:val="19"/>
                <w:szCs w:val="19"/>
                <w:color w:val="auto"/>
              </w:rPr>
            </w:pPr>
          </w:p>
        </w:tc>
        <w:tc>
          <w:tcPr>
            <w:tcW w:w="22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241300</wp:posOffset>
            </wp:positionV>
            <wp:extent cx="1517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760" w:firstLine="456"/>
        <w:spacing w:after="0" w:line="339" w:lineRule="auto"/>
        <w:rPr>
          <w:sz w:val="20"/>
          <w:szCs w:val="20"/>
          <w:color w:val="auto"/>
        </w:rPr>
      </w:pPr>
      <w:r>
        <w:rPr>
          <w:rFonts w:ascii="Arial" w:cs="Arial" w:eastAsia="Arial" w:hAnsi="Arial"/>
          <w:sz w:val="16"/>
          <w:szCs w:val="16"/>
          <w:b w:val="1"/>
          <w:bCs w:val="1"/>
          <w:color w:val="auto"/>
        </w:rPr>
        <w:t>Investing in these securities involves certain risks. See “Item 1A—Risk Factors” beginning on page 25 of Comcast’s and NBCUniversal’s combined annual report on Form 10-K for the year ended December 31, 2015,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213995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July 28, 2016</w:t>
      </w:r>
    </w:p>
    <w:p>
      <w:pPr>
        <w:sectPr>
          <w:pgSz w:w="11900" w:h="16838" w:orient="portrait"/>
          <w:cols w:equalWidth="0" w:num="1">
            <w:col w:w="11420"/>
          </w:cols>
          <w:pgMar w:left="240" w:top="274"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540" w:type="dxa"/>
            <w:vAlign w:val="bottom"/>
            <w:gridSpan w:val="2"/>
          </w:tcPr>
          <w:p>
            <w:pPr>
              <w:ind w:left="124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32">
              <w:r>
                <w:rPr>
                  <w:rFonts w:ascii="Arial" w:cs="Arial" w:eastAsia="Arial" w:hAnsi="Arial"/>
                  <w:sz w:val="18"/>
                  <w:szCs w:val="18"/>
                  <w:color w:val="0000EE"/>
                  <w:w w:val="86"/>
                </w:rPr>
                <w:t>The Companies</w:t>
              </w:r>
            </w:hyperlink>
          </w:p>
        </w:tc>
        <w:tc>
          <w:tcPr>
            <w:tcW w:w="9960" w:type="dxa"/>
            <w:vAlign w:val="bottom"/>
            <w:gridSpan w:val="10"/>
            <w:vMerge w:val="restart"/>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1120" w:type="dxa"/>
            <w:vAlign w:val="bottom"/>
            <w:tcBorders>
              <w:bottom w:val="single" w:sz="8" w:color="0000EE"/>
            </w:tcBorders>
            <w:gridSpan w:val="3"/>
            <w:vMerge w:val="continue"/>
          </w:tcPr>
          <w:p>
            <w:pPr>
              <w:spacing w:after="0"/>
              <w:rPr>
                <w:sz w:val="13"/>
                <w:szCs w:val="13"/>
                <w:color w:val="auto"/>
              </w:rPr>
            </w:pPr>
          </w:p>
        </w:tc>
        <w:tc>
          <w:tcPr>
            <w:tcW w:w="9960" w:type="dxa"/>
            <w:vAlign w:val="bottom"/>
            <w:gridSpan w:val="10"/>
            <w:vMerge w:val="continue"/>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Caution Concerning Forward-Looking Statements</w:t>
              </w:r>
            </w:hyperlink>
          </w:p>
        </w:tc>
        <w:tc>
          <w:tcPr>
            <w:tcW w:w="7540" w:type="dxa"/>
            <w:vAlign w:val="bottom"/>
            <w:gridSpan w:val="2"/>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6">
              <w:r>
                <w:rPr>
                  <w:rFonts w:ascii="Arial" w:cs="Arial" w:eastAsia="Arial" w:hAnsi="Arial"/>
                  <w:sz w:val="18"/>
                  <w:szCs w:val="18"/>
                  <w:color w:val="0000EE"/>
                  <w:w w:val="92"/>
                </w:rPr>
                <w:t>Dividend Policy</w:t>
              </w:r>
            </w:hyperlink>
          </w:p>
        </w:tc>
        <w:tc>
          <w:tcPr>
            <w:tcW w:w="9920" w:type="dxa"/>
            <w:vAlign w:val="bottom"/>
            <w:gridSpan w:val="8"/>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Ratios of Earnings to Fixed Charges and of Earnings to Combined Fixed Charges and Preferred Dividends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Description of Debt Securities and Guarantees</w:t>
              </w:r>
            </w:hyperlink>
          </w:p>
        </w:tc>
        <w:tc>
          <w:tcPr>
            <w:tcW w:w="3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Global Securities</w:t>
              </w:r>
            </w:hyperlink>
          </w:p>
        </w:tc>
        <w:tc>
          <w:tcPr>
            <w:tcW w:w="78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Description of Capital Stock</w:t>
              </w:r>
            </w:hyperlink>
          </w:p>
        </w:tc>
        <w:tc>
          <w:tcPr>
            <w:tcW w:w="906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Legal Matters</w:t>
              </w:r>
            </w:hyperlink>
          </w:p>
        </w:tc>
        <w:tc>
          <w:tcPr>
            <w:tcW w:w="968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Experts</w:t>
              </w:r>
            </w:hyperlink>
          </w:p>
        </w:tc>
        <w:tc>
          <w:tcPr>
            <w:tcW w:w="10100" w:type="dxa"/>
            <w:vAlign w:val="bottom"/>
            <w:gridSpan w:val="1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80" w:type="dxa"/>
            <w:vAlign w:val="bottom"/>
            <w:gridSpan w:val="1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Available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75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Incorporation of Certain Documents by Reference</w:t>
              </w:r>
            </w:hyperlink>
          </w:p>
        </w:tc>
        <w:tc>
          <w:tcPr>
            <w:tcW w:w="754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20" w:firstLine="456"/>
        <w:spacing w:after="0" w:line="298" w:lineRule="auto"/>
        <w:rPr>
          <w:sz w:val="20"/>
          <w:szCs w:val="20"/>
          <w:color w:val="auto"/>
        </w:rPr>
      </w:pPr>
      <w:r>
        <w:rPr>
          <w:rFonts w:ascii="Arial" w:cs="Arial" w:eastAsia="Arial" w:hAnsi="Arial"/>
          <w:sz w:val="16"/>
          <w:szCs w:val="16"/>
          <w:color w:val="auto"/>
        </w:rPr>
        <w:t>We have not authorized anyone to provide you any information other than that contained or incorporated by reference in this prospectus. We do not take any responsibility for, nor can we provide any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refer to Comcast Corporation in this prospectus as “Comcast;” Comcast and its consolidated subsidiaries, including NBCUniversal, as “we,” “us,” “our” or comparable terms, and to Comcast Holdings Corporation as “Comcast Holdings.” We refer to NBCUniversal Media, LLC as “NBCUniversal,” Comcast Cable Communications, LLC as “Comcast Cable,” and both of them collectively as the “Guarantors.”</w:t>
      </w:r>
    </w:p>
    <w:p>
      <w:pPr>
        <w:sectPr>
          <w:pgSz w:w="11900" w:h="16838" w:orient="portrait"/>
          <w:cols w:equalWidth="0" w:num="1">
            <w:col w:w="11360"/>
          </w:cols>
          <w:pgMar w:left="240" w:top="274" w:right="2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60" w:firstLine="456"/>
        <w:spacing w:after="0" w:line="352" w:lineRule="auto"/>
        <w:rPr>
          <w:sz w:val="20"/>
          <w:szCs w:val="20"/>
          <w:color w:val="auto"/>
        </w:rPr>
      </w:pPr>
      <w:r>
        <w:rPr>
          <w:rFonts w:ascii="Arial" w:cs="Arial" w:eastAsia="Arial" w:hAnsi="Arial"/>
          <w:sz w:val="15"/>
          <w:szCs w:val="15"/>
          <w:color w:val="auto"/>
        </w:rPr>
        <w:t>We are a global media and technology company with two primary businesses, Comcast Cable and NBCUniversal. We present our operations for Comcast Cable in one reportable business segment, referred to as Cable Communications, and our operations for NBCUniversal in four reportable business segments.</w:t>
      </w:r>
    </w:p>
    <w:p>
      <w:pPr>
        <w:spacing w:after="0" w:line="1" w:lineRule="exact"/>
        <w:rPr>
          <w:sz w:val="20"/>
          <w:szCs w:val="20"/>
          <w:color w:val="auto"/>
        </w:rPr>
      </w:pPr>
    </w:p>
    <w:p>
      <w:pPr>
        <w:jc w:val="both"/>
        <w:ind w:left="900" w:right="220" w:hanging="325"/>
        <w:spacing w:after="0" w:line="262"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Consists of the operations of Comcast Cable, which is one of the nation’s largest providers of video, high-speed Internet</w:t>
      </w:r>
      <w:r>
        <w:rPr>
          <w:rFonts w:ascii="Arial" w:cs="Arial" w:eastAsia="Arial" w:hAnsi="Arial"/>
          <w:sz w:val="18"/>
          <w:szCs w:val="18"/>
          <w:b w:val="1"/>
          <w:bCs w:val="1"/>
          <w:color w:val="auto"/>
        </w:rPr>
        <w:t xml:space="preserve"> </w:t>
      </w:r>
      <w:r>
        <w:rPr>
          <w:rFonts w:ascii="Arial" w:cs="Arial" w:eastAsia="Arial" w:hAnsi="Arial"/>
          <w:sz w:val="18"/>
          <w:szCs w:val="18"/>
          <w:color w:val="auto"/>
        </w:rPr>
        <w:t>and voice services to residential customers under the XFINITY brand, and we also provide these and other services to business customers and sell advertising.</w:t>
      </w:r>
    </w:p>
    <w:p>
      <w:pPr>
        <w:spacing w:after="0" w:line="51"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 xml:space="preserve">Cable Networks: </w:t>
      </w:r>
      <w:r>
        <w:rPr>
          <w:rFonts w:ascii="Arial" w:cs="Arial" w:eastAsia="Arial" w:hAnsi="Arial"/>
          <w:sz w:val="18"/>
          <w:szCs w:val="18"/>
          <w:color w:val="auto"/>
        </w:rPr>
        <w:t>Consists primarily of our national cable networks, our regional sports and news networks, our international cable networks and our</w:t>
      </w:r>
      <w:r>
        <w:rPr>
          <w:rFonts w:ascii="Arial" w:cs="Arial" w:eastAsia="Arial" w:hAnsi="Arial"/>
          <w:sz w:val="18"/>
          <w:szCs w:val="18"/>
          <w:b w:val="1"/>
          <w:bCs w:val="1"/>
          <w:color w:val="auto"/>
        </w:rPr>
        <w:t xml:space="preserve"> </w:t>
      </w:r>
      <w:r>
        <w:rPr>
          <w:rFonts w:ascii="Arial" w:cs="Arial" w:eastAsia="Arial" w:hAnsi="Arial"/>
          <w:sz w:val="18"/>
          <w:szCs w:val="18"/>
          <w:color w:val="auto"/>
        </w:rPr>
        <w:t>cable television studio production operations.</w:t>
      </w:r>
    </w:p>
    <w:p>
      <w:pPr>
        <w:spacing w:after="0" w:line="38" w:lineRule="exact"/>
        <w:rPr>
          <w:rFonts w:ascii="Arial" w:cs="Arial" w:eastAsia="Arial" w:hAnsi="Arial"/>
          <w:sz w:val="18"/>
          <w:szCs w:val="18"/>
          <w:color w:val="auto"/>
        </w:rPr>
      </w:pPr>
    </w:p>
    <w:p>
      <w:pPr>
        <w:ind w:left="900" w:right="30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the NBC and Telemundo broadcast networks, our 10 NBC and 17 Telemundo owned local broadcast</w:t>
      </w:r>
      <w:r>
        <w:rPr>
          <w:rFonts w:ascii="Arial" w:cs="Arial" w:eastAsia="Arial" w:hAnsi="Arial"/>
          <w:sz w:val="18"/>
          <w:szCs w:val="18"/>
          <w:b w:val="1"/>
          <w:bCs w:val="1"/>
          <w:color w:val="auto"/>
        </w:rPr>
        <w:t xml:space="preserve"> </w:t>
      </w:r>
      <w:r>
        <w:rPr>
          <w:rFonts w:ascii="Arial" w:cs="Arial" w:eastAsia="Arial" w:hAnsi="Arial"/>
          <w:sz w:val="18"/>
          <w:szCs w:val="18"/>
          <w:color w:val="auto"/>
        </w:rPr>
        <w:t>television stations, and our broadcast television studio production operations.</w:t>
      </w:r>
    </w:p>
    <w:p>
      <w:pPr>
        <w:spacing w:after="0" w:line="38" w:lineRule="exact"/>
        <w:rPr>
          <w:rFonts w:ascii="Arial" w:cs="Arial" w:eastAsia="Arial" w:hAnsi="Arial"/>
          <w:sz w:val="18"/>
          <w:szCs w:val="18"/>
          <w:color w:val="auto"/>
        </w:rPr>
      </w:pPr>
    </w:p>
    <w:p>
      <w:pPr>
        <w:ind w:left="900" w:right="62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primarily of the operations of Universal Pictures, which produces, acquires, markets and distributes filmed</w:t>
      </w:r>
      <w:r>
        <w:rPr>
          <w:rFonts w:ascii="Arial" w:cs="Arial" w:eastAsia="Arial" w:hAnsi="Arial"/>
          <w:sz w:val="18"/>
          <w:szCs w:val="18"/>
          <w:b w:val="1"/>
          <w:bCs w:val="1"/>
          <w:color w:val="auto"/>
        </w:rPr>
        <w:t xml:space="preserve"> </w:t>
      </w:r>
      <w:r>
        <w:rPr>
          <w:rFonts w:ascii="Arial" w:cs="Arial" w:eastAsia="Arial" w:hAnsi="Arial"/>
          <w:sz w:val="18"/>
          <w:szCs w:val="18"/>
          <w:color w:val="auto"/>
        </w:rPr>
        <w:t>entertainment worldwide.</w:t>
      </w:r>
    </w:p>
    <w:p>
      <w:pPr>
        <w:spacing w:after="0" w:line="38" w:lineRule="exact"/>
        <w:rPr>
          <w:rFonts w:ascii="Arial" w:cs="Arial" w:eastAsia="Arial" w:hAnsi="Arial"/>
          <w:sz w:val="18"/>
          <w:szCs w:val="18"/>
          <w:color w:val="auto"/>
        </w:rPr>
      </w:pPr>
    </w:p>
    <w:p>
      <w:pPr>
        <w:ind w:left="900" w:right="180" w:hanging="325"/>
        <w:spacing w:after="0" w:line="27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Florida and Hollywood, California. In November 2015, NBCUniversal</w:t>
      </w:r>
      <w:r>
        <w:rPr>
          <w:rFonts w:ascii="Arial" w:cs="Arial" w:eastAsia="Arial" w:hAnsi="Arial"/>
          <w:sz w:val="18"/>
          <w:szCs w:val="18"/>
          <w:b w:val="1"/>
          <w:bCs w:val="1"/>
          <w:color w:val="auto"/>
        </w:rPr>
        <w:t xml:space="preserve"> </w:t>
      </w:r>
      <w:r>
        <w:rPr>
          <w:rFonts w:ascii="Arial" w:cs="Arial" w:eastAsia="Arial" w:hAnsi="Arial"/>
          <w:sz w:val="18"/>
          <w:szCs w:val="18"/>
          <w:color w:val="auto"/>
        </w:rPr>
        <w:t>acquired a 51% interest in the Universal Studios theme park located in Osaka, Japan.</w:t>
      </w:r>
    </w:p>
    <w:p>
      <w:pPr>
        <w:spacing w:after="0" w:line="1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arena in Philadelphia, Pennsylvania and operates arena management-related businesses.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Guarantors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Our obligations, including the payment of principal, premium, if any, and interest on the debt securities issued pursuant to this prospectus will be fully and unconditionally guaranteed by each of the Guarantors. In this prospectus, we refer to these guarantees as the “Guarantees.” We have numerous other subsidiaries, including Comcast Holdings, and its and the Guarantors’ respective subsidiaries, that will not be guarantors on the debt securities. If indicated in the relevant prospectus supplement, our obligations under the other securities we are offering and selling may be fully and unconditionally guaranteed by specified Guarantors.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1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any payment of principal, interest or premium, if any, on or repay, repurchase or redeem any debt securities of that Guarantor.</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NBCUniversal Media, LLC</w:t>
      </w:r>
    </w:p>
    <w:p>
      <w:pPr>
        <w:spacing w:after="0" w:line="90" w:lineRule="exact"/>
        <w:rPr>
          <w:sz w:val="20"/>
          <w:szCs w:val="20"/>
          <w:color w:val="auto"/>
        </w:rPr>
      </w:pPr>
    </w:p>
    <w:p>
      <w:pPr>
        <w:ind w:right="780" w:firstLine="456"/>
        <w:spacing w:after="0" w:line="332" w:lineRule="auto"/>
        <w:rPr>
          <w:sz w:val="20"/>
          <w:szCs w:val="20"/>
          <w:color w:val="auto"/>
        </w:rPr>
      </w:pPr>
      <w:r>
        <w:rPr>
          <w:rFonts w:ascii="Arial" w:cs="Arial" w:eastAsia="Arial" w:hAnsi="Arial"/>
          <w:sz w:val="16"/>
          <w:szCs w:val="16"/>
          <w:color w:val="auto"/>
        </w:rPr>
        <w:t>NBCUniversal is one of the world’s leading media and entertainment companies that develops, produces and distributes entertainment, news and information, sports, and other content for global audiences, as well as owns and operates several theme parks worldwide.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4" w:right="239" w:bottom="1440" w:gutter="0" w:footer="0" w:header="0"/>
        </w:sectPr>
      </w:pPr>
    </w:p>
    <w:bookmarkStart w:id="32" w:name="page33"/>
    <w:bookmarkEnd w:id="32"/>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88900</wp:posOffset>
            </wp:positionV>
            <wp:extent cx="1517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principal executive offices of Comcast and Comcast Cable are located at One Comcast Center, Philadelphia, Pennsylvania 19103-2838, and our telephone number is (215) 286-1700.</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principal executive offices of NBCUniversal are located at 30 Rockefeller Plaza, New York, New York 10112-0015, and its telephone number is (212) 664-4444.</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maintain a website at http://www.comcastcorporation.com where general information about us is available. We are not incorporating the contents of the website into this prospectus.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 CONCERNING FORWARD-LOOKING STATEMENTS</w:t>
      </w:r>
    </w:p>
    <w:p>
      <w:pPr>
        <w:spacing w:after="0" w:line="17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2015 incorporated herein by reference. Actual events or our actual results may differ materially from any of our forward-looking statements. We undertake no obligation to update any forward-looking statements.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4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businesses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consumer behavior driven by alternative methods for viewing content may adversely affect our businesses and challenge existing business models;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decline in advertisers’ expenditures or changes in advertising markets could negatively impact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depend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changes to existing statutes, rules, regulations, or interpretations thereof, or adoption of new ones, could have an adverse effect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programming expenses for our video services are increasing, which could adversely affect our Cable Communications segment’s video business;</w:t>
      </w:r>
    </w:p>
    <w:p>
      <w:pPr>
        <w:spacing w:after="0" w:line="113" w:lineRule="exact"/>
        <w:rPr>
          <w:rFonts w:ascii="Arial" w:cs="Arial" w:eastAsia="Arial" w:hAnsi="Arial"/>
          <w:sz w:val="16"/>
          <w:szCs w:val="16"/>
          <w:color w:val="auto"/>
        </w:rPr>
      </w:pPr>
    </w:p>
    <w:p>
      <w:pPr>
        <w:ind w:left="900" w:right="18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and its businesses may be adversely affected if its content fails to achieve sufficient consumer acceptance or the costs to create or acquire content increase;</w:t>
      </w:r>
    </w:p>
    <w:p>
      <w:pPr>
        <w:spacing w:after="0" w:line="5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NBCUniversal’s programming distribution agreements, or the renewal of these agreements on less favorable terms, could adversely affect its businesses;</w:t>
      </w:r>
    </w:p>
    <w:p>
      <w:pPr>
        <w:spacing w:after="0" w:line="5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acquisitions and other strategic initiatives present many risks, and we may not realize the financial and strategic goals that we had contemplated;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labor disputes, whether involving employees or sports organizations, may disrupt our operations and adversely affect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4" w:right="259" w:bottom="1440" w:gutter="0" w:footer="0" w:header="0"/>
        </w:sectPr>
      </w:pPr>
    </w:p>
    <w:bookmarkStart w:id="34" w:name="page35"/>
    <w:bookmarkEnd w:id="34"/>
    <w:p>
      <w:pPr>
        <w:ind w:left="325" w:hanging="325"/>
        <w:spacing w:after="0"/>
        <w:tabs>
          <w:tab w:leader="none" w:pos="325"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325" w:hanging="325"/>
        <w:spacing w:after="0" w:line="332" w:lineRule="auto"/>
        <w:tabs>
          <w:tab w:leader="none" w:pos="325"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49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5"/>
          </w:cols>
          <w:pgMar w:left="815" w:top="280" w:right="29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tbl>
      <w:tblPr>
        <w:tblLayout w:type="fixed"/>
        <w:tblInd w:w="240" w:type="dxa"/>
        <w:tblCellMar>
          <w:top w:w="0" w:type="dxa"/>
          <w:left w:w="0" w:type="dxa"/>
          <w:bottom w:w="0" w:type="dxa"/>
          <w:right w:w="0" w:type="dxa"/>
        </w:tblCellMar>
      </w:tblPr>
      <w:tr>
        <w:trPr>
          <w:trHeight w:val="175"/>
        </w:trPr>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87"/>
              </w:rPr>
              <w:t>For the Six Months Ended</w:t>
            </w:r>
          </w:p>
        </w:tc>
        <w:tc>
          <w:tcPr>
            <w:tcW w:w="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w w:val="93"/>
              </w:rPr>
              <w:t>For the Years Ended December 31,</w:t>
            </w:r>
          </w:p>
        </w:tc>
        <w:tc>
          <w:tcPr>
            <w:tcW w:w="14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r>
      <w:tr>
        <w:trPr>
          <w:trHeight w:val="129"/>
        </w:trPr>
        <w:tc>
          <w:tcPr>
            <w:tcW w:w="1620" w:type="dxa"/>
            <w:vAlign w:val="bottom"/>
            <w:tcBorders>
              <w:bottom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 2016</w:t>
            </w:r>
          </w:p>
        </w:tc>
        <w:tc>
          <w:tcPr>
            <w:tcW w:w="46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2015</w:t>
            </w:r>
          </w:p>
        </w:tc>
        <w:tc>
          <w:tcPr>
            <w:tcW w:w="480" w:type="dxa"/>
            <w:vAlign w:val="bottom"/>
          </w:tcPr>
          <w:p>
            <w:pPr>
              <w:spacing w:after="0"/>
              <w:rPr>
                <w:sz w:val="11"/>
                <w:szCs w:val="11"/>
                <w:color w:val="auto"/>
              </w:rPr>
            </w:pPr>
          </w:p>
        </w:tc>
        <w:tc>
          <w:tcPr>
            <w:tcW w:w="138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2014</w:t>
            </w:r>
          </w:p>
        </w:tc>
        <w:tc>
          <w:tcPr>
            <w:tcW w:w="1880" w:type="dxa"/>
            <w:vAlign w:val="bottom"/>
            <w:gridSpan w:val="2"/>
          </w:tcPr>
          <w:p>
            <w:pPr>
              <w:jc w:val="right"/>
              <w:ind w:right="472"/>
              <w:spacing w:after="0" w:line="129" w:lineRule="exact"/>
              <w:rPr>
                <w:sz w:val="20"/>
                <w:szCs w:val="20"/>
                <w:color w:val="auto"/>
              </w:rPr>
            </w:pPr>
            <w:r>
              <w:rPr>
                <w:rFonts w:ascii="Arial" w:cs="Arial" w:eastAsia="Arial" w:hAnsi="Arial"/>
                <w:sz w:val="14"/>
                <w:szCs w:val="14"/>
                <w:b w:val="1"/>
                <w:bCs w:val="1"/>
                <w:color w:val="auto"/>
              </w:rPr>
              <w:t>2013</w:t>
            </w:r>
          </w:p>
        </w:tc>
        <w:tc>
          <w:tcPr>
            <w:tcW w:w="480" w:type="dxa"/>
            <w:vAlign w:val="bottom"/>
          </w:tcPr>
          <w:p>
            <w:pPr>
              <w:spacing w:after="0"/>
              <w:rPr>
                <w:sz w:val="11"/>
                <w:szCs w:val="11"/>
                <w:color w:val="auto"/>
              </w:rPr>
            </w:pPr>
          </w:p>
        </w:tc>
        <w:tc>
          <w:tcPr>
            <w:tcW w:w="1400" w:type="dxa"/>
            <w:vAlign w:val="bottom"/>
          </w:tcPr>
          <w:p>
            <w:pPr>
              <w:jc w:val="right"/>
              <w:ind w:right="482"/>
              <w:spacing w:after="0" w:line="129"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1"/>
                <w:szCs w:val="11"/>
                <w:color w:val="auto"/>
              </w:rPr>
            </w:pPr>
          </w:p>
        </w:tc>
        <w:tc>
          <w:tcPr>
            <w:tcW w:w="1400" w:type="dxa"/>
            <w:vAlign w:val="bottom"/>
          </w:tcPr>
          <w:p>
            <w:pPr>
              <w:jc w:val="right"/>
              <w:ind w:right="502"/>
              <w:spacing w:after="0" w:line="129" w:lineRule="exact"/>
              <w:rPr>
                <w:sz w:val="20"/>
                <w:szCs w:val="20"/>
                <w:color w:val="auto"/>
              </w:rPr>
            </w:pPr>
            <w:r>
              <w:rPr>
                <w:rFonts w:ascii="Arial" w:cs="Arial" w:eastAsia="Arial" w:hAnsi="Arial"/>
                <w:sz w:val="14"/>
                <w:szCs w:val="14"/>
                <w:b w:val="1"/>
                <w:bCs w:val="1"/>
                <w:color w:val="auto"/>
              </w:rPr>
              <w:t>2011</w:t>
            </w:r>
          </w:p>
        </w:tc>
      </w:tr>
      <w:tr>
        <w:trPr>
          <w:trHeight w:val="20"/>
        </w:trPr>
        <w:tc>
          <w:tcPr>
            <w:tcW w:w="1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97"/>
        </w:trPr>
        <w:tc>
          <w:tcPr>
            <w:tcW w:w="16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5.20x</w:t>
            </w:r>
          </w:p>
        </w:tc>
        <w:tc>
          <w:tcPr>
            <w:tcW w:w="46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5.48x</w:t>
            </w:r>
          </w:p>
        </w:tc>
        <w:tc>
          <w:tcPr>
            <w:tcW w:w="480" w:type="dxa"/>
            <w:vAlign w:val="bottom"/>
            <w:shd w:val="clear" w:color="auto" w:fill="CCEEFF"/>
          </w:tcPr>
          <w:p>
            <w:pPr>
              <w:spacing w:after="0"/>
              <w:rPr>
                <w:sz w:val="17"/>
                <w:szCs w:val="17"/>
                <w:color w:val="auto"/>
              </w:rPr>
            </w:pPr>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6"/>
              </w:rPr>
              <w:t>5.22x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4.85x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4.82x</w:t>
            </w:r>
          </w:p>
        </w:tc>
        <w:tc>
          <w:tcPr>
            <w:tcW w:w="48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0"/>
              </w:rPr>
              <w:t>4.04x</w:t>
            </w:r>
          </w:p>
        </w:tc>
      </w:tr>
    </w:tbl>
    <w:p>
      <w:pPr>
        <w:spacing w:after="0" w:line="154"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DESCRIPTION OF DEBT SECURITIES AND GUARANTEES</w:t>
      </w:r>
    </w:p>
    <w:p>
      <w:pPr>
        <w:spacing w:after="0" w:line="177"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debt securities, consisting of notes, debentures or other evidences of indebtedness, may be issued from time to time in one or more series under a senior indenture dated September 18, 2013, entered into among us, the guarantors named therein and The Bank of New York Mellon, as trustee, as amended by the first supplemental indenture dated as of November 17, 2015, entered into among us, the guarantors named therein and The Bank of New York Mellon, as trustee.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is incorporated by reference as an exhibit to the registration statement of which this prospectus is a part.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the following is only a summary of the indenture and the debt securities, it does not contain all information that you may find useful. For further information about the indenture and the debt securities, you should read the indenture. As used in this section of the prospectus and under the caption “Description of Capital Stock,” the terms “we,” “us” and “our” refer solely to Comcast Corporation and such references do not include any subsidiaries of Comcast Corporation, including the Guarantors.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The senior debt securities will constitute our unsecured and unsubordinated obligations. The debt securities will be fully and unconditionally guaranteed by the Guarantors, as described below. The debt securities will not be guaranteed by any of our other subsidiaries, including the Guarantors’ respective subsidiaries.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Guarantors with respect to the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74" w:right="279" w:bottom="1440" w:gutter="0" w:footer="0" w:header="0"/>
        </w:sectPr>
      </w:pPr>
    </w:p>
    <w:bookmarkStart w:id="37" w:name="page38"/>
    <w:bookmarkEnd w:id="37"/>
    <w:p>
      <w:pPr>
        <w:ind w:left="900" w:right="3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section, the following terms have the meanings set forth below.</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Debt</w:t>
      </w:r>
      <w:r>
        <w:rPr>
          <w:rFonts w:ascii="Arial" w:cs="Arial" w:eastAsia="Arial" w:hAnsi="Arial"/>
          <w:sz w:val="18"/>
          <w:szCs w:val="18"/>
          <w:color w:val="auto"/>
        </w:rPr>
        <w:t>” means, with respect to an Obligor, the sum of the following as of the date of determination:</w:t>
      </w:r>
    </w:p>
    <w:p>
      <w:pPr>
        <w:spacing w:after="0" w:line="96" w:lineRule="exact"/>
        <w:rPr>
          <w:sz w:val="20"/>
          <w:szCs w:val="20"/>
          <w:color w:val="auto"/>
        </w:rPr>
      </w:pPr>
    </w:p>
    <w:p>
      <w:pPr>
        <w:ind w:right="320" w:firstLine="464"/>
        <w:spacing w:after="0" w:line="268" w:lineRule="auto"/>
        <w:tabs>
          <w:tab w:leader="none" w:pos="6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such Obligor’s Indebtedness incurred after the date of initial issuance of the senior debt securities and secured by Liens not permitted by the first sentence under “—</w:t>
      </w: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80" w:right="279" w:bottom="1440" w:gutter="0" w:footer="0" w:header="0"/>
        </w:sectPr>
      </w:pPr>
    </w:p>
    <w:bookmarkStart w:id="38" w:name="page39"/>
    <w:bookmarkEnd w:id="38"/>
    <w:p>
      <w:pPr>
        <w:ind w:right="480" w:firstLine="464"/>
        <w:spacing w:after="0" w:line="268" w:lineRule="auto"/>
        <w:tabs>
          <w:tab w:leader="none" w:pos="705"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Obligor’s Attributable Liens in respect of sale and lease-back transactions entered into after the date of the initial issuance of the senior debt securities pursuant to the second paragraph of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Attributable Liens</w:t>
      </w:r>
      <w:r>
        <w:rPr>
          <w:rFonts w:ascii="Arial" w:cs="Arial" w:eastAsia="Arial" w:hAnsi="Arial"/>
          <w:sz w:val="18"/>
          <w:szCs w:val="18"/>
          <w:color w:val="auto"/>
        </w:rPr>
        <w:t>” means in connection with a sale and lease-back transaction of an Obligor the lesser of:</w:t>
      </w:r>
    </w:p>
    <w:p>
      <w:pPr>
        <w:spacing w:after="0" w:line="96" w:lineRule="exact"/>
        <w:rPr>
          <w:sz w:val="20"/>
          <w:szCs w:val="20"/>
          <w:color w:val="auto"/>
        </w:rPr>
      </w:pPr>
    </w:p>
    <w:p>
      <w:pPr>
        <w:ind w:right="480" w:firstLine="464"/>
        <w:spacing w:after="0" w:line="268" w:lineRule="auto"/>
        <w:tabs>
          <w:tab w:leader="none" w:pos="6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fair market value of the assets subject to such transaction (as determined in good faith by our board of directors (in our case) or the equivalent governing body of any Guarantor); and</w:t>
      </w:r>
    </w:p>
    <w:p>
      <w:pPr>
        <w:spacing w:after="0" w:line="131" w:lineRule="exact"/>
        <w:rPr>
          <w:rFonts w:ascii="Arial" w:cs="Arial" w:eastAsia="Arial" w:hAnsi="Arial"/>
          <w:sz w:val="18"/>
          <w:szCs w:val="18"/>
          <w:color w:val="auto"/>
        </w:rPr>
      </w:pPr>
    </w:p>
    <w:p>
      <w:pPr>
        <w:ind w:right="60" w:firstLine="464"/>
        <w:spacing w:after="0" w:line="259" w:lineRule="auto"/>
        <w:tabs>
          <w:tab w:leader="none" w:pos="70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present value (discounted at a rate per annum equal to the average interest borne by all outstanding debt securities issued under the senior indenture (which may include debt securities in addition to the senior debt security) determined on a weighted average basis and compounded semi-annually) of the obligations of the lessee for rental payments during the term of the related lease.</w:t>
      </w:r>
    </w:p>
    <w:p>
      <w:pPr>
        <w:spacing w:after="0" w:line="134" w:lineRule="exact"/>
        <w:rPr>
          <w:sz w:val="20"/>
          <w:szCs w:val="20"/>
          <w:color w:val="auto"/>
        </w:rPr>
      </w:pPr>
    </w:p>
    <w:p>
      <w:pPr>
        <w:ind w:right="160" w:firstLine="456"/>
        <w:spacing w:after="0" w:line="31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w:t>
      </w:r>
      <w:r>
        <w:rPr>
          <w:rFonts w:ascii="Arial" w:cs="Arial" w:eastAsia="Arial" w:hAnsi="Arial"/>
          <w:sz w:val="16"/>
          <w:szCs w:val="16"/>
          <w:color w:val="auto"/>
        </w:rPr>
        <w:t>” means any Indebtedness represented by a lease obligation of a Person incurred with respect to real property or equipment acquired by such Person or leased and used in its business that would be required to be recorded as a capital lease in accordance with GAAP as in effect as of the date of the senior indenture, whether entered into before or after the date of the senior indenture.</w:t>
      </w:r>
    </w:p>
    <w:p>
      <w:pPr>
        <w:spacing w:after="0" w:line="97"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Worth</w:t>
      </w:r>
      <w:r>
        <w:rPr>
          <w:rFonts w:ascii="Arial" w:cs="Arial" w:eastAsia="Arial" w:hAnsi="Arial"/>
          <w:sz w:val="18"/>
          <w:szCs w:val="18"/>
          <w:color w:val="auto"/>
        </w:rPr>
        <w:t>” of any Person means, as of any date of determination, stockholders’ equity or members’ capital of such Person as reflected on the most recent consolidated balance sheet of such Person and prepared in accordance with GAAP.</w:t>
      </w:r>
    </w:p>
    <w:p>
      <w:pPr>
        <w:spacing w:after="0" w:line="120" w:lineRule="exact"/>
        <w:rPr>
          <w:sz w:val="20"/>
          <w:szCs w:val="20"/>
          <w:color w:val="auto"/>
        </w:rPr>
      </w:pPr>
    </w:p>
    <w:p>
      <w:pPr>
        <w:ind w:right="80"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in the United States as of (i) the date of the senior indenture, for purposes of the definition of “Capital Lease” and (ii) the date of determination, for all other purposes under the senior indenture.</w:t>
      </w:r>
    </w:p>
    <w:p>
      <w:pPr>
        <w:spacing w:after="0" w:line="89" w:lineRule="exact"/>
        <w:rPr>
          <w:sz w:val="20"/>
          <w:szCs w:val="20"/>
          <w:color w:val="auto"/>
        </w:rPr>
      </w:pPr>
    </w:p>
    <w:p>
      <w:pPr>
        <w:ind w:right="160" w:firstLine="456"/>
        <w:spacing w:after="0" w:line="31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Governmental Obligations</w:t>
      </w:r>
      <w:r>
        <w:rPr>
          <w:rFonts w:ascii="Arial" w:cs="Arial" w:eastAsia="Arial" w:hAnsi="Arial"/>
          <w:sz w:val="15"/>
          <w:szCs w:val="15"/>
          <w:color w:val="auto"/>
        </w:rPr>
        <w:t>”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03"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specified Person means, without duplication, any indebtedness in respect of borrowed money or that is evidenced by bonds, notes, debentures or similar instruments or letters of credit (or reimbursement agreements with respect thereto) or representing the balance deferred and unpaid of the purchase price of any property (including pursuant to Capital Leases), except any such balance that constitutes an accrued expense, trade payable or other payable in the ordinary course, if and to the extent any of the foregoing indebtedness would appear as a liability upon an unconsolidated balance sheet of such Person (but does not include contingent liabilities which appear only in a footnote to a balance sheet).</w:t>
      </w:r>
    </w:p>
    <w:p>
      <w:pPr>
        <w:spacing w:after="0" w:line="108"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lien, security interest, charge or encumbrance of any kind (including any conditional sale or other title retention agreement, any lease in the nature thereof, and any agreement to give any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Obligor</w:t>
      </w:r>
      <w:r>
        <w:rPr>
          <w:rFonts w:ascii="Arial" w:cs="Arial" w:eastAsia="Arial" w:hAnsi="Arial"/>
          <w:sz w:val="18"/>
          <w:szCs w:val="18"/>
          <w:color w:val="auto"/>
        </w:rPr>
        <w:t>” means us and the Guarantors.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with respect to an Obligor:</w:t>
      </w:r>
    </w:p>
    <w:p>
      <w:pPr>
        <w:spacing w:after="0" w:line="96" w:lineRule="exact"/>
        <w:rPr>
          <w:sz w:val="20"/>
          <w:szCs w:val="20"/>
          <w:color w:val="auto"/>
        </w:rPr>
      </w:pPr>
    </w:p>
    <w:p>
      <w:pPr>
        <w:ind w:right="120" w:firstLine="464"/>
        <w:spacing w:after="0" w:line="259" w:lineRule="auto"/>
        <w:tabs>
          <w:tab w:leader="none" w:pos="6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Liens on any of such Obligor’s assets, created solely to secure obligations incurred to finance the refurbishment, improvement or construction of such asset, which obligations are incurred no later than 24 months after completion of such refurbishment, improvement or construction, and all renewals, extensions, refinancings, replacements or refundings of such obligations;</w:t>
      </w:r>
    </w:p>
    <w:p>
      <w:pPr>
        <w:spacing w:after="0" w:line="14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(b)(i) Liens given to secure the payment of the purchase price incurred in connection with the acquisition (including acquisition through merger or consolidation) of Property (including shares of stock), including Capital Lease transactions in connection with any such acquisition, provided that with respect to this clause (i) the Liens shall be given within 24 months after such acquisition and shall attach solely to the Property acquired or purchased and any improvements then or thereafter placed thereon, (ii) Liens existing on Property at the time of acquisition thereof or at the time of acquisition by such Obligor of any Person then owning such Property whether or not such existing Liens were given to secure the payment of the purchase price of the Property to which they attach, and (iii) all renewals, extensions, refinancings, replacements or refundings of such obligations under this clause (b);</w:t>
      </w:r>
    </w:p>
    <w:p>
      <w:pPr>
        <w:spacing w:after="0" w:line="120" w:lineRule="exact"/>
        <w:rPr>
          <w:sz w:val="20"/>
          <w:szCs w:val="20"/>
          <w:color w:val="auto"/>
        </w:rPr>
      </w:pPr>
    </w:p>
    <w:p>
      <w:pPr>
        <w:ind w:left="700" w:hanging="236"/>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goods;</w:t>
      </w:r>
    </w:p>
    <w:p>
      <w:pPr>
        <w:spacing w:after="0" w:line="164" w:lineRule="exact"/>
        <w:rPr>
          <w:rFonts w:ascii="Arial" w:cs="Arial" w:eastAsia="Arial" w:hAnsi="Arial"/>
          <w:sz w:val="16"/>
          <w:szCs w:val="16"/>
          <w:color w:val="auto"/>
        </w:rPr>
      </w:pPr>
    </w:p>
    <w:p>
      <w:pPr>
        <w:ind w:right="60" w:firstLine="464"/>
        <w:spacing w:after="0" w:line="268"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for taxes not yet due or that are being contested in good faith by appropriate proceedings, provided that adequate reserves with respect thereto are maintained on such Obligor’s books in conformity with GAAP;</w:t>
      </w:r>
    </w:p>
    <w:p>
      <w:pPr>
        <w:spacing w:after="0" w:line="131"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securing reimbursement obligations with respect to letters of credit that encumber documents and other Property relating to such letters of credit and the products and proceeds thereof;</w:t>
      </w:r>
    </w:p>
    <w:p>
      <w:pPr>
        <w:spacing w:after="0" w:line="131" w:lineRule="exact"/>
        <w:rPr>
          <w:rFonts w:ascii="Arial" w:cs="Arial" w:eastAsia="Arial" w:hAnsi="Arial"/>
          <w:sz w:val="18"/>
          <w:szCs w:val="18"/>
          <w:color w:val="auto"/>
        </w:rPr>
      </w:pPr>
    </w:p>
    <w:p>
      <w:pPr>
        <w:ind w:right="360" w:firstLine="464"/>
        <w:spacing w:after="0" w:line="259" w:lineRule="auto"/>
        <w:tabs>
          <w:tab w:leader="none" w:pos="67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encumbering customary initial deposits and margin deposits and other Liens in the ordinary course of business, in each case securing hedging obligations and forward contracts, options, futures contracts, futures options, equity hedges or similar agreements or arrangements designed to protect such Obligor from fluctuations in interest rates, currencies, equities or the price of commodities;</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in favor of us or any Guarantor;</w:t>
      </w:r>
    </w:p>
    <w:p>
      <w:pPr>
        <w:spacing w:after="0" w:line="171" w:lineRule="exact"/>
        <w:rPr>
          <w:rFonts w:ascii="Arial" w:cs="Arial" w:eastAsia="Arial" w:hAnsi="Arial"/>
          <w:sz w:val="18"/>
          <w:szCs w:val="18"/>
          <w:color w:val="auto"/>
        </w:rPr>
      </w:pPr>
    </w:p>
    <w:p>
      <w:pPr>
        <w:ind w:right="320"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inchoate Liens incident to construction or maintenance of real property, or Liens incident to construction or maintenance of real property, now or hereafter filed of record for sums not yet delinquent or being contested in good faith, if reserves or other appropriate provisions, if any, as shall be required by GAAP shall have been made therefor;</w:t>
      </w:r>
    </w:p>
    <w:p>
      <w:pPr>
        <w:spacing w:after="0" w:line="140" w:lineRule="exact"/>
        <w:rPr>
          <w:rFonts w:ascii="Arial" w:cs="Arial" w:eastAsia="Arial" w:hAnsi="Arial"/>
          <w:sz w:val="18"/>
          <w:szCs w:val="18"/>
          <w:color w:val="auto"/>
        </w:rPr>
      </w:pPr>
    </w:p>
    <w:p>
      <w:pPr>
        <w:ind w:right="36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statutory Liens arising in the ordinary course of business with respect to obligations which are not delinquent or are being contested in good faith, if reserves or other appropriate provisions, if any, as shall be required by GAAP shall have been made therefor;</w:t>
      </w:r>
    </w:p>
    <w:p>
      <w:pPr>
        <w:spacing w:after="0" w:line="131" w:lineRule="exact"/>
        <w:rPr>
          <w:rFonts w:ascii="Arial" w:cs="Arial" w:eastAsia="Arial" w:hAnsi="Arial"/>
          <w:sz w:val="18"/>
          <w:szCs w:val="18"/>
          <w:color w:val="auto"/>
        </w:rPr>
      </w:pPr>
    </w:p>
    <w:p>
      <w:pPr>
        <w:ind w:right="380" w:firstLine="464"/>
        <w:spacing w:after="0" w:line="268" w:lineRule="auto"/>
        <w:tabs>
          <w:tab w:leader="none" w:pos="666"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to secure obligations under workers’ compensation laws or similar legislation, including Liens of judgments thereunder which are not currently dischargeable;</w:t>
      </w:r>
    </w:p>
    <w:p>
      <w:pPr>
        <w:spacing w:after="0" w:line="131" w:lineRule="exact"/>
        <w:rPr>
          <w:rFonts w:ascii="Arial" w:cs="Arial" w:eastAsia="Arial" w:hAnsi="Arial"/>
          <w:sz w:val="18"/>
          <w:szCs w:val="18"/>
          <w:color w:val="auto"/>
        </w:rPr>
      </w:pPr>
    </w:p>
    <w:p>
      <w:pPr>
        <w:ind w:firstLine="464"/>
        <w:spacing w:after="0" w:line="259" w:lineRule="auto"/>
        <w:tabs>
          <w:tab w:leader="none" w:pos="705"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Liens consisting of pledges or deposits of Property to secure performance in connection with operating leases made in the ordinary course of business to which such Obligor is a party as lessee, provided the aggregate value of all such pledges and deposits in connection with any such lease does not at any time exceed 16 2/3% of the annual fixed rentals payable under such lease;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40" w:name="page41"/>
    <w:bookmarkEnd w:id="40"/>
    <w:p>
      <w:pPr>
        <w:ind w:left="680" w:hanging="216"/>
        <w:spacing w:after="0"/>
        <w:tabs>
          <w:tab w:leader="none" w:pos="680" w:val="left"/>
        </w:tabs>
        <w:numPr>
          <w:ilvl w:val="1"/>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Liens consisting of deposits of Property to secure such Obligor’s statutory obligations in the ordinary course of our business;</w:t>
      </w:r>
    </w:p>
    <w:p>
      <w:pPr>
        <w:spacing w:after="0" w:line="171" w:lineRule="exact"/>
        <w:rPr>
          <w:rFonts w:ascii="Arial" w:cs="Arial" w:eastAsia="Arial" w:hAnsi="Arial"/>
          <w:sz w:val="18"/>
          <w:szCs w:val="18"/>
          <w:color w:val="auto"/>
        </w:rPr>
      </w:pPr>
    </w:p>
    <w:p>
      <w:pPr>
        <w:ind w:right="100" w:firstLine="464"/>
        <w:spacing w:after="0" w:line="268" w:lineRule="auto"/>
        <w:tabs>
          <w:tab w:leader="none" w:pos="7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consisting of deposits of Property to secure (or in lieu of) surety, appeal or customs bonds in proceedings to which such Obligor is a party in the ordinary course of its business, but not in excess of $25,000,000;</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71" w:lineRule="exact"/>
        <w:rPr>
          <w:rFonts w:ascii="Arial" w:cs="Arial" w:eastAsia="Arial" w:hAnsi="Arial"/>
          <w:sz w:val="18"/>
          <w:szCs w:val="18"/>
          <w:color w:val="auto"/>
        </w:rPr>
      </w:pPr>
    </w:p>
    <w:p>
      <w:pPr>
        <w:ind w:right="24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permitted under sale and lease-back transactions, and any renewals or extensions thereof, so long as the Indebtedness secured thereby does not exceed $300,000,000 in the aggregate;</w:t>
      </w:r>
    </w:p>
    <w:p>
      <w:pPr>
        <w:spacing w:after="0" w:line="131" w:lineRule="exact"/>
        <w:rPr>
          <w:rFonts w:ascii="Arial" w:cs="Arial" w:eastAsia="Arial" w:hAnsi="Arial"/>
          <w:sz w:val="18"/>
          <w:szCs w:val="18"/>
          <w:color w:val="auto"/>
        </w:rPr>
      </w:pPr>
    </w:p>
    <w:p>
      <w:pPr>
        <w:ind w:right="600" w:firstLine="464"/>
        <w:spacing w:after="0" w:line="268" w:lineRule="auto"/>
        <w:tabs>
          <w:tab w:leader="none" w:pos="705" w:val="left"/>
        </w:tabs>
        <w:numPr>
          <w:ilvl w:val="1"/>
          <w:numId w:val="28"/>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of all Obligors secured thereby does not exceed $300,000,000 at any one time;</w:t>
      </w:r>
    </w:p>
    <w:p>
      <w:pPr>
        <w:spacing w:after="0" w:line="131" w:lineRule="exact"/>
        <w:rPr>
          <w:rFonts w:ascii="Arial" w:cs="Arial" w:eastAsia="Arial" w:hAnsi="Arial"/>
          <w:sz w:val="18"/>
          <w:szCs w:val="18"/>
          <w:color w:val="auto"/>
        </w:rPr>
      </w:pPr>
    </w:p>
    <w:p>
      <w:pPr>
        <w:ind w:firstLine="464"/>
        <w:spacing w:after="0" w:line="332" w:lineRule="auto"/>
        <w:tabs>
          <w:tab w:leader="none" w:pos="705"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securing any account or trade receivable factoring, securitization, sale or financing facility, the obligations of which are non-recourse (except with respect to customary representations, warranties, covenants and indemnities made in connection with such facility) to the applicable Obligor;</w:t>
      </w:r>
    </w:p>
    <w:p>
      <w:pPr>
        <w:spacing w:after="0" w:line="85" w:lineRule="exact"/>
        <w:rPr>
          <w:rFonts w:ascii="Arial" w:cs="Arial" w:eastAsia="Arial" w:hAnsi="Arial"/>
          <w:sz w:val="16"/>
          <w:szCs w:val="16"/>
          <w:color w:val="auto"/>
        </w:rPr>
      </w:pPr>
    </w:p>
    <w:p>
      <w:pPr>
        <w:ind w:right="200" w:firstLine="464"/>
        <w:spacing w:after="0" w:line="286" w:lineRule="auto"/>
        <w:tabs>
          <w:tab w:leader="none" w:pos="676" w:val="left"/>
        </w:tabs>
        <w:numPr>
          <w:ilvl w:val="1"/>
          <w:numId w:val="28"/>
        </w:numPr>
        <w:rPr>
          <w:rFonts w:ascii="Arial" w:cs="Arial" w:eastAsia="Arial" w:hAnsi="Arial"/>
          <w:sz w:val="16"/>
          <w:szCs w:val="16"/>
          <w:color w:val="auto"/>
        </w:rPr>
      </w:pPr>
      <w:r>
        <w:rPr>
          <w:rFonts w:ascii="Arial" w:cs="Arial" w:eastAsia="Arial" w:hAnsi="Arial"/>
          <w:sz w:val="16"/>
          <w:szCs w:val="16"/>
          <w:color w:val="auto"/>
        </w:rPr>
        <w:t>Liens (i) of a collection bank on the items in the course of collection, (ii) in favor of a banking or other financial institution arising as a matter of law encumbering deposits or other funds maintained with a financial institution (including the right of set off) and which are customary in the banking industry and</w:t>
      </w: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attaching to other prepayments, deposits or earnest money in the ordinary course of business; and</w:t>
      </w:r>
    </w:p>
    <w:p>
      <w:pPr>
        <w:spacing w:after="0" w:line="164" w:lineRule="exact"/>
        <w:rPr>
          <w:rFonts w:ascii="Arial" w:cs="Arial" w:eastAsia="Arial" w:hAnsi="Arial"/>
          <w:sz w:val="18"/>
          <w:szCs w:val="18"/>
          <w:color w:val="auto"/>
        </w:rPr>
      </w:pPr>
    </w:p>
    <w:p>
      <w:pPr>
        <w:ind w:left="700" w:hanging="236"/>
        <w:spacing w:after="0"/>
        <w:tabs>
          <w:tab w:leader="none" w:pos="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Take-or-pay obligations arising in the ordinary course of business.</w:t>
      </w:r>
    </w:p>
    <w:p>
      <w:pPr>
        <w:spacing w:after="0" w:line="165"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limited liability company, partnership, joint venture, association, joint stock company, trust, unincorporated organization, or any other entity, including any government or any agency or political subdivision thereof.</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with respect to any Person any property or asset, whether real, personal or mixed, or tangible or intangible, including shares of capital</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stock.</w:t>
      </w:r>
    </w:p>
    <w:p>
      <w:pPr>
        <w:spacing w:after="0" w:line="159" w:lineRule="exact"/>
        <w:rPr>
          <w:sz w:val="20"/>
          <w:szCs w:val="20"/>
          <w:color w:val="auto"/>
        </w:rPr>
      </w:pPr>
    </w:p>
    <w:p>
      <w:pPr>
        <w:ind w:right="16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of any specified Person means any corporation, limited liability company, limited partnership,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Guarantees</w:t>
      </w:r>
    </w:p>
    <w:p>
      <w:pPr>
        <w:spacing w:after="0" w:line="90" w:lineRule="exact"/>
        <w:rPr>
          <w:sz w:val="20"/>
          <w:szCs w:val="20"/>
          <w:color w:val="auto"/>
        </w:rPr>
      </w:pPr>
    </w:p>
    <w:p>
      <w:pPr>
        <w:ind w:right="480" w:firstLine="456"/>
        <w:spacing w:after="0" w:line="370" w:lineRule="auto"/>
        <w:rPr>
          <w:sz w:val="20"/>
          <w:szCs w:val="20"/>
          <w:color w:val="auto"/>
        </w:rPr>
      </w:pPr>
      <w:r>
        <w:rPr>
          <w:rFonts w:ascii="Arial" w:cs="Arial" w:eastAsia="Arial" w:hAnsi="Arial"/>
          <w:sz w:val="15"/>
          <w:szCs w:val="15"/>
          <w:color w:val="auto"/>
        </w:rPr>
        <w:t>Our obligations under the senior debt securities, including the payment of principal, premium, if any, and interest, will be fully and unconditionally guaranteed by each of the Guarantors. The Guarantees will rank equally with all other general unsecured and unsubordinated obligations of the Guarantors.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Guarantees will not contain any restrictions on the ability of any Guarantor to:</w:t>
      </w:r>
    </w:p>
    <w:p>
      <w:pPr>
        <w:spacing w:after="0" w:line="90" w:lineRule="exact"/>
        <w:rPr>
          <w:sz w:val="20"/>
          <w:szCs w:val="20"/>
          <w:color w:val="auto"/>
        </w:rPr>
      </w:pPr>
    </w:p>
    <w:p>
      <w:pPr>
        <w:ind w:left="900" w:right="8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Guarantor.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80" w:right="259" w:bottom="1440" w:gutter="0" w:footer="0" w:header="0"/>
        </w:sectPr>
      </w:pPr>
    </w:p>
    <w:bookmarkStart w:id="41" w:name="page42"/>
    <w:bookmarkEnd w:id="41"/>
    <w:p>
      <w:pPr>
        <w:ind w:left="24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Covenants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Limitation on Liens Securing Indebtedness. </w:t>
      </w:r>
      <w:r>
        <w:rPr>
          <w:rFonts w:ascii="Arial" w:cs="Arial" w:eastAsia="Arial" w:hAnsi="Arial"/>
          <w:sz w:val="18"/>
          <w:szCs w:val="18"/>
          <w:color w:val="auto"/>
        </w:rPr>
        <w:t>With respect to the senior debt securities of each series, each Obligor will covenant under the senior indenture</w:t>
      </w:r>
      <w:r>
        <w:rPr>
          <w:rFonts w:ascii="Arial" w:cs="Arial" w:eastAsia="Arial" w:hAnsi="Arial"/>
          <w:sz w:val="18"/>
          <w:szCs w:val="18"/>
          <w:i w:val="1"/>
          <w:iCs w:val="1"/>
          <w:color w:val="auto"/>
        </w:rPr>
        <w:t xml:space="preserve"> </w:t>
      </w:r>
      <w:r>
        <w:rPr>
          <w:rFonts w:ascii="Arial" w:cs="Arial" w:eastAsia="Arial" w:hAnsi="Arial"/>
          <w:sz w:val="18"/>
          <w:szCs w:val="18"/>
          <w:color w:val="auto"/>
        </w:rPr>
        <w:t>not to create or incur any Lien on any of its Properties, whether owned at the time the senior indenture is executed or acquired afterward, in order to secure any of its Indebtedness, without effectively providing that the senior debt securities of such series shall be equally and ratably secured until such time as such Indebtedness is no longer secured by such Lien, except</w:t>
      </w:r>
      <w:r>
        <w:rPr>
          <w:rFonts w:ascii="Arial" w:cs="Arial" w:eastAsia="Arial" w:hAnsi="Arial"/>
          <w:sz w:val="18"/>
          <w:szCs w:val="18"/>
          <w:i w:val="1"/>
          <w:iCs w:val="1"/>
          <w:color w:val="auto"/>
        </w:rPr>
        <w:t>:</w:t>
      </w:r>
    </w:p>
    <w:p>
      <w:pPr>
        <w:spacing w:after="0" w:line="62"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existing as of the date of initial issuance of the senior debt securities of such series;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Liens granted after the date of initial issuance of the senior debt securities of such series, created in favor of the registered holders of the senior debt securities of such series;</w:t>
      </w:r>
    </w:p>
    <w:p>
      <w:pPr>
        <w:spacing w:after="0" w:line="50" w:lineRule="exact"/>
        <w:rPr>
          <w:rFonts w:ascii="Arial" w:cs="Arial" w:eastAsia="Arial" w:hAnsi="Arial"/>
          <w:sz w:val="18"/>
          <w:szCs w:val="18"/>
          <w:color w:val="auto"/>
        </w:rPr>
      </w:pPr>
    </w:p>
    <w:p>
      <w:pPr>
        <w:ind w:left="900" w:right="20" w:hanging="325"/>
        <w:spacing w:after="0" w:line="323"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Liens securing such Obligor’s Indebtedness which are incurred to extend, renew or refinance Indebtedness which is secured by Liens permitted to be incurred under the lien restriction covenant of the senior indenture, so long as such Liens are limited to all or part of substantially the same Property which secured the Liens extended, renewed or replaced and the amount of Indebtedness secured is not increased (other than by the amount equal to any costs and expenses (including any premiums, fees or penalties) incurred in connection with any extension, renewal or refinancing); and</w:t>
      </w:r>
    </w:p>
    <w:p>
      <w:pPr>
        <w:spacing w:after="0" w:line="16" w:lineRule="exact"/>
        <w:rPr>
          <w:rFonts w:ascii="Arial" w:cs="Arial" w:eastAsia="Arial" w:hAnsi="Arial"/>
          <w:sz w:val="15"/>
          <w:szCs w:val="15"/>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7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Notwithstanding the restrictions above, any Obligor may, without securing the senior debt securities of any series, create or incur Liens which would otherwise be subject to the restrictions set forth above, if after giving effect to those Liens, the Obligor’s Aggregate Debt together with the Aggregate Debt of each other Obligor does not exceed the greater of (i) 15% of Comcast’s Consolidated Net Worth calculated as of the date of the creation or incurrence of the Lien and (ii) 15% of Comcast’s Consolidated Net Worth calculated as of the date of initial issuance of the senior debt securities of such series; provided that Liens created or incurred pursuant to the terms described in this paragraph may be extended, renewed or replaced so long as the amount of Indebtedness secured by such Liens is not increased (other than by the amount equal to any costs and expenses (including any premiums, fees or penalties) incurred in connection therewith) and such refinancing Indebtedness, if then outstanding, is included in subsequent calculations of Aggregate Debt of such Obligor.</w:t>
      </w:r>
    </w:p>
    <w:p>
      <w:pPr>
        <w:spacing w:after="0" w:line="118"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With respect to the senior debt securities of each series, each Obligor will covenant under the senior</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not to enter into any sale and lease-back transaction for the sale and leasing back of any Property, whether owned at the time the senior indenture is executed or acquired afterward, unless:</w:t>
      </w:r>
    </w:p>
    <w:p>
      <w:pPr>
        <w:spacing w:after="0" w:line="59"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entered into prior to the date of the initial issuance of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was for the sale and leasing back to such Obligor of any Property by one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such transaction involves a lease for less than three years;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42" w:name="page43"/>
    <w:bookmarkEnd w:id="42"/>
    <w:p>
      <w:pPr>
        <w:ind w:left="900" w:right="2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Obligor would be entitled to incur Indebtedness secured by a mortgage on the Property to be leased in an amount equal to the Attributable Liens with respect to such sale and lease-back transaction without equally and ratably securing the senior debt securities of such series pursuant to the first paragraph of “—Limitation on Liens Securing Indebtedness” above; or</w:t>
      </w:r>
    </w:p>
    <w:p>
      <w:pPr>
        <w:spacing w:after="0" w:line="59" w:lineRule="exact"/>
        <w:rPr>
          <w:rFonts w:ascii="Arial" w:cs="Arial" w:eastAsia="Arial" w:hAnsi="Arial"/>
          <w:sz w:val="18"/>
          <w:szCs w:val="18"/>
          <w:color w:val="auto"/>
        </w:rPr>
      </w:pPr>
    </w:p>
    <w:p>
      <w:pPr>
        <w:ind w:left="900" w:right="100" w:hanging="325"/>
        <w:spacing w:after="0" w:line="256"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such Obligor applies an amount equal to the fair value of the Property sold to the purchase of Property or to the retirement of its long-term Indebtedness within 365 days of the effective date of any such sale and lease-back transaction. In lieu of applying such amount to such retirement, such Obligor may deliver senior debt securities to the trustee therefor for cancellation, such senior debt securities to be credited at the cost thereof to the Obligor.</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the previous paragraph (including the bulleted list), any Obligor may enter into any sale and lease-back transaction which would otherwise be subject to the foregoing restrictions with respect to the senior debt securities of any series if after giving effect thereto and at the time of determination, its Aggregate Debt together with the Aggregate Debt of all other Obligors does not exceed the greater of (i) 15% of Comcast’s Consolidated Net Worth calculated as of the closing date of the sale and lease-back transaction and (ii) 15% of Comcast’s Consolidated Net Worth calculated as of the date of initial issuance of the senior debt securities of such series.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We will not consolidate or combine with or merge with or into or, directly or indirectly, sell, assign, convey,</w:t>
      </w:r>
      <w:r>
        <w:rPr>
          <w:rFonts w:ascii="Arial" w:cs="Arial" w:eastAsia="Arial" w:hAnsi="Arial"/>
          <w:sz w:val="18"/>
          <w:szCs w:val="18"/>
          <w:i w:val="1"/>
          <w:iCs w:val="1"/>
          <w:color w:val="auto"/>
        </w:rPr>
        <w:t xml:space="preserve"> </w:t>
      </w:r>
      <w:r>
        <w:rPr>
          <w:rFonts w:ascii="Arial" w:cs="Arial" w:eastAsia="Arial" w:hAnsi="Arial"/>
          <w:sz w:val="18"/>
          <w:szCs w:val="18"/>
          <w:color w:val="auto"/>
        </w:rPr>
        <w:t>lease, transfer or otherwise dispose of all or substantially all of our assets to any Person or Persons (other than a transfer or other disposition of assets to any of our wholly owned Subsidiaries), in a single transaction or through a series of transactions, unless:</w:t>
      </w:r>
    </w:p>
    <w:p>
      <w:pPr>
        <w:spacing w:after="0" w:line="59" w:lineRule="exact"/>
        <w:rPr>
          <w:sz w:val="20"/>
          <w:szCs w:val="20"/>
          <w:color w:val="auto"/>
        </w:rPr>
      </w:pPr>
    </w:p>
    <w:p>
      <w:pPr>
        <w:ind w:left="900" w:right="30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shall be the continuing Person or, if we are not the continuing Person, the resulting, surviving or transferee Person (the “surviving entity”) is a company or limited liability company organized (or formed in the case of a limited liability company) and existing under the laws of the United States or any State or territory thereof or the District of Columbia;</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surviving entity will expressly assume all of our obligations under the senior debt securities and the indenture and will execute a supplemental indenture, in a form satisfactory to the trustee, which will be delivered to the trustee;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or series of transactions on a pro forma basis, no default has occurred and is continuing;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the surviving entity will have delivered to the trustee an officer’s certificate and opinion of counsel stating that the transaction or series of transactions and a supplemental indenture, if any, complies with this covenant and that all conditions precedent in the indenture relating to the transaction or series of transactions have been satisfied.</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in the third bullet above shall not be applicable to:</w:t>
      </w:r>
    </w:p>
    <w:p>
      <w:pPr>
        <w:spacing w:after="0" w:line="90" w:lineRule="exact"/>
        <w:rPr>
          <w:sz w:val="20"/>
          <w:szCs w:val="20"/>
          <w:color w:val="auto"/>
        </w:rPr>
      </w:pPr>
    </w:p>
    <w:p>
      <w:pPr>
        <w:ind w:left="900" w:right="2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or consolidation of us with an affiliate if our board of directors, determines in good faith that the purpose of such transaction is principally to change our state of incorporation or convert our form of organization to another form; or</w:t>
      </w:r>
    </w:p>
    <w:p>
      <w:pPr>
        <w:spacing w:after="0" w:line="5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merger of us with or into a single direct or indirect wholly owned subsidiary pursuant to Section 1924(b)(4) (or any successor provision) of the Business Corporation Law of the State of Pennsylvania or Section 251(g) (or any successor provision) of the General Corporation Law of the State of Delaware (or similar provision of our state of incorporation).</w:t>
      </w:r>
    </w:p>
    <w:p>
      <w:pPr>
        <w:spacing w:after="0" w:line="140"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If any consolidation or merger or any sale, assignment, conveyance, lease, transfer or other disposition of all or substantially all of our assets occurs in accordance with the indenture, the successor person will succeed to, and be substituted for, and may exercise every right and power of ours under the indenture with the same effect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0" w:right="239" w:bottom="1440" w:gutter="0" w:footer="0" w:header="0"/>
        </w:sectPr>
      </w:pPr>
    </w:p>
    <w:bookmarkStart w:id="43" w:name="page44"/>
    <w:bookmarkEnd w:id="43"/>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if such successor person had been named in our place in the indenture. We will (except in the case of a lease) be discharged from all obligations and covenants under the indenture and any debt securities issued thereunder (including the senior debt securities).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Existence</w:t>
      </w:r>
      <w:r>
        <w:rPr>
          <w:rFonts w:ascii="Arial" w:cs="Arial" w:eastAsia="Arial" w:hAnsi="Arial"/>
          <w:sz w:val="18"/>
          <w:szCs w:val="18"/>
          <w:color w:val="auto"/>
        </w:rPr>
        <w:t>. Except as permitted under “—</w:t>
      </w:r>
      <w:r>
        <w:rPr>
          <w:rFonts w:ascii="Arial" w:cs="Arial" w:eastAsia="Arial" w:hAnsi="Arial"/>
          <w:sz w:val="18"/>
          <w:szCs w:val="18"/>
          <w:i w:val="1"/>
          <w:iCs w:val="1"/>
          <w:color w:val="auto"/>
        </w:rPr>
        <w:t>Consolidation, Merger and Sale of Assets</w:t>
      </w:r>
      <w:r>
        <w:rPr>
          <w:rFonts w:ascii="Arial" w:cs="Arial" w:eastAsia="Arial" w:hAnsi="Arial"/>
          <w:sz w:val="18"/>
          <w:szCs w:val="18"/>
          <w:color w:val="auto"/>
        </w:rPr>
        <w:t>,” the indenture requires us to do or cause to be done all things necessary</w:t>
      </w:r>
      <w:r>
        <w:rPr>
          <w:rFonts w:ascii="Arial" w:cs="Arial" w:eastAsia="Arial" w:hAnsi="Arial"/>
          <w:sz w:val="18"/>
          <w:szCs w:val="18"/>
          <w:i w:val="1"/>
          <w:iCs w:val="1"/>
          <w:color w:val="auto"/>
        </w:rPr>
        <w:t xml:space="preserve"> </w:t>
      </w:r>
      <w:r>
        <w:rPr>
          <w:rFonts w:ascii="Arial" w:cs="Arial" w:eastAsia="Arial" w:hAnsi="Arial"/>
          <w:sz w:val="18"/>
          <w:szCs w:val="18"/>
          <w:color w:val="auto"/>
        </w:rPr>
        <w:t>to preserve and keep in full force and effect our existence, rights and franchises; provided, however, that we shall not be required to preserve any right or franchise if we determine that its preservation is no longer desirable in the conduct of business.</w:t>
      </w:r>
    </w:p>
    <w:p>
      <w:pPr>
        <w:spacing w:after="0" w:line="1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Information. </w:t>
      </w:r>
      <w:r>
        <w:rPr>
          <w:rFonts w:ascii="Arial" w:cs="Arial" w:eastAsia="Arial" w:hAnsi="Arial"/>
          <w:sz w:val="18"/>
          <w:szCs w:val="18"/>
          <w:color w:val="auto"/>
        </w:rPr>
        <w:t>We will furnish to the trustee any document or report we are required to file with the SEC pursuant to Section 13 or Section 15(d)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Act within 15 days after such document or report is filed with the SEC; provided that in each case the delivery of materials to the Trustee by electronic means or filing documents pursuant to the SEC’s “EDGAR” system (or any successor electronic filing system) shall be deemed to constitute “filing” with the trustee for purposes of this covenant. Delivery of the reports, information and documents required by this section to be delivered to the trustee is for informational purposes only and the trustee’s receipt of such shall not constitute constructive notice of any information contained therein or determinable from information contained therein.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of the following will constitute an event of default in the senior indenture with respect to the senior debt securities of any series:</w:t>
      </w:r>
    </w:p>
    <w:p>
      <w:pPr>
        <w:spacing w:after="0" w:line="90" w:lineRule="exact"/>
        <w:rPr>
          <w:sz w:val="20"/>
          <w:szCs w:val="20"/>
          <w:color w:val="auto"/>
        </w:rPr>
      </w:pPr>
    </w:p>
    <w:p>
      <w:pPr>
        <w:ind w:left="700" w:hanging="236"/>
        <w:spacing w:after="0"/>
        <w:tabs>
          <w:tab w:leader="none" w:pos="7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default in paying interest on the senior debt securities of such series when it becomes due and the default continues for a period of 30 days or more;</w:t>
      </w:r>
    </w:p>
    <w:p>
      <w:pPr>
        <w:spacing w:after="0" w:line="194" w:lineRule="exact"/>
        <w:rPr>
          <w:rFonts w:ascii="Arial" w:cs="Arial" w:eastAsia="Arial" w:hAnsi="Arial"/>
          <w:sz w:val="16"/>
          <w:szCs w:val="16"/>
          <w:color w:val="auto"/>
        </w:rPr>
      </w:pPr>
    </w:p>
    <w:p>
      <w:pPr>
        <w:ind w:left="720" w:hanging="256"/>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paying principal on the senior debt securities of such series when due;</w:t>
      </w:r>
    </w:p>
    <w:p>
      <w:pPr>
        <w:spacing w:after="0" w:line="171" w:lineRule="exact"/>
        <w:rPr>
          <w:rFonts w:ascii="Arial" w:cs="Arial" w:eastAsia="Arial" w:hAnsi="Arial"/>
          <w:sz w:val="18"/>
          <w:szCs w:val="18"/>
          <w:color w:val="auto"/>
        </w:rPr>
      </w:pPr>
    </w:p>
    <w:p>
      <w:pPr>
        <w:jc w:val="both"/>
        <w:ind w:right="180" w:firstLine="464"/>
        <w:spacing w:after="0" w:line="256"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by any Obligor in the performance, or breach, of any covenant in the senior indenture (other than defaults specified in clause (a) or (b) above) and the default or breach continues for a period of 90 days or more after we receive written notice from the trustee or we and the trustee receive notice from the holders of at least 25% in aggregate principal amount of the senior debt securities of all affected series and the debt securities of all other affected series outstanding under the senior indenture (voting together as a single class);</w:t>
      </w:r>
    </w:p>
    <w:p>
      <w:pPr>
        <w:spacing w:after="0" w:line="143" w:lineRule="exact"/>
        <w:rPr>
          <w:rFonts w:ascii="Arial" w:cs="Arial" w:eastAsia="Arial" w:hAnsi="Arial"/>
          <w:sz w:val="18"/>
          <w:szCs w:val="18"/>
          <w:color w:val="auto"/>
        </w:rPr>
      </w:pPr>
    </w:p>
    <w:p>
      <w:pPr>
        <w:ind w:left="720" w:hanging="256"/>
        <w:spacing w:after="0"/>
        <w:tabs>
          <w:tab w:leader="none" w:pos="7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certain events of bankruptcy, insolvency, reorganization, administration or similar proceedings with respect to us or any Obligor have occurred; or</w:t>
      </w:r>
    </w:p>
    <w:p>
      <w:pPr>
        <w:spacing w:after="0" w:line="194" w:lineRule="exact"/>
        <w:rPr>
          <w:rFonts w:ascii="Arial" w:cs="Arial" w:eastAsia="Arial" w:hAnsi="Arial"/>
          <w:sz w:val="16"/>
          <w:szCs w:val="16"/>
          <w:color w:val="auto"/>
        </w:rPr>
      </w:pPr>
    </w:p>
    <w:p>
      <w:pPr>
        <w:ind w:left="700" w:hanging="23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Guarantee shall not be (or shall be claimed by the relevant Guarantor not to be) in full force and effect.</w:t>
      </w:r>
    </w:p>
    <w:p>
      <w:pPr>
        <w:spacing w:after="0" w:line="17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an event of default (other than an event of default specified in clause (d) above) under the senior indenture occurs and is continuing, then the trustee may and, at the direction of the holders of at least 25% in aggregate principal amount of the senior debt securities of all affected series and the debt securities of all other affected series outstanding under the senior indenture (voting together as a single class), will by written notice, require us to repay immediately the entire principal amount of the outstanding debt securities of each affected series, together with all accrued and unpaid interest.</w:t>
      </w:r>
    </w:p>
    <w:p>
      <w:pPr>
        <w:spacing w:after="0" w:line="113"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If an event of default under the senior indenture specified in clause (d) occurs and is continuing, then the entire principal amount of the outstanding senior debt securities will automatically become due immediately and payable without any declaration or other act on the part of the trustee or any holder.</w:t>
      </w:r>
    </w:p>
    <w:p>
      <w:pPr>
        <w:spacing w:after="0" w:line="8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After a declaration of acceleration or any automatic acceleration under clause (d) described above, the holders of a majority in principal amount of the outstanding senior debt securities of any series (each such series voting as a separate class) may rescind this accelerated payment requirement with respect to the senior debt securities of such series if all existing events of default with respect to the senior debt securities of such series,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44" w:name="page45"/>
    <w:bookmarkEnd w:id="44"/>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for nonpayment of the principal and interest on the senior debt securities of such series that have become due solely as a result of the accelerated payment requirement, have been cured or waived and if the rescission of acceleration would not conflict with any judgment or decree and if all sums paid or advanced by the trustee under the senior indenture and the reasonable compensation, expenses, disbursements and advances of the trustee and its agents and counsel have been paid.</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holders of a majority in principal amount of the senior debt securities of all affected series and the debt securities of all other affected series outstanding under the senior indenture (voting together as a single class) may, by written notice to us and the trustee, also waive past defaults, except a default in paying principal or interest on any outstanding senior debt security of such series, or in respect of a covenant or a provision that cannot be modified or amended without the consent of all affected holders of the senior debt securities of such series.</w:t>
      </w:r>
    </w:p>
    <w:p>
      <w:pPr>
        <w:spacing w:after="0" w:line="11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holders of at least 25% in aggregate principal amount of the senior debt securities of all affected series and the debt securities of all other affected series outstanding under the senior indenture (voting together as a single class) may seek to institute a proceeding only after they have made written request, and offered indemnity reasonably satisfactory to the trustee, to the trustee to institute a proceeding and the trustee has failed to do so within 60 days after it received this request and offer of indemnity. In addition, within this 60-day period the trustee must not have received directions inconsistent with this written request by holders of a majority in principal amount of the senior debt securities of all affected series and the debt securities of all other affected series then outstanding. These limitations do not apply, however, to a suit instituted by a holder of the senior debt securities of any affected series for the enforcement of the payment of principal or interest on or after the due dates for such payment.</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the existence of an event of default of which a responsible officer of the trustee has actual knowledge or has received written notice from us or any holder of the senior debt securities, the trustee is required to exercise the rights and powers vested in it under the senior indenture, and use the same degree of care and skill in its exercise, as a prudent person would under the circumstances in the conduct of that person’s own affairs. If an event of default has occurred and is continuing, the trustee is not under any obligation to exercise any of its rights or powers at the request or direction of any of the holders unless the holders have offered to the trustee security or indemnity reasonably satisfactory to the trustee. Subject to certain provisions, the holders of a majority in aggregate principal amount of the senior debt securities of all affected series and the debt securities of all other affected series outstanding under the senior indenture (voting together as a single class) have the right to direct the time, method and place of conducting any proceeding for any remedy available to the trustee, or exercising any trust, or power conferred on the trustee.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trustee will, within 90 days after any default occurs with respect to the senior debt securities of any series, give notice of the default to the holders of the senior debt securities of such series, unless the default was already cured or waived. Unless there is a default in paying principal or interest when due, the trustee can withhold giving notice to the holders if it determines in good faith that the withholding of notice is in the interest of the holders.</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are required to furnish to the trustee an annual statement as to compliance with all conditions and covenants under the senior indenture within 120 days of the end of each fiscal year.</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terminate our obligations and the obligations of the Guarantors under the indenture with respect to the senior debt securities of any series and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Guarantees of such series of senior debt securities, when:</w:t>
      </w:r>
    </w:p>
    <w:p>
      <w:pPr>
        <w:spacing w:after="0" w:line="84" w:lineRule="exact"/>
        <w:rPr>
          <w:sz w:val="20"/>
          <w:szCs w:val="20"/>
          <w:color w:val="auto"/>
        </w:rPr>
      </w:pPr>
    </w:p>
    <w:p>
      <w:pPr>
        <w:ind w:left="900" w:hanging="325"/>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80" w:right="44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the senior debt securities of such series that have been authenticated and delivered have been canceled or delivered to the trustee for cancellation; or</w:t>
      </w:r>
    </w:p>
    <w:p>
      <w:pPr>
        <w:spacing w:after="0" w:line="50" w:lineRule="exact"/>
        <w:rPr>
          <w:rFonts w:ascii="Arial" w:cs="Arial" w:eastAsia="Arial" w:hAnsi="Arial"/>
          <w:sz w:val="18"/>
          <w:szCs w:val="18"/>
          <w:color w:val="auto"/>
        </w:rPr>
      </w:pPr>
    </w:p>
    <w:p>
      <w:pPr>
        <w:ind w:left="1480" w:right="260" w:hanging="446"/>
        <w:spacing w:after="0" w:line="268"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all the senior debt securities of such series issued that have not been canceled or delivered to the trustee for cancellation have become due and payable, are by their terms to become due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45" w:name="page46"/>
    <w:bookmarkEnd w:id="45"/>
    <w:p>
      <w:pPr>
        <w:ind w:left="1480" w:right="1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payable at final maturity within one year, or are to be called for redemption within one year, under irrevocable arrangements satisfactory to the trustee for the giving of notice of redemption by such trustee in our name, and at our expense, and we have irrevocably deposited or caused to be deposited with the trustee sufficient funds to pay and discharge the entire indebtedness on the senior debt securities of such series to pay principal and interest;</w:t>
      </w:r>
    </w:p>
    <w:p>
      <w:pPr>
        <w:spacing w:after="0" w:line="62" w:lineRule="exact"/>
        <w:rPr>
          <w:sz w:val="20"/>
          <w:szCs w:val="20"/>
          <w:color w:val="auto"/>
        </w:rPr>
      </w:pPr>
    </w:p>
    <w:p>
      <w:pPr>
        <w:ind w:left="900" w:right="260" w:hanging="325"/>
        <w:spacing w:after="0" w:line="268"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caused to be paid all other sums then due and payable under the indenture with respect to the senior debt securities of such series; and</w:t>
      </w:r>
    </w:p>
    <w:p>
      <w:pPr>
        <w:spacing w:after="0" w:line="50" w:lineRule="exact"/>
        <w:rPr>
          <w:rFonts w:ascii="Arial" w:cs="Arial" w:eastAsia="Arial" w:hAnsi="Arial"/>
          <w:sz w:val="18"/>
          <w:szCs w:val="18"/>
          <w:color w:val="auto"/>
        </w:rPr>
      </w:pPr>
    </w:p>
    <w:p>
      <w:pPr>
        <w:ind w:left="900" w:right="480" w:hanging="325"/>
        <w:spacing w:after="0" w:line="370" w:lineRule="auto"/>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we have delivered to the trustee an officer’s certificate and an opinion of counsel, each stating that all conditions precedent under the indenture relating to the satisfaction and discharge of the indenture with respect to the senior debt securities of such series have been complied with.</w:t>
      </w:r>
    </w:p>
    <w:p>
      <w:pPr>
        <w:spacing w:after="0" w:line="6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elect to have our obligations under the indenture discharged with respect to the senior debt securities of any series and the obligations of the Guarantors discharged with respect to the Guarantees of such senior debt securities (“legal defeasance”). Legal defeasance means that we will be deemed to have paid and discharged the entire indebtedness represented by the senior debt securities of a series, except for:</w:t>
      </w:r>
    </w:p>
    <w:p>
      <w:pPr>
        <w:spacing w:after="0" w:line="26" w:lineRule="exact"/>
        <w:rPr>
          <w:sz w:val="20"/>
          <w:szCs w:val="20"/>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the senior debt securities of such series to receive principal or interest when due;</w:t>
      </w:r>
    </w:p>
    <w:p>
      <w:pPr>
        <w:spacing w:after="0" w:line="90" w:lineRule="exact"/>
        <w:rPr>
          <w:rFonts w:ascii="Arial" w:cs="Arial" w:eastAsia="Arial" w:hAnsi="Arial"/>
          <w:sz w:val="18"/>
          <w:szCs w:val="18"/>
          <w:color w:val="auto"/>
        </w:rPr>
      </w:pPr>
    </w:p>
    <w:p>
      <w:pPr>
        <w:jc w:val="both"/>
        <w:ind w:left="900" w:right="22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obligations with respect to the senior debt securities of such series concerning issuing temporary senior debt securities, registration of transfer and exchange of senior debt securities, substitution of mutilated, defaced, destroyed, lost or stolen senior debt securities and the maintenance of an office or agency for payment of the senior debt securities of such series;</w:t>
      </w:r>
    </w:p>
    <w:p>
      <w:pPr>
        <w:spacing w:after="0" w:line="59"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 the provisions relating to the resignation and removal of the trustee and the appointment of a successor trustee;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may elect to have our and the Guarantors’ obligations released with respect to certain covenants in the indenture (“covenant defeasance”). In the event covenant defeasance occurs, certain events, not including nonpayment, bankruptcy and insolvency events, described under “—</w:t>
      </w:r>
      <w:r>
        <w:rPr>
          <w:rFonts w:ascii="Arial" w:cs="Arial" w:eastAsia="Arial" w:hAnsi="Arial"/>
          <w:sz w:val="18"/>
          <w:szCs w:val="18"/>
          <w:i w:val="1"/>
          <w:iCs w:val="1"/>
          <w:color w:val="auto"/>
        </w:rPr>
        <w:t>Events of Default</w:t>
      </w:r>
      <w:r>
        <w:rPr>
          <w:rFonts w:ascii="Arial" w:cs="Arial" w:eastAsia="Arial" w:hAnsi="Arial"/>
          <w:sz w:val="18"/>
          <w:szCs w:val="18"/>
          <w:color w:val="auto"/>
        </w:rPr>
        <w:t>” will no longer constitute an event of default for that series.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order to exercise either legal defeasance or covenant defeasance with respect to outstanding senior debt securities and Guarantees of any series:</w:t>
      </w:r>
    </w:p>
    <w:p>
      <w:pPr>
        <w:spacing w:after="0" w:line="113" w:lineRule="exact"/>
        <w:rPr>
          <w:sz w:val="20"/>
          <w:szCs w:val="20"/>
          <w:color w:val="auto"/>
        </w:rPr>
      </w:pPr>
    </w:p>
    <w:p>
      <w:pPr>
        <w:ind w:left="900" w:right="46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must irrevocably have deposited or caused to be deposited with the trustee as trust funds for the purpose of making the following payments, specifically pledged as security for, and dedicated solely to the benefits of the holders of the senior debt securities of such series:</w:t>
      </w:r>
    </w:p>
    <w:p>
      <w:pPr>
        <w:spacing w:after="0" w:line="4" w:lineRule="exact"/>
        <w:rPr>
          <w:rFonts w:ascii="Arial" w:cs="Arial" w:eastAsia="Arial" w:hAnsi="Arial"/>
          <w:sz w:val="16"/>
          <w:szCs w:val="16"/>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cash;</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U.S. Government Obligations (measured with respect to the scheduled payments of principal and interest thereon); or</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 combination of cash and U.S. Government Obligations;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each case sufficient without reinvestment, in the written opinion of a nationally recognized firm of independent public accountants, to pay and discharge, and which shall be applied by the trustee to pay and discharge, all of the principal and interest due on or prior to maturity or if we have made irrevocable arrangements satisfactory to the trustee for the giving of notice of redemption by the trustee in our name and at our expense, due on or prior to the redemption date;</w:t>
      </w:r>
    </w:p>
    <w:p>
      <w:pPr>
        <w:spacing w:after="0" w:line="62" w:lineRule="exact"/>
        <w:rPr>
          <w:sz w:val="20"/>
          <w:szCs w:val="20"/>
          <w:color w:val="auto"/>
        </w:rPr>
      </w:pPr>
    </w:p>
    <w:p>
      <w:pPr>
        <w:ind w:left="900" w:right="100" w:hanging="325"/>
        <w:spacing w:after="0" w:line="26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legal defeasance, we have delivered to the trustee an opinion of counsel stating that, as a result of an Internal Revenue Service (“IRS”) ruling or a change in applicable federal income tax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46" w:name="page47"/>
    <w:bookmarkEnd w:id="46"/>
    <w:p>
      <w:pPr>
        <w:ind w:left="920"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beneficial owners of the senior debt securities of such series will not recognize gain or loss for federal income tax purposes as a result of the deposit, defeasance and discharge to be effected and will be subject to the same federal income tax as would be the case if the deposit, defeasance and discharge did not occur;</w:t>
      </w:r>
    </w:p>
    <w:p>
      <w:pPr>
        <w:spacing w:after="0" w:line="59" w:lineRule="exact"/>
        <w:rPr>
          <w:sz w:val="20"/>
          <w:szCs w:val="20"/>
          <w:color w:val="auto"/>
        </w:rPr>
      </w:pPr>
    </w:p>
    <w:p>
      <w:pPr>
        <w:ind w:left="900" w:right="140" w:hanging="325"/>
        <w:spacing w:after="0" w:line="335"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in the case of covenant defeasance, we have delivered to the trustee an opinion of counsel to the effect that the beneficial owners of the senior debt securities of such series will not recognize gain or loss for U.S. federal income tax purposes as a result of the deposit and covenant defeasance to be effected and will be subject to the same federal income tax as would be the case if the deposit and covenant defeasance did not occur;</w:t>
      </w:r>
    </w:p>
    <w:p>
      <w:pPr>
        <w:spacing w:after="0" w:line="7" w:lineRule="exact"/>
        <w:rPr>
          <w:rFonts w:ascii="Arial" w:cs="Arial" w:eastAsia="Arial" w:hAnsi="Arial"/>
          <w:sz w:val="15"/>
          <w:szCs w:val="15"/>
          <w:color w:val="auto"/>
        </w:rPr>
      </w:pPr>
    </w:p>
    <w:p>
      <w:pPr>
        <w:ind w:left="900" w:hanging="325"/>
        <w:spacing w:after="0" w:line="298"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no default with respect to the outstanding senior debt securities of such series has occurred and is continuing at the time of such deposit after giving effect to the deposit or, in the case of legal defeasance, no default relating to bankruptcy or insolvency has occurred and is continuing at any time on or before the 91st day after the date of such deposit (other than an event of default resulting from the borrowing of funds to be applied to such deposit and the grant of any Lien securing such borrowings), it being understood that this condition is not deemed satisfied until after the 91st day;</w:t>
      </w:r>
    </w:p>
    <w:p>
      <w:pPr>
        <w:spacing w:after="0" w:line="31" w:lineRule="exact"/>
        <w:rPr>
          <w:rFonts w:ascii="Arial" w:cs="Arial" w:eastAsia="Arial" w:hAnsi="Arial"/>
          <w:sz w:val="16"/>
          <w:szCs w:val="16"/>
          <w:color w:val="auto"/>
        </w:rPr>
      </w:pPr>
    </w:p>
    <w:p>
      <w:pPr>
        <w:ind w:left="900" w:right="28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cause the trustee to have a conflicting interest within the meaning of the Trust Indenture Act, assuming all senior debt securities of such series were in default within the meaning of such act;</w:t>
      </w:r>
    </w:p>
    <w:p>
      <w:pPr>
        <w:spacing w:after="0" w:line="50" w:lineRule="exact"/>
        <w:rPr>
          <w:rFonts w:ascii="Arial" w:cs="Arial" w:eastAsia="Arial" w:hAnsi="Arial"/>
          <w:sz w:val="18"/>
          <w:szCs w:val="18"/>
          <w:color w:val="auto"/>
        </w:rPr>
      </w:pPr>
    </w:p>
    <w:p>
      <w:pPr>
        <w:jc w:val="both"/>
        <w:ind w:left="900" w:right="6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legal defeasance or covenant defeasance will not result in a breach or violation of, or constitute a default under the indenture (other than an event of default resulting from the borrowing of funds to be applied to such deposit and the grant of any Lien securing such borrowings), the Guarantors or any other material agreement or instrument to which we are a party;</w:t>
      </w:r>
    </w:p>
    <w:p>
      <w:pPr>
        <w:spacing w:after="0" w:line="59" w:lineRule="exact"/>
        <w:rPr>
          <w:rFonts w:ascii="Arial" w:cs="Arial" w:eastAsia="Arial" w:hAnsi="Arial"/>
          <w:sz w:val="18"/>
          <w:szCs w:val="18"/>
          <w:color w:val="auto"/>
        </w:rPr>
      </w:pPr>
    </w:p>
    <w:p>
      <w:pPr>
        <w:ind w:left="900" w:right="460" w:hanging="325"/>
        <w:spacing w:after="0" w:line="357" w:lineRule="auto"/>
        <w:tabs>
          <w:tab w:leader="none" w:pos="90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legal defeasance or covenant defeasance will not result in the trust arising from such deposit constituting an investment company within the meaning of the Investment Company Act of 1940, as amended, unless the trust is registered under such act or exempt from registration; and</w:t>
      </w:r>
    </w:p>
    <w:p>
      <w:pPr>
        <w:ind w:left="900" w:right="40" w:hanging="325"/>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with respect to the legal defeasance or covenant defeasance have been complied with.</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Guarantors and the trustee may amend or modify the senior indenture or the senior debt securities of any series without notice to or the consent of any holder in order to:</w:t>
      </w:r>
    </w:p>
    <w:p>
      <w:pPr>
        <w:spacing w:after="0" w:line="51" w:lineRule="exact"/>
        <w:rPr>
          <w:sz w:val="20"/>
          <w:szCs w:val="20"/>
          <w:color w:val="auto"/>
        </w:rPr>
      </w:pPr>
    </w:p>
    <w:p>
      <w:pPr>
        <w:ind w:left="900" w:right="4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cure any ambiguities, omissions, defects or inconsistencies in the senior indenture in a manner that does not adversely affect the interests of the holders in any material respect;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would provide any additional rights or benefits to the holders of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or add guarantors with respect to the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 the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the form or terms of senior debt securities of any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uncertificated senior debt securities in addition to or in place of certificated senior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 and provide for the acceptance of appointment by a successor trustee;</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provide for the assumption by our successor, if any, to our or their obligations to holders of any outstanding senior debt securities in compliance with the applicable provisions of the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qualify the indenture under the Trust Indenture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47" w:name="page48"/>
    <w:bookmarkEnd w:id="47"/>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conform any provision in the indenture to this “Description of Debt Securities and Guarantees”;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make any change that does not adversely affect the rights of any holder in any material respect.</w:t>
      </w:r>
    </w:p>
    <w:p>
      <w:pPr>
        <w:spacing w:after="0" w:line="17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Other amendments and modifications of the senior indenture or the senior debt securities of any series may be made with the consent of the holders of not less than a majority in aggregate principal amount of the senior debt securities of all series and the debt securities of all other series outstanding under the indenture that are affected by the amendment or modification (voting together as a single class), and our compliance with any provision of the indenture with respect to the debt securities of any series issued under the indenture (including the senior debt securities) may be waived by written notice to us and the trustee by the holders of a majority in aggregate principal amount of the debt securities of all series outstanding under the indenture that are affected by the waiver (voting together as a single class). However, no modification or amendment may, without the consent of the holder of such affected senior debt security:</w:t>
      </w:r>
    </w:p>
    <w:p>
      <w:pPr>
        <w:spacing w:after="0" w:line="39" w:lineRule="exact"/>
        <w:rPr>
          <w:sz w:val="20"/>
          <w:szCs w:val="20"/>
          <w:color w:val="auto"/>
        </w:rPr>
      </w:pPr>
    </w:p>
    <w:p>
      <w:pPr>
        <w:ind w:left="900" w:right="22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principal amount, or extend the fixed maturity, of the senior debt securities of such series or alter or waive the redemption provisions of the senior debt securities of such series;</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of any holder of the senior debt securities of such series to receive payment of principal or interest on the senior debt securities of such series on and after the due dates for such principal or interest;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 the currency in which principal, any premium or interest is paid;</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percentage in principal amount outstanding of senior debt securities of such series which must consent to an amendment, supplement or waiver or consent to take any 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payment on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waive a payment default with respect to the senior debt securities of such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reduce the interest rate or extend the time for payment of interest on the senior debt securities of such series;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adversely affect the ranking of the senior debt securities of such series.</w:t>
      </w:r>
    </w:p>
    <w:p>
      <w:pPr>
        <w:spacing w:after="0" w:line="171"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supplemental indenture or waiver which changes, eliminates or waives any covenant or other provision of the indenture which has expressly been included solely for the benefit of one or more particular series of debt securities, or which modifies the rights of the holders of debt securities of such series with respect to such covenant or other provision, shall be deemed not to affect the rights under the indenture of the holders of debt securities of any other series.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indenture provides that no recourse shall be had under or upon any obligation, covenant or agreement contained in the senior indenture, the Guarantees or in any senior debt security, or because of any indebtedness evidenced thereby, shall be had against any incorporator, as such, or against any past, present or future stockholder, employee, officer or director, as such, of us, any Guarantor, or of any of their respective successors, either directly or through us, any Guarantor, or of any of their respective successors, under any rule of law, statute or constitutional provision or by the enforcement of any assessment or by any legal or equitable proceeding or otherwise, all such liability being expressly waived and released by the acceptance of the senior debt securities by the holders thereof and as part of the consideration for the issue of the senior debt securities.</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Except during the continuance of an event of default, the trustee need perform only those duties that are specifically set forth in the senior indenture and no others, and no implied covenants or obligations will be read into the senior indenture against the trustee. In case an event of default of which a certain officers of the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48" w:name="page49"/>
    <w:bookmarkEnd w:id="48"/>
    <w:p>
      <w:pPr>
        <w:ind w:right="4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actual knowledge or shall have received written notice from us or any holder of our senior debt securities of any series has occurred and is continuing, the trustee shall exercise those rights and powers vested in it by the senior indenture, and use the same degree of care and skill in their exercise, as a prudent person would exercise or use under the circumstances in the conduct of such person’s own affairs.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senior indenture, including any Guarantee, and each senior debt security is governed by and construed in accordance with the laws of the State of New</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the Chairman and Chief Executive Officer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80" w:right="299" w:bottom="1440" w:gutter="0" w:footer="0" w:header="0"/>
        </w:sectPr>
      </w:pPr>
    </w:p>
    <w:bookmarkStart w:id="49" w:name="page50"/>
    <w:bookmarkEnd w:id="4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50" w:name="page51"/>
    <w:bookmarkEnd w:id="50"/>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280" w:right="35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DESCRIPTION OF CAPITAL STOCK</w:t>
      </w:r>
    </w:p>
    <w:p>
      <w:pPr>
        <w:spacing w:after="0" w:line="177"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this section, references to the “Company,” “we,” “us” and “our” refer only to Comcast Corporation and not any of its subsidiaries. 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4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have two classes of common stock outstanding: Class A common stock, $0.01 par value per share, and Class B common stock, $0.01 par value per share. There are currently authorized 7.5 billion shares of Class A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Subject to the preferential rights of any preferred stock then outstanding, holders of our Class A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Holders of our Class A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intend to pay quarterly dividends at an annualized rate currently of $1.10 per share, although each dividend is subject to approval by our Board of Directors. See “Dividend Policy”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 xml:space="preserve">As a general matter, on all matters submitted for a vote to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xml:space="preserve">% of the aggregate voting power of our capital stock, and holders of our Class B common stock in the aggregate hold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combined voting power of our capital stock. This nondilutable voting power is subject to proportional decrease to the extent the number of shares of Class B common stock is reduced below 9,444,375, subject to adjustment in specified situations. Stock dividends payable on the Class B common stock in the form of Class B common stock do not decrease the nondilutable voting power of the Class B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Except as required by law, holders of Class A common stock have no specific approval rights over any corporate actions. Holders of our Class B common stock have an approval right 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52" w:name="page53"/>
    <w:bookmarkEnd w:id="52"/>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302" w:lineRule="auto"/>
        <w:rPr>
          <w:sz w:val="20"/>
          <w:szCs w:val="20"/>
          <w:color w:val="auto"/>
        </w:rPr>
      </w:pPr>
      <w:r>
        <w:rPr>
          <w:rFonts w:ascii="Arial" w:cs="Arial" w:eastAsia="Arial" w:hAnsi="Arial"/>
          <w:sz w:val="15"/>
          <w:szCs w:val="15"/>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5"/>
          <w:szCs w:val="15"/>
          <w:color w:val="auto"/>
        </w:rPr>
        <w:t>/</w:t>
      </w:r>
      <w:r>
        <w:rPr>
          <w:rFonts w:ascii="Arial" w:cs="Arial" w:eastAsia="Arial" w:hAnsi="Arial"/>
          <w:sz w:val="10"/>
          <w:szCs w:val="10"/>
          <w:color w:val="auto"/>
        </w:rPr>
        <w:t>3</w:t>
      </w:r>
      <w:r>
        <w:rPr>
          <w:rFonts w:ascii="Arial" w:cs="Arial" w:eastAsia="Arial" w:hAnsi="Arial"/>
          <w:sz w:val="15"/>
          <w:szCs w:val="15"/>
          <w:color w:val="auto"/>
        </w:rPr>
        <w:t>% of the combined voting power of our stock and which also has separate approval rights over certain material transactions, as described above under “—Approval Rights.” Accordingly, Mr. Roberts has considerable influence over our operations and has the ability to transfer potential effective control by selling the Class B common stock. The Class B common stock is convertible on a share-for-share basis into Class A common stock. As of June 30, 2016, if</w:t>
      </w:r>
    </w:p>
    <w:p>
      <w:pPr>
        <w:spacing w:after="0" w:line="3" w:lineRule="exact"/>
        <w:rPr>
          <w:sz w:val="20"/>
          <w:szCs w:val="20"/>
          <w:color w:val="auto"/>
        </w:rPr>
      </w:pPr>
    </w:p>
    <w:p>
      <w:pPr>
        <w:ind w:right="80"/>
        <w:spacing w:after="0" w:line="323" w:lineRule="auto"/>
        <w:rPr>
          <w:sz w:val="20"/>
          <w:szCs w:val="20"/>
          <w:color w:val="auto"/>
        </w:rPr>
      </w:pPr>
      <w:r>
        <w:rPr>
          <w:rFonts w:ascii="Arial" w:cs="Arial" w:eastAsia="Arial" w:hAnsi="Arial"/>
          <w:sz w:val="16"/>
          <w:szCs w:val="16"/>
          <w:color w:val="auto"/>
        </w:rPr>
        <w:t>Mr. Roberts were to convert the Class B common stock he beneficially owns into Class A common stock, Mr. Roberts would beneficially own 23,153,804 shares of Class A common stock, which is approximately 1% of the Class A common stock that would be outstanding after the conversion.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holders of Class A common stock and Class B common stock do not have any preemptive rights. All shares of Class A common stock and Class B common stock presently outstanding are, and all shares of the Class A common stock offered hereby, or issuable upon conversion, exchange or exercise of securities offered hereby, will, when issued, be, fully paid and nonassessable. We have been advised that the Class A common stock is exempt from existing Pennsylvania personal property tax.</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transfer agent and registrar for our Class A common stock is Wells Fargo Shareowner Services, P.O. Box 64874, St. Paul, Minnesota 55164-0874. Its telephone number is (888) 883-8903.</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53" w:name="page54"/>
    <w:bookmarkEnd w:id="53"/>
    <w:p>
      <w:pPr>
        <w:ind w:left="4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 customers or suppliers;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MATTERS</w:t>
      </w:r>
    </w:p>
    <w:p>
      <w:pPr>
        <w:spacing w:after="0" w:line="177"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Executive Vice President, General Counsel and Secretary of Comcast, and as to matters governed by New York and Delaware law, Davis Polk &amp; Wardwell LLP, will pass upon the validity of the securities on our behalf and on behalf of the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The consolidated financial statements and the related consolidated financial statement schedule of Comcast Corporation and subsidiaries, incorporated in this Prospectus by reference from Comcast Corporation’s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1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of NBCUniversal Media, LLC and its subsidiaries, incorporated in this Prospectus by reference from NBCUniversal Media, LLC’s Annual Report on Form 10-K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Comcast and NBCUniversal file combined annual and quarterly reports and combined or separate special reports and other information with the SEC. Comcast Cable does not currently file information with the SEC. Although Comcast Cable would normally be required to file information with the SEC on an ongoing basis, we expect that it will continue to be exempt from this filing obligation for as long as we continue to file our information with the SEC. You may read and copy any document we or NBCUniversal files at the SEC’s public reference room located at 100 F Street, NE, Washington, D.C. 20549. Please call the SEC at 1-800-SEC-0330 for further information on the public reference rooms. Our and NBCUniversal’s SEC filings, including the complete registration statement and all of the exhibits to it, are available through the SEC’s website at http://www.sec.gov.</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not authorized anyone to provide any information other than that contained or incorporated by reference in this prospectus, any prospectus supplement, in any free writing prospectus prepared by or on behalf of us or to which we have referred you and in material we or NBCUniversal file with the SEC and incorporate by reference herein. We take no responsibility for, and can provide no assurance as to the reliability of, any other information that others may give you. We are not making an offer of these securities in any jurisdiction where the offer is not permitted. You should not assume that the information contained in or incorporated by reference in this prospectus, any prospectus supplement, any such free writing prospectus and our and NBCUniversal’s filings with the SEC is accurate as of any date other than their respective dates.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55" w:name="page56"/>
    <w:bookmarkEnd w:id="55"/>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INCORPORATION OF CERTAIN DOCUMENTS BY REFERENCE</w:t>
      </w:r>
    </w:p>
    <w:p>
      <w:pPr>
        <w:spacing w:after="0" w:line="17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Comcast’s and NBCUniversal’s combined Annual Report on Form 10-K for the year ended December 31, 2015, filed on February 5, 2016.</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and NBCUniversal’s combined Quarterly Reports on Form 10-Q for the quarters ended March 31, 2016 and June 30, 2016, filed on April 27, 2016 and July 27, 2016, respectively.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Comcast’s Current Reports on Form 8-K, filed on February 17, 2016, February 23, 2016, March 30, 2016, May 24, 2016, May 26, 2016, May 31, 2016 (other than Item 7.01 thereto), July 1, 2016, July 19, 2016 and July 28, 2016.</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sections of Comcast’s Definitive Proxy Statement on Schedule 14A for the 2016 annual meeting of shareholders incorporated by reference in Comcast’s Annual Report on Form 10-K for the year ended December 31, 2015.</w:t>
      </w:r>
    </w:p>
    <w:p>
      <w:pPr>
        <w:spacing w:after="0" w:line="5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description of our capital stock included in Item 3.02 under the caption “Amended and Restated Description of our Class A Common Stock” in Comcast’s Current Report on Form 8-K filed on December 15, 2015, as the same may be further amended from time to time.</w:t>
      </w:r>
    </w:p>
    <w:p>
      <w:pPr>
        <w:spacing w:after="0" w:line="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and NBCUniversal also incorporate by reference into this prospectus additional documents that we or NBCUniversal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3081655</wp:posOffset>
            </wp:positionH>
            <wp:positionV relativeFrom="page">
              <wp:posOffset>817880</wp:posOffset>
            </wp:positionV>
            <wp:extent cx="1397635" cy="4889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139763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540"/>
        <w:spacing w:after="0"/>
        <w:tabs>
          <w:tab w:leader="none" w:pos="4260" w:val="left"/>
        </w:tabs>
        <w:rPr>
          <w:sz w:val="20"/>
          <w:szCs w:val="20"/>
          <w:color w:val="auto"/>
        </w:rPr>
      </w:pPr>
      <w:r>
        <w:rPr>
          <w:rFonts w:ascii="Arial" w:cs="Arial" w:eastAsia="Arial" w:hAnsi="Arial"/>
          <w:sz w:val="27"/>
          <w:szCs w:val="27"/>
          <w:b w:val="1"/>
          <w:bCs w:val="1"/>
          <w:color w:val="auto"/>
        </w:rPr>
        <w:t>$</w:t>
      </w:r>
      <w:r>
        <w:rPr>
          <w:sz w:val="20"/>
          <w:szCs w:val="20"/>
          <w:color w:val="auto"/>
        </w:rPr>
        <w:tab/>
      </w:r>
      <w:r>
        <w:rPr>
          <w:rFonts w:ascii="Arial" w:cs="Arial" w:eastAsia="Arial" w:hAnsi="Arial"/>
          <w:sz w:val="27"/>
          <w:szCs w:val="27"/>
          <w:b w:val="1"/>
          <w:bCs w:val="1"/>
          <w:color w:val="auto"/>
        </w:rPr>
        <w:t>% Notes due 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1023620</wp:posOffset>
            </wp:positionV>
            <wp:extent cx="15176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234315</wp:posOffset>
            </wp:positionV>
            <wp:extent cx="15176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0"/>
        <w:spacing w:after="0"/>
        <w:rPr>
          <w:sz w:val="20"/>
          <w:szCs w:val="20"/>
          <w:color w:val="auto"/>
        </w:rPr>
      </w:pPr>
      <w:r>
        <w:rPr>
          <w:rFonts w:ascii="Arial" w:cs="Arial" w:eastAsia="Arial" w:hAnsi="Arial"/>
          <w:sz w:val="22"/>
          <w:szCs w:val="22"/>
          <w:i w:val="1"/>
          <w:iCs w:val="1"/>
          <w:color w:val="auto"/>
        </w:rPr>
        <w:t>Joint Book-Running Managers</w:t>
      </w:r>
    </w:p>
    <w:p>
      <w:pPr>
        <w:spacing w:after="0" w:line="101"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Deutsche Bank AG, Taipei Branch</w:t>
      </w:r>
    </w:p>
    <w:p>
      <w:pPr>
        <w:spacing w:after="0" w:line="147" w:lineRule="exact"/>
        <w:rPr>
          <w:sz w:val="20"/>
          <w:szCs w:val="20"/>
          <w:color w:val="auto"/>
        </w:rPr>
      </w:pPr>
    </w:p>
    <w:p>
      <w:pPr>
        <w:jc w:val="center"/>
        <w:ind w:right="-20"/>
        <w:spacing w:after="0"/>
        <w:rPr>
          <w:sz w:val="20"/>
          <w:szCs w:val="20"/>
          <w:color w:val="auto"/>
        </w:rPr>
      </w:pPr>
      <w:r>
        <w:rPr>
          <w:rFonts w:ascii="Arial" w:cs="Arial" w:eastAsia="Arial" w:hAnsi="Arial"/>
          <w:sz w:val="29"/>
          <w:szCs w:val="29"/>
          <w:b w:val="1"/>
          <w:bCs w:val="1"/>
          <w:color w:val="auto"/>
        </w:rPr>
        <w:t>Citibank Taiwan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1009015</wp:posOffset>
            </wp:positionV>
            <wp:extent cx="151765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440"/>
        <w:spacing w:after="0"/>
        <w:tabs>
          <w:tab w:leader="none" w:pos="200" w:val="left"/>
        </w:tabs>
        <w:rPr>
          <w:sz w:val="20"/>
          <w:szCs w:val="20"/>
          <w:color w:val="auto"/>
        </w:rPr>
      </w:pPr>
      <w:r>
        <w:rPr>
          <w:rFonts w:ascii="Arial" w:cs="Arial" w:eastAsia="Arial" w:hAnsi="Arial"/>
          <w:sz w:val="18"/>
          <w:szCs w:val="18"/>
          <w:b w:val="1"/>
          <w:bCs w:val="1"/>
          <w:color w:val="auto"/>
        </w:rPr>
        <w:t>February</w:t>
        <w:tab/>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429260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488950</wp:posOffset>
            </wp:positionV>
            <wp:extent cx="724662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215"/>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lowerLetter"/>
      <w:start w:val="23"/>
    </w:lvl>
  </w:abstractNum>
  <w:abstractNum w:abstractNumId="5">
    <w:nsid w:val="189A769B"/>
    <w:multiLevelType w:val="hybridMultilevel"/>
    <w:lvl w:ilvl="0">
      <w:lvlJc w:val="left"/>
      <w:lvlText w:val="%1."/>
      <w:numFmt w:val="decimal"/>
      <w:start w:val="1"/>
    </w:lvl>
    <w:lvl w:ilvl="1">
      <w:lvlJc w:val="left"/>
      <w:lvlText w:val="%2."/>
      <w:numFmt w:val="lowerLetter"/>
      <w:start w:val="1"/>
    </w:lvl>
  </w:abstractNum>
  <w:abstractNum w:abstractNumId="6">
    <w:nsid w:val="54E49EB4"/>
    <w:multiLevelType w:val="hybridMultilevel"/>
    <w:lvl w:ilvl="0">
      <w:lvlJc w:val="left"/>
      <w:lvlText w:val="%1."/>
      <w:numFmt w:val="decimal"/>
      <w:start w:val="2"/>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1)"/>
      <w:numFmt w:val="lowerLetter"/>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1)"/>
      <w:numFmt w:val="lowerLetter"/>
      <w:start w:val="3"/>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1)"/>
      <w:numFmt w:val="lowerLetter"/>
      <w:start w:val="1"/>
    </w:lvl>
  </w:abstractNum>
  <w:abstractNum w:abstractNumId="23">
    <w:nsid w:val="440BADFC"/>
    <w:multiLevelType w:val="hybridMultilevel"/>
    <w:lvl w:ilvl="0">
      <w:lvlJc w:val="left"/>
      <w:lvlText w:val="(%1)"/>
      <w:numFmt w:val="lowerLetter"/>
      <w:start w:val="2"/>
    </w:lvl>
  </w:abstractNum>
  <w:abstractNum w:abstractNumId="24">
    <w:nsid w:val="5072367"/>
    <w:multiLevelType w:val="hybridMultilevel"/>
    <w:lvl w:ilvl="0">
      <w:lvlJc w:val="left"/>
      <w:lvlText w:val="(%1)"/>
      <w:numFmt w:val="lowerLetter"/>
      <w:start w:val="1"/>
    </w:lvl>
  </w:abstractNum>
  <w:abstractNum w:abstractNumId="25">
    <w:nsid w:val="3804823E"/>
    <w:multiLevelType w:val="hybridMultilevel"/>
    <w:lvl w:ilvl="0">
      <w:lvlJc w:val="left"/>
      <w:lvlText w:val="(%1)"/>
      <w:numFmt w:val="lowerLetter"/>
      <w:start w:val="1"/>
    </w:lvl>
  </w:abstractNum>
  <w:abstractNum w:abstractNumId="26">
    <w:nsid w:val="77465F01"/>
    <w:multiLevelType w:val="hybridMultilevel"/>
    <w:lvl w:ilvl="0">
      <w:lvlJc w:val="left"/>
      <w:lvlText w:val="(%1)"/>
      <w:numFmt w:val="lowerLetter"/>
      <w:start w:val="3"/>
    </w:lvl>
  </w:abstractNum>
  <w:abstractNum w:abstractNumId="27">
    <w:nsid w:val="7724C67E"/>
    <w:multiLevelType w:val="hybridMultilevel"/>
    <w:lvl w:ilvl="0">
      <w:lvlJc w:val="left"/>
      <w:lvlText w:val="%1"/>
      <w:numFmt w:val="lowerLetter"/>
      <w:start w:val="1"/>
    </w:lvl>
    <w:lvl w:ilvl="1">
      <w:lvlJc w:val="left"/>
      <w:lvlText w:val="(%2)"/>
      <w:numFmt w:val="lowerLetter"/>
      <w:start w:val="12"/>
    </w:lvl>
  </w:abstractNum>
  <w:abstractNum w:abstractNumId="28">
    <w:nsid w:val="5C482A97"/>
    <w:multiLevelType w:val="hybridMultilevel"/>
    <w:lvl w:ilvl="0">
      <w:lvlJc w:val="left"/>
      <w:lvlText w:val="(%1)"/>
      <w:numFmt w:val="lowerLetter"/>
      <w:start w:val="61"/>
    </w:lvl>
    <w:lvl w:ilvl="1">
      <w:lvlJc w:val="left"/>
      <w:lvlText w:val="(%2)"/>
      <w:numFmt w:val="lowerLetter"/>
      <w:start w:val="19"/>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lowerLetter"/>
      <w:start w:val="1"/>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lvl w:ilvl="1">
      <w:lvlJc w:val="left"/>
      <w:lvlText w:val="•"/>
      <w:numFmt w:val="bullet"/>
      <w:start w:val="1"/>
    </w:lvl>
  </w:abstractNum>
  <w:abstractNum w:abstractNumId="40">
    <w:nsid w:val="725A06FB"/>
    <w:multiLevelType w:val="hybridMultilevel"/>
    <w:lvl w:ilvl="0">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2019-12-06T17:31:33Z</dcterms:created>
  <dcterms:modified xsi:type="dcterms:W3CDTF">2019-12-06T17:31:33Z</dcterms:modified>
</cp:coreProperties>
</file>