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4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5411470</wp:posOffset>
            </wp:positionH>
            <wp:positionV relativeFrom="paragraph">
              <wp:posOffset>-624840</wp:posOffset>
            </wp:positionV>
            <wp:extent cx="57785" cy="6381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4072255</wp:posOffset>
            </wp:positionH>
            <wp:positionV relativeFrom="paragraph">
              <wp:posOffset>-624840</wp:posOffset>
            </wp:positionV>
            <wp:extent cx="57785" cy="638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15240</wp:posOffset>
            </wp:positionV>
            <wp:extent cx="7325995" cy="6004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6004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09/13/2011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" w:right="760" w:hanging="5"/>
        <w:spacing w:after="0" w:line="237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1" w:right="139" w:bottom="1440" w:gutter="0" w:footer="0" w:header="0"/>
          <w:type w:val="continuous"/>
        </w:sectPr>
      </w:pP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10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10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09/13/2011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35,242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49,023.3038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09/13/2011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35,242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131,188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172,899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7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40" w:type="dxa"/>
            <w:vAlign w:val="bottom"/>
            <w:gridSpan w:val="1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17,325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5"/>
              </w:rPr>
              <w:t>17.9533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09/14/2011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9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17,325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11/10/2015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320,175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54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03/10/2007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182,675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17.5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09/14/2011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182,675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03/09/2016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88,125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54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17,325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5"/>
              </w:rPr>
              <w:t>17.9533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09/14/2011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2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17,325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11/10/2015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17,325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74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03/10/2007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182,675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17.5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09/14/2011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8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182,675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03/09/2016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182,675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74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80" w:hanging="139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transferred 35,242 shares to a grantor trust of which his wife is a trustee and the beneficiaries are his immediate family members in exchange for a promissory note.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9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is immediately exercisable.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1"/>
        <w:spacing w:after="0" w:line="248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date of grant was March 10, 2006, and the shares vest as follows: 30% vested on the 2nd anniversary of the date of grant; an additional 15% vested on each of the 3rd, 4th and 5th anniversaries of the date of grant; and an additional 5% vests on each of the 6th, 7th, 8th, 9th and 9.5th anniversaries of the date of grant.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09/14/2011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60" w:firstLine="1"/>
        <w:spacing w:after="0" w:line="333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2019-12-18T07:47:08Z</dcterms:created>
  <dcterms:modified xsi:type="dcterms:W3CDTF">2019-12-18T07:47:08Z</dcterms:modified>
</cp:coreProperties>
</file>