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378"/>
        </w:trPr>
        <w:tc>
          <w:tcPr>
            <w:tcW w:w="1960" w:type="dxa"/>
            <w:vAlign w:val="bottom"/>
          </w:tcPr>
          <w:p>
            <w:pPr>
              <w:spacing w:after="0"/>
              <w:rPr>
                <w:sz w:val="24"/>
                <w:szCs w:val="24"/>
                <w:color w:val="auto"/>
              </w:rPr>
            </w:pPr>
          </w:p>
        </w:tc>
        <w:tc>
          <w:tcPr>
            <w:tcW w:w="7200" w:type="dxa"/>
            <w:vAlign w:val="bottom"/>
            <w:gridSpan w:val="3"/>
          </w:tcPr>
          <w:p>
            <w:pPr>
              <w:jc w:val="center"/>
              <w:ind w:left="198"/>
              <w:spacing w:after="0"/>
              <w:rPr>
                <w:sz w:val="20"/>
                <w:szCs w:val="20"/>
                <w:color w:val="auto"/>
              </w:rPr>
            </w:pPr>
            <w:r>
              <w:rPr>
                <w:rFonts w:ascii="Arial" w:cs="Arial" w:eastAsia="Arial" w:hAnsi="Arial"/>
                <w:sz w:val="32"/>
                <w:szCs w:val="32"/>
                <w:b w:val="1"/>
                <w:bCs w:val="1"/>
                <w:color w:val="auto"/>
                <w:w w:val="99"/>
              </w:rPr>
              <w:t>UNITED STATES</w:t>
            </w:r>
          </w:p>
        </w:tc>
      </w:tr>
      <w:tr>
        <w:trPr>
          <w:trHeight w:val="396"/>
        </w:trPr>
        <w:tc>
          <w:tcPr>
            <w:tcW w:w="1960" w:type="dxa"/>
            <w:vAlign w:val="bottom"/>
          </w:tcPr>
          <w:p>
            <w:pPr>
              <w:spacing w:after="0"/>
              <w:rPr>
                <w:sz w:val="24"/>
                <w:szCs w:val="24"/>
                <w:color w:val="auto"/>
              </w:rPr>
            </w:pPr>
          </w:p>
        </w:tc>
        <w:tc>
          <w:tcPr>
            <w:tcW w:w="7200" w:type="dxa"/>
            <w:vAlign w:val="bottom"/>
            <w:gridSpan w:val="3"/>
          </w:tcPr>
          <w:p>
            <w:pPr>
              <w:jc w:val="center"/>
              <w:ind w:left="198"/>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33"/>
        </w:trPr>
        <w:tc>
          <w:tcPr>
            <w:tcW w:w="19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64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97"/>
              </w:rPr>
              <w:t>Washington, D.C. 20549</w:t>
            </w:r>
          </w:p>
        </w:tc>
      </w:tr>
      <w:tr>
        <w:trPr>
          <w:trHeight w:val="164"/>
        </w:trPr>
        <w:tc>
          <w:tcPr>
            <w:tcW w:w="1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260" w:type="dxa"/>
            <w:vAlign w:val="bottom"/>
          </w:tcPr>
          <w:p>
            <w:pPr>
              <w:spacing w:after="0"/>
              <w:rPr>
                <w:sz w:val="14"/>
                <w:szCs w:val="14"/>
                <w:color w:val="auto"/>
              </w:rPr>
            </w:pPr>
          </w:p>
        </w:tc>
      </w:tr>
      <w:tr>
        <w:trPr>
          <w:trHeight w:val="434"/>
        </w:trPr>
        <w:tc>
          <w:tcPr>
            <w:tcW w:w="1960" w:type="dxa"/>
            <w:vAlign w:val="bottom"/>
          </w:tcPr>
          <w:p>
            <w:pPr>
              <w:spacing w:after="0"/>
              <w:rPr>
                <w:sz w:val="24"/>
                <w:szCs w:val="24"/>
                <w:color w:val="auto"/>
              </w:rPr>
            </w:pPr>
          </w:p>
        </w:tc>
        <w:tc>
          <w:tcPr>
            <w:tcW w:w="7200" w:type="dxa"/>
            <w:vAlign w:val="bottom"/>
            <w:gridSpan w:val="3"/>
          </w:tcPr>
          <w:p>
            <w:pPr>
              <w:jc w:val="center"/>
              <w:ind w:left="178"/>
              <w:spacing w:after="0"/>
              <w:rPr>
                <w:sz w:val="20"/>
                <w:szCs w:val="20"/>
                <w:color w:val="auto"/>
              </w:rPr>
            </w:pPr>
            <w:r>
              <w:rPr>
                <w:rFonts w:ascii="Arial" w:cs="Arial" w:eastAsia="Arial" w:hAnsi="Arial"/>
                <w:sz w:val="32"/>
                <w:szCs w:val="32"/>
                <w:b w:val="1"/>
                <w:bCs w:val="1"/>
                <w:color w:val="auto"/>
              </w:rPr>
              <w:t>SCHEDULE 14A</w:t>
            </w:r>
          </w:p>
        </w:tc>
      </w:tr>
      <w:tr>
        <w:trPr>
          <w:trHeight w:val="233"/>
        </w:trPr>
        <w:tc>
          <w:tcPr>
            <w:tcW w:w="19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64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96"/>
              </w:rPr>
              <w:t>(Rule 14a-101)</w:t>
            </w:r>
          </w:p>
        </w:tc>
      </w:tr>
      <w:tr>
        <w:trPr>
          <w:trHeight w:val="284"/>
        </w:trPr>
        <w:tc>
          <w:tcPr>
            <w:tcW w:w="1960" w:type="dxa"/>
            <w:vAlign w:val="bottom"/>
          </w:tcPr>
          <w:p>
            <w:pPr>
              <w:spacing w:after="0"/>
              <w:rPr>
                <w:sz w:val="24"/>
                <w:szCs w:val="24"/>
                <w:color w:val="auto"/>
              </w:rPr>
            </w:pPr>
          </w:p>
        </w:tc>
        <w:tc>
          <w:tcPr>
            <w:tcW w:w="7200" w:type="dxa"/>
            <w:vAlign w:val="bottom"/>
            <w:gridSpan w:val="3"/>
          </w:tcPr>
          <w:p>
            <w:pPr>
              <w:jc w:val="center"/>
              <w:ind w:left="178"/>
              <w:spacing w:after="0"/>
              <w:rPr>
                <w:sz w:val="20"/>
                <w:szCs w:val="20"/>
                <w:color w:val="auto"/>
              </w:rPr>
            </w:pPr>
            <w:r>
              <w:rPr>
                <w:rFonts w:ascii="Arial" w:cs="Arial" w:eastAsia="Arial" w:hAnsi="Arial"/>
                <w:sz w:val="18"/>
                <w:szCs w:val="18"/>
                <w:b w:val="1"/>
                <w:bCs w:val="1"/>
                <w:color w:val="auto"/>
                <w:w w:val="96"/>
              </w:rPr>
              <w:t>INFORMATION REQUIRED IN PROXY STATEMENT</w:t>
            </w:r>
          </w:p>
        </w:tc>
      </w:tr>
      <w:tr>
        <w:trPr>
          <w:trHeight w:val="463"/>
        </w:trPr>
        <w:tc>
          <w:tcPr>
            <w:tcW w:w="1960" w:type="dxa"/>
            <w:vAlign w:val="bottom"/>
          </w:tcPr>
          <w:p>
            <w:pPr>
              <w:spacing w:after="0"/>
              <w:rPr>
                <w:sz w:val="24"/>
                <w:szCs w:val="24"/>
                <w:color w:val="auto"/>
              </w:rPr>
            </w:pPr>
          </w:p>
        </w:tc>
        <w:tc>
          <w:tcPr>
            <w:tcW w:w="7200" w:type="dxa"/>
            <w:vAlign w:val="bottom"/>
            <w:gridSpan w:val="3"/>
          </w:tcPr>
          <w:p>
            <w:pPr>
              <w:jc w:val="center"/>
              <w:ind w:left="178"/>
              <w:spacing w:after="0"/>
              <w:rPr>
                <w:sz w:val="20"/>
                <w:szCs w:val="20"/>
                <w:color w:val="auto"/>
              </w:rPr>
            </w:pPr>
            <w:r>
              <w:rPr>
                <w:rFonts w:ascii="Arial" w:cs="Arial" w:eastAsia="Arial" w:hAnsi="Arial"/>
                <w:sz w:val="32"/>
                <w:szCs w:val="32"/>
                <w:b w:val="1"/>
                <w:bCs w:val="1"/>
                <w:color w:val="auto"/>
              </w:rPr>
              <w:t>SCHEDULE 14A INFORMATION</w:t>
            </w:r>
          </w:p>
        </w:tc>
      </w:tr>
      <w:tr>
        <w:trPr>
          <w:trHeight w:val="250"/>
        </w:trPr>
        <w:tc>
          <w:tcPr>
            <w:tcW w:w="1960" w:type="dxa"/>
            <w:vAlign w:val="bottom"/>
          </w:tcPr>
          <w:p>
            <w:pPr>
              <w:spacing w:after="0"/>
              <w:rPr>
                <w:sz w:val="21"/>
                <w:szCs w:val="21"/>
                <w:color w:val="auto"/>
              </w:rPr>
            </w:pPr>
          </w:p>
        </w:tc>
        <w:tc>
          <w:tcPr>
            <w:tcW w:w="7200" w:type="dxa"/>
            <w:vAlign w:val="bottom"/>
            <w:gridSpan w:val="3"/>
          </w:tcPr>
          <w:p>
            <w:pPr>
              <w:jc w:val="center"/>
              <w:ind w:left="198"/>
              <w:spacing w:after="0"/>
              <w:rPr>
                <w:sz w:val="20"/>
                <w:szCs w:val="20"/>
                <w:color w:val="auto"/>
              </w:rPr>
            </w:pPr>
            <w:r>
              <w:rPr>
                <w:rFonts w:ascii="Arial" w:cs="Arial" w:eastAsia="Arial" w:hAnsi="Arial"/>
                <w:sz w:val="18"/>
                <w:szCs w:val="18"/>
                <w:b w:val="1"/>
                <w:bCs w:val="1"/>
                <w:color w:val="auto"/>
                <w:w w:val="97"/>
              </w:rPr>
              <w:t>Proxy Statement Pursuant to Section 14(a) of the</w:t>
            </w:r>
          </w:p>
        </w:tc>
      </w:tr>
      <w:tr>
        <w:trPr>
          <w:trHeight w:val="203"/>
        </w:trPr>
        <w:tc>
          <w:tcPr>
            <w:tcW w:w="1960" w:type="dxa"/>
            <w:vAlign w:val="bottom"/>
          </w:tcPr>
          <w:p>
            <w:pPr>
              <w:spacing w:after="0"/>
              <w:rPr>
                <w:sz w:val="17"/>
                <w:szCs w:val="17"/>
                <w:color w:val="auto"/>
              </w:rPr>
            </w:pPr>
          </w:p>
        </w:tc>
        <w:tc>
          <w:tcPr>
            <w:tcW w:w="7200" w:type="dxa"/>
            <w:vAlign w:val="bottom"/>
            <w:gridSpan w:val="3"/>
          </w:tcPr>
          <w:p>
            <w:pPr>
              <w:jc w:val="center"/>
              <w:ind w:left="178"/>
              <w:spacing w:after="0" w:line="202" w:lineRule="exact"/>
              <w:rPr>
                <w:sz w:val="20"/>
                <w:szCs w:val="20"/>
                <w:color w:val="auto"/>
              </w:rPr>
            </w:pPr>
            <w:r>
              <w:rPr>
                <w:rFonts w:ascii="Arial" w:cs="Arial" w:eastAsia="Arial" w:hAnsi="Arial"/>
                <w:sz w:val="18"/>
                <w:szCs w:val="18"/>
                <w:b w:val="1"/>
                <w:bCs w:val="1"/>
                <w:color w:val="auto"/>
                <w:w w:val="97"/>
              </w:rPr>
              <w:t>Securities Exchange Act of 1934</w:t>
            </w:r>
          </w:p>
        </w:tc>
      </w:tr>
      <w:tr>
        <w:trPr>
          <w:trHeight w:val="233"/>
        </w:trPr>
        <w:tc>
          <w:tcPr>
            <w:tcW w:w="19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64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rPr>
              <w:t>(Amendment No.  )</w:t>
            </w:r>
          </w:p>
        </w:tc>
      </w:tr>
      <w:tr>
        <w:trPr>
          <w:trHeight w:val="151"/>
        </w:trPr>
        <w:tc>
          <w:tcPr>
            <w:tcW w:w="19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r>
      <w:tr>
        <w:trPr>
          <w:trHeight w:val="250"/>
        </w:trPr>
        <w:tc>
          <w:tcPr>
            <w:tcW w:w="196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7200" w:type="dxa"/>
            <w:vAlign w:val="bottom"/>
            <w:gridSpan w:val="3"/>
          </w:tcPr>
          <w:p>
            <w:pPr>
              <w:ind w:left="68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60" w:type="dxa"/>
            <w:vAlign w:val="bottom"/>
          </w:tcPr>
          <w:p>
            <w:pPr>
              <w:spacing w:after="0"/>
              <w:rPr>
                <w:sz w:val="18"/>
                <w:szCs w:val="18"/>
                <w:color w:val="auto"/>
              </w:rPr>
            </w:pPr>
          </w:p>
        </w:tc>
      </w:tr>
    </w:tbl>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5"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9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5"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COMCAST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96"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9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11" w:lineRule="exact"/>
        <w:rPr>
          <w:rFonts w:ascii="Arial" w:cs="Arial" w:eastAsia="Arial" w:hAnsi="Arial"/>
          <w:sz w:val="14"/>
          <w:szCs w:val="14"/>
          <w:color w:val="auto"/>
        </w:rPr>
      </w:pPr>
    </w:p>
    <w:p>
      <w:pPr>
        <w:ind w:left="920" w:hanging="439"/>
        <w:spacing w:after="0" w:line="231"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79"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480" w:right="40" w:hanging="472"/>
        <w:spacing w:after="0" w:line="231"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-2776855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-2476500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-2082165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-1781810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-1507490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-718820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-418465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-118110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180975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205740</wp:posOffset>
            </wp:positionV>
            <wp:extent cx="167259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MESSAGE FROM THE CHAIRMAN AND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Comcast was founded a half-century ago. And yet, Comcast is brand new.</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marked our 50th anniversary in 2013. My father, Ralph, started our incredible journey in 1963 by acquiring a 1,200 subscriber community antenna television company in Tupelo, Mississippi. Today, after five decades of hard work, prudent risk taking, and investment, Comcast has grown into a global Fortune 50 company uniquely positioned at the intersection of media and technology.</w:t>
      </w:r>
    </w:p>
    <w:p>
      <w:pPr>
        <w:spacing w:after="0" w:line="7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evolution of Comcast Cable into one of America’s leaders in multichannel video and high-speed Internet, our emergence as a technology leader, and the new dimension in content creation and distribution added by NBCUniversal all mean that our history as “just a cable company” is behind us, and exciting new horizons lie before us. Our proposed transaction with Time Warner Cable is the next step forward in this evolution.</w:t>
      </w:r>
    </w:p>
    <w:p>
      <w:pPr>
        <w:spacing w:after="0" w:line="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2013 was another year of growth and success for our company, and we enter 2014 with strong momentum and significant opportunities ahead. We are executing well, innovating faster than ever, and investing to enhance the customer experience. We are confident that we have the right strategy and the right team to continue to drive growth and build shareholder value for years to 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Staying Ahead of Change — and Being the Change</w:t>
      </w:r>
    </w:p>
    <w:p>
      <w:pPr>
        <w:spacing w:after="0" w:line="99" w:lineRule="exact"/>
        <w:rPr>
          <w:sz w:val="20"/>
          <w:szCs w:val="20"/>
          <w:color w:val="auto"/>
        </w:rPr>
      </w:pPr>
    </w:p>
    <w:p>
      <w:pPr>
        <w:ind w:right="1160"/>
        <w:spacing w:after="0" w:line="239" w:lineRule="auto"/>
        <w:rPr>
          <w:sz w:val="20"/>
          <w:szCs w:val="20"/>
          <w:color w:val="auto"/>
        </w:rPr>
      </w:pPr>
      <w:r>
        <w:rPr>
          <w:rFonts w:ascii="Arial" w:cs="Arial" w:eastAsia="Arial" w:hAnsi="Arial"/>
          <w:sz w:val="18"/>
          <w:szCs w:val="18"/>
          <w:color w:val="auto"/>
        </w:rPr>
        <w:t>Technology continues to change at an accelerating pace. Today, we are at the forefront of that change, while remaining rooted in the entrepreneurial values and culture that make us strong.</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goal is to bring the best technology, content, and services to our customers — anytime, anywhere, and on any device. We invested billions of dollars in our network to make it the best digital delivery system in the world. We doubled down on innovation, building an exceptional team of more than a thousand engineers and developers to execute on our vision. We embraced other leading technology companies as partners to deliver a more seamless entertainment experience. All of this hard work, led by Neil Smit and his superb team, has laid the groundwork for continued success and put us in a position not just to keep up with technological change, but also to push it forward.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Capitalizing on a Strong Foundation to Drive Innovation and Better Service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X1 Platform, our cloud-based Entertainment Operating System, is probably our most visible symbol of change and innovation. X1 is revolutionizing the way our customers enjoy television by making it easier to discover and enjoy tens of thousands of content choices, while also integrating apps and social media features like Facebook, Pandora, and Twitter. X1 is available across our footprint, and we are already introducing the next generation of the X1 Platform, offering an even sleeker and more personalized experience. Customer reaction is very positive, with X1 driving increased viewing — both live and through On Demand — and improving customer retention. As a result, we plan to accelerate the pace of deployment to reach the majority of our customers over the next few years.</w:t>
      </w:r>
    </w:p>
    <w:p>
      <w:pPr>
        <w:spacing w:after="0" w:line="7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pursuit of our ongoing effort to be on every platform, we launched our new Xfinity TV Go app in November 2013. Xfinity TV Go brings the X1 experience to life across devices by enabling customers to watch 25,000 of their favorite TV shows and movies On Demand — as well as 50 live channels — out of the home and “on the go.” It is some of the best work our app team has ever done. We are also rolling out a new Xfinity TV app to enable customers to live stream their entire television lineup and watch their DVR recordings on any device, anywhere in their homes.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on the leading edge of broadband innovation, too. In 2013, we launched our fastest speed tier ever at 505 Mbps, and have now increased speeds 13 times in 12 years. We are also deeply committed to expanding our Wi-Fi footprint, which gives our customers even more reason to take Comcast with them wherever they go. Xfinity customers now have access to over 1 million Wi-Fi hotspots, and we have installed wireless gateways in over one-third of our high-speed data homes, providing our customers with the fastest in-home Wi-Fi experience in the industry. We plan to continue expanding our nation-leading Wi-Fi footprint in 2014 to power our customers’ growing number of devices.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Customer service remains a top priority for our company. We want to be as innovative in transforming the customer experience as we have been in transforming everything else. A primary focus is to simplify our customers’ experience and make it easier for them to do business with us. We recently launched our new My Account app, which enables customers to “self-diagnose” issues they are having with their cable boxes or modems as well as to schedule and change appointments directly from their mobile devices. We are also testing a number of new features, such as a video capability that will enable customers to live chat with a service representative, and a “Where’s My Tech” feature that will enable customers with scheduled appointments to track the location of their technician. We are encouraged by the progress we are making in this critical area, and we will stay focused on doing even better in 2014.</w:t>
      </w:r>
    </w:p>
    <w:p>
      <w:pPr>
        <w:spacing w:after="0" w:line="74"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Overall, our focus on innovation and improving the customer experience contributed to strong results and improved customer metrics in our residential business in 2013. We added more than 1 million Internet customers for the eighth year in a row. We reduced video losses by nearly</w:t>
      </w:r>
    </w:p>
    <w:p>
      <w:pPr>
        <w:ind w:right="60"/>
        <w:spacing w:after="0" w:line="237" w:lineRule="auto"/>
        <w:rPr>
          <w:sz w:val="20"/>
          <w:szCs w:val="20"/>
          <w:color w:val="auto"/>
        </w:rPr>
      </w:pPr>
      <w:r>
        <w:rPr>
          <w:rFonts w:ascii="Arial" w:cs="Arial" w:eastAsia="Arial" w:hAnsi="Arial"/>
          <w:sz w:val="18"/>
          <w:szCs w:val="18"/>
          <w:color w:val="auto"/>
        </w:rPr>
        <w:t>10% during the year and added video customers in the fourth quarter, a significant achievement after a long stretch of subscriber losses. Business Services continued to thrive and was the second largest contributor of revenue growth behind high-speed Internet. With low market share, we see real opportunities ahead in the small and mid-sized markets. Cable advertising also had a solid year. We continue to innovate to bring advanced capabilities like Dynamic Ad Insertion on our On Demand platform to advertisers.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In” at NBCUniversal with Investments Paying Off</w:t>
      </w:r>
    </w:p>
    <w:p>
      <w:pPr>
        <w:spacing w:after="0" w:line="9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Perhaps our single most important decision of 2013 was acquiring the remaining 49% of NBCUniversal’s common equity interest from GE. We accelerated the buyout by several years because of our confidence in the business, our interest in purchasing it at the right price, and our continued belief that significant value can be achieved through the combination of content and distribution.</w:t>
      </w:r>
    </w:p>
    <w:p>
      <w:pPr>
        <w:spacing w:after="0" w:line="7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Led by Steve Burke and his talented team, NBCUniversal had an outstanding year. Of particular note, the turnaround in our Broadcast division is happening even faster than we anticipated. NBC ended the fall season in first place for primetime, driven by returning hits like </w:t>
      </w:r>
      <w:r>
        <w:rPr>
          <w:rFonts w:ascii="Arial" w:cs="Arial" w:eastAsia="Arial" w:hAnsi="Arial"/>
          <w:sz w:val="18"/>
          <w:szCs w:val="18"/>
          <w:i w:val="1"/>
          <w:iCs w:val="1"/>
          <w:color w:val="auto"/>
        </w:rPr>
        <w:t>The Voice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Sunday Night Football, </w:t>
      </w:r>
      <w:r>
        <w:rPr>
          <w:rFonts w:ascii="Arial" w:cs="Arial" w:eastAsia="Arial" w:hAnsi="Arial"/>
          <w:sz w:val="18"/>
          <w:szCs w:val="18"/>
          <w:color w:val="auto"/>
        </w:rPr>
        <w:t>and new shows like</w:t>
      </w:r>
      <w:r>
        <w:rPr>
          <w:rFonts w:ascii="Arial" w:cs="Arial" w:eastAsia="Arial" w:hAnsi="Arial"/>
          <w:sz w:val="18"/>
          <w:szCs w:val="18"/>
          <w:i w:val="1"/>
          <w:iCs w:val="1"/>
          <w:color w:val="auto"/>
        </w:rPr>
        <w:t xml:space="preserve"> The Blacklist</w:t>
      </w:r>
      <w:r>
        <w:rPr>
          <w:rFonts w:ascii="Arial" w:cs="Arial" w:eastAsia="Arial" w:hAnsi="Arial"/>
          <w:sz w:val="18"/>
          <w:szCs w:val="18"/>
          <w:color w:val="auto"/>
        </w:rPr>
        <w:t>. Significantly, the momentum we achieved in the Fall has carried through into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extended to all dayparts, led in part by an amazing transition in late night, with both </w:t>
      </w:r>
      <w:r>
        <w:rPr>
          <w:rFonts w:ascii="Arial" w:cs="Arial" w:eastAsia="Arial" w:hAnsi="Arial"/>
          <w:sz w:val="18"/>
          <w:szCs w:val="18"/>
          <w:i w:val="1"/>
          <w:iCs w:val="1"/>
          <w:color w:val="auto"/>
        </w:rPr>
        <w:t>The Tonight Show Starring Jimmy Fallon</w:t>
      </w:r>
      <w:r>
        <w:rPr>
          <w:rFonts w:ascii="Arial" w:cs="Arial" w:eastAsia="Arial" w:hAnsi="Arial"/>
          <w:sz w:val="18"/>
          <w:szCs w:val="18"/>
          <w:color w:val="auto"/>
        </w:rPr>
        <w:t xml:space="preserve"> and </w:t>
      </w:r>
      <w:r>
        <w:rPr>
          <w:rFonts w:ascii="Arial" w:cs="Arial" w:eastAsia="Arial" w:hAnsi="Arial"/>
          <w:sz w:val="18"/>
          <w:szCs w:val="18"/>
          <w:i w:val="1"/>
          <w:iCs w:val="1"/>
          <w:color w:val="auto"/>
        </w:rPr>
        <w:t>Late Night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Seth Meyers </w:t>
      </w:r>
      <w:r>
        <w:rPr>
          <w:rFonts w:ascii="Arial" w:cs="Arial" w:eastAsia="Arial" w:hAnsi="Arial"/>
          <w:sz w:val="18"/>
          <w:szCs w:val="18"/>
          <w:color w:val="auto"/>
        </w:rPr>
        <w:t>off to excellent starts.</w:t>
      </w:r>
    </w:p>
    <w:p>
      <w:pPr>
        <w:spacing w:after="0" w:line="76"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 xml:space="preserve">In fact, NBC is positioned to end the full season as the #1 network in the important 18-49 demographic for all key time periods from morning through evening with </w:t>
      </w:r>
      <w:r>
        <w:rPr>
          <w:rFonts w:ascii="Arial" w:cs="Arial" w:eastAsia="Arial" w:hAnsi="Arial"/>
          <w:sz w:val="18"/>
          <w:szCs w:val="18"/>
          <w:i w:val="1"/>
          <w:iCs w:val="1"/>
          <w:color w:val="auto"/>
        </w:rPr>
        <w:t>TODAY</w:t>
      </w:r>
      <w:r>
        <w:rPr>
          <w:rFonts w:ascii="Arial" w:cs="Arial" w:eastAsia="Arial" w:hAnsi="Arial"/>
          <w:sz w:val="18"/>
          <w:szCs w:val="18"/>
          <w:color w:val="auto"/>
        </w:rPr>
        <w:t xml:space="preserve">, </w:t>
      </w:r>
      <w:r>
        <w:rPr>
          <w:rFonts w:ascii="Arial" w:cs="Arial" w:eastAsia="Arial" w:hAnsi="Arial"/>
          <w:sz w:val="18"/>
          <w:szCs w:val="18"/>
          <w:i w:val="1"/>
          <w:iCs w:val="1"/>
          <w:color w:val="auto"/>
        </w:rPr>
        <w:t>NBC Nightly News with Brian Williams</w:t>
      </w:r>
      <w:r>
        <w:rPr>
          <w:rFonts w:ascii="Arial" w:cs="Arial" w:eastAsia="Arial" w:hAnsi="Arial"/>
          <w:sz w:val="18"/>
          <w:szCs w:val="18"/>
          <w:color w:val="auto"/>
        </w:rPr>
        <w:t>, Primetime, and Late Night.</w:t>
      </w:r>
    </w:p>
    <w:p>
      <w:pPr>
        <w:spacing w:after="0" w:line="7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Our Cable Networks business, with 15 cable channels and 12 regional sports and news networks, continued to drive NBCUniversal’s profitability. USA remained the highest-rated cable entertainment network for the eighth year in a row, and Bravo is now a top 10 network, having its best year ever in 2013. The NBCUniversal portfolio of cable networks is among the strongest in the industry, and we will continue to invest in these brands.</w:t>
      </w:r>
    </w:p>
    <w:p>
      <w:pPr>
        <w:spacing w:after="0" w:line="2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Universal Studios had a record year at the box office with hits like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r>
        <w:rPr>
          <w:rFonts w:ascii="Arial" w:cs="Arial" w:eastAsia="Arial" w:hAnsi="Arial"/>
          <w:sz w:val="18"/>
          <w:szCs w:val="18"/>
          <w:color w:val="auto"/>
        </w:rPr>
        <w:t>. Looking ahead, we are focused on building a strong slate in 2015, with a particular emphasis on franchises and animation.</w:t>
      </w:r>
    </w:p>
    <w:p>
      <w:pPr>
        <w:spacing w:after="0" w:line="56"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 xml:space="preserve">We also continued to invest significantly in our Theme Parks business, which delivered its most successful year ever. In 2014 and beyond, we will continue to benefit from new attractions and investments, including the much anticipated </w:t>
      </w:r>
      <w:r>
        <w:rPr>
          <w:rFonts w:ascii="Arial" w:cs="Arial" w:eastAsia="Arial" w:hAnsi="Arial"/>
          <w:sz w:val="18"/>
          <w:szCs w:val="18"/>
          <w:i w:val="1"/>
          <w:iCs w:val="1"/>
          <w:color w:val="auto"/>
        </w:rPr>
        <w:t>Wizarding World of Harry Potter — Diagon Alley</w:t>
      </w:r>
      <w:r>
        <w:rPr>
          <w:rFonts w:ascii="Arial" w:cs="Arial" w:eastAsia="Arial" w:hAnsi="Arial"/>
          <w:sz w:val="18"/>
          <w:szCs w:val="18"/>
          <w:color w:val="auto"/>
        </w:rPr>
        <w:t xml:space="preserve"> opening in Orlando this summer, and new resort hotels like the Cabana Bay Beach Resort, also in Orlando.</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Year of Strong Execution, Growth and Shareholder Value</w:t>
      </w:r>
    </w:p>
    <w:p>
      <w:pPr>
        <w:spacing w:after="0" w:line="99"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remain exceptionally well managed from a financial perspective, thanks to the great leadership of Michael Angelakis and his excellent team. In 2013, we delivered solid consolidated growth in revenue and operating cash flow. And we generated free cash flow of $8.5 billion, a 7% increase, demonstrating strength at both Comcast Cable and NBCUniversal.</w:t>
      </w:r>
    </w:p>
    <w:p>
      <w:pPr>
        <w:spacing w:after="0" w:line="7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returned $4 billion of capital to shareholders, and because of our confidence in the strength of our business, we are increasing our dividend by over 15% and our share repurchase by 50% in 2014. Our balance sheet remains strong, and our solid financial performance has been recognized by the market: in 2013, Comcast’s stock rose 42% compared to 32% for the S&amp;P 500.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Future of Innovation and Opportunity</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Our core businesses are in great shape and well positioned for the future. Both Comcast Cable and NBCUniversal are performing well, investing prudently, and are energized and focused on driving growth. We also keep finding new ways to work together that bring value to the entire organization as well as to consumers, with the terrific synergies around the Sochi Olympics as just the latest example.</w:t>
      </w:r>
    </w:p>
    <w:p>
      <w:pPr>
        <w:spacing w:after="0" w:line="7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And we are turbocharging our company for the amazing opportunities in front of us. As we entered 2014, we announced our plans for a new state-of-the-art Comcast Innovation and Technology Center in Philadelphia — a new home for our exceptional technology and engineering team that is helping us deliver the products and services of tomorrow.</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also announced our intention to merge with Time Warner Cable. We are excited about the opportunity to bring our two great companies together and confident that the combination will create a world-class organization that will benefit customers, employees, and shareholders. We believe we structured the transaction intelligently so that it preserves our balance sheet strength, enhances our ability to invest in our business, and allows us to meaningfully return capital to shareholders. Importantly, we are confident that by creating a more national platform, we will be able to accelerate the pace of innovation and deliver best-in-class products, faster speeds, and better service, sooner to more of our residential and business customers. Once again, we have called upon David Cohen and his outstanding team to help guide us through the government approval process so we can achieve a timely close.</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my father often says, we never could have imagined back in 1963 that Comcast would become the company it is today. On behalf of both of us, I want to thank our 136,000 team members for their dedicated and inspired work. We are so proud of what we have accomplished together, and even after a half-century, it feels like we’re just getting started.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 am honored to help lead this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1061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1543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rPr>
          <w:sz w:val="20"/>
          <w:szCs w:val="20"/>
          <w:color w:val="auto"/>
        </w:rPr>
      </w:pPr>
      <w:r>
        <w:rPr>
          <w:rFonts w:ascii="Arial" w:cs="Arial" w:eastAsia="Arial" w:hAnsi="Arial"/>
          <w:sz w:val="18"/>
          <w:szCs w:val="18"/>
          <w:color w:val="auto"/>
        </w:rPr>
        <w:t>April 11, 2014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00" w:type="dxa"/>
            <w:vAlign w:val="bottom"/>
          </w:tcPr>
          <w:p>
            <w:pPr>
              <w:spacing w:after="0"/>
              <w:rPr>
                <w:sz w:val="20"/>
                <w:szCs w:val="20"/>
                <w:color w:val="auto"/>
              </w:rPr>
            </w:pPr>
          </w:p>
        </w:tc>
        <w:tc>
          <w:tcPr>
            <w:tcW w:w="7600" w:type="dxa"/>
            <w:vAlign w:val="bottom"/>
            <w:gridSpan w:val="2"/>
          </w:tcPr>
          <w:p>
            <w:pPr>
              <w:ind w:left="1620"/>
              <w:spacing w:after="0"/>
              <w:rPr>
                <w:sz w:val="20"/>
                <w:szCs w:val="20"/>
                <w:color w:val="auto"/>
              </w:rPr>
            </w:pPr>
            <w:r>
              <w:rPr>
                <w:rFonts w:ascii="Arial" w:cs="Arial" w:eastAsia="Arial" w:hAnsi="Arial"/>
                <w:sz w:val="18"/>
                <w:szCs w:val="18"/>
                <w:b w:val="1"/>
                <w:bCs w:val="1"/>
                <w:color w:val="auto"/>
                <w:w w:val="97"/>
              </w:rPr>
              <w:t>Notice of 2014 Annual Meeting of Shareholders of Comcast Corporation</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ind w:left="280"/>
              <w:spacing w:after="0"/>
              <w:rPr>
                <w:sz w:val="20"/>
                <w:szCs w:val="20"/>
                <w:color w:val="auto"/>
              </w:rPr>
            </w:pPr>
            <w:r>
              <w:rPr>
                <w:rFonts w:ascii="Arial" w:cs="Arial" w:eastAsia="Arial" w:hAnsi="Arial"/>
                <w:sz w:val="18"/>
                <w:szCs w:val="18"/>
                <w:color w:val="auto"/>
              </w:rPr>
              <w:t>May 21, 2014</w:t>
            </w:r>
          </w:p>
        </w:tc>
        <w:tc>
          <w:tcPr>
            <w:tcW w:w="5760" w:type="dxa"/>
            <w:vAlign w:val="bottom"/>
          </w:tcPr>
          <w:p>
            <w:pPr>
              <w:spacing w:after="0"/>
              <w:rPr>
                <w:sz w:val="24"/>
                <w:szCs w:val="24"/>
                <w:color w:val="auto"/>
              </w:rPr>
            </w:pP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Time:</w:t>
            </w:r>
          </w:p>
        </w:tc>
        <w:tc>
          <w:tcPr>
            <w:tcW w:w="1840" w:type="dxa"/>
            <w:vAlign w:val="bottom"/>
          </w:tcPr>
          <w:p>
            <w:pPr>
              <w:ind w:left="280"/>
              <w:spacing w:after="0"/>
              <w:rPr>
                <w:sz w:val="20"/>
                <w:szCs w:val="20"/>
                <w:color w:val="auto"/>
              </w:rPr>
            </w:pPr>
            <w:r>
              <w:rPr>
                <w:rFonts w:ascii="Arial" w:cs="Arial" w:eastAsia="Arial" w:hAnsi="Arial"/>
                <w:sz w:val="18"/>
                <w:szCs w:val="18"/>
                <w:color w:val="auto"/>
              </w:rPr>
              <w:t>Doors open:</w:t>
            </w:r>
          </w:p>
        </w:tc>
        <w:tc>
          <w:tcPr>
            <w:tcW w:w="5760" w:type="dxa"/>
            <w:vAlign w:val="bottom"/>
          </w:tcPr>
          <w:p>
            <w:pPr>
              <w:ind w:left="40"/>
              <w:spacing w:after="0"/>
              <w:rPr>
                <w:sz w:val="20"/>
                <w:szCs w:val="20"/>
                <w:color w:val="auto"/>
              </w:rPr>
            </w:pPr>
            <w:r>
              <w:rPr>
                <w:rFonts w:ascii="Arial" w:cs="Arial" w:eastAsia="Arial" w:hAnsi="Arial"/>
                <w:sz w:val="18"/>
                <w:szCs w:val="18"/>
                <w:color w:val="auto"/>
              </w:rPr>
              <w:t>8:00 a.m. Eastern Time</w:t>
            </w:r>
          </w:p>
        </w:tc>
      </w:tr>
      <w:tr>
        <w:trPr>
          <w:trHeight w:val="211"/>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Meeting begins:</w:t>
            </w:r>
          </w:p>
        </w:tc>
        <w:tc>
          <w:tcPr>
            <w:tcW w:w="5760" w:type="dxa"/>
            <w:vAlign w:val="bottom"/>
          </w:tcPr>
          <w:p>
            <w:pPr>
              <w:ind w:left="20"/>
              <w:spacing w:after="0"/>
              <w:rPr>
                <w:sz w:val="20"/>
                <w:szCs w:val="20"/>
                <w:color w:val="auto"/>
              </w:rPr>
            </w:pPr>
            <w:r>
              <w:rPr>
                <w:rFonts w:ascii="Arial" w:cs="Arial" w:eastAsia="Arial" w:hAnsi="Arial"/>
                <w:sz w:val="18"/>
                <w:szCs w:val="18"/>
                <w:color w:val="auto"/>
              </w:rPr>
              <w:t>9:00 a.m. Eastern Time</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Place:</w:t>
            </w: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The Kimmel Center for the Performing Arts</w:t>
            </w:r>
          </w:p>
        </w:tc>
      </w:tr>
      <w:tr>
        <w:trPr>
          <w:trHeight w:val="211"/>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Perelman Theater</w:t>
            </w:r>
          </w:p>
        </w:tc>
        <w:tc>
          <w:tcPr>
            <w:tcW w:w="5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w w:val="97"/>
              </w:rPr>
              <w:t>300 S. Broad Street</w:t>
            </w:r>
          </w:p>
        </w:tc>
        <w:tc>
          <w:tcPr>
            <w:tcW w:w="5760" w:type="dxa"/>
            <w:vAlign w:val="bottom"/>
          </w:tcPr>
          <w:p>
            <w:pPr>
              <w:spacing w:after="0"/>
              <w:rPr>
                <w:sz w:val="18"/>
                <w:szCs w:val="18"/>
                <w:color w:val="auto"/>
              </w:rPr>
            </w:pPr>
          </w:p>
        </w:tc>
      </w:tr>
      <w:tr>
        <w:trPr>
          <w:trHeight w:val="211"/>
        </w:trPr>
        <w:tc>
          <w:tcPr>
            <w:tcW w:w="1100" w:type="dxa"/>
            <w:vAlign w:val="bottom"/>
          </w:tcPr>
          <w:p>
            <w:pPr>
              <w:spacing w:after="0"/>
              <w:rPr>
                <w:sz w:val="18"/>
                <w:szCs w:val="18"/>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Philadelphia, PA 19102</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Purposes:</w:t>
            </w:r>
          </w:p>
        </w:tc>
        <w:tc>
          <w:tcPr>
            <w:tcW w:w="1840" w:type="dxa"/>
            <w:vAlign w:val="bottom"/>
          </w:tcPr>
          <w:p>
            <w:pPr>
              <w:ind w:left="280"/>
              <w:spacing w:after="0"/>
              <w:rPr>
                <w:sz w:val="20"/>
                <w:szCs w:val="20"/>
                <w:color w:val="auto"/>
              </w:rPr>
            </w:pPr>
            <w:r>
              <w:rPr>
                <w:rFonts w:ascii="Arial" w:cs="Arial" w:eastAsia="Arial" w:hAnsi="Arial"/>
                <w:sz w:val="18"/>
                <w:szCs w:val="18"/>
                <w:color w:val="auto"/>
              </w:rPr>
              <w:t>•  Elect directors</w:t>
            </w:r>
          </w:p>
        </w:tc>
        <w:tc>
          <w:tcPr>
            <w:tcW w:w="5760" w:type="dxa"/>
            <w:vAlign w:val="bottom"/>
          </w:tcPr>
          <w:p>
            <w:pPr>
              <w:spacing w:after="0"/>
              <w:rPr>
                <w:sz w:val="24"/>
                <w:szCs w:val="24"/>
                <w:color w:val="auto"/>
              </w:rPr>
            </w:pP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Ratify the appointment of our independent auditors</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Consider an advisory vote to approve our executive compensation</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Vote on two shareholder proposals</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Conduct other business if properly raised</w:t>
            </w:r>
          </w:p>
        </w:tc>
      </w:tr>
    </w:tbl>
    <w:p>
      <w:pPr>
        <w:spacing w:after="0" w:line="86"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76 of the attached proxy statement. At the meeting, you will hear a report on our business and have an opportunity to meet our directors and executive officers.</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Only shareholders of record on March 21, 2014 may vote at the meeting. Attendance at the meeting is limited to shareholders of record and one guest per shareholder. If the meeting is adjourned because a quorum is not present, then, at the reconvened meeting, shareholders who attend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 If you elect to receive a paper copy of our proxy materials, our 2013 Annual Report on Form 10-K will be mailed to you along with the proxy statement.</w:t>
      </w:r>
    </w:p>
    <w:p>
      <w:pPr>
        <w:spacing w:after="0" w:line="75" w:lineRule="exact"/>
        <w:rPr>
          <w:sz w:val="20"/>
          <w:szCs w:val="20"/>
          <w:color w:val="auto"/>
        </w:rPr>
      </w:pPr>
    </w:p>
    <w:p>
      <w:pPr>
        <w:ind w:right="1040"/>
        <w:spacing w:after="0" w:line="239"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11, 2014.</w:t>
      </w:r>
    </w:p>
    <w:p>
      <w:pPr>
        <w:spacing w:after="0" w:line="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110617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April 11, 2014</w:t>
      </w:r>
      <w:r>
        <w:rPr>
          <w:sz w:val="20"/>
          <w:szCs w:val="20"/>
          <w:color w:val="auto"/>
        </w:rPr>
        <w:tab/>
      </w:r>
      <w:r>
        <w:rPr>
          <w:rFonts w:ascii="Arial" w:cs="Arial" w:eastAsia="Arial" w:hAnsi="Arial"/>
          <w:sz w:val="16"/>
          <w:szCs w:val="16"/>
          <w:i w:val="1"/>
          <w:iCs w:val="1"/>
          <w:color w:val="auto"/>
        </w:rPr>
        <w:t>Secretary</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2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40"/>
        </w:trPr>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345"/>
        </w:trPr>
        <w:tc>
          <w:tcPr>
            <w:tcW w:w="15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General Information</w:t>
              </w:r>
            </w:hyperlink>
          </w:p>
        </w:tc>
        <w:tc>
          <w:tcPr>
            <w:tcW w:w="4080" w:type="dxa"/>
            <w:vAlign w:val="bottom"/>
            <w:gridSpan w:val="20"/>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2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r>
      <w:tr>
        <w:trPr>
          <w:trHeight w:val="183"/>
        </w:trPr>
        <w:tc>
          <w:tcPr>
            <w:tcW w:w="30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Voting Securities and Principal Holders</w:t>
              </w:r>
            </w:hyperlink>
          </w:p>
        </w:tc>
        <w:tc>
          <w:tcPr>
            <w:tcW w:w="2600" w:type="dxa"/>
            <w:vAlign w:val="bottom"/>
            <w:gridSpan w:val="13"/>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Proposal 1: Election of Directors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183"/>
        </w:trPr>
        <w:tc>
          <w:tcPr>
            <w:tcW w:w="564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Proposal 2: Ratification of the Appointment of Our Independent Auditors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22</w:t>
            </w:r>
          </w:p>
        </w:tc>
      </w:tr>
      <w:tr>
        <w:trPr>
          <w:trHeight w:val="183"/>
        </w:trPr>
        <w:tc>
          <w:tcPr>
            <w:tcW w:w="4300" w:type="dxa"/>
            <w:vAlign w:val="bottom"/>
            <w:tcBorders>
              <w:bottom w:val="single" w:sz="8" w:color="0000EE"/>
            </w:tcBorders>
            <w:gridSpan w:val="15"/>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Proposal 3: Advisory Vote on Executive Compensation</w:t>
              </w:r>
            </w:hyperlink>
          </w:p>
        </w:tc>
        <w:tc>
          <w:tcPr>
            <w:tcW w:w="1340" w:type="dxa"/>
            <w:vAlign w:val="bottom"/>
            <w:gridSpan w:val="7"/>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25</w:t>
            </w:r>
          </w:p>
        </w:tc>
      </w:tr>
      <w:tr>
        <w:trPr>
          <w:trHeight w:val="183"/>
        </w:trPr>
        <w:tc>
          <w:tcPr>
            <w:tcW w:w="180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Shareholder Proposals</w:t>
              </w:r>
            </w:hyperlink>
          </w:p>
        </w:tc>
        <w:tc>
          <w:tcPr>
            <w:tcW w:w="3840" w:type="dxa"/>
            <w:vAlign w:val="bottom"/>
            <w:gridSpan w:val="18"/>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29</w:t>
            </w:r>
          </w:p>
        </w:tc>
      </w:tr>
      <w:tr>
        <w:trPr>
          <w:trHeight w:val="183"/>
        </w:trPr>
        <w:tc>
          <w:tcPr>
            <w:tcW w:w="19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Executive Compensation</w:t>
              </w:r>
            </w:hyperlink>
          </w:p>
        </w:tc>
        <w:tc>
          <w:tcPr>
            <w:tcW w:w="3680" w:type="dxa"/>
            <w:vAlign w:val="bottom"/>
            <w:gridSpan w:val="17"/>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34</w:t>
            </w:r>
          </w:p>
        </w:tc>
      </w:tr>
      <w:tr>
        <w:trPr>
          <w:trHeight w:val="183"/>
        </w:trPr>
        <w:tc>
          <w:tcPr>
            <w:tcW w:w="400" w:type="dxa"/>
            <w:vAlign w:val="bottom"/>
          </w:tcPr>
          <w:p>
            <w:pPr>
              <w:spacing w:after="0"/>
              <w:rPr>
                <w:sz w:val="15"/>
                <w:szCs w:val="15"/>
                <w:color w:val="auto"/>
              </w:rPr>
            </w:pPr>
          </w:p>
        </w:tc>
        <w:tc>
          <w:tcPr>
            <w:tcW w:w="30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Compensation Discussion and Analysis</w:t>
              </w:r>
            </w:hyperlink>
          </w:p>
        </w:tc>
        <w:tc>
          <w:tcPr>
            <w:tcW w:w="2160" w:type="dxa"/>
            <w:vAlign w:val="bottom"/>
            <w:gridSpan w:val="11"/>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34</w:t>
            </w:r>
          </w:p>
        </w:tc>
      </w:tr>
      <w:tr>
        <w:trPr>
          <w:trHeight w:val="183"/>
        </w:trPr>
        <w:tc>
          <w:tcPr>
            <w:tcW w:w="400" w:type="dxa"/>
            <w:vAlign w:val="bottom"/>
          </w:tcPr>
          <w:p>
            <w:pPr>
              <w:spacing w:after="0"/>
              <w:rPr>
                <w:sz w:val="15"/>
                <w:szCs w:val="15"/>
                <w:color w:val="auto"/>
              </w:rPr>
            </w:pPr>
          </w:p>
        </w:tc>
        <w:tc>
          <w:tcPr>
            <w:tcW w:w="5240" w:type="dxa"/>
            <w:vAlign w:val="bottom"/>
            <w:gridSpan w:val="21"/>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Compensation Committee Report</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55</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76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Compensation Committee Interlocks and Insider Participation</w:t>
              </w:r>
            </w:hyperlink>
          </w:p>
        </w:tc>
        <w:tc>
          <w:tcPr>
            <w:tcW w:w="48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55</w:t>
            </w:r>
          </w:p>
        </w:tc>
      </w:tr>
      <w:tr>
        <w:trPr>
          <w:trHeight w:val="183"/>
        </w:trPr>
        <w:tc>
          <w:tcPr>
            <w:tcW w:w="400" w:type="dxa"/>
            <w:vAlign w:val="bottom"/>
          </w:tcPr>
          <w:p>
            <w:pPr>
              <w:spacing w:after="0"/>
              <w:rPr>
                <w:sz w:val="15"/>
                <w:szCs w:val="15"/>
                <w:color w:val="auto"/>
              </w:rPr>
            </w:pPr>
          </w:p>
        </w:tc>
        <w:tc>
          <w:tcPr>
            <w:tcW w:w="310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Summary Compensation Table for 2013</w:t>
              </w:r>
            </w:hyperlink>
          </w:p>
        </w:tc>
        <w:tc>
          <w:tcPr>
            <w:tcW w:w="2140" w:type="dxa"/>
            <w:vAlign w:val="bottom"/>
            <w:gridSpan w:val="10"/>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56</w:t>
            </w:r>
          </w:p>
        </w:tc>
      </w:tr>
      <w:tr>
        <w:trPr>
          <w:trHeight w:val="183"/>
        </w:trPr>
        <w:tc>
          <w:tcPr>
            <w:tcW w:w="400" w:type="dxa"/>
            <w:vAlign w:val="bottom"/>
          </w:tcPr>
          <w:p>
            <w:pPr>
              <w:spacing w:after="0"/>
              <w:rPr>
                <w:sz w:val="15"/>
                <w:szCs w:val="15"/>
                <w:color w:val="auto"/>
              </w:rPr>
            </w:pPr>
          </w:p>
        </w:tc>
        <w:tc>
          <w:tcPr>
            <w:tcW w:w="294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Grants in 2013 of Plan-Based Awards</w:t>
              </w:r>
            </w:hyperlink>
          </w:p>
        </w:tc>
        <w:tc>
          <w:tcPr>
            <w:tcW w:w="2300" w:type="dxa"/>
            <w:vAlign w:val="bottom"/>
            <w:gridSpan w:val="12"/>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58</w:t>
            </w:r>
          </w:p>
        </w:tc>
      </w:tr>
      <w:tr>
        <w:trPr>
          <w:trHeight w:val="183"/>
        </w:trPr>
        <w:tc>
          <w:tcPr>
            <w:tcW w:w="400" w:type="dxa"/>
            <w:vAlign w:val="bottom"/>
          </w:tcPr>
          <w:p>
            <w:pPr>
              <w:spacing w:after="0"/>
              <w:rPr>
                <w:sz w:val="15"/>
                <w:szCs w:val="15"/>
                <w:color w:val="auto"/>
              </w:rPr>
            </w:pPr>
          </w:p>
        </w:tc>
        <w:tc>
          <w:tcPr>
            <w:tcW w:w="5240" w:type="dxa"/>
            <w:vAlign w:val="bottom"/>
            <w:gridSpan w:val="21"/>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Outstanding Equity Awards at 2013 Fiscal Year-End</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59</w:t>
            </w:r>
          </w:p>
        </w:tc>
      </w:tr>
      <w:tr>
        <w:trPr>
          <w:trHeight w:val="183"/>
        </w:trPr>
        <w:tc>
          <w:tcPr>
            <w:tcW w:w="400" w:type="dxa"/>
            <w:vAlign w:val="bottom"/>
          </w:tcPr>
          <w:p>
            <w:pPr>
              <w:spacing w:after="0"/>
              <w:rPr>
                <w:sz w:val="15"/>
                <w:szCs w:val="15"/>
                <w:color w:val="auto"/>
              </w:rPr>
            </w:pPr>
          </w:p>
        </w:tc>
        <w:tc>
          <w:tcPr>
            <w:tcW w:w="40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Option Exercises and Stock Vested in 2013</w:t>
              </w:r>
            </w:hyperlink>
          </w:p>
        </w:tc>
        <w:tc>
          <w:tcPr>
            <w:tcW w:w="1220" w:type="dxa"/>
            <w:vAlign w:val="bottom"/>
            <w:gridSpan w:val="6"/>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63</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6400" w:type="dxa"/>
            <w:vAlign w:val="bottom"/>
            <w:gridSpan w:val="23"/>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Nonqualified Deferred Compensation in and as of 2013 Fiscal Year-End</w:t>
              </w:r>
            </w:hyperlink>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63</w:t>
            </w:r>
          </w:p>
        </w:tc>
      </w:tr>
      <w:tr>
        <w:trPr>
          <w:trHeight w:val="183"/>
        </w:trPr>
        <w:tc>
          <w:tcPr>
            <w:tcW w:w="400" w:type="dxa"/>
            <w:vAlign w:val="bottom"/>
          </w:tcPr>
          <w:p>
            <w:pPr>
              <w:spacing w:after="0"/>
              <w:rPr>
                <w:sz w:val="15"/>
                <w:szCs w:val="15"/>
                <w:color w:val="auto"/>
              </w:rPr>
            </w:pPr>
          </w:p>
        </w:tc>
        <w:tc>
          <w:tcPr>
            <w:tcW w:w="52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Agreements with Our Named Executive Officers</w:t>
              </w:r>
            </w:hyperlink>
          </w:p>
        </w:tc>
        <w:tc>
          <w:tcPr>
            <w:tcW w:w="320" w:type="dxa"/>
            <w:vAlign w:val="bottom"/>
            <w:tcBorders>
              <w:top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65</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580" w:type="dxa"/>
            <w:vAlign w:val="bottom"/>
            <w:tcBorders>
              <w:bottom w:val="single" w:sz="8" w:color="0000EE"/>
            </w:tcBorders>
            <w:gridSpan w:val="18"/>
          </w:tcPr>
          <w:p>
            <w:pPr>
              <w:spacing w:after="0" w:line="182"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Potential Payments upon Termination or Change in Control</w:t>
              </w:r>
            </w:hyperlink>
          </w:p>
        </w:tc>
        <w:tc>
          <w:tcPr>
            <w:tcW w:w="66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68</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Equity Compensation Plan Information</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71</w:t>
            </w:r>
          </w:p>
        </w:tc>
      </w:tr>
      <w:tr>
        <w:trPr>
          <w:trHeight w:val="183"/>
        </w:trPr>
        <w:tc>
          <w:tcPr>
            <w:tcW w:w="25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78">
              <w:r>
                <w:rPr>
                  <w:rFonts w:ascii="Arial" w:cs="Arial" w:eastAsia="Arial" w:hAnsi="Arial"/>
                  <w:sz w:val="18"/>
                  <w:szCs w:val="18"/>
                  <w:color w:val="0000EE"/>
                  <w:w w:val="98"/>
                </w:rPr>
                <w:t>Director Compensation for 2013</w:t>
              </w:r>
            </w:hyperlink>
          </w:p>
        </w:tc>
        <w:tc>
          <w:tcPr>
            <w:tcW w:w="440" w:type="dxa"/>
            <w:vAlign w:val="bottom"/>
            <w:tcBorders>
              <w:top w:val="single" w:sz="8" w:color="0000EE"/>
            </w:tcBorders>
            <w:gridSpan w:val="2"/>
          </w:tcPr>
          <w:p>
            <w:pPr>
              <w:spacing w:after="0"/>
              <w:rPr>
                <w:sz w:val="15"/>
                <w:szCs w:val="15"/>
                <w:color w:val="auto"/>
              </w:rPr>
            </w:pPr>
          </w:p>
        </w:tc>
        <w:tc>
          <w:tcPr>
            <w:tcW w:w="2640" w:type="dxa"/>
            <w:vAlign w:val="bottom"/>
            <w:gridSpan w:val="14"/>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72</w:t>
            </w:r>
          </w:p>
        </w:tc>
      </w:tr>
      <w:tr>
        <w:trPr>
          <w:trHeight w:val="183"/>
        </w:trPr>
        <w:tc>
          <w:tcPr>
            <w:tcW w:w="45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Related Party Transaction Policy and Certain Transactions</w:t>
              </w:r>
            </w:hyperlink>
          </w:p>
        </w:tc>
        <w:tc>
          <w:tcPr>
            <w:tcW w:w="1080" w:type="dxa"/>
            <w:vAlign w:val="bottom"/>
            <w:gridSpan w:val="5"/>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73</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Shareholder Proposals for Next Year</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74</w:t>
            </w:r>
          </w:p>
        </w:tc>
      </w:tr>
      <w:tr>
        <w:trPr>
          <w:trHeight w:val="183"/>
        </w:trPr>
        <w:tc>
          <w:tcPr>
            <w:tcW w:w="28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Solicitation of Proxies</w:t>
              </w:r>
            </w:hyperlink>
          </w:p>
        </w:tc>
        <w:tc>
          <w:tcPr>
            <w:tcW w:w="2780" w:type="dxa"/>
            <w:vAlign w:val="bottom"/>
            <w:gridSpan w:val="15"/>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74</w:t>
            </w: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Electronic Access to Proxy Materials and Annual Report on Form 10-K</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74</w:t>
            </w:r>
          </w:p>
        </w:tc>
      </w:tr>
      <w:tr>
        <w:trPr>
          <w:trHeight w:val="183"/>
        </w:trPr>
        <w:tc>
          <w:tcPr>
            <w:tcW w:w="49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Important Notice Regarding Delivery of Shareholder Documents</w:t>
              </w:r>
            </w:hyperlink>
          </w:p>
        </w:tc>
        <w:tc>
          <w:tcPr>
            <w:tcW w:w="500" w:type="dxa"/>
            <w:vAlign w:val="bottom"/>
            <w:tcBorders>
              <w:top w:val="single" w:sz="8" w:color="0000EE"/>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75</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Directions to the Kimmel Center for the Performing Arts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76</w:t>
            </w:r>
          </w:p>
        </w:tc>
      </w:tr>
      <w:tr>
        <w:trPr>
          <w:trHeight w:val="20"/>
        </w:trPr>
        <w:tc>
          <w:tcPr>
            <w:tcW w:w="4300" w:type="dxa"/>
            <w:vAlign w:val="bottom"/>
            <w:gridSpan w:val="15"/>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Appendix A: Reconciliations of Non-GAAP Financial Measures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20" w:type="dxa"/>
            <w:vAlign w:val="bottom"/>
          </w:tcPr>
          <w:p>
            <w:pPr>
              <w:jc w:val="right"/>
              <w:ind w:right="12"/>
              <w:spacing w:after="0" w:line="182" w:lineRule="exact"/>
              <w:rPr>
                <w:sz w:val="20"/>
                <w:szCs w:val="20"/>
                <w:color w:val="auto"/>
              </w:rPr>
            </w:pPr>
            <w:r>
              <w:rPr>
                <w:rFonts w:ascii="Arial" w:cs="Arial" w:eastAsia="Arial" w:hAnsi="Arial"/>
                <w:sz w:val="18"/>
                <w:szCs w:val="18"/>
                <w:color w:val="auto"/>
              </w:rPr>
              <w:t>A-1</w:t>
            </w:r>
          </w:p>
        </w:tc>
      </w:tr>
      <w:tr>
        <w:trPr>
          <w:trHeight w:val="356"/>
        </w:trPr>
        <w:tc>
          <w:tcPr>
            <w:tcW w:w="4560" w:type="dxa"/>
            <w:vAlign w:val="bottom"/>
            <w:tcBorders>
              <w:top w:val="single" w:sz="8" w:color="0000EE"/>
            </w:tcBorders>
            <w:gridSpan w:val="17"/>
          </w:tcPr>
          <w:p>
            <w:pPr>
              <w:ind w:left="4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4200" w:type="dxa"/>
            <w:vAlign w:val="bottom"/>
          </w:tcPr>
          <w:p>
            <w:pPr>
              <w:jc w:val="right"/>
              <w:ind w:right="38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r>
    </w:tbl>
    <w:p>
      <w:pPr>
        <w:spacing w:after="0" w:line="105"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May 21, 2014: Our proxy statement and our Annual Report on Form 10-K for the fiscal year ended December 31, 2013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Holders of record of Class A and Class B common stock of Comcast Corporation (“Comcast,” the “Company,” “our,” “we” or “us”) at the close of business on March 21, 2014 may vote at the annual meeting of shareholders. Holders of our Class A Special common stock are not entitled to vote at the meeting, and this proxy statement is made available to Class A Special common shareholders for informational purposes only. The Notice of Internet Availability of Proxy Materials (the “Notice”) is being mailed, and this proxy statement is being made available, to our shareholders beginning on or about April 11,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proxy in any of the following ways:</w:t>
      </w:r>
    </w:p>
    <w:p>
      <w:pPr>
        <w:spacing w:after="0" w:line="59" w:lineRule="exact"/>
        <w:rPr>
          <w:sz w:val="20"/>
          <w:szCs w:val="20"/>
          <w:color w:val="auto"/>
        </w:rPr>
      </w:pPr>
    </w:p>
    <w:p>
      <w:pPr>
        <w:ind w:left="800" w:right="380" w:hanging="454"/>
        <w:spacing w:after="0" w:line="260"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follow the instructions outlined on the secure website.</w:t>
      </w:r>
    </w:p>
    <w:p>
      <w:pPr>
        <w:spacing w:after="0" w:line="37" w:lineRule="exact"/>
        <w:rPr>
          <w:rFonts w:ascii="Arial" w:cs="Arial" w:eastAsia="Arial" w:hAnsi="Arial"/>
          <w:sz w:val="18"/>
          <w:szCs w:val="18"/>
          <w:color w:val="auto"/>
        </w:rPr>
      </w:pPr>
    </w:p>
    <w:p>
      <w:pPr>
        <w:ind w:left="800" w:right="360" w:hanging="454"/>
        <w:spacing w:after="0" w:line="24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through a broker, brokerage firm, bank or other nominee, please refer to the instructions provided to you by such broker, brokerage firm, bank or other nominee regarding voting by telephone.</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and date your proxy card and return your proxy card in the enclosed envelope.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May 20, 2014.</w:t>
      </w:r>
    </w:p>
    <w:p>
      <w:pPr>
        <w:spacing w:after="0" w:line="55"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 xml:space="preserve">If you give us your signed proxy but do not specify how to vote, we will vote your shares (i) in favor of (a) the director candidates, (b) the ratification of the appointment of our independent auditors, and (c) the approval, on an advisory basis, of our executive compensation; and (ii) against the two shareholder proposals. </w:t>
      </w:r>
      <w:r>
        <w:rPr>
          <w:rFonts w:ascii="Arial" w:cs="Arial" w:eastAsia="Arial" w:hAnsi="Arial"/>
          <w:sz w:val="16"/>
          <w:szCs w:val="16"/>
          <w:color w:val="auto"/>
        </w:rPr>
        <w:t>One of our shareholders has notified us of an intent to propose a resolution at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requesting that the Board study the feasibility of adopting a policy prohibiting the use of company funds to directly influence the outcome of any election or referendum and of prohibiting trade associations and non-profit organizations that receive payments from us from using our funds to influence the outcome of any election or referendum, and report to shareholders on its findings (the “Proposed Floor Proposal”). The Proposed Floor Proposal is not included in this proxy statement. If the Proposed Floor Proposal is properly presented at the annual meeting, your proxies will have discretionary voting authority under Rule 14a-4(c) of the Securities Exchange Act of 1934, as amended (the “Exchange Act”), with respect to the Proposed Floor Proposal and intend to exercise such discretion to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 xml:space="preserve">If you hold Class A common shares in the Comcast Corporation Retirement-Investment Plan or the Comcast Spectacor 401(k) Plan and vote, the respective plan trustee will vote your shares as you specify on your proxy card. If you hold Class A common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8"/>
          <w:szCs w:val="18"/>
          <w:i w:val="1"/>
          <w:iCs w:val="1"/>
          <w:color w:val="auto"/>
        </w:rPr>
        <w:t>To allow sufficient time for voting by the plan trustee, your voting instructions must be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May 16,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11, 2014, we mailed to our shareholders of record and beneficial owners a Notice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the website referred to in the Notice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will save money on the cost of printing and mailing documents to you and reduce the impact of our annual meeting of shareholders on the environment. See “Electronic Access to Proxy Materials and Annual Report on Form 10-K” below for further information on electing to receive proxy materials electronically.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(including the Proposed Floor Proposal).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9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Attendance at the meeting is limited to shareholders of record on March 21, 2014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Please bring an admission ticket with you to the meeting. Shareholders who do not present an admission ticket at the meeting will be admitted only upon verification of ownership. An admission ticket is attached to your proxy card, and your Notice will also serve as an admission ticket. Alternatively, if your shares are held in the name of your bank, brokerage firm or other nominee, the voting instruction form received from your bank, brokerage firm or other nominee or an account statement or letter from the nominee indicating that you beneficially owned shares on March 21, 2014, the record date for voting, will serve as an admission ticket.</w:t>
      </w:r>
    </w:p>
    <w:p>
      <w:pPr>
        <w:spacing w:after="0" w:line="76"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Registered shareholders also may request a replacement admission ticket by sending a written request to Comcast Corporation, in care of Broadridge Financial Solutions, Post Office Box 9160, Farmingdale, NY 11735.</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of the Meeting</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We are pleased to offer a live audio webcast of the matters to be voted upon at the annual meeting of shareholders. You may listen to this webcast starting at 9 a.m. on May 21, 2014 by visiting </w:t>
      </w:r>
      <w:r>
        <w:rPr>
          <w:rFonts w:ascii="Arial" w:cs="Arial" w:eastAsia="Arial" w:hAnsi="Arial"/>
          <w:sz w:val="18"/>
          <w:szCs w:val="18"/>
          <w:i w:val="1"/>
          <w:iCs w:val="1"/>
          <w:color w:val="auto"/>
        </w:rPr>
        <w:t>www.cmcsa.com/annual-proxy.cfm</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the Meeting</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Chairman of our Board (or any person designated by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the meeting is conducted in a manner that is fair to all shareholders, the Chairman (or such person designated by our Board) may exercise broad discretion in recognizing shareholders who wish to speak, in determining the extent of discussion on each item of business and in managing disruptions or disorderly conduct.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the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59"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94" w:lineRule="exact"/>
        <w:rPr>
          <w:rFonts w:ascii="Arial" w:cs="Arial" w:eastAsia="Arial" w:hAnsi="Arial"/>
          <w:sz w:val="18"/>
          <w:szCs w:val="18"/>
          <w:color w:val="auto"/>
        </w:rPr>
      </w:pPr>
    </w:p>
    <w:p>
      <w:pPr>
        <w:ind w:left="800" w:right="8580"/>
        <w:spacing w:after="0" w:line="275" w:lineRule="auto"/>
        <w:rPr>
          <w:rFonts w:ascii="Arial" w:cs="Arial" w:eastAsia="Arial" w:hAnsi="Arial"/>
          <w:sz w:val="18"/>
          <w:szCs w:val="18"/>
          <w:color w:val="auto"/>
        </w:rPr>
      </w:pPr>
      <w:r>
        <w:rPr>
          <w:rFonts w:ascii="Arial" w:cs="Arial" w:eastAsia="Arial" w:hAnsi="Arial"/>
          <w:sz w:val="16"/>
          <w:szCs w:val="16"/>
          <w:color w:val="auto"/>
        </w:rPr>
        <w:t>Arthur R. Block, Secretary Comcast Corporation One Comcast Center Philadelphia, PA 19103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Contacting Our Board, Board Committees or Directors</w:t>
      </w:r>
    </w:p>
    <w:p>
      <w:pPr>
        <w:spacing w:after="0" w:line="9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Board has provided a process for shareholders to communicate with its members. Shareholders and other interested parties who wish to communicate with our directors may address their correspondence to the Board, to the Lead Independent Director, to any other particular director, to the independent or nonemployee directors or to any committee of the Board or other group of directors, in care of Arthur R. Block, Secretary, Comcast Corporation, at the address given above. You also may send an e-mail in care of the Chair of the Audit Committee of the Board by using the following e-mail address: audit_committee_chair@comcast.com. All such communications are promptly reviewed and, as appropriate, forwarded to either the Board or the relevant director(s), committee(s) or group of directors based on the subject matter of the communication.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We will disclose under “Corporate Governance” in the Investors section of our website any amendments to, or any waivers under, the code of conduct that are required to be disclosed by the rules of the SEC. The charters of each of the Board’s Audit, Compensation, Finance and Governance and Directors Nominating Committees also are posted on our website. More information on our Board and its committees can be found beginning on page 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60" w:firstLine="3659"/>
        <w:spacing w:after="0" w:line="372" w:lineRule="auto"/>
        <w:rPr>
          <w:sz w:val="20"/>
          <w:szCs w:val="20"/>
          <w:color w:val="auto"/>
        </w:rPr>
      </w:pPr>
      <w:r>
        <w:rPr>
          <w:rFonts w:ascii="Arial" w:cs="Arial" w:eastAsia="Arial" w:hAnsi="Arial"/>
          <w:sz w:val="18"/>
          <w:szCs w:val="18"/>
          <w:b w:val="1"/>
          <w:bCs w:val="1"/>
          <w:color w:val="auto"/>
        </w:rPr>
        <w:t>VOTING SECURITIES AND PRINCIPAL HOLDERS OUTSTANDING SHARES AND VOTING RIGHTS</w:t>
      </w:r>
    </w:p>
    <w:p>
      <w:pPr>
        <w:spacing w:after="0" w:line="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At the close of business on March 21, 2014, the record date, we had outstanding 2,142,288,702 shares of Class A common stock, 444,064,771 shares of Class A Special common stock and 9,444,375 shares of Class B common stock.</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0.1323 votes per share and each holder of Class B common stock is entitled to 15 votes per share. Holders of Class A Special common stock are not entitled to vote at the meeting.</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7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(including the Proposed Floor Proposal) requires the favorable vote of a majority of the votes cast. Except as noted below with respect to broker nonvotes,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table sets forth information as of March 1, 2014 about persons we know to beneficially own more than 5% of any class of our voting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gridSpan w:val="2"/>
          </w:tcPr>
          <w:p>
            <w:pPr>
              <w:ind w:left="600"/>
              <w:spacing w:after="0"/>
              <w:rPr>
                <w:sz w:val="20"/>
                <w:szCs w:val="20"/>
                <w:color w:val="auto"/>
              </w:rPr>
            </w:pPr>
            <w:r>
              <w:rPr>
                <w:rFonts w:ascii="Arial" w:cs="Arial" w:eastAsia="Arial" w:hAnsi="Arial"/>
                <w:sz w:val="18"/>
                <w:szCs w:val="18"/>
                <w:b w:val="1"/>
                <w:bCs w:val="1"/>
                <w:color w:val="auto"/>
              </w:rPr>
              <w:t>Name and Address of</w:t>
            </w:r>
          </w:p>
        </w:tc>
        <w:tc>
          <w:tcPr>
            <w:tcW w:w="28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8"/>
              </w:rPr>
              <w:t>Amount Beneficially</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Percent of</w:t>
            </w:r>
          </w:p>
        </w:tc>
      </w:tr>
      <w:tr>
        <w:trPr>
          <w:trHeight w:val="235"/>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Voting Class</w:t>
            </w:r>
          </w:p>
        </w:tc>
        <w:tc>
          <w:tcPr>
            <w:tcW w:w="700" w:type="dxa"/>
            <w:vAlign w:val="bottom"/>
            <w:tcBorders>
              <w:bottom w:val="single" w:sz="8" w:color="CCEEFF"/>
            </w:tcBorders>
          </w:tcPr>
          <w:p>
            <w:pPr>
              <w:spacing w:after="0"/>
              <w:rPr>
                <w:sz w:val="20"/>
                <w:szCs w:val="20"/>
                <w:color w:val="auto"/>
              </w:rPr>
            </w:pPr>
          </w:p>
        </w:tc>
        <w:tc>
          <w:tcPr>
            <w:tcW w:w="30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Beneficial Owner</w:t>
            </w:r>
          </w:p>
        </w:tc>
        <w:tc>
          <w:tcPr>
            <w:tcW w:w="7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Owned</w:t>
            </w:r>
          </w:p>
        </w:tc>
        <w:tc>
          <w:tcPr>
            <w:tcW w:w="9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Class</w:t>
            </w:r>
          </w:p>
        </w:tc>
        <w:tc>
          <w:tcPr>
            <w:tcW w:w="220" w:type="dxa"/>
            <w:vAlign w:val="bottom"/>
            <w:tcBorders>
              <w:bottom w:val="single" w:sz="8" w:color="CCEEFF"/>
            </w:tcBorders>
          </w:tcPr>
          <w:p>
            <w:pPr>
              <w:spacing w:after="0"/>
              <w:rPr>
                <w:sz w:val="20"/>
                <w:szCs w:val="20"/>
                <w:color w:val="auto"/>
              </w:rPr>
            </w:pPr>
          </w:p>
        </w:tc>
      </w:tr>
      <w:tr>
        <w:trPr>
          <w:trHeight w:val="199"/>
        </w:trPr>
        <w:tc>
          <w:tcPr>
            <w:tcW w:w="36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Class A common stock</w:t>
            </w:r>
          </w:p>
        </w:tc>
        <w:tc>
          <w:tcPr>
            <w:tcW w:w="3700" w:type="dxa"/>
            <w:vAlign w:val="bottom"/>
            <w:gridSpan w:val="2"/>
            <w:shd w:val="clear" w:color="auto" w:fill="CCEEFF"/>
          </w:tcPr>
          <w:p>
            <w:pPr>
              <w:ind w:left="280"/>
              <w:spacing w:after="0" w:line="200" w:lineRule="exact"/>
              <w:rPr>
                <w:sz w:val="20"/>
                <w:szCs w:val="20"/>
                <w:color w:val="auto"/>
              </w:rPr>
            </w:pPr>
            <w:r>
              <w:rPr>
                <w:rFonts w:ascii="Arial" w:cs="Arial" w:eastAsia="Arial" w:hAnsi="Arial"/>
                <w:sz w:val="18"/>
                <w:szCs w:val="18"/>
                <w:color w:val="auto"/>
              </w:rPr>
              <w:t>BlackRock, Inc.</w:t>
            </w:r>
          </w:p>
        </w:tc>
        <w:tc>
          <w:tcPr>
            <w:tcW w:w="2820" w:type="dxa"/>
            <w:vAlign w:val="bottom"/>
            <w:gridSpan w:val="2"/>
            <w:shd w:val="clear" w:color="auto" w:fill="CCEEFF"/>
          </w:tcPr>
          <w:p>
            <w:pPr>
              <w:jc w:val="right"/>
              <w:ind w:right="820"/>
              <w:spacing w:after="0" w:line="200" w:lineRule="exact"/>
              <w:rPr>
                <w:sz w:val="20"/>
                <w:szCs w:val="20"/>
                <w:color w:val="auto"/>
              </w:rPr>
            </w:pPr>
            <w:r>
              <w:rPr>
                <w:rFonts w:ascii="Arial" w:cs="Arial" w:eastAsia="Arial" w:hAnsi="Arial"/>
                <w:sz w:val="18"/>
                <w:szCs w:val="18"/>
                <w:color w:val="auto"/>
              </w:rPr>
              <w:t>146,212,072</w:t>
            </w:r>
            <w:r>
              <w:rPr>
                <w:rFonts w:ascii="Arial" w:cs="Arial" w:eastAsia="Arial" w:hAnsi="Arial"/>
                <w:sz w:val="22"/>
                <w:szCs w:val="22"/>
                <w:color w:val="auto"/>
                <w:vertAlign w:val="superscript"/>
              </w:rPr>
              <w:t>(1)</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r>
      <w:tr>
        <w:trPr>
          <w:trHeight w:val="203"/>
        </w:trPr>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40 East 52nd Street</w:t>
            </w: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2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New York, NY 10022</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4"/>
        </w:trPr>
        <w:tc>
          <w:tcPr>
            <w:tcW w:w="362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The Vanguard Group</w:t>
            </w:r>
          </w:p>
        </w:tc>
        <w:tc>
          <w:tcPr>
            <w:tcW w:w="2820" w:type="dxa"/>
            <w:vAlign w:val="bottom"/>
            <w:gridSpan w:val="2"/>
          </w:tcPr>
          <w:p>
            <w:pPr>
              <w:jc w:val="right"/>
              <w:ind w:right="820"/>
              <w:spacing w:after="0"/>
              <w:rPr>
                <w:sz w:val="20"/>
                <w:szCs w:val="20"/>
                <w:color w:val="auto"/>
              </w:rPr>
            </w:pPr>
            <w:r>
              <w:rPr>
                <w:rFonts w:ascii="Arial" w:cs="Arial" w:eastAsia="Arial" w:hAnsi="Arial"/>
                <w:sz w:val="18"/>
                <w:szCs w:val="18"/>
                <w:color w:val="auto"/>
              </w:rPr>
              <w:t>115,773,453</w:t>
            </w:r>
            <w:r>
              <w:rPr>
                <w:rFonts w:ascii="Arial" w:cs="Arial" w:eastAsia="Arial" w:hAnsi="Arial"/>
                <w:sz w:val="11"/>
                <w:szCs w:val="11"/>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5.41%</w:t>
            </w:r>
          </w:p>
        </w:tc>
      </w:tr>
      <w:tr>
        <w:trPr>
          <w:trHeight w:val="203"/>
        </w:trPr>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100 Vanguard Blvd.</w:t>
            </w:r>
          </w:p>
        </w:tc>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2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gridSpan w:val="2"/>
          </w:tcPr>
          <w:p>
            <w:pPr>
              <w:ind w:left="280"/>
              <w:spacing w:after="0"/>
              <w:rPr>
                <w:sz w:val="20"/>
                <w:szCs w:val="20"/>
                <w:color w:val="auto"/>
              </w:rPr>
            </w:pPr>
            <w:r>
              <w:rPr>
                <w:rFonts w:ascii="Arial" w:cs="Arial" w:eastAsia="Arial" w:hAnsi="Arial"/>
                <w:sz w:val="18"/>
                <w:szCs w:val="18"/>
                <w:color w:val="auto"/>
              </w:rPr>
              <w:t>Malvern, PA 19355</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10"/>
        </w:trPr>
        <w:tc>
          <w:tcPr>
            <w:tcW w:w="2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06"/>
        </w:trPr>
        <w:tc>
          <w:tcPr>
            <w:tcW w:w="36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Class B common stock</w:t>
            </w:r>
          </w:p>
        </w:tc>
        <w:tc>
          <w:tcPr>
            <w:tcW w:w="3700" w:type="dxa"/>
            <w:vAlign w:val="bottom"/>
            <w:gridSpan w:val="2"/>
            <w:shd w:val="clear" w:color="auto" w:fill="CCEEFF"/>
          </w:tcPr>
          <w:p>
            <w:pPr>
              <w:ind w:left="280"/>
              <w:spacing w:after="0" w:line="206" w:lineRule="exact"/>
              <w:rPr>
                <w:sz w:val="20"/>
                <w:szCs w:val="20"/>
                <w:color w:val="auto"/>
              </w:rPr>
            </w:pPr>
            <w:r>
              <w:rPr>
                <w:rFonts w:ascii="Arial" w:cs="Arial" w:eastAsia="Arial" w:hAnsi="Arial"/>
                <w:sz w:val="18"/>
                <w:szCs w:val="18"/>
                <w:color w:val="auto"/>
              </w:rPr>
              <w:t>Brian L. Roberts</w:t>
            </w:r>
          </w:p>
        </w:tc>
        <w:tc>
          <w:tcPr>
            <w:tcW w:w="2820" w:type="dxa"/>
            <w:vAlign w:val="bottom"/>
            <w:gridSpan w:val="2"/>
            <w:shd w:val="clear" w:color="auto" w:fill="CCEEFF"/>
          </w:tcPr>
          <w:p>
            <w:pPr>
              <w:jc w:val="right"/>
              <w:ind w:right="820"/>
              <w:spacing w:after="0" w:line="206"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(3)</w:t>
            </w:r>
          </w:p>
        </w:tc>
        <w:tc>
          <w:tcPr>
            <w:tcW w:w="1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100.00%</w:t>
            </w:r>
          </w:p>
        </w:tc>
      </w:tr>
      <w:tr>
        <w:trPr>
          <w:trHeight w:val="203"/>
        </w:trPr>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One Comcast Center</w:t>
            </w:r>
          </w:p>
        </w:tc>
        <w:tc>
          <w:tcPr>
            <w:tcW w:w="1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2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Philadelphia, PA 19103</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2" w:lineRule="exact"/>
        <w:rPr>
          <w:sz w:val="20"/>
          <w:szCs w:val="20"/>
          <w:color w:val="auto"/>
        </w:rPr>
      </w:pPr>
    </w:p>
    <w:p>
      <w:pPr>
        <w:ind w:left="340" w:right="180" w:hanging="332"/>
        <w:spacing w:after="0" w:line="23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4, 2014 made by BlackRock, Inc. setting forth information as of December 31, 2013.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800" w:hanging="332"/>
        <w:spacing w:after="0" w:line="23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2014 made by The Vanguard Group setting forth information as of December 31, 2013.</w:t>
      </w:r>
    </w:p>
    <w:p>
      <w:pPr>
        <w:spacing w:after="0" w:line="7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Brian L. Roberts represent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and Class A Special common stock, see the table immediately below, “Security Ownership of Directors, Nominees and Executive Officers,” including footnotes (13) and (14) to the 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NOMINEES AND EXECUTIVE OFFICERS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table sets forth information as of March 1, 2014 about the amount of common stock beneficially owned by (i) our current directors (all of whom are also nominees for director), (ii) the named executive officers listed in the “Summary Compensation Table for 2013” on page 56 and (iii) our directors and executive officers as a group. No shares of common stock held by our directors or executive officers are held in margin accounts or have been hedged or pledged.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Beneficial</w:t>
            </w:r>
          </w:p>
        </w:tc>
        <w:tc>
          <w:tcPr>
            <w:tcW w:w="4700" w:type="dxa"/>
            <w:vAlign w:val="bottom"/>
            <w:gridSpan w:val="6"/>
          </w:tcPr>
          <w:p>
            <w:pPr>
              <w:jc w:val="right"/>
              <w:ind w:right="1440"/>
              <w:spacing w:after="0"/>
              <w:rPr>
                <w:sz w:val="20"/>
                <w:szCs w:val="20"/>
                <w:color w:val="auto"/>
              </w:rPr>
            </w:pPr>
            <w:r>
              <w:rPr>
                <w:rFonts w:ascii="Arial" w:cs="Arial" w:eastAsia="Arial" w:hAnsi="Arial"/>
                <w:sz w:val="18"/>
                <w:szCs w:val="18"/>
                <w:b w:val="1"/>
                <w:bCs w:val="1"/>
                <w:color w:val="auto"/>
              </w:rPr>
              <w:t>Amount Beneficially Owned</w:t>
            </w:r>
            <w:r>
              <w:rPr>
                <w:rFonts w:ascii="Arial" w:cs="Arial" w:eastAsia="Arial" w:hAnsi="Arial"/>
                <w:sz w:val="11"/>
                <w:szCs w:val="11"/>
                <w:b w:val="1"/>
                <w:bCs w:val="1"/>
                <w:color w:val="auto"/>
              </w:rPr>
              <w:t>(1)</w:t>
            </w:r>
          </w:p>
        </w:tc>
        <w:tc>
          <w:tcPr>
            <w:tcW w:w="840" w:type="dxa"/>
            <w:vAlign w:val="bottom"/>
          </w:tcPr>
          <w:p>
            <w:pPr>
              <w:spacing w:after="0"/>
              <w:rPr>
                <w:sz w:val="19"/>
                <w:szCs w:val="19"/>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Percent of Class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180" w:type="dxa"/>
            <w:vAlign w:val="bottom"/>
            <w:gridSpan w:val="2"/>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220"/>
              <w:spacing w:after="0" w:line="164" w:lineRule="exact"/>
              <w:rPr>
                <w:sz w:val="20"/>
                <w:szCs w:val="20"/>
                <w:color w:val="auto"/>
              </w:rPr>
            </w:pPr>
            <w:r>
              <w:rPr>
                <w:rFonts w:ascii="Arial" w:cs="Arial" w:eastAsia="Arial" w:hAnsi="Arial"/>
                <w:sz w:val="18"/>
                <w:szCs w:val="18"/>
                <w:b w:val="1"/>
                <w:bCs w:val="1"/>
                <w:color w:val="auto"/>
              </w:rPr>
              <w:t>Class A</w:t>
            </w:r>
          </w:p>
        </w:tc>
        <w:tc>
          <w:tcPr>
            <w:tcW w:w="104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580"/>
              <w:spacing w:after="0" w:line="164" w:lineRule="exact"/>
              <w:rPr>
                <w:sz w:val="20"/>
                <w:szCs w:val="20"/>
                <w:color w:val="auto"/>
              </w:rPr>
            </w:pPr>
            <w:r>
              <w:rPr>
                <w:rFonts w:ascii="Arial" w:cs="Arial" w:eastAsia="Arial" w:hAnsi="Arial"/>
                <w:sz w:val="18"/>
                <w:szCs w:val="18"/>
                <w:b w:val="1"/>
                <w:bCs w:val="1"/>
                <w:color w:val="auto"/>
                <w:w w:val="96"/>
              </w:rPr>
              <w:t>Class A</w:t>
            </w:r>
          </w:p>
        </w:tc>
        <w:tc>
          <w:tcPr>
            <w:tcW w:w="6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r>
              <w:rPr>
                <w:rFonts w:ascii="Arial" w:cs="Arial" w:eastAsia="Arial" w:hAnsi="Arial"/>
                <w:sz w:val="18"/>
                <w:szCs w:val="18"/>
                <w:b w:val="1"/>
                <w:bCs w:val="1"/>
                <w:color w:val="auto"/>
              </w:rPr>
              <w:t>Owner</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Class A</w:t>
            </w:r>
            <w:r>
              <w:rPr>
                <w:rFonts w:ascii="Arial" w:cs="Arial" w:eastAsia="Arial" w:hAnsi="Arial"/>
                <w:sz w:val="11"/>
                <w:szCs w:val="11"/>
                <w:b w:val="1"/>
                <w:bCs w:val="1"/>
                <w:color w:val="auto"/>
              </w:rPr>
              <w:t>(2)</w:t>
            </w:r>
          </w:p>
        </w:tc>
        <w:tc>
          <w:tcPr>
            <w:tcW w:w="620" w:type="dxa"/>
            <w:vAlign w:val="bottom"/>
          </w:tcPr>
          <w:p>
            <w:pPr>
              <w:spacing w:after="0"/>
              <w:rPr>
                <w:sz w:val="20"/>
                <w:szCs w:val="20"/>
                <w:color w:val="auto"/>
              </w:rPr>
            </w:pPr>
          </w:p>
        </w:tc>
        <w:tc>
          <w:tcPr>
            <w:tcW w:w="1060" w:type="dxa"/>
            <w:vAlign w:val="bottom"/>
          </w:tcPr>
          <w:p>
            <w:pPr>
              <w:ind w:left="220"/>
              <w:spacing w:after="0"/>
              <w:rPr>
                <w:sz w:val="20"/>
                <w:szCs w:val="20"/>
                <w:color w:val="auto"/>
              </w:rPr>
            </w:pPr>
            <w:r>
              <w:rPr>
                <w:rFonts w:ascii="Arial" w:cs="Arial" w:eastAsia="Arial" w:hAnsi="Arial"/>
                <w:sz w:val="18"/>
                <w:szCs w:val="18"/>
                <w:b w:val="1"/>
                <w:bCs w:val="1"/>
                <w:color w:val="auto"/>
              </w:rPr>
              <w:t>Special</w:t>
            </w:r>
          </w:p>
        </w:tc>
        <w:tc>
          <w:tcPr>
            <w:tcW w:w="40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Class B</w:t>
            </w:r>
          </w:p>
        </w:tc>
        <w:tc>
          <w:tcPr>
            <w:tcW w:w="6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5"/>
              </w:rPr>
              <w:t>Class A</w:t>
            </w:r>
            <w:r>
              <w:rPr>
                <w:rFonts w:ascii="Arial" w:cs="Arial" w:eastAsia="Arial" w:hAnsi="Arial"/>
                <w:sz w:val="11"/>
                <w:szCs w:val="11"/>
                <w:color w:val="auto"/>
                <w:w w:val="95"/>
              </w:rPr>
              <w:t>(2)</w:t>
            </w:r>
          </w:p>
        </w:tc>
        <w:tc>
          <w:tcPr>
            <w:tcW w:w="420" w:type="dxa"/>
            <w:vAlign w:val="bottom"/>
          </w:tcPr>
          <w:p>
            <w:pPr>
              <w:spacing w:after="0"/>
              <w:rPr>
                <w:sz w:val="20"/>
                <w:szCs w:val="20"/>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5"/>
              </w:rPr>
              <w:t>Special</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Class B</w:t>
            </w:r>
          </w:p>
        </w:tc>
        <w:tc>
          <w:tcPr>
            <w:tcW w:w="0" w:type="dxa"/>
            <w:vAlign w:val="bottom"/>
          </w:tcPr>
          <w:p>
            <w:pPr>
              <w:spacing w:after="0"/>
              <w:rPr>
                <w:sz w:val="1"/>
                <w:szCs w:val="1"/>
                <w:color w:val="auto"/>
              </w:rPr>
            </w:pPr>
          </w:p>
        </w:tc>
      </w:tr>
      <w:tr>
        <w:trPr>
          <w:trHeight w:val="20"/>
        </w:trPr>
        <w:tc>
          <w:tcPr>
            <w:tcW w:w="28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Michael J. Angelakis</w:t>
            </w:r>
          </w:p>
        </w:tc>
        <w:tc>
          <w:tcPr>
            <w:tcW w:w="3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2,371,079</w:t>
            </w:r>
            <w:r>
              <w:rPr>
                <w:rFonts w:ascii="Arial" w:cs="Arial" w:eastAsia="Arial" w:hAnsi="Arial"/>
                <w:sz w:val="11"/>
                <w:szCs w:val="11"/>
                <w:color w:val="auto"/>
              </w:rPr>
              <w:t>(3)</w:t>
            </w:r>
          </w:p>
        </w:tc>
        <w:tc>
          <w:tcPr>
            <w:tcW w:w="14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Kenneth J. Bacon</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36,046</w:t>
            </w:r>
          </w:p>
        </w:tc>
        <w:tc>
          <w:tcPr>
            <w:tcW w:w="1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Sheldon M. Bonovitz</w:t>
            </w:r>
          </w:p>
        </w:tc>
        <w:tc>
          <w:tcPr>
            <w:tcW w:w="15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44,649</w:t>
            </w:r>
            <w:r>
              <w:rPr>
                <w:rFonts w:ascii="Arial" w:cs="Arial" w:eastAsia="Arial" w:hAnsi="Arial"/>
                <w:sz w:val="11"/>
                <w:szCs w:val="11"/>
                <w:color w:val="auto"/>
              </w:rPr>
              <w:t>(4)</w:t>
            </w:r>
          </w:p>
        </w:tc>
        <w:tc>
          <w:tcPr>
            <w:tcW w:w="1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116,952</w:t>
            </w:r>
            <w:r>
              <w:rPr>
                <w:rFonts w:ascii="Arial" w:cs="Arial" w:eastAsia="Arial" w:hAnsi="Arial"/>
                <w:sz w:val="11"/>
                <w:szCs w:val="11"/>
                <w:color w:val="auto"/>
              </w:rPr>
              <w:t>(5)</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Edward D. Breen</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50,587</w:t>
            </w:r>
          </w:p>
        </w:tc>
        <w:tc>
          <w:tcPr>
            <w:tcW w:w="1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2,285,224</w:t>
            </w:r>
          </w:p>
        </w:tc>
        <w:tc>
          <w:tcPr>
            <w:tcW w:w="6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3,718</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David L. Cohen</w:t>
            </w:r>
          </w:p>
        </w:tc>
        <w:tc>
          <w:tcPr>
            <w:tcW w:w="15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3,094,053</w:t>
            </w:r>
            <w:r>
              <w:rPr>
                <w:rFonts w:ascii="Arial" w:cs="Arial" w:eastAsia="Arial" w:hAnsi="Arial"/>
                <w:sz w:val="11"/>
                <w:szCs w:val="11"/>
                <w:color w:val="auto"/>
              </w:rPr>
              <w:t>(6)</w:t>
            </w:r>
          </w:p>
        </w:tc>
        <w:tc>
          <w:tcPr>
            <w:tcW w:w="1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53,731</w:t>
            </w:r>
            <w:r>
              <w:rPr>
                <w:rFonts w:ascii="Arial" w:cs="Arial" w:eastAsia="Arial" w:hAnsi="Arial"/>
                <w:sz w:val="11"/>
                <w:szCs w:val="11"/>
                <w:color w:val="auto"/>
              </w:rPr>
              <w:t>(7)</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J. Collins</w:t>
            </w:r>
          </w:p>
        </w:tc>
        <w:tc>
          <w:tcPr>
            <w:tcW w:w="15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182,469</w:t>
            </w:r>
            <w:r>
              <w:rPr>
                <w:rFonts w:ascii="Arial" w:cs="Arial" w:eastAsia="Arial" w:hAnsi="Arial"/>
                <w:sz w:val="11"/>
                <w:szCs w:val="11"/>
                <w:color w:val="auto"/>
              </w:rPr>
              <w:t>(8)</w:t>
            </w: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J. Michael Cook</w:t>
            </w:r>
          </w:p>
        </w:tc>
        <w:tc>
          <w:tcPr>
            <w:tcW w:w="15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62,356</w:t>
            </w:r>
            <w:r>
              <w:rPr>
                <w:rFonts w:ascii="Arial" w:cs="Arial" w:eastAsia="Arial" w:hAnsi="Arial"/>
                <w:sz w:val="11"/>
                <w:szCs w:val="11"/>
                <w:color w:val="auto"/>
              </w:rPr>
              <w:t>(9)</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3,450</w:t>
            </w:r>
            <w:r>
              <w:rPr>
                <w:rFonts w:ascii="Arial" w:cs="Arial" w:eastAsia="Arial" w:hAnsi="Arial"/>
                <w:sz w:val="11"/>
                <w:szCs w:val="11"/>
                <w:color w:val="auto"/>
              </w:rPr>
              <w:t>(10)</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Gerald L. Hassell</w:t>
            </w: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50,713</w:t>
            </w: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Jeffrey A. Honickman</w:t>
            </w:r>
          </w:p>
        </w:tc>
        <w:tc>
          <w:tcPr>
            <w:tcW w:w="15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116,039</w:t>
            </w:r>
            <w:r>
              <w:rPr>
                <w:rFonts w:ascii="Arial" w:cs="Arial" w:eastAsia="Arial" w:hAnsi="Arial"/>
                <w:sz w:val="11"/>
                <w:szCs w:val="11"/>
                <w:color w:val="auto"/>
              </w:rPr>
              <w:t>(11)</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10,217</w:t>
            </w:r>
            <w:r>
              <w:rPr>
                <w:rFonts w:ascii="Arial" w:cs="Arial" w:eastAsia="Arial" w:hAnsi="Arial"/>
                <w:sz w:val="11"/>
                <w:szCs w:val="11"/>
                <w:color w:val="auto"/>
              </w:rPr>
              <w:t>(12)</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Eduardo G. Mestre</w:t>
            </w: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43,701</w:t>
            </w: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Brian L. Roberts</w:t>
            </w:r>
          </w:p>
        </w:tc>
        <w:tc>
          <w:tcPr>
            <w:tcW w:w="15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5,747,890</w:t>
            </w:r>
            <w:r>
              <w:rPr>
                <w:rFonts w:ascii="Arial" w:cs="Arial" w:eastAsia="Arial" w:hAnsi="Arial"/>
                <w:sz w:val="11"/>
                <w:szCs w:val="11"/>
                <w:color w:val="auto"/>
              </w:rPr>
              <w:t>(13)</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8,254,762</w:t>
            </w:r>
            <w:r>
              <w:rPr>
                <w:rFonts w:ascii="Arial" w:cs="Arial" w:eastAsia="Arial" w:hAnsi="Arial"/>
                <w:sz w:val="11"/>
                <w:szCs w:val="11"/>
                <w:color w:val="auto"/>
              </w:rPr>
              <w:t>(14)</w:t>
            </w:r>
          </w:p>
        </w:tc>
        <w:tc>
          <w:tcPr>
            <w:tcW w:w="16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1.8%</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23"/>
                <w:szCs w:val="23"/>
                <w:color w:val="auto"/>
                <w:vertAlign w:val="subscript"/>
              </w:rPr>
              <w:t>100%</w:t>
            </w:r>
            <w:r>
              <w:rPr>
                <w:rFonts w:ascii="Arial" w:cs="Arial" w:eastAsia="Arial" w:hAnsi="Arial"/>
                <w:sz w:val="9"/>
                <w:szCs w:val="9"/>
                <w:color w:val="auto"/>
              </w:rPr>
              <w:t>(15)</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Ralph J. Roberts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2,395,796</w:t>
            </w:r>
          </w:p>
        </w:tc>
        <w:tc>
          <w:tcPr>
            <w:tcW w:w="6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1,578,318</w:t>
            </w:r>
            <w:r>
              <w:rPr>
                <w:rFonts w:ascii="Arial" w:cs="Arial" w:eastAsia="Arial" w:hAnsi="Arial"/>
                <w:sz w:val="11"/>
                <w:szCs w:val="11"/>
                <w:color w:val="auto"/>
              </w:rPr>
              <w:t>(16)</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Johnathan A. Rodgers</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18,921</w:t>
            </w:r>
          </w:p>
        </w:tc>
        <w:tc>
          <w:tcPr>
            <w:tcW w:w="1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Dr. Judith Rodin</w:t>
            </w: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78,564</w:t>
            </w:r>
          </w:p>
        </w:tc>
        <w:tc>
          <w:tcPr>
            <w:tcW w:w="1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Neil Smit</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829,403</w:t>
            </w:r>
          </w:p>
        </w:tc>
        <w:tc>
          <w:tcPr>
            <w:tcW w:w="1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17,769,752</w:t>
            </w:r>
            <w:r>
              <w:rPr>
                <w:rFonts w:ascii="Arial" w:cs="Arial" w:eastAsia="Arial" w:hAnsi="Arial"/>
                <w:sz w:val="11"/>
                <w:szCs w:val="11"/>
                <w:color w:val="auto"/>
              </w:rPr>
              <w:t>(3)</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10,064,677</w:t>
            </w:r>
            <w:r>
              <w:rPr>
                <w:rFonts w:ascii="Arial" w:cs="Arial" w:eastAsia="Arial" w:hAnsi="Arial"/>
                <w:sz w:val="22"/>
                <w:szCs w:val="22"/>
                <w:color w:val="auto"/>
                <w:vertAlign w:val="superscript"/>
              </w:rPr>
              <w:t>(5)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as a group (18 persons)</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(4)(6) (8)(9)(11)(13)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(7)(10)(12)(14)(16)(17)</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Exchange Act.</w:t>
      </w:r>
    </w:p>
    <w:p>
      <w:pPr>
        <w:spacing w:after="0" w:line="76" w:lineRule="exact"/>
        <w:rPr>
          <w:rFonts w:ascii="Arial" w:cs="Arial" w:eastAsia="Arial" w:hAnsi="Arial"/>
          <w:sz w:val="18"/>
          <w:szCs w:val="18"/>
          <w:color w:val="auto"/>
        </w:rPr>
      </w:pPr>
    </w:p>
    <w:p>
      <w:pPr>
        <w:ind w:left="460" w:right="58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of Class A common stock for which the following persons hold options exercisable on or within 60 days of March 1, 2014: Mr. Angelakis, 1,921,504; Mr. Bonovitz, 11,250; Mr. Burke, 1,295,117; Mr. Cohen, 2,485,875 (597,015 of which 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0"/>
        <w:spacing w:after="0" w:line="239" w:lineRule="auto"/>
        <w:rPr>
          <w:sz w:val="20"/>
          <w:szCs w:val="20"/>
          <w:color w:val="auto"/>
        </w:rPr>
      </w:pPr>
      <w:r>
        <w:rPr>
          <w:rFonts w:ascii="Arial" w:cs="Arial" w:eastAsia="Arial" w:hAnsi="Arial"/>
          <w:sz w:val="18"/>
          <w:szCs w:val="18"/>
          <w:color w:val="auto"/>
        </w:rPr>
        <w:t>held by family trusts); Mr. Collins, 14,062; Mr. Cook, 11,250; Mr. Brian L. Roberts, 4,921,825; Mr. Ralph J. Roberts, 1,429,940; Dr. Rodin, 11,250; Mr. Smit, 592,170; and all directors and executive officers as a group, 12,919,025.</w:t>
      </w:r>
    </w:p>
    <w:p>
      <w:pPr>
        <w:spacing w:after="0" w:line="33" w:lineRule="exact"/>
        <w:rPr>
          <w:sz w:val="20"/>
          <w:szCs w:val="20"/>
          <w:color w:val="auto"/>
        </w:rPr>
      </w:pPr>
    </w:p>
    <w:p>
      <w:pPr>
        <w:ind w:left="460" w:right="60"/>
        <w:spacing w:after="0" w:line="238" w:lineRule="auto"/>
        <w:rPr>
          <w:sz w:val="20"/>
          <w:szCs w:val="20"/>
          <w:color w:val="auto"/>
        </w:rPr>
      </w:pPr>
      <w:r>
        <w:rPr>
          <w:rFonts w:ascii="Arial" w:cs="Arial" w:eastAsia="Arial" w:hAnsi="Arial"/>
          <w:sz w:val="18"/>
          <w:szCs w:val="18"/>
          <w:color w:val="auto"/>
        </w:rPr>
        <w:t>Includes beneficial ownership of the following number of shares of Class A common stock underlying restricted stock units (“RSUs”) held by the following persons that vest on or within 60 days of March 1, 2014: Mr. Angelakis, 203,325; Mr. Burke, 232,950; Mr. Cohen, 151,475; Mr. Brian L. Roberts, 333,205; Mr. Smit, 125,335; and all directors and executive officers as a group, 1,134,305.</w:t>
      </w:r>
    </w:p>
    <w:p>
      <w:pPr>
        <w:spacing w:after="0" w:line="32" w:lineRule="exact"/>
        <w:rPr>
          <w:sz w:val="20"/>
          <w:szCs w:val="20"/>
          <w:color w:val="auto"/>
        </w:rPr>
      </w:pPr>
    </w:p>
    <w:p>
      <w:pPr>
        <w:ind w:left="460" w:right="60"/>
        <w:spacing w:after="0" w:line="237" w:lineRule="auto"/>
        <w:rPr>
          <w:sz w:val="20"/>
          <w:szCs w:val="20"/>
          <w:color w:val="auto"/>
        </w:rPr>
      </w:pPr>
      <w:r>
        <w:rPr>
          <w:rFonts w:ascii="Arial" w:cs="Arial" w:eastAsia="Arial" w:hAnsi="Arial"/>
          <w:sz w:val="18"/>
          <w:szCs w:val="18"/>
          <w:color w:val="auto"/>
        </w:rPr>
        <w:t>Includes the following number of share equivalents that will be paid at a future date in cash and/or in our Class A common stock pursuant to an election made under our restricted stock plan for the following persons: Mr. Bacon, 13,059; Mr. Bonovitz, 15,777; Mr. Breen, 11,504; Mr. Collins, 53,519; Mr. Cook, 35,119; Mr. Hassell, 42,030; Mr. Honickman, 53,622; Mr. Mestre, 17,832; Mr. Ralph J. Roberts, 748,270; Mr. Rodgers, 14,091; and Dr. Rodin, 53,516.</w:t>
      </w:r>
    </w:p>
    <w:p>
      <w:pPr>
        <w:spacing w:after="0" w:line="33" w:lineRule="exact"/>
        <w:rPr>
          <w:sz w:val="20"/>
          <w:szCs w:val="20"/>
          <w:color w:val="auto"/>
        </w:rPr>
      </w:pPr>
    </w:p>
    <w:p>
      <w:pPr>
        <w:ind w:left="460" w:right="260"/>
        <w:spacing w:after="0" w:line="238" w:lineRule="auto"/>
        <w:rPr>
          <w:sz w:val="20"/>
          <w:szCs w:val="20"/>
          <w:color w:val="auto"/>
        </w:rPr>
      </w:pPr>
      <w:r>
        <w:rPr>
          <w:rFonts w:ascii="Arial" w:cs="Arial" w:eastAsia="Arial" w:hAnsi="Arial"/>
          <w:sz w:val="18"/>
          <w:szCs w:val="18"/>
          <w:color w:val="auto"/>
        </w:rPr>
        <w:t>Includes the following number of share equivalents that will be paid at a future date in our Class A common stock under our deferred compensation plans for the following persons: Mr. Breen, 6,165; Mr. Collins, 12,889; Mr. Cook, 5,718; Mr. Hassell, 8,683; Mr. Honickman, 11,915; Mr. Mestre, 3,369; Mr. Rodgers, 1,886; and Dr. Rodin, 7,409.</w:t>
      </w:r>
    </w:p>
    <w:p>
      <w:pPr>
        <w:spacing w:after="0" w:line="46" w:lineRule="exact"/>
        <w:rPr>
          <w:sz w:val="20"/>
          <w:szCs w:val="20"/>
          <w:color w:val="auto"/>
        </w:rPr>
      </w:pPr>
    </w:p>
    <w:p>
      <w:pPr>
        <w:ind w:left="460" w:right="400" w:hanging="452"/>
        <w:spacing w:after="0" w:line="23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168,242 shares of Class A common stock held jointly by him and his wife; 48,551 shares held by a family trust of which he is a trustee; and 29,074 shares owned by a charitable foundation of which he and his wife are trustees.</w:t>
      </w:r>
    </w:p>
    <w:p>
      <w:pPr>
        <w:spacing w:after="0" w:line="46" w:lineRule="exact"/>
        <w:rPr>
          <w:rFonts w:ascii="Arial" w:cs="Arial" w:eastAsia="Arial" w:hAnsi="Arial"/>
          <w:sz w:val="18"/>
          <w:szCs w:val="18"/>
          <w:color w:val="auto"/>
        </w:rPr>
      </w:pPr>
    </w:p>
    <w:p>
      <w:pPr>
        <w:ind w:left="460" w:right="620" w:hanging="452"/>
        <w:spacing w:after="0" w:line="23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72 shares of Class A common stock held by a testamentary trust of which he is a trustee and 2,992 shares owned by family partnerships.</w:t>
      </w:r>
    </w:p>
    <w:p>
      <w:pPr>
        <w:spacing w:after="0" w:line="46" w:lineRule="exact"/>
        <w:rPr>
          <w:rFonts w:ascii="Arial" w:cs="Arial" w:eastAsia="Arial" w:hAnsi="Arial"/>
          <w:sz w:val="18"/>
          <w:szCs w:val="18"/>
          <w:color w:val="auto"/>
        </w:rPr>
      </w:pPr>
    </w:p>
    <w:p>
      <w:pPr>
        <w:ind w:left="460" w:right="360" w:hanging="452"/>
        <w:spacing w:after="0" w:line="23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15,714 shares of Class A Special common stock owned by a charitable foundation of which his wife is a trustee; 97,891 shares owned by family partnerships; and 3,000 shares owned by a family trust of which he is a trustee.</w:t>
      </w:r>
    </w:p>
    <w:p>
      <w:pPr>
        <w:spacing w:after="0" w:line="46"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338,870 shares of Class A common stock owned in family trusts; 58,839 shares held by a grantor retained annuity trust of which he is a trustee; and 9,463 shares owned by a charitable foundation controlled by him, his wife and his children.</w:t>
      </w:r>
    </w:p>
    <w:p>
      <w:pPr>
        <w:spacing w:after="0" w:line="46" w:lineRule="exact"/>
        <w:rPr>
          <w:rFonts w:ascii="Arial" w:cs="Arial" w:eastAsia="Arial" w:hAnsi="Arial"/>
          <w:sz w:val="18"/>
          <w:szCs w:val="18"/>
          <w:color w:val="auto"/>
        </w:rPr>
      </w:pPr>
    </w:p>
    <w:p>
      <w:pPr>
        <w:ind w:left="460" w:right="320" w:hanging="452"/>
        <w:spacing w:after="0" w:line="23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20,707 shares of Class A Special common stock owned in family trusts; 9,240 shares held by a grantor retained annuity trust of which he is a trustee; and 6,257 shares owned by a charitable foundation controlled by him, his wife and his children.</w:t>
      </w:r>
    </w:p>
    <w:p>
      <w:pPr>
        <w:spacing w:after="0" w:line="4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102,000 shares of Class A common stock held by grantor retained annuity trusts of which he is a trustee.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2,425 shares of Class A common stock owned by his wife and 1,455 shares held jointly by him and his wife.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3,450 shares of Class A Special common stock held jointly by him and his wife.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10,000 shares of Class A common stock held by a grantor trust of which he is a trustee.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77 shares of Class A Special common stock owned by his daughters.</w:t>
      </w:r>
    </w:p>
    <w:p>
      <w:pPr>
        <w:spacing w:after="0" w:line="49" w:lineRule="exact"/>
        <w:rPr>
          <w:rFonts w:ascii="Arial" w:cs="Arial" w:eastAsia="Arial" w:hAnsi="Arial"/>
          <w:sz w:val="18"/>
          <w:szCs w:val="18"/>
          <w:color w:val="auto"/>
        </w:rPr>
      </w:pPr>
    </w:p>
    <w:p>
      <w:pPr>
        <w:ind w:left="460" w:hanging="452"/>
        <w:spacing w:after="0" w:line="23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19,000 shares of Class A common stock held by a family trust; 15,825 shares owned in our retirement-investment plan; and 2,034 shares owned by his wife. Does not include the shares of Class A common stock beneficially owned by Mr. Ralph J. Roberts over which he has a power of attorney nor does it include shares of Class A common stock issuable upon conversion of Class B common stock beneficially owned by him; if he were to convert the Class B common stock that he beneficially owns into Class A common stock, he would beneficially own 15,192,265 shares of Class A common stock, representing less than 1% of the Class A common stock.</w:t>
      </w:r>
    </w:p>
    <w:p>
      <w:pPr>
        <w:spacing w:after="0" w:line="49" w:lineRule="exact"/>
        <w:rPr>
          <w:rFonts w:ascii="Arial" w:cs="Arial" w:eastAsia="Arial" w:hAnsi="Arial"/>
          <w:sz w:val="18"/>
          <w:szCs w:val="18"/>
          <w:color w:val="auto"/>
        </w:rPr>
      </w:pPr>
    </w:p>
    <w:p>
      <w:pPr>
        <w:jc w:val="both"/>
        <w:ind w:left="460" w:right="60" w:hanging="452"/>
        <w:spacing w:after="0" w:line="23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68,909 shares of Class A Special common stock owned in our retirement-investment plan. Also includes 269,835 shares owned by his wife; 240 shares owned by his daughter; and 327,365 shares owned by a family charitable foundation of which his wife is a trustee. Also includes 6,856,323 shares owned by a limited liability company of which he is the managing member and 699,298 shares owned by certain family trusts. Does not include the shares of Class A Special common stock</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spacing w:after="0" w:line="237" w:lineRule="auto"/>
        <w:rPr>
          <w:sz w:val="20"/>
          <w:szCs w:val="20"/>
          <w:color w:val="auto"/>
        </w:rPr>
      </w:pPr>
      <w:r>
        <w:rPr>
          <w:rFonts w:ascii="Arial" w:cs="Arial" w:eastAsia="Arial" w:hAnsi="Arial"/>
          <w:sz w:val="18"/>
          <w:szCs w:val="18"/>
          <w:color w:val="auto"/>
        </w:rPr>
        <w:t>beneficially owned by Mr. Ralph J. Roberts over which he has a power of attorney nor does it include shares of Class A Special common stock issuable upon conversion of Class B common stock beneficially owned by him; if he were to convert the Class B common stock that he beneficially owns into Class A Special common stock, he would beneficially own 17,699,137 shares of Class A Special common stock, representing approximately 3.9% of the Class A Special common stock.</w:t>
      </w:r>
    </w:p>
    <w:p>
      <w:pPr>
        <w:spacing w:after="0" w:line="4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footnote (3) under “— Principal Shareholders” above.</w:t>
      </w:r>
    </w:p>
    <w:p>
      <w:pPr>
        <w:spacing w:after="0" w:line="49" w:lineRule="exact"/>
        <w:rPr>
          <w:rFonts w:ascii="Arial" w:cs="Arial" w:eastAsia="Arial" w:hAnsi="Arial"/>
          <w:sz w:val="18"/>
          <w:szCs w:val="18"/>
          <w:color w:val="auto"/>
        </w:rPr>
      </w:pPr>
    </w:p>
    <w:p>
      <w:pPr>
        <w:ind w:left="460" w:hanging="452"/>
        <w:spacing w:after="0" w:line="23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278,346 shares of Class A Special common stock owned by family partnerships, the general partner of which is controlled by him; 248,768 shares held by grantor retained annuity trusts of which he is a trustee; and 69,875 shares owned by a family charitable foundation of which his wife is a trustee.</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21,473 shares of Class A Special common stock owned by the children of an executive officer, other than those named above.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2013 through December 31, 2013 were made on a timely basis.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Based on the recommendation of our Board’s Governance and Directors Nominating Committee, our Board has nominated the director candidates named below. All of the nominees for director currently serve as our directors. All of our directors are elected annually.</w:t>
      </w:r>
    </w:p>
    <w:p>
      <w:pPr>
        <w:spacing w:after="0" w:line="12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w:t>
      </w:r>
    </w:p>
    <w:p>
      <w:pPr>
        <w:spacing w:after="0" w:line="12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xml:space="preserve"> and in accordance with applicable NASDAQ Global Select Market rules. In making its independence determinations, our Board considered transactions and relationships between each director or any member of his or her immediate family and us and our subsidiaries and affiliates, including those reported under “Related Party Transaction Policy and Certain Transactions” below. The Board also considered that we and our subsidiaries in the ordinary course of business have, during the current year and the past three fiscal years, sold products and services to, and/or purchased products and services from, companies at which some of our directors are currently an executive officer or a significant shareholder. In each case, the amount paid to or received from these companies was below 1% of the recipient company’s total consolidated gross revenues, which is far below the 5% limit prescribed by NASDAQ Global Select Market.</w:t>
      </w:r>
    </w:p>
    <w:p>
      <w:pPr>
        <w:spacing w:after="0" w:line="13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Following the annual meeting of shareholders, if all director nominees are elected to serve as our directors, nine of our twelve directors will be independent.</w:t>
      </w:r>
    </w:p>
    <w:p>
      <w:pPr>
        <w:spacing w:after="0" w:line="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Board strives to balance the need to have directors with a variety of experiences and areas of expertise and knowledge, while maintaining appropriate gender and minority representation (a third of our directors are diverse by gender or race). We seek directors who, among other things, have general leadership expertise; relevant industry experience; financial experience; or government, legal or philanthropic experience. Our Governance and Directors Nominating Committee has developed a matrix outlining these and other specific director qualifications to help ensure that our directors bring to the Board a diversity of experience, qualifications and skills to oversee and address the current issues facing our company. The qualifications listed below for our directors reflect the general categories they satisfy on our matrix. In addition to the specific qualifications below, all of our directors possess key attributes that we seek in a director, including strong and effective decision-making, communication and leadership skills. We believe that our Board as a whole is diverse and that our directors have a broad range of experiences as set forth in more detail below.</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Kenneth J. Bacon: </w:t>
            </w:r>
            <w:r>
              <w:rPr>
                <w:rFonts w:ascii="Arial" w:cs="Arial" w:eastAsia="Arial" w:hAnsi="Arial"/>
                <w:sz w:val="18"/>
                <w:szCs w:val="18"/>
                <w:color w:val="auto"/>
              </w:rPr>
              <w:t>Mr. Bacon has been a partner at RailField Partners, a financial advisory</w:t>
            </w:r>
          </w:p>
        </w:tc>
        <w:tc>
          <w:tcPr>
            <w:tcW w:w="3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and asset management firm, since his retirement from Fannie Mae in March 2012, where he</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had served as the Executive Vice President of the multifamily mortgage business since July</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2005. From January 2005 to July 2005, he served as the interim Executive Vice President of</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Housing and Community Development. Mr. Bacon is a member of the National Multifamily</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580" w:type="dxa"/>
            <w:vAlign w:val="bottom"/>
            <w:vMerge w:val="continue"/>
          </w:tcPr>
          <w:p>
            <w:pPr>
              <w:spacing w:after="0"/>
              <w:rPr>
                <w:sz w:val="9"/>
                <w:szCs w:val="9"/>
                <w:color w:val="auto"/>
              </w:rPr>
            </w:pPr>
          </w:p>
        </w:tc>
        <w:tc>
          <w:tcPr>
            <w:tcW w:w="3840" w:type="dxa"/>
            <w:vAlign w:val="bottom"/>
            <w:vMerge w:val="restart"/>
          </w:tcPr>
          <w:p>
            <w:pPr>
              <w:ind w:left="200"/>
              <w:spacing w:after="0"/>
              <w:rPr>
                <w:sz w:val="20"/>
                <w:szCs w:val="20"/>
                <w:color w:val="auto"/>
              </w:rPr>
            </w:pPr>
            <w:r>
              <w:rPr>
                <w:rFonts w:ascii="Arial" w:cs="Arial" w:eastAsia="Arial" w:hAnsi="Arial"/>
                <w:sz w:val="18"/>
                <w:szCs w:val="18"/>
                <w:color w:val="auto"/>
              </w:rPr>
              <w:t>Forest City Enterprises, Inc.</w:t>
            </w:r>
          </w:p>
        </w:tc>
        <w:tc>
          <w:tcPr>
            <w:tcW w:w="0" w:type="dxa"/>
            <w:vAlign w:val="bottom"/>
          </w:tcPr>
          <w:p>
            <w:pPr>
              <w:spacing w:after="0"/>
              <w:rPr>
                <w:sz w:val="1"/>
                <w:szCs w:val="1"/>
                <w:color w:val="auto"/>
              </w:rPr>
            </w:pPr>
          </w:p>
        </w:tc>
      </w:tr>
      <w:tr>
        <w:trPr>
          <w:trHeight w:val="103"/>
        </w:trPr>
        <w:tc>
          <w:tcPr>
            <w:tcW w:w="7580" w:type="dxa"/>
            <w:vAlign w:val="bottom"/>
            <w:vMerge w:val="restart"/>
          </w:tcPr>
          <w:p>
            <w:pPr>
              <w:spacing w:after="0"/>
              <w:rPr>
                <w:sz w:val="20"/>
                <w:szCs w:val="20"/>
                <w:color w:val="auto"/>
              </w:rPr>
            </w:pPr>
            <w:r>
              <w:rPr>
                <w:rFonts w:ascii="Arial" w:cs="Arial" w:eastAsia="Arial" w:hAnsi="Arial"/>
                <w:sz w:val="18"/>
                <w:szCs w:val="18"/>
                <w:color w:val="auto"/>
              </w:rPr>
              <w:t>Housing Council and a director of the Corporation for Supportive Housing.</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580" w:type="dxa"/>
            <w:vAlign w:val="bottom"/>
            <w:vMerge w:val="continue"/>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Bacon’s significant experience in government affairs, the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financial and housing industries and the non-profit, educational and philanthropic communities</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renders him qualified to serve as one of our directors.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58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Sheldon M. Bonovitz: </w:t>
            </w:r>
            <w:r>
              <w:rPr>
                <w:rFonts w:ascii="Arial" w:cs="Arial" w:eastAsia="Arial" w:hAnsi="Arial"/>
                <w:sz w:val="18"/>
                <w:szCs w:val="18"/>
                <w:color w:val="auto"/>
                <w:w w:val="99"/>
              </w:rPr>
              <w:t>Mr. Bonovitz is currently Chairman Emeritus of Duane Morris LLP, a law</w:t>
            </w:r>
          </w:p>
        </w:tc>
        <w:tc>
          <w:tcPr>
            <w:tcW w:w="3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firm. From January 1998 to December 2007, he served as Chairman and Chief Executive</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1979</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Officer of Duane Morris. Mr. Bonovitz is also Chairman of Philadelphia’s Children First Fund, a</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trustee of the Dolfinger-McMahon Charitable Trust and the Christian R. and Mary F. Lindbach</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Foundation and a member of the board of trustees of the Barnes Foundation, the Curtis</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Institute of Music, the Free Library of Philadelphia Foundation and the Philadelphia Museum of</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Art.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Bonovitz’s experience and leadership in the legal industry,</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including his experience as a chief executive officer as noted above, and experience in tax</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matters and the non-profit, educational and philanthropic communities render him qualified to</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serve as one of our directors.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Edward D. Breen: </w:t>
            </w:r>
            <w:r>
              <w:rPr>
                <w:rFonts w:ascii="Arial" w:cs="Arial" w:eastAsia="Arial" w:hAnsi="Arial"/>
                <w:sz w:val="18"/>
                <w:szCs w:val="18"/>
                <w:color w:val="auto"/>
              </w:rPr>
              <w:t>Mr. Breen has been the Chairman of the Board of Tyco International Ltd.</w:t>
            </w:r>
          </w:p>
        </w:tc>
        <w:tc>
          <w:tcPr>
            <w:tcW w:w="3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since July 2002; he had also been its Chief Executive Officer from July 2002 until September</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2012. Prior to joining Tyco International, Mr. Breen was President and Chief Operating Officer</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of Motorola from January 2002 to July 2002; Executive Vice President and President of</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Motorola’s Networks Sector from January 2001 to January 2002; Executive Vice President and</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580" w:type="dxa"/>
            <w:vAlign w:val="bottom"/>
            <w:vMerge w:val="continue"/>
          </w:tcPr>
          <w:p>
            <w:pPr>
              <w:spacing w:after="0"/>
              <w:rPr>
                <w:sz w:val="9"/>
                <w:szCs w:val="9"/>
                <w:color w:val="auto"/>
              </w:rPr>
            </w:pPr>
          </w:p>
        </w:tc>
        <w:tc>
          <w:tcPr>
            <w:tcW w:w="3840" w:type="dxa"/>
            <w:vAlign w:val="bottom"/>
            <w:vMerge w:val="restart"/>
          </w:tcPr>
          <w:p>
            <w:pPr>
              <w:ind w:left="200"/>
              <w:spacing w:after="0"/>
              <w:rPr>
                <w:sz w:val="20"/>
                <w:szCs w:val="20"/>
                <w:color w:val="auto"/>
              </w:rPr>
            </w:pPr>
            <w:r>
              <w:rPr>
                <w:rFonts w:ascii="Arial" w:cs="Arial" w:eastAsia="Arial" w:hAnsi="Arial"/>
                <w:sz w:val="18"/>
                <w:szCs w:val="18"/>
                <w:color w:val="auto"/>
              </w:rPr>
              <w:t>Tyco International Ltd.</w:t>
            </w:r>
          </w:p>
        </w:tc>
        <w:tc>
          <w:tcPr>
            <w:tcW w:w="0" w:type="dxa"/>
            <w:vAlign w:val="bottom"/>
          </w:tcPr>
          <w:p>
            <w:pPr>
              <w:spacing w:after="0"/>
              <w:rPr>
                <w:sz w:val="1"/>
                <w:szCs w:val="1"/>
                <w:color w:val="auto"/>
              </w:rPr>
            </w:pPr>
          </w:p>
        </w:tc>
      </w:tr>
      <w:tr>
        <w:trPr>
          <w:trHeight w:val="103"/>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President of Motorola’s Broadband Communications Sector from January 2000 to January</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580" w:type="dxa"/>
            <w:vAlign w:val="bottom"/>
            <w:vMerge w:val="continue"/>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w w:val="99"/>
              </w:rPr>
              <w:t>2001; Chairman, President and Chief Executive Officer of General Instrument Corporation from</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December 1997 to January 2000; and, prior to December 1997, President of General</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Instrument’s Broadband Networks Group. Mr. Breen is a member of the advisory board of New</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Mountain Capital, and had previously served as one of our directors from June 2005 until</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November 2011.</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Breen’s extensive experience in the technology, equipment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w w:val="99"/>
              </w:rPr>
              <w:t>supplier and consumer product sectors, notably as those sectors relate to the cable, phone and</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wireless industries, including his various experiences as a president and chief executive officer</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as noted above, renders him qualified to serve as one of our directors.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58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580" w:type="dxa"/>
            <w:vAlign w:val="bottom"/>
          </w:tcPr>
          <w:p>
            <w:pPr>
              <w:ind w:left="5660"/>
              <w:spacing w:after="0"/>
              <w:rPr>
                <w:sz w:val="20"/>
                <w:szCs w:val="20"/>
                <w:color w:val="auto"/>
              </w:rPr>
            </w:pPr>
            <w:r>
              <w:rPr>
                <w:rFonts w:ascii="Arial" w:cs="Arial" w:eastAsia="Arial" w:hAnsi="Arial"/>
                <w:sz w:val="18"/>
                <w:szCs w:val="18"/>
                <w:color w:val="auto"/>
              </w:rPr>
              <w:t>9</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Joseph J. Collins: </w:t>
            </w:r>
            <w:r>
              <w:rPr>
                <w:rFonts w:ascii="Arial" w:cs="Arial" w:eastAsia="Arial" w:hAnsi="Arial"/>
                <w:sz w:val="18"/>
                <w:szCs w:val="18"/>
                <w:color w:val="auto"/>
              </w:rPr>
              <w:t>Mr. Collins currently serves as the Chairman of Aegis, LLC. From August</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2001 to December 2003, he served as Chairman and Chief Executive Officer of AOL Time</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October 2004</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Warner Interactive Video. From 1989 to August 2001, Mr. Collins served as Chairman and</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Chief Executive Officer of Time Warner Cable.</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Collins’ extensive experience and leadership in the 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and Internet industries, including his various experiences as a chief executive officer as noted</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above, coupled with his experience in the cable, media and entertainment and technology</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industries and in government affairs,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 Michael Cook: </w:t>
            </w:r>
            <w:r>
              <w:rPr>
                <w:rFonts w:ascii="Arial" w:cs="Arial" w:eastAsia="Arial" w:hAnsi="Arial"/>
                <w:sz w:val="18"/>
                <w:szCs w:val="18"/>
                <w:color w:val="auto"/>
              </w:rPr>
              <w:t>Mr. Cook is Chairman of the Accountability Advisory Panel to the Controller</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General of the United States, an emeritus member of the Advisory Council of the Public</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Company Accounting Oversight Board (“PCAOB”), a member of the PCAOB’s Standing</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Advisory Committee and a member of the Accounting Hall of Fame. In addition, Mr. Cook</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retired as Chairman and Chief Executive Officer of Deloitte &amp; Touche in 1999. He also has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International Flavors &amp; Fragrances, Inc.</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served as Chairman of the Board of the Comeback America Initiative and is a Chairman</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Emeritus of the Board of Catalyst. Mr. Cook was named one of the Outstanding Directors in</w:t>
            </w:r>
          </w:p>
        </w:tc>
        <w:tc>
          <w:tcPr>
            <w:tcW w:w="38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 xml:space="preserve">Former Public Company Directorships: </w:t>
            </w:r>
            <w:r>
              <w:rPr>
                <w:rFonts w:ascii="Arial" w:cs="Arial" w:eastAsia="Arial" w:hAnsi="Arial"/>
                <w:sz w:val="18"/>
                <w:szCs w:val="18"/>
                <w:color w:val="auto"/>
              </w:rPr>
              <w:t>Eli</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America by Director’s Alert in 2002 and has been a past member of the National Association of</w:t>
            </w:r>
          </w:p>
        </w:tc>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Lilly and Company</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Corporate Directors’ Blue Ribbon Commissions on Corporate Governance and Audit</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Committees.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Cook’s extensive experience and leadership in the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accounting profession, including his experience as the former Chairman and Chief Executive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Officer of Deloitte &amp; Touche, coupled with his skills in corporate governance matters, render him</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Gerald L. Hassell: </w:t>
            </w:r>
            <w:r>
              <w:rPr>
                <w:rFonts w:ascii="Arial" w:cs="Arial" w:eastAsia="Arial" w:hAnsi="Arial"/>
                <w:sz w:val="18"/>
                <w:szCs w:val="18"/>
                <w:color w:val="auto"/>
              </w:rPr>
              <w:t>Mr. Hassell is the Chairman and Chief Executive Officer of The Bank of</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New York Mellon. Prior to the merger of The Bank of New York Company, Inc. and Mellon</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2008</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Financial Corporation in July 2007, Mr. Hassell was President of The Bank of New York</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Company, Inc. and The Bank of New York. Mr. Hassell is a member of the board of trustees of</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Duke University, a member of the board of visitors of Columbia University Medical Center, a</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member of the Financial Services Forum, Vice Chairman of Big Brothers/Big Sisters of New</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York and a member of the boards of the New York Philharmonic, the Economic Club of New</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York and the National September 11 Memorial &amp; Museum.</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Hassell’s significant experience and leadership in the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financial industry, including with respect to consumer financial products and his experience as a</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chief executive officer as noted above,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600" w:type="dxa"/>
            <w:vAlign w:val="bottom"/>
          </w:tcPr>
          <w:p>
            <w:pPr>
              <w:ind w:left="5620"/>
              <w:spacing w:after="0"/>
              <w:rPr>
                <w:sz w:val="20"/>
                <w:szCs w:val="20"/>
                <w:color w:val="auto"/>
              </w:rPr>
            </w:pPr>
            <w:r>
              <w:rPr>
                <w:rFonts w:ascii="Arial" w:cs="Arial" w:eastAsia="Arial" w:hAnsi="Arial"/>
                <w:sz w:val="18"/>
                <w:szCs w:val="18"/>
                <w:color w:val="auto"/>
              </w:rPr>
              <w:t>10</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Jeffrey A. Honickman: </w:t>
            </w:r>
            <w:r>
              <w:rPr>
                <w:rFonts w:ascii="Arial" w:cs="Arial" w:eastAsia="Arial" w:hAnsi="Arial"/>
                <w:sz w:val="18"/>
                <w:szCs w:val="18"/>
                <w:color w:val="auto"/>
              </w:rPr>
              <w:t>Mr. Honickman has served since 1990 as the Chief Executive Officer</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of Pepsi-Cola &amp; National Brand Beverages, Ltd., a bottling and distribution company, which</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2005</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includes among its affiliates Pepsi-Cola Bottling Company of New York, Inc. and Canada Dry</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bottling companies from New York to Virginia. He is also the Vice President and Secretary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Antonio Origlio Inc., a beverage distributor based in Philadelphia, Pennsylvania, which does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business as Origlio Beverages. He currently serves on the board of directors of the American</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Beverage Association and the Dr. Pepper Snapple Bottlers Association. Mr. Honickman is a</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member of the board of trustees of Germantown Academy. He also serves on the board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governors of St. Joseph’s University Academy of Food Marketing and the board of trustees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the National Museum of American Jewish History.</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Honickman’s significant experience in the wholesale and</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consumer products industries, including his experience as a chief executive officer as noted</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above, renders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Eduardo G. Mestre: </w:t>
            </w:r>
            <w:r>
              <w:rPr>
                <w:rFonts w:ascii="Arial" w:cs="Arial" w:eastAsia="Arial" w:hAnsi="Arial"/>
                <w:sz w:val="18"/>
                <w:szCs w:val="18"/>
                <w:color w:val="auto"/>
              </w:rPr>
              <w:t>Mr. Mestre has been a Senior Advisor to Evercore Partners Inc., an</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independent investment banking advisory firm, since April 2014. From February 2012 until April</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2011</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2014, he was a Senior Managing Director and Chairman of Global Advisory of Evercore</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Partners, and from October 2004 until February 2012, he was a Vice Chairman of Evercore</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Partners. From 2001 to 2004, Mr. Mestre served as Chairman of Citigroup’s global investment</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Avis Budget Group, Inc.</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bank. From 1995 to 2001, he served as head of investment banking and, prior to that, as co-</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head of mergers and acquisitions at Salomon Smith Barney. Prior to joining Salomon in 1977,</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Mr. Mestre practiced law at Cleary Gottlieb Steen &amp; Hamilton LLP.</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Mestre’s significant experience and leadership in the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investment banking industry, including with respect to the cable, Internet, phone and wireless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industries,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Brian L. Roberts: </w:t>
            </w:r>
            <w:r>
              <w:rPr>
                <w:rFonts w:ascii="Arial" w:cs="Arial" w:eastAsia="Arial" w:hAnsi="Arial"/>
                <w:sz w:val="18"/>
                <w:szCs w:val="18"/>
                <w:color w:val="auto"/>
              </w:rPr>
              <w:t>Mr. Brian L. Roberts has served as our President since February 1990, as</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our Chief Executive Officer since November 2002 and as our Chairman of the Board since May</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1988</w:t>
            </w:r>
          </w:p>
        </w:tc>
        <w:tc>
          <w:tcPr>
            <w:tcW w:w="0" w:type="dxa"/>
            <w:vAlign w:val="bottom"/>
          </w:tcPr>
          <w:p>
            <w:pPr>
              <w:spacing w:after="0"/>
              <w:rPr>
                <w:sz w:val="1"/>
                <w:szCs w:val="1"/>
                <w:color w:val="auto"/>
              </w:rPr>
            </w:pPr>
          </w:p>
        </w:tc>
      </w:tr>
      <w:tr>
        <w:trPr>
          <w:trHeight w:val="157"/>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2004. As of December 31, 2013, Mr. Roberts, through his ownership of our Class B common</w:t>
            </w:r>
          </w:p>
        </w:tc>
        <w:tc>
          <w:tcPr>
            <w:tcW w:w="3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600" w:type="dxa"/>
            <w:vAlign w:val="bottom"/>
            <w:vMerge w:val="continue"/>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 xml:space="preserve">stock, had sole voting power over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two classes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voting common stock. He is a son of Mr. Ralph J. Roberts. Mr. Roberts is also a director of the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National Cable and Telecommunications Association (“NCTA”), the principal trade association</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of the cable television industry, and is a director emeritus of CableLabs, the cable industry’s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research and development organization.</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Roberts’ extensive experience and leadership in the 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Internet, phone, media and entertainment and wireless industries, including as our Chief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Executive Officer and President and through his involvement with NCTA and CableLabs, render</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600" w:type="dxa"/>
            <w:vAlign w:val="bottom"/>
          </w:tcPr>
          <w:p>
            <w:pPr>
              <w:ind w:left="5620"/>
              <w:spacing w:after="0"/>
              <w:rPr>
                <w:sz w:val="20"/>
                <w:szCs w:val="20"/>
                <w:color w:val="auto"/>
              </w:rPr>
            </w:pPr>
            <w:r>
              <w:rPr>
                <w:rFonts w:ascii="Arial" w:cs="Arial" w:eastAsia="Arial" w:hAnsi="Arial"/>
                <w:sz w:val="18"/>
                <w:szCs w:val="18"/>
                <w:color w:val="auto"/>
              </w:rPr>
              <w:t>11</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Ralph J. Roberts: </w:t>
            </w:r>
            <w:r>
              <w:rPr>
                <w:rFonts w:ascii="Arial" w:cs="Arial" w:eastAsia="Arial" w:hAnsi="Arial"/>
                <w:sz w:val="18"/>
                <w:szCs w:val="18"/>
                <w:color w:val="auto"/>
                <w:w w:val="99"/>
              </w:rPr>
              <w:t>Mr. Ralph J. Roberts is our Founder and is Chairman Emeritus of the Board.</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He served as the Chair of the Finance Committee of the Board from November 2002 until</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1969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December 2008. From March 1969 to February 1990, Mr. Roberts served as our President, and</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from November 1984 to November 2002, he served as our Chairman of the Board. He is the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father of Mr. Brian L. Roberts.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Roberts’ extensive experience and leadership in the 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Internet, phone, media and entertainment and wireless industries, including as our former</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President,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Johnathan A. Rodgers: </w:t>
            </w:r>
            <w:r>
              <w:rPr>
                <w:rFonts w:ascii="Arial" w:cs="Arial" w:eastAsia="Arial" w:hAnsi="Arial"/>
                <w:sz w:val="18"/>
                <w:szCs w:val="18"/>
                <w:color w:val="auto"/>
              </w:rPr>
              <w:t>Mr. Rodgers was the President and Chief Executive Officer of TV</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One, a cable network that offers programming targeted for the African American community.</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Prior to joining TV One, Mr. Rodgers had been the President of Discovery Networks for six</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years and, prior to that, had worked at CBS, Inc. for twenty years, where he held a variety of</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executive positions, including President of the CBS Television Stations Division.</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600" w:type="dxa"/>
            <w:vAlign w:val="bottom"/>
            <w:vMerge w:val="continue"/>
          </w:tcPr>
          <w:p>
            <w:pPr>
              <w:spacing w:after="0"/>
              <w:rPr>
                <w:sz w:val="10"/>
                <w:szCs w:val="10"/>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Nike, Inc.</w:t>
            </w:r>
          </w:p>
        </w:tc>
        <w:tc>
          <w:tcPr>
            <w:tcW w:w="0" w:type="dxa"/>
            <w:vAlign w:val="bottom"/>
          </w:tcPr>
          <w:p>
            <w:pPr>
              <w:spacing w:after="0"/>
              <w:rPr>
                <w:sz w:val="1"/>
                <w:szCs w:val="1"/>
                <w:color w:val="auto"/>
              </w:rPr>
            </w:pPr>
          </w:p>
        </w:tc>
      </w:tr>
      <w:tr>
        <w:trPr>
          <w:trHeight w:val="95"/>
        </w:trPr>
        <w:tc>
          <w:tcPr>
            <w:tcW w:w="760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Rodgers’ extensive experience and leadership in the media</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 xml:space="preserve">Former Public Company Directorships: </w:t>
            </w:r>
            <w:r>
              <w:rPr>
                <w:rFonts w:ascii="Arial" w:cs="Arial" w:eastAsia="Arial" w:hAnsi="Arial"/>
                <w:sz w:val="18"/>
                <w:szCs w:val="18"/>
                <w:color w:val="auto"/>
                <w:w w:val="97"/>
              </w:rPr>
              <w:t>The</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and entertainment industry, including his experience as a president and chief executive officer</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Procter &amp; Gamble Company</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rPr>
                <w:sz w:val="20"/>
                <w:szCs w:val="20"/>
                <w:color w:val="auto"/>
              </w:rPr>
            </w:pPr>
            <w:r>
              <w:rPr>
                <w:rFonts w:ascii="Arial" w:cs="Arial" w:eastAsia="Arial" w:hAnsi="Arial"/>
                <w:sz w:val="18"/>
                <w:szCs w:val="18"/>
                <w:color w:val="auto"/>
              </w:rPr>
              <w:t>as noted above, render him qualified to serve as one of our directors.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Dr. Judith Rodin: </w:t>
            </w:r>
            <w:r>
              <w:rPr>
                <w:rFonts w:ascii="Arial" w:cs="Arial" w:eastAsia="Arial" w:hAnsi="Arial"/>
                <w:sz w:val="18"/>
                <w:szCs w:val="18"/>
                <w:color w:val="auto"/>
              </w:rPr>
              <w:t>Dr. Rodin is President of the Rockefeller Foundation. From 1994 to 2004,</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Dr. Rodin served as President of the University of Pennsylvania, as well as a professor of</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psychology and of medicine and psychiatry at the University of Pennsylvania. She also serves</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as a director of Laureate, a privately-held company.</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86"/>
        </w:trPr>
        <w:tc>
          <w:tcPr>
            <w:tcW w:w="760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Dr. Rodin’s extensive experience in the non-profit, educational</w:t>
            </w:r>
          </w:p>
        </w:tc>
        <w:tc>
          <w:tcPr>
            <w:tcW w:w="3820" w:type="dxa"/>
            <w:vAlign w:val="bottom"/>
          </w:tcPr>
          <w:p>
            <w:pPr>
              <w:ind w:left="180"/>
              <w:spacing w:after="0"/>
              <w:rPr>
                <w:sz w:val="20"/>
                <w:szCs w:val="20"/>
                <w:color w:val="auto"/>
              </w:rPr>
            </w:pPr>
            <w:r>
              <w:rPr>
                <w:rFonts w:ascii="Arial" w:cs="Arial" w:eastAsia="Arial" w:hAnsi="Arial"/>
                <w:sz w:val="18"/>
                <w:szCs w:val="18"/>
                <w:color w:val="auto"/>
              </w:rPr>
              <w:t>Citigroup Inc.</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and philanthropic communities, including her various experiences as a president as noted</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above, renders her qualified to serve as one of our directors.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600" w:type="dxa"/>
            <w:vAlign w:val="bottom"/>
            <w:vMerge w:val="continue"/>
          </w:tcPr>
          <w:p>
            <w:pPr>
              <w:spacing w:after="0"/>
              <w:rPr>
                <w:sz w:val="10"/>
                <w:szCs w:val="10"/>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AMR Corporation</w:t>
            </w:r>
          </w:p>
        </w:tc>
        <w:tc>
          <w:tcPr>
            <w:tcW w:w="0" w:type="dxa"/>
            <w:vAlign w:val="bottom"/>
          </w:tcPr>
          <w:p>
            <w:pPr>
              <w:spacing w:after="0"/>
              <w:rPr>
                <w:sz w:val="1"/>
                <w:szCs w:val="1"/>
                <w:color w:val="auto"/>
              </w:rPr>
            </w:pPr>
          </w:p>
        </w:tc>
      </w:tr>
      <w:tr>
        <w:trPr>
          <w:trHeight w:val="95"/>
        </w:trPr>
        <w:tc>
          <w:tcPr>
            <w:tcW w:w="760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600" w:type="dxa"/>
            <w:vAlign w:val="bottom"/>
          </w:tcPr>
          <w:p>
            <w:pPr>
              <w:ind w:left="5620"/>
              <w:spacing w:after="0"/>
              <w:rPr>
                <w:sz w:val="20"/>
                <w:szCs w:val="20"/>
                <w:color w:val="auto"/>
              </w:rPr>
            </w:pPr>
            <w:r>
              <w:rPr>
                <w:rFonts w:ascii="Arial" w:cs="Arial" w:eastAsia="Arial" w:hAnsi="Arial"/>
                <w:sz w:val="18"/>
                <w:szCs w:val="18"/>
                <w:color w:val="auto"/>
              </w:rPr>
              <w:t>12</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OUR BOARD AND ITS COMMITTEES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w:t>
      </w:r>
    </w:p>
    <w:p>
      <w:pPr>
        <w:spacing w:after="0" w:line="9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2013, there were seven meetings of our Board and a total of 18 committee meetings. Each director attended more than 75% of the aggregate of the number of Board meetings and the number of meetings held by all of the committees on which he or she served, with the exception of Mr. Ralph J. Roberts, who missed two Board meetings for medical reasons.</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independent directors have the opportunity to meet separately in an executive session following each regularly scheduled Board meeting and, under our corporate governance guidelines, are required to meet in executive session at least two times each year.</w:t>
      </w:r>
    </w:p>
    <w:p>
      <w:pPr>
        <w:spacing w:after="0" w:line="74"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2013, our independent directors held executive sessions following all five of our regularly scheduled Board meetings.</w:t>
      </w:r>
    </w:p>
    <w:p>
      <w:pPr>
        <w:spacing w:after="0" w:line="13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require our directors to attend the annual meeting of shareholders, barring unusual circumstances. Each director attended the 2013 annual meeting of shareholders, other than Mr. Breen who was not a director until February 2014.</w:t>
      </w:r>
    </w:p>
    <w:p>
      <w:pPr>
        <w:sectPr>
          <w:pgSz w:w="11900" w:h="16838" w:orient="portrait"/>
          <w:cols w:equalWidth="0" w:num="1">
            <w:col w:w="11340"/>
          </w:cols>
          <w:pgMar w:left="240" w:top="459" w:right="3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Leadership Structure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in carrying out our strategic initiatives and confronting our challenges. He also serves as an effective bridge between the Board and management, facilitating strong collaboration and encouraging open lines of communication with the Board. As such, we believe that Mr. Roberts is the most appropriate person to serve as Chairman of our Board.</w:t>
      </w:r>
    </w:p>
    <w:p>
      <w:pPr>
        <w:spacing w:after="0" w:line="141" w:lineRule="exact"/>
        <w:rPr>
          <w:sz w:val="20"/>
          <w:szCs w:val="20"/>
          <w:color w:val="auto"/>
        </w:rPr>
      </w:pPr>
    </w:p>
    <w:p>
      <w:pPr>
        <w:sectPr>
          <w:pgSz w:w="11900" w:h="16838" w:orient="portrait"/>
          <w:cols w:equalWidth="0" w:num="2">
            <w:col w:w="3040" w:space="720"/>
            <w:col w:w="7580"/>
          </w:cols>
          <w:pgMar w:left="240" w:top="459" w:right="319" w:bottom="1440" w:gutter="0" w:footer="0" w:header="0"/>
          <w:type w:val="continuous"/>
        </w:sectPr>
      </w:pPr>
    </w:p>
    <w:p>
      <w:pPr>
        <w:ind w:left="3760" w:right="120"/>
        <w:spacing w:after="0" w:line="270" w:lineRule="auto"/>
        <w:rPr>
          <w:sz w:val="20"/>
          <w:szCs w:val="20"/>
          <w:color w:val="auto"/>
        </w:rPr>
      </w:pPr>
      <w:r>
        <w:rPr>
          <w:rFonts w:ascii="Arial" w:cs="Arial" w:eastAsia="Arial" w:hAnsi="Arial"/>
          <w:sz w:val="16"/>
          <w:szCs w:val="16"/>
          <w:color w:val="auto"/>
        </w:rPr>
        <w:t>Our Board believes that Board independence and oversight of management are effectively maintained through the Board’s composition, where, if following the annual meeting all of our director nominees are elected, 75% of our directors will be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w:t>
      </w:r>
    </w:p>
    <w:p>
      <w:pPr>
        <w:sectPr>
          <w:pgSz w:w="11900" w:h="16838" w:orient="portrait"/>
          <w:cols w:equalWidth="0" w:num="1">
            <w:col w:w="11340"/>
          </w:cols>
          <w:pgMar w:left="240" w:top="459" w:right="31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Lead Independent Director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In accordance with our corporate governance guidelines, our Board has a Lead Independent Director position, which is currently filled by Mr. Bacon. The Lead Independent Director:</w:t>
      </w:r>
    </w:p>
    <w:p>
      <w:pPr>
        <w:spacing w:after="0" w:line="28" w:lineRule="exact"/>
        <w:rPr>
          <w:sz w:val="20"/>
          <w:szCs w:val="20"/>
          <w:color w:val="auto"/>
        </w:rPr>
      </w:pPr>
    </w:p>
    <w:p>
      <w:pPr>
        <w:sectPr>
          <w:pgSz w:w="11900" w:h="16838" w:orient="portrait"/>
          <w:cols w:equalWidth="0" w:num="2">
            <w:col w:w="3040" w:space="720"/>
            <w:col w:w="7580"/>
          </w:cols>
          <w:pgMar w:left="240" w:top="459" w:right="31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8"/>
          <w:szCs w:val="18"/>
          <w:color w:val="auto"/>
        </w:rPr>
        <w:t>presides at any meetings of the Board at which the Chairman is not present, including executive sessions of the independent directors;</w:t>
      </w:r>
    </w:p>
    <w:p>
      <w:pPr>
        <w:spacing w:after="0" w:line="74" w:lineRule="exact"/>
        <w:rPr>
          <w:sz w:val="20"/>
          <w:szCs w:val="20"/>
          <w:color w:val="auto"/>
        </w:rPr>
      </w:pPr>
    </w:p>
    <w:p>
      <w:pPr>
        <w:sectPr>
          <w:pgSz w:w="11900" w:h="16838" w:orient="portrait"/>
          <w:cols w:equalWidth="0" w:num="2">
            <w:col w:w="4280" w:space="380"/>
            <w:col w:w="6680"/>
          </w:cols>
          <w:pgMar w:left="240" w:top="459" w:right="31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9" w:lineRule="auto"/>
        <w:rPr>
          <w:sz w:val="20"/>
          <w:szCs w:val="20"/>
          <w:color w:val="auto"/>
        </w:rPr>
      </w:pPr>
      <w:r>
        <w:rPr>
          <w:rFonts w:ascii="Arial" w:cs="Arial" w:eastAsia="Arial" w:hAnsi="Arial"/>
          <w:sz w:val="16"/>
          <w:szCs w:val="16"/>
          <w:color w:val="auto"/>
        </w:rPr>
        <w:t>facilitates communication between the Chairman and the independent directors, and communicates periodically as necessary between Board meetings and executive</w:t>
      </w:r>
    </w:p>
    <w:p>
      <w:pPr>
        <w:spacing w:after="0" w:line="1" w:lineRule="exact"/>
        <w:rPr>
          <w:sz w:val="20"/>
          <w:szCs w:val="20"/>
          <w:color w:val="auto"/>
        </w:rPr>
      </w:pPr>
    </w:p>
    <w:p>
      <w:pPr>
        <w:sectPr>
          <w:pgSz w:w="11900" w:h="16838" w:orient="portrait"/>
          <w:cols w:equalWidth="0" w:num="2">
            <w:col w:w="4280" w:space="380"/>
            <w:col w:w="6680"/>
          </w:cols>
          <w:pgMar w:left="240" w:top="459" w:right="319" w:bottom="1440" w:gutter="0" w:footer="0" w:header="0"/>
          <w:type w:val="continuous"/>
        </w:sectPr>
      </w:pPr>
    </w:p>
    <w:p>
      <w:pPr>
        <w:ind w:left="4660" w:right="80"/>
        <w:spacing w:after="0" w:line="234" w:lineRule="auto"/>
        <w:rPr>
          <w:sz w:val="20"/>
          <w:szCs w:val="20"/>
          <w:color w:val="auto"/>
        </w:rPr>
      </w:pPr>
      <w:r>
        <w:rPr>
          <w:rFonts w:ascii="Arial" w:cs="Arial" w:eastAsia="Arial" w:hAnsi="Arial"/>
          <w:sz w:val="18"/>
          <w:szCs w:val="18"/>
          <w:color w:val="auto"/>
        </w:rPr>
        <w:t>sessions with our independent directors, following discussions with management and otherwise on topics of importance to our independent directors;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60" w:right="8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74"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 authority to schedule meetings of the independent directors;</w:t>
      </w:r>
    </w:p>
    <w:p>
      <w:pPr>
        <w:spacing w:after="0" w:line="77" w:lineRule="exact"/>
        <w:rPr>
          <w:sz w:val="20"/>
          <w:szCs w:val="20"/>
          <w:color w:val="auto"/>
        </w:rPr>
      </w:pPr>
    </w:p>
    <w:p>
      <w:pPr>
        <w:ind w:left="4660" w:right="32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reviews and has the opportunity to provide input on meeting agendas and meeting schedules for the Board;</w:t>
      </w:r>
    </w:p>
    <w:p>
      <w:pPr>
        <w:spacing w:after="0" w:line="74" w:lineRule="exact"/>
        <w:rPr>
          <w:sz w:val="20"/>
          <w:szCs w:val="20"/>
          <w:color w:val="auto"/>
        </w:rPr>
      </w:pPr>
    </w:p>
    <w:p>
      <w:pPr>
        <w:ind w:left="4660" w:right="42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Compensation Committee, organizes the annual Board evaluation of the performance of our Chief Executive Officer and senior management; and</w:t>
      </w:r>
    </w:p>
    <w:p>
      <w:pPr>
        <w:spacing w:after="0" w:line="74" w:lineRule="exact"/>
        <w:rPr>
          <w:sz w:val="20"/>
          <w:szCs w:val="20"/>
          <w:color w:val="auto"/>
        </w:rPr>
      </w:pPr>
    </w:p>
    <w:p>
      <w:pPr>
        <w:ind w:left="4660" w:right="6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141" w:lineRule="exact"/>
        <w:rPr>
          <w:sz w:val="20"/>
          <w:szCs w:val="20"/>
          <w:color w:val="auto"/>
        </w:rPr>
      </w:pPr>
    </w:p>
    <w:p>
      <w:pPr>
        <w:ind w:left="3760" w:right="220"/>
        <w:spacing w:after="0" w:line="238" w:lineRule="auto"/>
        <w:rPr>
          <w:sz w:val="20"/>
          <w:szCs w:val="20"/>
          <w:color w:val="auto"/>
        </w:rPr>
      </w:pPr>
      <w:r>
        <w:rPr>
          <w:rFonts w:ascii="Arial" w:cs="Arial" w:eastAsia="Arial" w:hAnsi="Arial"/>
          <w:sz w:val="18"/>
          <w:szCs w:val="18"/>
          <w:color w:val="auto"/>
        </w:rPr>
        <w:t>The role of Lead Independent Director is filled by an independent director recommended by the Governance and Directors Nominating Committee and appointed by the Board annually at the Board meeting immediately following the annual meeting of shareholders.</w:t>
      </w:r>
    </w:p>
    <w:p>
      <w:pPr>
        <w:sectPr>
          <w:pgSz w:w="11900" w:h="16838" w:orient="portrait"/>
          <w:cols w:equalWidth="0" w:num="1">
            <w:col w:w="11360"/>
          </w:cols>
          <w:pgMar w:left="240" w:top="459" w:right="29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Oversight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While risk management is primarily the responsibility of our management, for the reasons set forth below, we believe that our Board understands the significant risks facing our company and exercises, as a whole and through its committees, an appropriate degree of risk oversight.</w:t>
      </w:r>
    </w:p>
    <w:p>
      <w:pPr>
        <w:spacing w:after="0" w:line="73" w:lineRule="exact"/>
        <w:rPr>
          <w:sz w:val="20"/>
          <w:szCs w:val="20"/>
          <w:color w:val="auto"/>
        </w:rPr>
      </w:pPr>
    </w:p>
    <w:p>
      <w:pPr>
        <w:sectPr>
          <w:pgSz w:w="11900" w:h="16838" w:orient="portrait"/>
          <w:cols w:equalWidth="0" w:num="2">
            <w:col w:w="3040" w:space="720"/>
            <w:col w:w="7600"/>
          </w:cols>
          <w:pgMar w:left="240" w:top="459" w:right="29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6"/>
          <w:szCs w:val="16"/>
          <w:color w:val="auto"/>
        </w:rPr>
        <w:t>Annually, our management, with involvement and input from our Board, performs a companywide enterprise risk management assessment and identifies the significant strategic, operational, financial and legal risk areas for our Board’s oversight. Our management reports annually to the Audit Committee and the Board on the results of this assessment. Our executive management committee has the overall responsibility for,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 monitor and manage them.</w:t>
      </w:r>
    </w:p>
    <w:p>
      <w:pPr>
        <w:spacing w:after="0" w:line="200"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spacing w:after="0" w:line="58"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Audit Committee oversees our processes and practices with respect to the enterprise risk management assessment, and one of our independent directors reviews the results of this process with management before management presents its annual report to the Audit Committee and the Board. In addition, our Audit Committee reviews our policies and practices with respect to financial risk assessment and management, including our major financial risk exposures and the steps taken to monitor and manage such exposures.</w:t>
      </w:r>
    </w:p>
    <w:p>
      <w:pPr>
        <w:spacing w:after="0" w:line="74"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38" w:lineRule="auto"/>
        <w:rPr>
          <w:sz w:val="20"/>
          <w:szCs w:val="20"/>
          <w:color w:val="auto"/>
        </w:rPr>
      </w:pPr>
      <w:r>
        <w:rPr>
          <w:rFonts w:ascii="Arial" w:cs="Arial" w:eastAsia="Arial" w:hAnsi="Arial"/>
          <w:sz w:val="18"/>
          <w:szCs w:val="18"/>
          <w:color w:val="auto"/>
        </w:rPr>
        <w:t>Our Compensation Committee considers the risks associated with our compensation policies and practices with respect to executive compensation and compensation matters generally.</w:t>
      </w:r>
    </w:p>
    <w:p>
      <w:pPr>
        <w:spacing w:after="0" w:line="141"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459" w:right="2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60" w:right="4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Governance and Directors Nominating Committee oversees risks as they relate to our compliance and business resiliency programs.</w:t>
      </w:r>
    </w:p>
    <w:p>
      <w:pPr>
        <w:spacing w:after="0" w:line="74" w:lineRule="exact"/>
        <w:rPr>
          <w:sz w:val="20"/>
          <w:szCs w:val="20"/>
          <w:color w:val="auto"/>
        </w:rPr>
      </w:pPr>
    </w:p>
    <w:p>
      <w:pPr>
        <w:ind w:left="4660" w:right="220" w:hanging="439"/>
        <w:spacing w:after="0" w:line="238"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Throughout the year, in conjunction with its regular business presentations to the Board and its committees, management also highlights any significant relevant risks and exposures.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Succession Planning</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Assuring that we have the appropriate senior management talent to successfully pursue our strategies is one of the Board’s primary responsibilities. To this end, at least once a year, the Board discusses our succession planning for senior executive management. To help fulfill the Board’s responsibility, our Governance and Directors Nominating Committee requires, pursuant to our corporate governance guidelines, that the Compensation Committee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In addition to requiring CEO succession planning, our corporate governance guidelines require that our Compensation Committee ensure that we have appropriate succession planning for the remainder of our senior executive management.</w:t>
      </w:r>
    </w:p>
    <w:p>
      <w:pPr>
        <w:spacing w:after="0" w:line="128"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Compensation Consultants</w:t>
      </w:r>
    </w:p>
    <w:p>
      <w:pPr>
        <w:spacing w:after="0" w:line="20" w:lineRule="exact"/>
        <w:rPr>
          <w:sz w:val="20"/>
          <w:szCs w:val="20"/>
          <w:color w:val="auto"/>
        </w:rPr>
      </w:pPr>
      <w:r>
        <w:rPr>
          <w:sz w:val="20"/>
          <w:szCs w:val="20"/>
          <w:color w:val="auto"/>
        </w:rPr>
        <w:br w:type="column"/>
      </w:r>
    </w:p>
    <w:p>
      <w:pPr>
        <w:ind w:right="60"/>
        <w:spacing w:after="0" w:line="236" w:lineRule="auto"/>
        <w:rPr>
          <w:sz w:val="20"/>
          <w:szCs w:val="20"/>
          <w:color w:val="auto"/>
        </w:rPr>
      </w:pPr>
      <w:r>
        <w:rPr>
          <w:rFonts w:ascii="Arial" w:cs="Arial" w:eastAsia="Arial" w:hAnsi="Arial"/>
          <w:sz w:val="18"/>
          <w:szCs w:val="18"/>
          <w:color w:val="auto"/>
        </w:rPr>
        <w:t>In October 2013, our Compensation Committee retained the services of Hay Group to provide research and analysis as to the form and amount of executive and director compensation. Prior to October 2013, Mercer (US) Inc. (“Mercer”) had provided this type of research and analysis to our Compensation Committee. Neither Hay Group nor Mercer had any role in determining or recommending the form or amount of compensation of our named executive officers for 2013.</w:t>
      </w:r>
    </w:p>
    <w:p>
      <w:pPr>
        <w:spacing w:after="0" w:line="144"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ind w:left="3760" w:right="20"/>
        <w:spacing w:after="0" w:line="236" w:lineRule="auto"/>
        <w:rPr>
          <w:sz w:val="20"/>
          <w:szCs w:val="20"/>
          <w:color w:val="auto"/>
        </w:rPr>
      </w:pPr>
      <w:r>
        <w:rPr>
          <w:rFonts w:ascii="Arial" w:cs="Arial" w:eastAsia="Arial" w:hAnsi="Arial"/>
          <w:sz w:val="18"/>
          <w:szCs w:val="18"/>
          <w:color w:val="auto"/>
        </w:rPr>
        <w:t>The research and analysis requested from the consultants generally includes market research utilizing information derived from proxy statements, surveys and the applicable consultant’s own consulting experience, as well as the provision of other methodological standards and policies in accordance with its established procedures. This research and analysis has been provided to both our Compensation Committee and to management. The Compensation Committee determined or approved the parameters used by each consultant in its research and directed the work of the consultant. Parameters included items such as the composition of peer groups, the reference points within the data (e.g., median) and the elements of compensation.</w:t>
      </w:r>
    </w:p>
    <w:p>
      <w:pPr>
        <w:spacing w:after="0" w:line="141" w:lineRule="exact"/>
        <w:rPr>
          <w:sz w:val="20"/>
          <w:szCs w:val="20"/>
          <w:color w:val="auto"/>
        </w:rPr>
      </w:pPr>
    </w:p>
    <w:p>
      <w:pPr>
        <w:ind w:left="3760" w:right="340"/>
        <w:spacing w:after="0" w:line="299" w:lineRule="auto"/>
        <w:rPr>
          <w:sz w:val="20"/>
          <w:szCs w:val="20"/>
          <w:color w:val="auto"/>
        </w:rPr>
      </w:pPr>
      <w:r>
        <w:rPr>
          <w:rFonts w:ascii="Arial" w:cs="Arial" w:eastAsia="Arial" w:hAnsi="Arial"/>
          <w:sz w:val="16"/>
          <w:szCs w:val="16"/>
          <w:color w:val="auto"/>
        </w:rPr>
        <w:t>Neither Hay Group nor its affiliates perform other services for us, other than providing compensation surveys and access to online compensation data for additional fees of $11,200.</w:t>
      </w:r>
    </w:p>
    <w:p>
      <w:pPr>
        <w:spacing w:after="0" w:line="95" w:lineRule="exact"/>
        <w:rPr>
          <w:sz w:val="20"/>
          <w:szCs w:val="20"/>
          <w:color w:val="auto"/>
        </w:rPr>
      </w:pPr>
    </w:p>
    <w:p>
      <w:pPr>
        <w:ind w:left="3760" w:right="20"/>
        <w:spacing w:after="0" w:line="238" w:lineRule="auto"/>
        <w:rPr>
          <w:sz w:val="20"/>
          <w:szCs w:val="20"/>
          <w:color w:val="auto"/>
        </w:rPr>
      </w:pPr>
      <w:r>
        <w:rPr>
          <w:rFonts w:ascii="Arial" w:cs="Arial" w:eastAsia="Arial" w:hAnsi="Arial"/>
          <w:sz w:val="18"/>
          <w:szCs w:val="18"/>
          <w:color w:val="auto"/>
        </w:rPr>
        <w:t>Mercer received approximately $355,000 in fees from us in 2013 in connection with services related to executive and director compensation. Mercer also received approximately $2,734,000 in fees from us in 2013 in connection with its provision of other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200"/>
        <w:spacing w:after="0" w:line="235" w:lineRule="auto"/>
        <w:rPr>
          <w:sz w:val="20"/>
          <w:szCs w:val="20"/>
          <w:color w:val="auto"/>
        </w:rPr>
      </w:pPr>
      <w:r>
        <w:rPr>
          <w:rFonts w:ascii="Arial" w:cs="Arial" w:eastAsia="Arial" w:hAnsi="Arial"/>
          <w:sz w:val="18"/>
          <w:szCs w:val="18"/>
          <w:color w:val="auto"/>
        </w:rPr>
        <w:t>compensation-related services, which consisted primarily of services related to our and our subsidiaries’ generally available health, welfare and retirement plans. The Mercer teams that provided other compensation-related services to us were independently managed and separate from the Mercer team that provided executive and director compensation services. In addition, Mercer is part of a global professional services firm and is affiliated with other companies whose businesses are unrelated to the provision of compensation-related consulting services. We paid these affiliated companies approximately $8,963,000 in 2013, which consisted primarily of payments to Marsh for insurance-related matters and Lippincott Mercer for advertising-related matters.</w:t>
      </w:r>
    </w:p>
    <w:p>
      <w:pPr>
        <w:spacing w:after="0" w:line="161" w:lineRule="exact"/>
        <w:rPr>
          <w:sz w:val="20"/>
          <w:szCs w:val="20"/>
          <w:color w:val="auto"/>
        </w:rPr>
      </w:pPr>
    </w:p>
    <w:p>
      <w:pPr>
        <w:ind w:left="3760" w:right="140"/>
        <w:spacing w:after="0" w:line="235" w:lineRule="auto"/>
        <w:rPr>
          <w:sz w:val="20"/>
          <w:szCs w:val="20"/>
          <w:color w:val="auto"/>
        </w:rPr>
      </w:pPr>
      <w:r>
        <w:rPr>
          <w:rFonts w:ascii="Arial" w:cs="Arial" w:eastAsia="Arial" w:hAnsi="Arial"/>
          <w:sz w:val="18"/>
          <w:szCs w:val="18"/>
          <w:color w:val="auto"/>
        </w:rPr>
        <w:t>Our Compensation Committee has reviewed the fees paid to both Hay Group and Mercer and its affiliates and also has evaluated Hay Group’s and Mercer’s work under applicable SEC and NASDAQ rules on conflicts of interest. These evaluations included considering all of the services provided to us by the applicable compensation consultant and its affiliates, the amount of fees received as a percentage of the compensation consultant’s annual revenue, its policies and procedures designed to prevent conflicts of interest, any business or personal relationships between the compensation consultant and the members of our Compensation Committee or executive officers and any ownership of our stock by the compensation consultant’s team that provided our executive and director compensation services.</w:t>
      </w:r>
    </w:p>
    <w:p>
      <w:pPr>
        <w:spacing w:after="0" w:line="148" w:lineRule="exact"/>
        <w:rPr>
          <w:sz w:val="20"/>
          <w:szCs w:val="20"/>
          <w:color w:val="auto"/>
        </w:rPr>
      </w:pPr>
    </w:p>
    <w:p>
      <w:pPr>
        <w:ind w:left="3760"/>
        <w:spacing w:after="0" w:line="235" w:lineRule="auto"/>
        <w:rPr>
          <w:sz w:val="20"/>
          <w:szCs w:val="20"/>
          <w:color w:val="auto"/>
        </w:rPr>
      </w:pPr>
      <w:r>
        <w:rPr>
          <w:rFonts w:ascii="Arial" w:cs="Arial" w:eastAsia="Arial" w:hAnsi="Arial"/>
          <w:sz w:val="18"/>
          <w:szCs w:val="18"/>
          <w:color w:val="auto"/>
        </w:rPr>
        <w:t>Our Compensation Committee has determined that neither Hay Group’s or Mercer’s work for us raised any conflicts of interest. In coming to this determination, the Compensation Committee considered the fees paid in respect of nonexecutive and director compensation-related services to Mercer, as well as the fees paid to Mercer’s affiliates for all other services, and determined that these fees did not impair Mercer’s objectivity in providing services and advice on executive and director compensation matters. All of Mercer’s nonexecutive and director compensation services were performed at the direction of management without Board oversight or approval in light of management’s view that such other services were rendered in the ordinary course of our business and were not material in scope or nature to us or to Mercer. Additionally, except with respect to the services noted above, there were no business or personal relationships between the Mercer team that provided our executive and director compensation services and our Compensation Committee members or executive officers.</w:t>
      </w:r>
    </w:p>
    <w:p>
      <w:pPr>
        <w:spacing w:after="0" w:line="147" w:lineRule="exact"/>
        <w:rPr>
          <w:sz w:val="20"/>
          <w:szCs w:val="20"/>
          <w:color w:val="auto"/>
        </w:rPr>
      </w:pPr>
    </w:p>
    <w:p>
      <w:pPr>
        <w:ind w:left="3760" w:right="100"/>
        <w:spacing w:after="0" w:line="236" w:lineRule="auto"/>
        <w:rPr>
          <w:sz w:val="20"/>
          <w:szCs w:val="20"/>
          <w:color w:val="auto"/>
        </w:rPr>
      </w:pPr>
      <w:r>
        <w:rPr>
          <w:rFonts w:ascii="Arial" w:cs="Arial" w:eastAsia="Arial" w:hAnsi="Arial"/>
          <w:sz w:val="18"/>
          <w:szCs w:val="18"/>
          <w:color w:val="auto"/>
        </w:rPr>
        <w:t>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220"/>
        <w:spacing w:after="0" w:line="237" w:lineRule="auto"/>
        <w:rPr>
          <w:sz w:val="20"/>
          <w:szCs w:val="20"/>
          <w:color w:val="auto"/>
        </w:rPr>
      </w:pPr>
      <w:r>
        <w:rPr>
          <w:rFonts w:ascii="Arial" w:cs="Arial" w:eastAsia="Arial" w:hAnsi="Arial"/>
          <w:sz w:val="18"/>
          <w:szCs w:val="18"/>
          <w:color w:val="auto"/>
        </w:rPr>
        <w:t>compensation consultants, legal counsel and other expert sources to keep abreast of developments in these areas. All decisions, however, regarding the compensation of our named executive officers are made by the Compensation Committee and are reviewed by the Board, following reviews and discussions held in executive sessions.</w:t>
      </w:r>
    </w:p>
    <w:p>
      <w:pPr>
        <w:sectPr>
          <w:pgSz w:w="11900" w:h="16838" w:orient="portrait"/>
          <w:cols w:equalWidth="0" w:num="1">
            <w:col w:w="11400"/>
          </w:cols>
          <w:pgMar w:left="240" w:top="459" w:right="259" w:bottom="1440" w:gutter="0" w:footer="0" w:header="0"/>
        </w:sectPr>
      </w:pP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Retirement Age/ Director Tenure/Director Emeritus Program</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corporate governance guidelines require that our nonemployee directors who are also independent directors not stand for re-election to the Board after reaching the age of 72. 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w:t>
      </w:r>
    </w:p>
    <w:p>
      <w:pPr>
        <w:spacing w:after="0" w:line="143" w:lineRule="exact"/>
        <w:rPr>
          <w:sz w:val="20"/>
          <w:szCs w:val="20"/>
          <w:color w:val="auto"/>
        </w:rPr>
      </w:pPr>
    </w:p>
    <w:p>
      <w:pPr>
        <w:sectPr>
          <w:pgSz w:w="11900" w:h="16838" w:orient="portrait"/>
          <w:cols w:equalWidth="0" w:num="2">
            <w:col w:w="3420" w:space="340"/>
            <w:col w:w="7640"/>
          </w:cols>
          <w:pgMar w:left="240" w:top="459" w:right="259" w:bottom="1440" w:gutter="0" w:footer="0" w:header="0"/>
          <w:type w:val="continuous"/>
        </w:sectPr>
      </w:pPr>
    </w:p>
    <w:p>
      <w:pPr>
        <w:ind w:left="3760"/>
        <w:spacing w:after="0" w:line="236" w:lineRule="auto"/>
        <w:rPr>
          <w:sz w:val="20"/>
          <w:szCs w:val="20"/>
          <w:color w:val="auto"/>
        </w:rPr>
      </w:pPr>
      <w:r>
        <w:rPr>
          <w:rFonts w:ascii="Arial" w:cs="Arial" w:eastAsia="Arial" w:hAnsi="Arial"/>
          <w:sz w:val="18"/>
          <w:szCs w:val="18"/>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We do not currently have any directors emeritus.</w:t>
      </w:r>
    </w:p>
    <w:p>
      <w:pPr>
        <w:sectPr>
          <w:pgSz w:w="11900" w:h="16838" w:orient="portrait"/>
          <w:cols w:equalWidth="0" w:num="1">
            <w:col w:w="11400"/>
          </w:cols>
          <w:pgMar w:left="240" w:top="459" w:right="25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Nominations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Governance and Directors Nominating Committee will consider director candidates nominated by shareholders. For a shareholder to make a nomination, the shareholder must provide a written notice along with the additional information listed below required by our by-laws within the following time periods. For election of directors at the 2015 annual meeting of shareholders, if such meeting is called for a date between April 21, 2015 and June 20, 2015, we must receive written notice on or after January 21, 2015 and on or before February 20, 2015. For election of directors at the 2015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w:t>
      </w:r>
    </w:p>
    <w:p>
      <w:pPr>
        <w:spacing w:after="0" w:line="200"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20"/>
        <w:spacing w:after="0" w:line="271" w:lineRule="auto"/>
        <w:rPr>
          <w:sz w:val="20"/>
          <w:szCs w:val="20"/>
          <w:color w:val="auto"/>
        </w:rPr>
      </w:pPr>
      <w:r>
        <w:rPr>
          <w:rFonts w:ascii="Arial" w:cs="Arial" w:eastAsia="Arial" w:hAnsi="Arial"/>
          <w:sz w:val="16"/>
          <w:szCs w:val="16"/>
          <w:color w:val="auto"/>
        </w:rPr>
        <w:t xml:space="preserve">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also has been filed with the SEC as an exhibit to our Current Report on Form 8-K filed on November 23, 2011 and is posted on our website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membership and meeting information for each of these committees.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Governance and</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Directors</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gridSpan w:val="2"/>
          </w:tcPr>
          <w:p>
            <w:pPr>
              <w:jc w:val="center"/>
              <w:ind w:right="760"/>
              <w:spacing w:after="0" w:line="202" w:lineRule="exact"/>
              <w:rPr>
                <w:sz w:val="20"/>
                <w:szCs w:val="20"/>
                <w:color w:val="auto"/>
              </w:rPr>
            </w:pPr>
            <w:r>
              <w:rPr>
                <w:rFonts w:ascii="Arial" w:cs="Arial" w:eastAsia="Arial" w:hAnsi="Arial"/>
                <w:sz w:val="18"/>
                <w:szCs w:val="18"/>
                <w:b w:val="1"/>
                <w:bCs w:val="1"/>
                <w:color w:val="auto"/>
                <w:w w:val="99"/>
              </w:rPr>
              <w:t>Audit</w:t>
            </w:r>
          </w:p>
        </w:tc>
        <w:tc>
          <w:tcPr>
            <w:tcW w:w="2020" w:type="dxa"/>
            <w:vAlign w:val="bottom"/>
            <w:gridSpan w:val="2"/>
          </w:tcPr>
          <w:p>
            <w:pPr>
              <w:jc w:val="center"/>
              <w:ind w:right="760"/>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70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9"/>
              </w:rPr>
              <w:t>Finance</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0" w:type="dxa"/>
            <w:vAlign w:val="bottom"/>
          </w:tcPr>
          <w:p>
            <w:pPr>
              <w:spacing w:after="0"/>
              <w:rPr>
                <w:sz w:val="1"/>
                <w:szCs w:val="1"/>
                <w:color w:val="auto"/>
              </w:rPr>
            </w:pPr>
          </w:p>
        </w:tc>
      </w:tr>
      <w:tr>
        <w:trPr>
          <w:trHeight w:val="221"/>
        </w:trPr>
        <w:tc>
          <w:tcPr>
            <w:tcW w:w="3260" w:type="dxa"/>
            <w:vAlign w:val="bottom"/>
            <w:vMerge w:val="restart"/>
          </w:tcPr>
          <w:p>
            <w:pPr>
              <w:spacing w:after="0"/>
              <w:rPr>
                <w:sz w:val="20"/>
                <w:szCs w:val="20"/>
                <w:color w:val="auto"/>
              </w:rPr>
            </w:pPr>
            <w:r>
              <w:rPr>
                <w:rFonts w:ascii="Arial" w:cs="Arial" w:eastAsia="Arial" w:hAnsi="Arial"/>
                <w:sz w:val="18"/>
                <w:szCs w:val="18"/>
                <w:color w:val="auto"/>
              </w:rPr>
              <w:t>Kenneth J. Bacon</w:t>
            </w:r>
          </w:p>
        </w:tc>
        <w:tc>
          <w:tcPr>
            <w:tcW w:w="1360" w:type="dxa"/>
            <w:vAlign w:val="bottom"/>
          </w:tcPr>
          <w:p>
            <w:pPr>
              <w:spacing w:after="0"/>
              <w:rPr>
                <w:sz w:val="19"/>
                <w:szCs w:val="19"/>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6"/>
              </w:rPr>
              <w:t>Committee</w:t>
            </w:r>
          </w:p>
        </w:tc>
        <w:tc>
          <w:tcPr>
            <w:tcW w:w="20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8"/>
              </w:rPr>
              <w:t>Committee</w:t>
            </w: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8"/>
              </w:rPr>
              <w:t>Committee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Sheldon M. Bonovitz</w:t>
            </w:r>
          </w:p>
        </w:tc>
        <w:tc>
          <w:tcPr>
            <w:tcW w:w="1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D. Breen</w:t>
            </w:r>
          </w:p>
        </w:tc>
        <w:tc>
          <w:tcPr>
            <w:tcW w:w="1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202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Joseph J. Collins</w:t>
            </w:r>
          </w:p>
        </w:tc>
        <w:tc>
          <w:tcPr>
            <w:tcW w:w="1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40"/>
              <w:spacing w:after="0" w:line="196" w:lineRule="exact"/>
              <w:rPr>
                <w:sz w:val="20"/>
                <w:szCs w:val="20"/>
                <w:color w:val="auto"/>
              </w:rPr>
            </w:pPr>
            <w:r>
              <w:rPr>
                <w:rFonts w:ascii="Arial" w:cs="Arial" w:eastAsia="Arial" w:hAnsi="Arial"/>
                <w:sz w:val="18"/>
                <w:szCs w:val="18"/>
                <w:color w:val="auto"/>
              </w:rPr>
              <w:t>X</w:t>
            </w:r>
          </w:p>
        </w:tc>
        <w:tc>
          <w:tcPr>
            <w:tcW w:w="202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 Michael Cook</w:t>
            </w:r>
          </w:p>
        </w:tc>
        <w:tc>
          <w:tcPr>
            <w:tcW w:w="1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color w:val="auto"/>
                <w:w w:val="96"/>
              </w:rPr>
              <w:t>Chairv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Gerald L. Hassell</w:t>
            </w:r>
          </w:p>
        </w:tc>
        <w:tc>
          <w:tcPr>
            <w:tcW w:w="1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tcBorders>
            <w:gridSpan w:val="2"/>
          </w:tcPr>
          <w:p>
            <w:pPr>
              <w:jc w:val="center"/>
              <w:ind w:right="780"/>
              <w:spacing w:after="0" w:line="196" w:lineRule="exact"/>
              <w:rPr>
                <w:sz w:val="20"/>
                <w:szCs w:val="20"/>
                <w:color w:val="auto"/>
              </w:rPr>
            </w:pPr>
            <w:r>
              <w:rPr>
                <w:rFonts w:ascii="Arial" w:cs="Arial" w:eastAsia="Arial" w:hAnsi="Arial"/>
                <w:sz w:val="18"/>
                <w:szCs w:val="18"/>
                <w:color w:val="auto"/>
                <w:w w:val="92"/>
              </w:rPr>
              <w:t>Chair</w:t>
            </w: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Jeffrey A. Honickman</w:t>
            </w:r>
          </w:p>
        </w:tc>
        <w:tc>
          <w:tcPr>
            <w:tcW w:w="1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40"/>
              <w:spacing w:after="0" w:line="196" w:lineRule="exact"/>
              <w:rPr>
                <w:sz w:val="20"/>
                <w:szCs w:val="20"/>
                <w:color w:val="auto"/>
              </w:rPr>
            </w:pPr>
            <w:r>
              <w:rPr>
                <w:rFonts w:ascii="Arial" w:cs="Arial" w:eastAsia="Arial" w:hAnsi="Arial"/>
                <w:sz w:val="18"/>
                <w:szCs w:val="18"/>
                <w:color w:val="auto"/>
              </w:rPr>
              <w:t>X</w:t>
            </w: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Eduardo G. Mestre</w:t>
            </w:r>
          </w:p>
        </w:tc>
        <w:tc>
          <w:tcPr>
            <w:tcW w:w="1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Johnathan A. Rodgers</w:t>
            </w:r>
          </w:p>
        </w:tc>
        <w:tc>
          <w:tcPr>
            <w:tcW w:w="1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40"/>
              <w:spacing w:after="0" w:line="196" w:lineRule="exact"/>
              <w:rPr>
                <w:sz w:val="20"/>
                <w:szCs w:val="20"/>
                <w:color w:val="auto"/>
              </w:rPr>
            </w:pPr>
            <w:r>
              <w:rPr>
                <w:rFonts w:ascii="Arial" w:cs="Arial" w:eastAsia="Arial" w:hAnsi="Arial"/>
                <w:sz w:val="18"/>
                <w:szCs w:val="18"/>
                <w:color w:val="auto"/>
              </w:rPr>
              <w:t>X</w:t>
            </w: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Dr. Judith Rodin</w:t>
            </w:r>
          </w:p>
        </w:tc>
        <w:tc>
          <w:tcPr>
            <w:tcW w:w="1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40"/>
              <w:spacing w:after="0" w:line="196" w:lineRule="exact"/>
              <w:rPr>
                <w:sz w:val="20"/>
                <w:szCs w:val="20"/>
                <w:color w:val="auto"/>
              </w:rPr>
            </w:pPr>
            <w:r>
              <w:rPr>
                <w:rFonts w:ascii="Arial" w:cs="Arial" w:eastAsia="Arial" w:hAnsi="Arial"/>
                <w:sz w:val="18"/>
                <w:szCs w:val="18"/>
                <w:color w:val="auto"/>
              </w:rPr>
              <w:t>X</w:t>
            </w:r>
          </w:p>
        </w:tc>
        <w:tc>
          <w:tcPr>
            <w:tcW w:w="2020" w:type="dxa"/>
            <w:vAlign w:val="bottom"/>
            <w:tcBorders>
              <w:bottom w:val="single" w:sz="8" w:color="auto"/>
            </w:tcBorders>
            <w:gridSpan w:val="2"/>
          </w:tcPr>
          <w:p>
            <w:pPr>
              <w:jc w:val="center"/>
              <w:ind w:right="760"/>
              <w:spacing w:after="0" w:line="196" w:lineRule="exact"/>
              <w:rPr>
                <w:sz w:val="20"/>
                <w:szCs w:val="20"/>
                <w:color w:val="auto"/>
              </w:rPr>
            </w:pPr>
            <w:r>
              <w:rPr>
                <w:rFonts w:ascii="Arial" w:cs="Arial" w:eastAsia="Arial" w:hAnsi="Arial"/>
                <w:sz w:val="18"/>
                <w:szCs w:val="18"/>
                <w:color w:val="auto"/>
                <w:w w:val="97"/>
              </w:rPr>
              <w:t>Chair</w:t>
            </w: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3260" w:type="dxa"/>
            <w:vAlign w:val="bottom"/>
          </w:tcPr>
          <w:p>
            <w:pPr>
              <w:spacing w:after="0"/>
              <w:rPr>
                <w:sz w:val="20"/>
                <w:szCs w:val="20"/>
                <w:color w:val="auto"/>
              </w:rPr>
            </w:pPr>
            <w:r>
              <w:rPr>
                <w:rFonts w:ascii="Arial" w:cs="Arial" w:eastAsia="Arial" w:hAnsi="Arial"/>
                <w:sz w:val="18"/>
                <w:szCs w:val="18"/>
                <w:color w:val="auto"/>
              </w:rPr>
              <w:t>v Audit Committee Financial Expert</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b w:val="1"/>
                <w:bCs w:val="1"/>
                <w:i w:val="1"/>
                <w:iCs w:val="1"/>
                <w:color w:val="auto"/>
              </w:rPr>
              <w:t>Number of Meetings Held in 2013</w:t>
            </w:r>
          </w:p>
        </w:tc>
        <w:tc>
          <w:tcPr>
            <w:tcW w:w="228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w w:val="99"/>
              </w:rPr>
              <w:t>7</w:t>
            </w:r>
          </w:p>
        </w:tc>
        <w:tc>
          <w:tcPr>
            <w:tcW w:w="7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7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c>
          <w:tcPr>
            <w:tcW w:w="7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397"/>
        </w:trPr>
        <w:tc>
          <w:tcPr>
            <w:tcW w:w="3260" w:type="dxa"/>
            <w:vAlign w:val="bottom"/>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8160" w:type="dxa"/>
            <w:vAlign w:val="bottom"/>
            <w:gridSpan w:val="8"/>
          </w:tcPr>
          <w:p>
            <w:pPr>
              <w:ind w:left="500"/>
              <w:spacing w:after="0"/>
              <w:rPr>
                <w:sz w:val="20"/>
                <w:szCs w:val="20"/>
                <w:color w:val="auto"/>
              </w:rPr>
            </w:pPr>
            <w:r>
              <w:rPr>
                <w:rFonts w:ascii="Arial" w:cs="Arial" w:eastAsia="Arial" w:hAnsi="Arial"/>
                <w:sz w:val="18"/>
                <w:szCs w:val="18"/>
                <w:color w:val="auto"/>
                <w:w w:val="97"/>
              </w:rPr>
              <w:t>Each member is independent and financially literate for audit committee purposes under NASDAQ</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8160" w:type="dxa"/>
            <w:vAlign w:val="bottom"/>
            <w:gridSpan w:val="8"/>
          </w:tcPr>
          <w:p>
            <w:pPr>
              <w:ind w:left="500"/>
              <w:spacing w:after="0" w:line="202" w:lineRule="exact"/>
              <w:rPr>
                <w:sz w:val="20"/>
                <w:szCs w:val="20"/>
                <w:color w:val="auto"/>
              </w:rPr>
            </w:pPr>
            <w:r>
              <w:rPr>
                <w:rFonts w:ascii="Arial" w:cs="Arial" w:eastAsia="Arial" w:hAnsi="Arial"/>
                <w:sz w:val="18"/>
                <w:szCs w:val="18"/>
                <w:color w:val="auto"/>
                <w:w w:val="99"/>
              </w:rPr>
              <w:t>Global Select Market rules, and our Board has concluded that Edward D. Breen, J. Michael Cook</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6780" w:type="dxa"/>
            <w:vAlign w:val="bottom"/>
            <w:gridSpan w:val="7"/>
          </w:tcPr>
          <w:p>
            <w:pPr>
              <w:ind w:left="500"/>
              <w:spacing w:after="0"/>
              <w:rPr>
                <w:sz w:val="20"/>
                <w:szCs w:val="20"/>
                <w:color w:val="auto"/>
              </w:rPr>
            </w:pPr>
            <w:r>
              <w:rPr>
                <w:rFonts w:ascii="Arial" w:cs="Arial" w:eastAsia="Arial" w:hAnsi="Arial"/>
                <w:sz w:val="18"/>
                <w:szCs w:val="18"/>
                <w:color w:val="auto"/>
              </w:rPr>
              <w:t>and Eduardo G. Mestre qualify as audit committee financial experts.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Audit Committee is responsible for the oversight and evaluation of:</w:t>
      </w:r>
    </w:p>
    <w:p>
      <w:pPr>
        <w:spacing w:after="0" w:line="77" w:lineRule="exact"/>
        <w:rPr>
          <w:sz w:val="20"/>
          <w:szCs w:val="20"/>
          <w:color w:val="auto"/>
        </w:rPr>
      </w:pPr>
    </w:p>
    <w:p>
      <w:pPr>
        <w:ind w:left="4440" w:hanging="326"/>
        <w:spacing w:after="0"/>
        <w:tabs>
          <w:tab w:leader="none" w:pos="4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76" w:lineRule="exact"/>
        <w:rPr>
          <w:rFonts w:ascii="Arial" w:cs="Arial" w:eastAsia="Arial" w:hAnsi="Arial"/>
          <w:sz w:val="18"/>
          <w:szCs w:val="18"/>
          <w:color w:val="auto"/>
        </w:rPr>
      </w:pPr>
    </w:p>
    <w:p>
      <w:pPr>
        <w:ind w:left="4440" w:hanging="326"/>
        <w:spacing w:after="0"/>
        <w:tabs>
          <w:tab w:leader="none" w:pos="4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qualifications and performance of our internal audit function; and</w:t>
      </w:r>
    </w:p>
    <w:p>
      <w:pPr>
        <w:spacing w:after="0" w:line="76" w:lineRule="exact"/>
        <w:rPr>
          <w:rFonts w:ascii="Arial" w:cs="Arial" w:eastAsia="Arial" w:hAnsi="Arial"/>
          <w:sz w:val="18"/>
          <w:szCs w:val="18"/>
          <w:color w:val="auto"/>
        </w:rPr>
      </w:pPr>
    </w:p>
    <w:p>
      <w:pPr>
        <w:ind w:left="4440" w:right="260" w:hanging="326"/>
        <w:spacing w:after="0" w:line="239" w:lineRule="auto"/>
        <w:tabs>
          <w:tab w:leader="none" w:pos="4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 and the effectiveness of our internal control over financial reporting.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Each member is independent under NASDAQ Global Select Market rules and qualifies as a “non-employee director” (as defined under Rule 16b-3 under the Exchange Act) and an “outside director” (as defined in Section 162(m) of the Internal Revenue Code of 1986, as amended).</w:t>
      </w:r>
    </w:p>
    <w:p>
      <w:pPr>
        <w:spacing w:after="0" w:line="11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spacing w:after="0" w:line="235" w:lineRule="auto"/>
        <w:rPr>
          <w:sz w:val="20"/>
          <w:szCs w:val="20"/>
          <w:color w:val="auto"/>
        </w:rPr>
      </w:pPr>
      <w:r>
        <w:rPr>
          <w:rFonts w:ascii="Arial" w:cs="Arial" w:eastAsia="Arial" w:hAnsi="Arial"/>
          <w:sz w:val="18"/>
          <w:szCs w:val="18"/>
          <w:color w:val="auto"/>
        </w:rPr>
        <w:t>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the Compensation Committee performs a review of our compensation philosophy, our executive compensation programs, including any material risks related to our programs, and the performance of our named executive officers. The Compensation Committee’s determinations are reviewed annually by the independent directors. The Compensation Committee also oversees succession planning for our senior management (including our Chief Executive Officer).</w:t>
      </w:r>
    </w:p>
    <w:p>
      <w:pPr>
        <w:sectPr>
          <w:pgSz w:w="11900" w:h="16838" w:orient="portrait"/>
          <w:cols w:equalWidth="0" w:num="1">
            <w:col w:w="11420"/>
          </w:cols>
          <w:pgMar w:left="240" w:top="459" w:right="2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Committee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98"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262" w:lineRule="auto"/>
        <w:rPr>
          <w:sz w:val="20"/>
          <w:szCs w:val="20"/>
          <w:color w:val="auto"/>
        </w:rPr>
      </w:pPr>
      <w:r>
        <w:rPr>
          <w:rFonts w:ascii="Arial" w:cs="Arial" w:eastAsia="Arial" w:hAnsi="Arial"/>
          <w:sz w:val="18"/>
          <w:szCs w:val="18"/>
          <w:b w:val="1"/>
          <w:bCs w:val="1"/>
          <w:i w:val="1"/>
          <w:i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member is independent under NASDAQ Global Select Market rules.</w:t>
      </w:r>
    </w:p>
    <w:p>
      <w:pPr>
        <w:spacing w:after="0" w:line="382" w:lineRule="exact"/>
        <w:rPr>
          <w:sz w:val="20"/>
          <w:szCs w:val="20"/>
          <w:color w:val="auto"/>
        </w:rPr>
      </w:pPr>
    </w:p>
    <w:p>
      <w:pPr>
        <w:sectPr>
          <w:pgSz w:w="11900" w:h="16838" w:orient="portrait"/>
          <w:cols w:equalWidth="0" w:num="2">
            <w:col w:w="3220" w:space="540"/>
            <w:col w:w="7660"/>
          </w:cols>
          <w:pgMar w:left="240" w:top="459" w:right="239" w:bottom="1440" w:gutter="0" w:footer="0" w:header="0"/>
          <w:type w:val="continuous"/>
        </w:sectPr>
      </w:pPr>
    </w:p>
    <w:p>
      <w:pPr>
        <w:ind w:left="3760" w:right="60"/>
        <w:spacing w:after="0" w:line="237" w:lineRule="auto"/>
        <w:rPr>
          <w:sz w:val="20"/>
          <w:szCs w:val="20"/>
          <w:color w:val="auto"/>
        </w:rPr>
      </w:pPr>
      <w:r>
        <w:rPr>
          <w:rFonts w:ascii="Arial" w:cs="Arial" w:eastAsia="Arial" w:hAnsi="Arial"/>
          <w:sz w:val="18"/>
          <w:szCs w:val="18"/>
          <w:color w:val="auto"/>
        </w:rPr>
        <w:t>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41" w:lineRule="exact"/>
        <w:rPr>
          <w:sz w:val="20"/>
          <w:szCs w:val="20"/>
          <w:color w:val="auto"/>
        </w:rPr>
      </w:pPr>
    </w:p>
    <w:p>
      <w:pPr>
        <w:ind w:left="3760"/>
        <w:spacing w:after="0" w:line="236" w:lineRule="auto"/>
        <w:rPr>
          <w:sz w:val="20"/>
          <w:szCs w:val="20"/>
          <w:color w:val="auto"/>
        </w:rPr>
      </w:pPr>
      <w:r>
        <w:rPr>
          <w:rFonts w:ascii="Arial" w:cs="Arial" w:eastAsia="Arial" w:hAnsi="Arial"/>
          <w:sz w:val="18"/>
          <w:szCs w:val="18"/>
          <w:color w:val="auto"/>
        </w:rPr>
        <w:t>The Governance and Directors Nominating Committee also 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9"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From time to time, the Compensation Committee directs an independent compensation consultant to provide analyses with respect to various nonemployee director compensation data. Though Mercer provided such analyses in 2013, it did not determine compensation levels or structure.</w:t>
      </w:r>
    </w:p>
    <w:p>
      <w:pPr>
        <w:spacing w:after="0" w:line="8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May 2013, our Board, acting upon the recommendation of the Compensation Committee, (i) eliminated meeting fees for attendance at Board meetings (prior to July 2013, directors received $2,500 for each Board meeting attended); (ii) increased the annual retainer for nonemployee directors from $80,000 to $100,000; and (iii) increased the fair market value of the annual grant of fully-vested shares of Class A common stock from $145,000 to $170,000. The Board also increased the annual retainer fees for (i) the Audit and Compensation Committee Chairs from $20,000 to $35,000, and (ii) the Governance and Directors Nominating Committee Chair from $10,000 to $15,000 and its members from $5,000 to $7,500. The 2013 nonemployee director compensation program approved by the Compensation Committee is described in full below.</w:t>
      </w:r>
    </w:p>
    <w:p>
      <w:pPr>
        <w:spacing w:after="0" w:line="104"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Directors who are our employees do not receive any fees for their services as directors. Our nonemployee directors receive an annual retainer of $100,000 and an annual grant on each November 20</w:t>
      </w:r>
      <w:r>
        <w:rPr>
          <w:rFonts w:ascii="Arial" w:cs="Arial" w:eastAsia="Arial" w:hAnsi="Arial"/>
          <w:sz w:val="10"/>
          <w:szCs w:val="10"/>
          <w:color w:val="auto"/>
        </w:rPr>
        <w:t>th</w:t>
      </w:r>
      <w:r>
        <w:rPr>
          <w:rFonts w:ascii="Arial" w:cs="Arial" w:eastAsia="Arial" w:hAnsi="Arial"/>
          <w:sz w:val="16"/>
          <w:szCs w:val="16"/>
          <w:color w:val="auto"/>
        </w:rPr>
        <w:t xml:space="preserve"> of fully vested shares of Class A common stock with a fair market value of $170,000.</w:t>
      </w:r>
    </w:p>
    <w:p>
      <w:pPr>
        <w:spacing w:after="0" w:line="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Members of the committees of our Board receive additional retainers and meeting fees. The Chairs of the Audit Committee and Compensation Committee receive an annual retainer of $35,000, and other members of those committees receive an annual retainer of $10,000. The Chair of the Governance and Directors Nominating Committee receives an annual retainer of $15,000, and other members of that committee receive an annual retainer of $7,500. The Chair of the Finance Committee receives an annual retainer of $5,000, and other members of that committee receive an annual retainer of $2,500. In addition, nonemployee directors receive $2,500 for each Audit, Compensation or Governance and Directors Nominating Committee meeting attended as a committee member or for any other business conducted on our behalf and $1,000 for each Finance Committee meeting attended as a committee member.</w:t>
      </w:r>
    </w:p>
    <w:p>
      <w:pPr>
        <w:spacing w:after="0" w:line="12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such shares accrue dividend equivalents during the deferral period.</w:t>
      </w:r>
    </w:p>
    <w:p>
      <w:pPr>
        <w:spacing w:after="0" w:line="12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Nonemployee directors are reimbursed for travel expenses for meetings attended and also are provided with our video, high-speed Internet, voice and home security and automation services at up to two of their residences, if in our service areas, at no cost during the time they serve on our Board or as a director emeritus, and for five years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details regarding director compensation for 2013, see the “Director Compensation for 2013” table on page 72.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POLICY</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does not include any stock held in margin accounts or pledged as collateral for a loan. In addition, “ownership” includes 60% of deferred shares under our restricted stock plan and the difference between the market price and exercise price of vested stock options. In determining compliance, the Compensation Committee may take into account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 xml:space="preserve">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All nonemployee directors satisfied the requirements of our stock ownership policy in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BETWEEN THE COMPANY AND OUR DIRECTORS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information regarding our related party transaction policy and details regarding certain related party transactions, please see “Related Party Transaction Policy and Certain Transactions” below.</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53"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evaluations of Deloitte by our management and internal auditors, (iii) Deloitte’s effectiveness of communications and working relationships with the Audit Committee and our management and internal auditors, (iv) the length of time Deloitte has served as our independent auditors and (v) the quality and depth of Deloitte and the audit team’s expertise and experience in the cable communications and media and entertainment industries in light of the breadth, complexity and global reach of our businesses.</w:t>
      </w:r>
    </w:p>
    <w:p>
      <w:pPr>
        <w:spacing w:after="0" w:line="7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Following the Audit Committee’s review of Deloitte’s performance, the Audit Committee appointed Deloitte to serve as our independent auditors for the year ending December 31, 2014. The Audit Committee and our Board recommend that you ratify this appointment, although your ratification is not required. A partner of Deloitte will be present at the annual meeting and will be available to respond to appropriate questions.</w:t>
      </w:r>
    </w:p>
    <w:p>
      <w:pPr>
        <w:spacing w:after="0" w:line="102"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53"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2013 and 2012.</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80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196"/>
        </w:trPr>
        <w:tc>
          <w:tcPr>
            <w:tcW w:w="8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(in millions)</w:t>
            </w: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6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60" w:type="dxa"/>
            <w:vAlign w:val="bottom"/>
            <w:gridSpan w:val="3"/>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6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r>
      <w:tr>
        <w:trPr>
          <w:trHeight w:val="210"/>
        </w:trPr>
        <w:tc>
          <w:tcPr>
            <w:tcW w:w="804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c>
          <w:tcPr>
            <w:tcW w:w="4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03"/>
        </w:trPr>
        <w:tc>
          <w:tcPr>
            <w:tcW w:w="80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16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 The majority of the increase in audit fees in 2013 is related to the initial audit of NBCUniversal Enterprise, Inc. in connection with our acquisition of GE’s remaining 49% common equity interest in NBCUniversal, LLC and statutory filings.</w:t>
      </w:r>
    </w:p>
    <w:p>
      <w:pPr>
        <w:spacing w:after="0" w:line="76"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Audit-related fees consisted of fees paid or accrued for attestation services related to contractual and regulatory compliance, audits of our employee benefit plans and financial due diligence services.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In 2013 and 2012, tax compliance services included an analysis of our tax accounting methods. There were no fees paid or accrued in 2013 and 2012 for tax planning.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Other fees in 2013 consisted of fees paid or accrued for consulting services regarding business market trends and education, training and vendor selection assistance. Other fees in 2012 consisted of fees paid or accrued for consulting services regarding content security.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rules. Each member also is financially literate for audit committee purposes under NASDAQ rules, and the Board has concluded that Edward D. Breen, J. Michael Cook and Eduardo G. Mestre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&amp; Touche LLP, Comcast’s independent auditors, is responsible for auditing Comcast’s consolidated financial statements and internal control over financial reporting. Our principal purpose is to monitor these processes.</w:t>
      </w:r>
    </w:p>
    <w:p>
      <w:pPr>
        <w:spacing w:after="0" w:line="76"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Prior to their issuance, we reviewed and discussed the quarterly and annual earnings press releases, consolidated financial statements (including the presentation of non-GAAP financial information) and disclosures under “Management’s Discussion and Analysis of Financial Condition and Results of Operations” (including significant accounting policies and judgments)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as adopted by the Public Company Accounting Oversight Board, and Rule 2-07,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of Regulation S-X.</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Additionally, we reviewed the performance, responsibilities, budget and staffing of Comcast’s internal auditors. We also have established, and oversaw compliance with, procedures for Comcast’s receipt,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retention and treatment of complaints regarding accounting, internal accounting controls or auditing matters and its employees’ confidential and anonymous submissions of concerns regarding questionable accounting or auditing matters.</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76"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Based on the reviews and discussions referred to above, we recommended to the Board, and the Board approved, that the audited consolidated financial statements be included in Comcast’s Annual Report on Form 10-K for the year ended December 31, 2013, filed with the SEC.</w:t>
      </w:r>
    </w:p>
    <w:p>
      <w:pPr>
        <w:spacing w:after="0" w:line="2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2014 and recommend that shareholders ratify this appointment. As part of this review, we considered the continued independence of Deloitte,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2014 and are recommending that Comcast’s shareholders ratify this appointment.</w:t>
      </w:r>
    </w:p>
    <w:p>
      <w:pPr>
        <w:spacing w:after="0" w:line="13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Members of the Audit Committee</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 Michael Cook (Chair)</w:t>
      </w:r>
    </w:p>
    <w:p>
      <w:pPr>
        <w:jc w:val="center"/>
        <w:ind w:right="-59"/>
        <w:spacing w:after="0" w:line="234" w:lineRule="auto"/>
        <w:rPr>
          <w:sz w:val="20"/>
          <w:szCs w:val="20"/>
          <w:color w:val="auto"/>
        </w:rPr>
      </w:pPr>
      <w:r>
        <w:rPr>
          <w:rFonts w:ascii="Arial" w:cs="Arial" w:eastAsia="Arial" w:hAnsi="Arial"/>
          <w:sz w:val="18"/>
          <w:szCs w:val="18"/>
          <w:color w:val="auto"/>
        </w:rPr>
        <w:t>Edward D. Breen (member since February 13, 2014)</w:t>
      </w:r>
    </w:p>
    <w:p>
      <w:pPr>
        <w:jc w:val="center"/>
        <w:ind w:right="-59"/>
        <w:spacing w:after="0" w:line="235" w:lineRule="auto"/>
        <w:rPr>
          <w:sz w:val="20"/>
          <w:szCs w:val="20"/>
          <w:color w:val="auto"/>
        </w:rPr>
      </w:pPr>
      <w:r>
        <w:rPr>
          <w:rFonts w:ascii="Arial" w:cs="Arial" w:eastAsia="Arial" w:hAnsi="Arial"/>
          <w:sz w:val="18"/>
          <w:szCs w:val="18"/>
          <w:color w:val="auto"/>
        </w:rPr>
        <w:t>Joseph J. Collins</w:t>
      </w:r>
    </w:p>
    <w:p>
      <w:pPr>
        <w:jc w:val="center"/>
        <w:ind w:right="-59"/>
        <w:spacing w:after="0" w:line="235" w:lineRule="auto"/>
        <w:rPr>
          <w:sz w:val="20"/>
          <w:szCs w:val="20"/>
          <w:color w:val="auto"/>
        </w:rPr>
      </w:pPr>
      <w:r>
        <w:rPr>
          <w:rFonts w:ascii="Arial" w:cs="Arial" w:eastAsia="Arial" w:hAnsi="Arial"/>
          <w:sz w:val="18"/>
          <w:szCs w:val="18"/>
          <w:color w:val="auto"/>
        </w:rPr>
        <w:t>Jeffrey A. Honickman</w:t>
      </w:r>
    </w:p>
    <w:p>
      <w:pPr>
        <w:jc w:val="center"/>
        <w:ind w:right="-59"/>
        <w:spacing w:after="0" w:line="235" w:lineRule="auto"/>
        <w:rPr>
          <w:sz w:val="20"/>
          <w:szCs w:val="20"/>
          <w:color w:val="auto"/>
        </w:rPr>
      </w:pPr>
      <w:r>
        <w:rPr>
          <w:rFonts w:ascii="Arial" w:cs="Arial" w:eastAsia="Arial" w:hAnsi="Arial"/>
          <w:sz w:val="18"/>
          <w:szCs w:val="18"/>
          <w:color w:val="auto"/>
        </w:rPr>
        <w:t>Eduardo G. Mestre</w:t>
      </w:r>
    </w:p>
    <w:p>
      <w:pPr>
        <w:jc w:val="center"/>
        <w:ind w:right="-59"/>
        <w:spacing w:after="0" w:line="235" w:lineRule="auto"/>
        <w:rPr>
          <w:sz w:val="20"/>
          <w:szCs w:val="20"/>
          <w:color w:val="auto"/>
        </w:rPr>
      </w:pPr>
      <w:r>
        <w:rPr>
          <w:rFonts w:ascii="Arial" w:cs="Arial" w:eastAsia="Arial" w:hAnsi="Arial"/>
          <w:sz w:val="18"/>
          <w:szCs w:val="18"/>
          <w:color w:val="auto"/>
        </w:rPr>
        <w:t>Johnathan A. Rodgers</w:t>
      </w:r>
    </w:p>
    <w:p>
      <w:pPr>
        <w:jc w:val="center"/>
        <w:ind w:right="-59"/>
        <w:spacing w:after="0"/>
        <w:rPr>
          <w:sz w:val="20"/>
          <w:szCs w:val="20"/>
          <w:color w:val="auto"/>
        </w:rPr>
      </w:pPr>
      <w:r>
        <w:rPr>
          <w:rFonts w:ascii="Arial" w:cs="Arial" w:eastAsia="Arial" w:hAnsi="Arial"/>
          <w:sz w:val="18"/>
          <w:szCs w:val="18"/>
          <w:color w:val="auto"/>
        </w:rPr>
        <w:t>Dr. Judith Rodin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following proposal gives our shareholders the opportunity to vote to approve, on an advisory, nonbinding basis, the compensation of our named executive officers (“NEOs”). This vote is not intended to address any specific item of compensation, but rather the overall compensation of our NEOs and our compensation philosophy, policies and practices, as disclosed below under “Executive Compensation.” We are providing the opportunity for this vote in accordance with the schedule to hold this vote every three years that was approved at our 2011 annual meeting by holders of over a majority of the votes cast. While you should carefully review the information set forth in “Executive Compensation — Compensation Discussion and Analysis,” below is a summary of our executive compensation program design and philosophy, as well as a few highlights of our compensation program.</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 Comcast Cable is the nation’s largest provider of video, high-speed Internet and voice services to residential customers under the XFINITY brand and also provides these services to businesses. NBCUniversal operates a diversified portfolio of cable networks, the NBC and Telemundo broadcast networks, television production operations, television station groups, Universal Pictures and Universal Parks and Resorts. As a company with two primary businesses that may have both converging and diverging goals, our NEOs are responsible for managing a more complex company than many of our peer companies.</w:t>
      </w:r>
    </w:p>
    <w:p>
      <w:pPr>
        <w:spacing w:after="0" w:line="7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business’s objectives and take into account the complexity of our businesses to create a compensation program that is tailored toward furthering our company’s objectives.</w:t>
      </w:r>
    </w:p>
    <w:p>
      <w:pPr>
        <w:spacing w:after="0" w:line="74" w:lineRule="exact"/>
        <w:rPr>
          <w:sz w:val="20"/>
          <w:szCs w:val="20"/>
          <w:color w:val="auto"/>
        </w:rPr>
      </w:pPr>
    </w:p>
    <w:p>
      <w:pPr>
        <w:ind w:left="800" w:right="120" w:hanging="454"/>
        <w:spacing w:after="0" w:line="29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our businesses, the quality and performance of our executives makes a substantial difference in our ability to compete. We need uniquely talented and experienced individuals to perform for our highly competitive businesses. To address this issue, we do two things:</w:t>
      </w: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First, we provide pay opportunity levels that are highly competitive.</w:t>
      </w:r>
    </w:p>
    <w:p>
      <w:pPr>
        <w:spacing w:after="0" w:line="77" w:lineRule="exact"/>
        <w:rPr>
          <w:sz w:val="20"/>
          <w:szCs w:val="20"/>
          <w:color w:val="auto"/>
        </w:rPr>
      </w:pPr>
    </w:p>
    <w:p>
      <w:pPr>
        <w:jc w:val="both"/>
        <w:ind w:right="420"/>
        <w:spacing w:after="0" w:line="281" w:lineRule="auto"/>
        <w:rPr>
          <w:sz w:val="20"/>
          <w:szCs w:val="20"/>
          <w:color w:val="auto"/>
        </w:rPr>
      </w:pPr>
      <w:r>
        <w:rPr>
          <w:rFonts w:ascii="Arial" w:cs="Arial" w:eastAsia="Arial" w:hAnsi="Arial"/>
          <w:sz w:val="16"/>
          <w:szCs w:val="16"/>
          <w:color w:val="auto"/>
        </w:rPr>
        <w:t>Second, we structure our long-term incentive program to be provided in restricted stock units (“RSUs”) (with performance conditions) and stock options, both generally with vesting periods much longer than typical — RSUs generally vest over 5 years and are back-end weighted, with 40% vesting in the fifth year, and stock options vest over 9.5 years.</w:t>
      </w:r>
    </w:p>
    <w:p>
      <w:pPr>
        <w:spacing w:after="0" w:line="43"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800"/>
        <w:spacing w:after="0" w:line="238" w:lineRule="auto"/>
        <w:rPr>
          <w:sz w:val="20"/>
          <w:szCs w:val="20"/>
          <w:color w:val="auto"/>
        </w:rPr>
      </w:pPr>
      <w:r>
        <w:rPr>
          <w:rFonts w:ascii="Arial" w:cs="Arial" w:eastAsia="Arial" w:hAnsi="Arial"/>
          <w:sz w:val="18"/>
          <w:szCs w:val="18"/>
          <w:color w:val="auto"/>
        </w:rPr>
        <w:t>We believe that the combination of these elements furthers our shareholders’ interests in that they obtain the benefit of our executives’ services in an exceedingly competitive talent market for the long-term and our executives’ interests are strongly aligned with the interests of our shareholders.</w:t>
      </w:r>
    </w:p>
    <w:p>
      <w:pPr>
        <w:spacing w:after="0" w:line="73" w:lineRule="exact"/>
        <w:rPr>
          <w:sz w:val="20"/>
          <w:szCs w:val="20"/>
          <w:color w:val="auto"/>
        </w:rPr>
      </w:pPr>
    </w:p>
    <w:p>
      <w:pPr>
        <w:ind w:left="800" w:right="200" w:hanging="454"/>
        <w:spacing w:after="0" w:line="275"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Cash generation is critical to our businesses, both in measuring the operating success of our businesses and in generating excess capital, which is not only necessary to maintain our existing businesses, but also to make growth and strategic capital investments that allow us to proactively anticipate technological and consumer behavior changes in a rapidly-changing competitive environment. Cash generation also supports our return of capital strategy for our shareholders in the form of dividend payments and share repurchases.</w:t>
      </w:r>
    </w:p>
    <w:p>
      <w:pPr>
        <w:spacing w:after="0" w:line="48" w:lineRule="exact"/>
        <w:rPr>
          <w:rFonts w:ascii="Arial" w:cs="Arial" w:eastAsia="Arial" w:hAnsi="Arial"/>
          <w:sz w:val="16"/>
          <w:szCs w:val="16"/>
          <w:color w:val="auto"/>
        </w:rPr>
      </w:pPr>
    </w:p>
    <w:p>
      <w:pPr>
        <w:ind w:left="1580" w:right="320" w:hanging="208"/>
        <w:spacing w:after="0" w:line="226" w:lineRule="auto"/>
        <w:tabs>
          <w:tab w:leader="none" w:pos="1580" w:val="left"/>
        </w:tabs>
        <w:numPr>
          <w:ilvl w:val="1"/>
          <w:numId w:val="18"/>
        </w:numPr>
        <w:rPr>
          <w:rFonts w:ascii="Arial" w:cs="Arial" w:eastAsia="Arial" w:hAnsi="Arial"/>
          <w:sz w:val="22"/>
          <w:szCs w:val="22"/>
          <w:color w:val="auto"/>
          <w:vertAlign w:val="superscript"/>
        </w:rPr>
      </w:pPr>
      <w:r>
        <w:rPr>
          <w:rFonts w:ascii="Arial" w:cs="Arial" w:eastAsia="Arial" w:hAnsi="Arial"/>
          <w:sz w:val="18"/>
          <w:szCs w:val="18"/>
          <w:color w:val="auto"/>
        </w:rPr>
        <w:t>To reinforce this critical aspect of our businesses, we use three quantitative performance goals in certain elements of our compensation program tied to (1) revenue — which serves as the top line component to our cash generation, (2) operating cash flow — which reflects the operational performance of our business, taking into account the costs of operating our business and (3) free cash flow — which measures, among other things, the cash remaining after capital investments and allows us to repay indebtedness, make strategic investments and return capital to shareholders.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hanging="454"/>
        <w:spacing w:after="0" w:line="23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complexity of our businesses, overlaid with the impact of cyclical factors and macroeconomic factors, make consolidated financial goal-setting a challenge for us. The work our executives must do to successfully operate our businesses, including businesses that at times may have diverging interests, does not entirely lend itself to formulaic measurements, and a proper assessment requires the use of considerable business judgment.</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To address this, our compensation program empowers the Compensation Committee to employ discretion in determining a portion of annual cash bonus payments to NEOs. While the use of discretion can often be associated with the lack of a performance orientation, in our case, our Compensation Committee critically evaluates our NEOs’ performance for the year and employs a rigorous process to determine payouts on the qualitative portion of our program based upon a set of defined objectives.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2014 and going forward, the level of qualitative judgment being employed in our annual cash bonus payments is being reduced from 60% in the case of Messrs. Roberts, Angelakis and Cohen, and 80% in the case of Messrs. Burke and Smit, to 33%. Now that our Comcast Cable and NBCUniversal businesses have been part of the same portfolio for approximately three years, we believe a mix of 67% quantitative and 33% qualitative will provide the appropriate balance for our annual cash bonus determinations going forward.</w:t>
      </w:r>
    </w:p>
    <w:p>
      <w:pPr>
        <w:spacing w:after="0" w:line="76"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right="260"/>
        <w:spacing w:after="0" w:line="239" w:lineRule="auto"/>
        <w:rPr>
          <w:sz w:val="20"/>
          <w:szCs w:val="20"/>
          <w:color w:val="auto"/>
        </w:rPr>
      </w:pPr>
      <w:r>
        <w:rPr>
          <w:rFonts w:ascii="Arial" w:cs="Arial" w:eastAsia="Arial" w:hAnsi="Arial"/>
          <w:sz w:val="18"/>
          <w:szCs w:val="18"/>
          <w:color w:val="auto"/>
        </w:rPr>
        <w:t>Taken together, the interplay of these various elements provides a pay program that is strongly aligned with shareholder interests, retains a high quality executive team and compensates the executive team when they do the right things to help our businesses succeed.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few specific highlights of our compensation program include:</w:t>
      </w:r>
    </w:p>
    <w:p>
      <w:pPr>
        <w:spacing w:after="0" w:line="77" w:lineRule="exact"/>
        <w:rPr>
          <w:sz w:val="20"/>
          <w:szCs w:val="20"/>
          <w:color w:val="auto"/>
        </w:rPr>
      </w:pPr>
    </w:p>
    <w:p>
      <w:pPr>
        <w:ind w:left="800" w:right="20" w:hanging="454"/>
        <w:spacing w:after="0" w:line="23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Compensation Committee annually reviews our financial performance as compared to our peers over time to ensure that our relative financial performance is consistent with our strongly competitive compensation philosophy. Based on these reviews in 2012 and 2013, our compounded annual growth rates over the past ten years for operating cash flow, free cash flow and revenue have consistently been at or near the top of our three peer groups, and we believe that we use an appropriate portion of our operating cash flow, free cash flow and operating income to support our compensation program.</w:t>
      </w:r>
    </w:p>
    <w:p>
      <w:pPr>
        <w:spacing w:after="0" w:line="76"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Class A common stock and Class A Special common stock performance over the last five years exceeded the performance of our transmission/distribution and general industry peer groups, as well as the Standard and Poor’s 500 Stock Index. Our stock performance has lagged somewhat behind our entertainment/media peer group over the last three years, although we did not acquire NBCUniversal until January 2011. The 2013 target total compensation of our Chairman and Chief Executive Officer, Mr. Brian L. Roberts, fell between the 25</w:t>
      </w:r>
      <w:r>
        <w:rPr>
          <w:rFonts w:ascii="Arial" w:cs="Arial" w:eastAsia="Arial" w:hAnsi="Arial"/>
          <w:sz w:val="11"/>
          <w:szCs w:val="11"/>
          <w:color w:val="auto"/>
        </w:rPr>
        <w:t>th</w:t>
      </w:r>
      <w:r>
        <w:rPr>
          <w:rFonts w:ascii="Arial" w:cs="Arial" w:eastAsia="Arial" w:hAnsi="Arial"/>
          <w:sz w:val="18"/>
          <w:szCs w:val="18"/>
          <w:color w:val="auto"/>
        </w:rPr>
        <w:t xml:space="preserve"> percentile and median of the entertainment/media peer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80" w:type="dxa"/>
            <w:vAlign w:val="bottom"/>
          </w:tcPr>
          <w:p>
            <w:pPr>
              <w:spacing w:after="0"/>
              <w:rPr>
                <w:sz w:val="20"/>
                <w:szCs w:val="20"/>
                <w:color w:val="auto"/>
              </w:rPr>
            </w:pPr>
          </w:p>
        </w:tc>
        <w:tc>
          <w:tcPr>
            <w:tcW w:w="5400" w:type="dxa"/>
            <w:vAlign w:val="bottom"/>
            <w:gridSpan w:val="6"/>
          </w:tcPr>
          <w:p>
            <w:pPr>
              <w:ind w:left="900"/>
              <w:spacing w:after="0"/>
              <w:rPr>
                <w:sz w:val="20"/>
                <w:szCs w:val="20"/>
                <w:color w:val="auto"/>
              </w:rPr>
            </w:pPr>
            <w:r>
              <w:rPr>
                <w:rFonts w:ascii="Arial" w:cs="Arial" w:eastAsia="Arial" w:hAnsi="Arial"/>
                <w:sz w:val="18"/>
                <w:szCs w:val="18"/>
                <w:b w:val="1"/>
                <w:bCs w:val="1"/>
                <w:color w:val="auto"/>
                <w:w w:val="99"/>
              </w:rPr>
              <w:t>Cumulative Total Returns (as of December 31, 2013)</w:t>
            </w:r>
            <w:r>
              <w:rPr>
                <w:rFonts w:ascii="Arial" w:cs="Arial" w:eastAsia="Arial" w:hAnsi="Arial"/>
                <w:sz w:val="11"/>
                <w:szCs w:val="11"/>
                <w:b w:val="1"/>
                <w:bCs w:val="1"/>
                <w:color w:val="auto"/>
                <w:w w:val="99"/>
              </w:rPr>
              <w:t>1</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1820" w:type="dxa"/>
            <w:vAlign w:val="bottom"/>
            <w:tcBorders>
              <w:bottom w:val="single" w:sz="8" w:color="auto"/>
            </w:tcBorders>
            <w:gridSpan w:val="2"/>
          </w:tcPr>
          <w:p>
            <w:pPr>
              <w:spacing w:after="0"/>
              <w:rPr>
                <w:sz w:val="13"/>
                <w:szCs w:val="13"/>
                <w:color w:val="auto"/>
              </w:rPr>
            </w:pPr>
          </w:p>
        </w:tc>
        <w:tc>
          <w:tcPr>
            <w:tcW w:w="1820" w:type="dxa"/>
            <w:vAlign w:val="bottom"/>
            <w:tcBorders>
              <w:bottom w:val="single" w:sz="8" w:color="auto"/>
            </w:tcBorders>
            <w:gridSpan w:val="2"/>
          </w:tcPr>
          <w:p>
            <w:pPr>
              <w:spacing w:after="0"/>
              <w:rPr>
                <w:sz w:val="13"/>
                <w:szCs w:val="13"/>
                <w:color w:val="auto"/>
              </w:rPr>
            </w:pPr>
          </w:p>
        </w:tc>
        <w:tc>
          <w:tcPr>
            <w:tcW w:w="1760" w:type="dxa"/>
            <w:vAlign w:val="bottom"/>
            <w:tcBorders>
              <w:bottom w:val="single" w:sz="8" w:color="auto"/>
            </w:tcBorders>
            <w:gridSpan w:val="2"/>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20" w:type="dxa"/>
            <w:vAlign w:val="bottom"/>
            <w:vMerge w:val="restart"/>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General</w:t>
            </w:r>
          </w:p>
        </w:tc>
        <w:tc>
          <w:tcPr>
            <w:tcW w:w="98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S&amp;P 500</w:t>
            </w: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1820" w:type="dxa"/>
            <w:vAlign w:val="bottom"/>
            <w:gridSpan w:val="2"/>
          </w:tcPr>
          <w:p>
            <w:pPr>
              <w:jc w:val="center"/>
              <w:ind w:right="540"/>
              <w:spacing w:after="0" w:line="177" w:lineRule="exact"/>
              <w:rPr>
                <w:sz w:val="20"/>
                <w:szCs w:val="20"/>
                <w:color w:val="auto"/>
              </w:rPr>
            </w:pPr>
            <w:r>
              <w:rPr>
                <w:rFonts w:ascii="Arial" w:cs="Arial" w:eastAsia="Arial" w:hAnsi="Arial"/>
                <w:sz w:val="18"/>
                <w:szCs w:val="18"/>
                <w:b w:val="1"/>
                <w:bCs w:val="1"/>
                <w:color w:val="auto"/>
                <w:w w:val="96"/>
              </w:rPr>
              <w:t>Class A</w:t>
            </w:r>
          </w:p>
        </w:tc>
        <w:tc>
          <w:tcPr>
            <w:tcW w:w="18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Class A Special</w:t>
            </w:r>
          </w:p>
        </w:tc>
        <w:tc>
          <w:tcPr>
            <w:tcW w:w="1760" w:type="dxa"/>
            <w:vAlign w:val="bottom"/>
            <w:gridSpan w:val="2"/>
          </w:tcPr>
          <w:p>
            <w:pPr>
              <w:jc w:val="center"/>
              <w:ind w:right="520"/>
              <w:spacing w:after="0" w:line="177" w:lineRule="exact"/>
              <w:rPr>
                <w:sz w:val="20"/>
                <w:szCs w:val="20"/>
                <w:color w:val="auto"/>
              </w:rPr>
            </w:pPr>
            <w:r>
              <w:rPr>
                <w:rFonts w:ascii="Arial" w:cs="Arial" w:eastAsia="Arial" w:hAnsi="Arial"/>
                <w:sz w:val="18"/>
                <w:szCs w:val="18"/>
                <w:b w:val="1"/>
                <w:bCs w:val="1"/>
                <w:color w:val="auto"/>
                <w:w w:val="98"/>
              </w:rPr>
              <w:t>Entertainment/</w:t>
            </w:r>
          </w:p>
        </w:tc>
        <w:tc>
          <w:tcPr>
            <w:tcW w:w="12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Transmission/</w:t>
            </w:r>
          </w:p>
        </w:tc>
        <w:tc>
          <w:tcPr>
            <w:tcW w:w="52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Common Stock</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Media</w:t>
            </w: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Distribution</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Industry</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4"/>
              </w:rPr>
              <w:t>Stock Index</w:t>
            </w: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300" w:type="dxa"/>
            <w:vAlign w:val="bottom"/>
            <w:tcBorders>
              <w:top w:val="single" w:sz="8" w:color="auto"/>
            </w:tcBorders>
            <w:shd w:val="clear" w:color="auto" w:fill="CCEEFF"/>
          </w:tcPr>
          <w:p>
            <w:pPr>
              <w:jc w:val="right"/>
              <w:ind w:right="352"/>
              <w:spacing w:after="0" w:line="196" w:lineRule="exact"/>
              <w:rPr>
                <w:sz w:val="20"/>
                <w:szCs w:val="20"/>
                <w:color w:val="auto"/>
              </w:rPr>
            </w:pPr>
            <w:r>
              <w:rPr>
                <w:rFonts w:ascii="Arial" w:cs="Arial" w:eastAsia="Arial" w:hAnsi="Arial"/>
                <w:sz w:val="18"/>
                <w:szCs w:val="18"/>
                <w:b w:val="1"/>
                <w:bCs w:val="1"/>
                <w:color w:val="auto"/>
              </w:rPr>
              <w:t>42%</w:t>
            </w:r>
          </w:p>
        </w:tc>
        <w:tc>
          <w:tcPr>
            <w:tcW w:w="5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b w:val="1"/>
                <w:bCs w:val="1"/>
                <w:color w:val="auto"/>
              </w:rPr>
              <w:t>41%</w:t>
            </w:r>
          </w:p>
        </w:tc>
        <w:tc>
          <w:tcPr>
            <w:tcW w:w="5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60%</w:t>
            </w:r>
          </w:p>
        </w:tc>
        <w:tc>
          <w:tcPr>
            <w:tcW w:w="5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27%</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39%</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3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151%</w:t>
            </w:r>
          </w:p>
        </w:tc>
        <w:tc>
          <w:tcPr>
            <w:tcW w:w="520" w:type="dxa"/>
            <w:vAlign w:val="bottom"/>
          </w:tcPr>
          <w:p>
            <w:pPr>
              <w:spacing w:after="0"/>
              <w:rPr>
                <w:sz w:val="17"/>
                <w:szCs w:val="17"/>
                <w:color w:val="auto"/>
              </w:rPr>
            </w:pP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155%</w:t>
            </w:r>
          </w:p>
        </w:tc>
        <w:tc>
          <w:tcPr>
            <w:tcW w:w="520" w:type="dxa"/>
            <w:vAlign w:val="bottom"/>
          </w:tcPr>
          <w:p>
            <w:pPr>
              <w:spacing w:after="0"/>
              <w:rPr>
                <w:sz w:val="17"/>
                <w:szCs w:val="17"/>
                <w:color w:val="auto"/>
              </w:rPr>
            </w:pPr>
          </w:p>
        </w:tc>
        <w:tc>
          <w:tcPr>
            <w:tcW w:w="12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162%</w:t>
            </w:r>
          </w:p>
        </w:tc>
        <w:tc>
          <w:tcPr>
            <w:tcW w:w="520" w:type="dxa"/>
            <w:vAlign w:val="bottom"/>
          </w:tcPr>
          <w:p>
            <w:pPr>
              <w:spacing w:after="0"/>
              <w:rPr>
                <w:sz w:val="17"/>
                <w:szCs w:val="17"/>
                <w:color w:val="auto"/>
              </w:rPr>
            </w:pPr>
          </w:p>
        </w:tc>
        <w:tc>
          <w:tcPr>
            <w:tcW w:w="12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74%</w:t>
            </w:r>
          </w:p>
        </w:tc>
        <w:tc>
          <w:tcPr>
            <w:tcW w:w="52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w:t>
            </w:r>
          </w:p>
        </w:tc>
        <w:tc>
          <w:tcPr>
            <w:tcW w:w="540" w:type="dxa"/>
            <w:vAlign w:val="bottom"/>
          </w:tcPr>
          <w:p>
            <w:pPr>
              <w:spacing w:after="0"/>
              <w:rPr>
                <w:sz w:val="17"/>
                <w:szCs w:val="17"/>
                <w:color w:val="auto"/>
              </w:rPr>
            </w:pP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3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b w:val="1"/>
                <w:bCs w:val="1"/>
                <w:color w:val="auto"/>
              </w:rPr>
              <w:t>240%</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243%</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408%</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right="40" w:hanging="332"/>
        <w:spacing w:after="0" w:line="215"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Cumulative returns for each of the peer groups are based on the composition of our 2013 peer groups and are calculated by averaging returns without reference to market capitalization or other weightings.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800" w:right="100" w:hanging="454"/>
        <w:spacing w:after="0" w:line="264"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performance-based compensation in 2013 (using the grant date value of stock options and RSUs) was a significant percentage of Mr. Roberts total compensation (excluding the change in deferred compensation earnings in 2013), as reflected in the chart below. We do not include the change in deferred compensation earnings because, like all employees in our deferred compensation plans,</w:t>
      </w:r>
    </w:p>
    <w:p>
      <w:pPr>
        <w:ind w:left="800" w:right="120"/>
        <w:spacing w:after="0" w:line="238" w:lineRule="auto"/>
        <w:rPr>
          <w:rFonts w:ascii="Arial" w:cs="Arial" w:eastAsia="Arial" w:hAnsi="Arial"/>
          <w:sz w:val="16"/>
          <w:szCs w:val="16"/>
          <w:color w:val="auto"/>
        </w:rPr>
      </w:pPr>
      <w:r>
        <w:rPr>
          <w:rFonts w:ascii="Arial" w:cs="Arial" w:eastAsia="Arial" w:hAnsi="Arial"/>
          <w:sz w:val="18"/>
          <w:szCs w:val="18"/>
          <w:color w:val="auto"/>
        </w:rPr>
        <w:t>Mr. Roberts makes his own investment decisions as to how much of salary and annual cash bonus to defer and for how long, such that interest earned on deferred compensation is largely tied to individual retirement planning decisions and not to the Compensation Committee’s compensation decisions.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CEO Compensation Mix</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(Excluding Change in Deferred Compensation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46355</wp:posOffset>
            </wp:positionV>
            <wp:extent cx="2778760" cy="1809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87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0" w:right="160" w:hanging="454"/>
        <w:spacing w:after="0" w:line="23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Various policies, as discussed in more detail in “Executive Compensation — Compensation Discussion and Analysis,” further reinforce our performance-based compensation program, such as:</w:t>
      </w:r>
    </w:p>
    <w:p>
      <w:pPr>
        <w:sectPr>
          <w:pgSz w:w="11900" w:h="16838" w:orient="portrait"/>
          <w:cols w:equalWidth="0" w:num="1">
            <w:col w:w="11360"/>
          </w:cols>
          <w:pgMar w:left="240" w:top="459" w:right="299" w:bottom="1440" w:gutter="0" w:footer="0" w:header="0"/>
        </w:sectPr>
      </w:pPr>
    </w:p>
    <w:p>
      <w:pPr>
        <w:spacing w:after="0" w:line="4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We maintain stock ownership guidelines, with our CEO required to own Comcast shares worth at least 10x his base salary.</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executive officers and directors are prohibited from using any strategies or products to hedge against potential changes in the value of our stock.</w:t>
      </w:r>
    </w:p>
    <w:p>
      <w:pPr>
        <w:spacing w:after="0" w:line="42" w:lineRule="exact"/>
        <w:rPr>
          <w:sz w:val="20"/>
          <w:szCs w:val="20"/>
          <w:color w:val="auto"/>
        </w:rPr>
      </w:pPr>
    </w:p>
    <w:p>
      <w:pPr>
        <w:sectPr>
          <w:pgSz w:w="11900" w:h="16838" w:orient="portrait"/>
          <w:cols w:equalWidth="0" w:num="2">
            <w:col w:w="1400" w:space="180"/>
            <w:col w:w="9780"/>
          </w:cols>
          <w:pgMar w:left="240" w:top="459" w:right="299" w:bottom="1440" w:gutter="0" w:footer="0" w:header="0"/>
          <w:type w:val="continuous"/>
        </w:sect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Stock can be pledged only in limited circumstances and only with the approval of the Chair of our Governance and Directors Nominating Committee; any stock pledged as collateral or held in a margin account will not be counted in determining compliance with our stock ownership guidelines. No executive officer or director currently has any stock pledged or held in a margin account.</w:t>
      </w:r>
    </w:p>
    <w:p>
      <w:pPr>
        <w:spacing w:after="0" w:line="7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Our NEOs are required to reimburse us for any benefits that would be considered perquisites. We do not provide premium payments or reimbursements, or tax payments to our NEOs under any life or any other insurance policies.</w:t>
      </w:r>
    </w:p>
    <w:p>
      <w:pPr>
        <w:spacing w:after="0" w:line="14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1400" w:space="180"/>
            <w:col w:w="9780"/>
          </w:cols>
          <w:pgMar w:left="240" w:top="459" w:right="2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asking our shareholders to vote “FOR” the adoption of the following resolution:</w:t>
      </w:r>
    </w:p>
    <w:p>
      <w:pPr>
        <w:spacing w:after="0" w:line="55"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color w:val="auto"/>
        </w:rPr>
        <w:t>“RESOLVED, that the compensation paid to Comcast Corporation’s named executive officers, as disclosed pursuant to Item 402 of Regulation S-K, including the Compensation Discussion and Analysis, compensation tables and narrative discussion, is hereby APPROVED.”</w:t>
      </w:r>
    </w:p>
    <w:p>
      <w:pPr>
        <w:spacing w:after="0" w:line="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While we intend to carefully consider the voting results of this proposal, under the rules of the SEC,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5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color w:val="auto"/>
        </w:rPr>
        <w:t>FOR THESE REASONS, OUR BOARD UNANIMOUSLY RECOMMENDS THAT SHAREHOLDERS VOTE “FOR” APPROVAL OF THE COMPENSATION OF OUR NAMED EXECUTIVE OFFICERS.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received the following two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2014 annual meeting of shareholders, the proponent of a proposal, or a representative of the proponent qualified under Pennsylvania law, must attend the meeting to present the proposal.</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text of the proposal and shareholder’s supporting statement.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TO PREPARE AN ANNUAL REPORT ON LOBBYING ACTIVITIES</w:t>
      </w:r>
    </w:p>
    <w:p>
      <w:pPr>
        <w:spacing w:after="0" w:line="9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following proposal and supporting statement were submitted by The Domestic and Foreign Missionary Society of the Protestant Episcopal Church in the United States of America, 815 Second Avenue, New York, NY 10017.</w:t>
      </w:r>
    </w:p>
    <w:p>
      <w:pPr>
        <w:spacing w:after="0" w:line="7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Whereas, corporate lobbying exposes our company to risks that could adversely affect the company’s stated goals, objectives, and ultimately shareholder value, and</w:t>
      </w:r>
    </w:p>
    <w:p>
      <w:pPr>
        <w:spacing w:after="0" w:line="74"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Whereas, we rely on the information provided by our company and, therefore, have a strong interest in full disclosure of our company’s lobbying to evaluate whether it is consistent with our company’s expressed goals and in the best interests of shareholders and long-term value.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Resolved, the shareholders of Comcast request that the Board authorize the preparation of a report, updated annually, disclosing:</w:t>
      </w:r>
    </w:p>
    <w:p>
      <w:pPr>
        <w:spacing w:after="0" w:line="77" w:lineRule="exact"/>
        <w:rPr>
          <w:sz w:val="20"/>
          <w:szCs w:val="20"/>
          <w:color w:val="auto"/>
        </w:rPr>
      </w:pPr>
    </w:p>
    <w:p>
      <w:pPr>
        <w:ind w:left="1120" w:hanging="199"/>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76" w:lineRule="exact"/>
        <w:rPr>
          <w:rFonts w:ascii="Arial" w:cs="Arial" w:eastAsia="Arial" w:hAnsi="Arial"/>
          <w:sz w:val="18"/>
          <w:szCs w:val="18"/>
          <w:color w:val="auto"/>
        </w:rPr>
      </w:pPr>
    </w:p>
    <w:p>
      <w:pPr>
        <w:ind w:left="920" w:right="120" w:firstLine="1"/>
        <w:spacing w:after="0" w:line="239" w:lineRule="auto"/>
        <w:tabs>
          <w:tab w:leader="none" w:pos="11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Payments by Comcast used for (a) direct or indirect lobbying or (b) grassroots lobbying communications, in each case including the amount of the payment and the recipient.</w:t>
      </w:r>
    </w:p>
    <w:p>
      <w:pPr>
        <w:spacing w:after="0" w:line="73" w:lineRule="exact"/>
        <w:rPr>
          <w:rFonts w:ascii="Arial" w:cs="Arial" w:eastAsia="Arial" w:hAnsi="Arial"/>
          <w:sz w:val="18"/>
          <w:szCs w:val="18"/>
          <w:color w:val="auto"/>
        </w:rPr>
      </w:pPr>
    </w:p>
    <w:p>
      <w:pPr>
        <w:ind w:left="1120" w:hanging="199"/>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Comcast’s membership in, and payments to, any tax-exempt organization that writes and endorses model legislation.</w:t>
      </w:r>
    </w:p>
    <w:p>
      <w:pPr>
        <w:spacing w:after="0" w:line="76" w:lineRule="exact"/>
        <w:rPr>
          <w:rFonts w:ascii="Arial" w:cs="Arial" w:eastAsia="Arial" w:hAnsi="Arial"/>
          <w:sz w:val="18"/>
          <w:szCs w:val="18"/>
          <w:color w:val="auto"/>
        </w:rPr>
      </w:pPr>
    </w:p>
    <w:p>
      <w:pPr>
        <w:ind w:left="920" w:right="40" w:firstLine="1"/>
        <w:spacing w:after="0" w:line="239" w:lineRule="auto"/>
        <w:tabs>
          <w:tab w:leader="none" w:pos="11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Description of the decision making process and oversight by management and the Board for making payments described in sections 2 and 3 above.</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Comcast is a member.</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 Neither “lobbying” nor “grassroots lobbying communications” include efforts to participate or intervene in any political campaign or to influence the general public or any segment thereof with respect to an election or referendum.</w:t>
      </w:r>
    </w:p>
    <w:p>
      <w:pPr>
        <w:spacing w:after="0" w:line="73" w:lineRule="exact"/>
        <w:rPr>
          <w:sz w:val="20"/>
          <w:szCs w:val="20"/>
          <w:color w:val="auto"/>
        </w:rPr>
      </w:pPr>
    </w:p>
    <w:p>
      <w:pPr>
        <w:ind w:right="1520"/>
        <w:spacing w:after="0" w:line="328" w:lineRule="auto"/>
        <w:rPr>
          <w:sz w:val="20"/>
          <w:szCs w:val="20"/>
          <w:color w:val="auto"/>
        </w:rPr>
      </w:pPr>
      <w:r>
        <w:rPr>
          <w:rFonts w:ascii="Arial" w:cs="Arial" w:eastAsia="Arial" w:hAnsi="Arial"/>
          <w:sz w:val="18"/>
          <w:szCs w:val="18"/>
          <w:color w:val="auto"/>
        </w:rPr>
        <w:t xml:space="preserve">The report shall be presented to the Audit Committee or other relevant oversight committees and posted on Comcast’s website. </w:t>
      </w:r>
      <w:r>
        <w:rPr>
          <w:rFonts w:ascii="Arial" w:cs="Arial" w:eastAsia="Arial" w:hAnsi="Arial"/>
          <w:sz w:val="18"/>
          <w:szCs w:val="18"/>
          <w:i w:val="1"/>
          <w:iCs w:val="1"/>
          <w:color w:val="auto"/>
        </w:rPr>
        <w:t>Supporting Statement</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As shareholders, we encourage transparency and accountability in the use of corporate funds to influence legislation and regulation, both directly and indirectly. Comcast spent approximately $14.75 million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2012 on direct federal lobbying activities (opensecrets.org). These figures may not include grassroots lobbying to directly influence legislation by mobilizing public support or opposition, and they do not include lobbying expenditures to influence legislation or regulation in states.</w:t>
      </w:r>
    </w:p>
    <w:p>
      <w:pPr>
        <w:spacing w:after="0" w:line="2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Further, Comcast does not disclose its memberships in, or payments to, trade associations, or the portions of such amount used for lobbying. As noted in an article by James McRichie </w:t>
      </w:r>
      <w:r>
        <w:rPr>
          <w:rFonts w:ascii="Arial" w:cs="Arial" w:eastAsia="Arial" w:hAnsi="Arial"/>
          <w:sz w:val="18"/>
          <w:szCs w:val="18"/>
          <w:i w:val="1"/>
          <w:iCs w:val="1"/>
          <w:color w:val="auto"/>
        </w:rPr>
        <w:t>(http://corpgov.net/2013/02/investors-press-for-disclosure-of-political-spending/</w:t>
      </w:r>
      <w:r>
        <w:rPr>
          <w:rFonts w:ascii="Arial" w:cs="Arial" w:eastAsia="Arial" w:hAnsi="Arial"/>
          <w:sz w:val="18"/>
          <w:szCs w:val="18"/>
          <w:color w:val="auto"/>
        </w:rPr>
        <w:t>, accessed 12/4/2013), “The majority of companies do not disclose the portions of their trade association payments used for lobbying. These payments can create reputational risks for companies. Lobbying disclosure proponents believe companies need to manage these risks by assessing whether their memberships in trade associations accurately represent their corporate interests and policy positions, and that shareholders need to understand their companies’ expenditures for trade association lobbying and the risks they might represent.”</w:t>
      </w:r>
    </w:p>
    <w:p>
      <w:pPr>
        <w:spacing w:after="0" w:line="75" w:lineRule="exact"/>
        <w:rPr>
          <w:sz w:val="20"/>
          <w:szCs w:val="20"/>
          <w:color w:val="auto"/>
        </w:rPr>
      </w:pPr>
    </w:p>
    <w:p>
      <w:pPr>
        <w:ind w:right="1120"/>
        <w:spacing w:after="0" w:line="375" w:lineRule="auto"/>
        <w:rPr>
          <w:sz w:val="20"/>
          <w:szCs w:val="20"/>
          <w:color w:val="auto"/>
        </w:rPr>
      </w:pPr>
      <w:r>
        <w:rPr>
          <w:rFonts w:ascii="Arial" w:cs="Arial" w:eastAsia="Arial" w:hAnsi="Arial"/>
          <w:sz w:val="18"/>
          <w:szCs w:val="18"/>
          <w:color w:val="auto"/>
        </w:rPr>
        <w:t xml:space="preserve">Transparent reporting would reveal whether company assets are being used for objectives contrary to Comcast’s long-term interests. </w:t>
      </w:r>
      <w:r>
        <w:rPr>
          <w:rFonts w:ascii="Arial" w:cs="Arial" w:eastAsia="Arial" w:hAnsi="Arial"/>
          <w:sz w:val="18"/>
          <w:szCs w:val="18"/>
          <w:b w:val="1"/>
          <w:bCs w:val="1"/>
          <w:color w:val="auto"/>
        </w:rPr>
        <w:t>Company Response to Shareholder Proposal</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that it is both important and appropriate to communicate with lawmakers and regulators about the interests of our company, our employees, our shareholders and the communities in which we operate. In fact, in the highly regulated industries in which we primarily operate — the communications and media/entertainment industries — lobbying important legislative and regulatory issues is an absolute necessity to protecting our businesses and, ultimately, our shareholders.</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believe that the information that this proposal seeks to be disclosed is generally publicly available in appropriate detail and that implementing this proposal would require us to incur unnecessary expenses and divert management attention away from our primary business activities and would raise potential competitive concerns. For example:</w:t>
      </w:r>
    </w:p>
    <w:p>
      <w:pPr>
        <w:spacing w:after="0" w:line="73" w:lineRule="exact"/>
        <w:rPr>
          <w:sz w:val="20"/>
          <w:szCs w:val="20"/>
          <w:color w:val="auto"/>
        </w:rPr>
      </w:pPr>
    </w:p>
    <w:p>
      <w:pPr>
        <w:ind w:left="800" w:hanging="454"/>
        <w:spacing w:after="0" w:line="269"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Information with respect to our political activities program is set forth in our Statement on Political and Trade Association Activity (the “Statement”), which is available for review at </w:t>
      </w:r>
      <w:r>
        <w:rPr>
          <w:rFonts w:ascii="Arial" w:cs="Arial" w:eastAsia="Arial" w:hAnsi="Arial"/>
          <w:sz w:val="16"/>
          <w:szCs w:val="16"/>
          <w:i w:val="1"/>
          <w:iCs w:val="1"/>
          <w:color w:val="auto"/>
        </w:rPr>
        <w:t>http://corporate.comcast.com/our-values/integrity/compliance-risk-management</w:t>
      </w:r>
      <w:r>
        <w:rPr>
          <w:rFonts w:ascii="Arial" w:cs="Arial" w:eastAsia="Arial" w:hAnsi="Arial"/>
          <w:sz w:val="16"/>
          <w:szCs w:val="16"/>
          <w:color w:val="auto"/>
        </w:rPr>
        <w:t>. The Statement is periodically reviewed by our Governance and Directors Nominating Committee and outlines the wide variety of public policy issues that impact our business. As noted in the Statement, for contributions made in 2014 and going forward, we have undertaken to voluntarily disclose on our website an annual report of all of our contributions, including by our own political action committees, to federal, state and local candidates, political parties, political committees, other political organizations exempt from federal income taxes under Section 527 of the Internal Revenue Code and ballot measure committees, as well as the portion of any payments we make to certain trade associations that we know were used for political contributions, as defined by Section 162(e)(1)(B) of the Internal Revenue Code.</w:t>
      </w:r>
    </w:p>
    <w:p>
      <w:pPr>
        <w:spacing w:after="0" w:line="51" w:lineRule="exact"/>
        <w:rPr>
          <w:rFonts w:ascii="Arial" w:cs="Arial" w:eastAsia="Arial" w:hAnsi="Arial"/>
          <w:sz w:val="16"/>
          <w:szCs w:val="16"/>
          <w:color w:val="auto"/>
        </w:rPr>
      </w:pPr>
    </w:p>
    <w:p>
      <w:pPr>
        <w:ind w:left="800" w:right="80" w:hanging="454"/>
        <w:spacing w:after="0" w:line="23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As interactions with government entities are highly regulated, we take diligent steps to ensure that we are in compliance with applicable rules and regulations. Our lobbying activities are subject to the restrictions and reporting requirements of applicable law and our Code of Conduct, which is available for review under the “Corporate Governance” section of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00" w:right="140" w:hanging="454"/>
        <w:spacing w:after="0" w:line="23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lobbying activities are also subject to various public disclosure requirements. As such, we already disclose most of our government lobbying interactions in accordance with registration and reporting requirements as required by federal law, each state and certain local jurisdictions. For example, we file quarterly reports with the U.S. Congress about our federal lobbying activities and the amount spent, which are publicly available at </w:t>
      </w:r>
      <w:r>
        <w:rPr>
          <w:rFonts w:ascii="Arial" w:cs="Arial" w:eastAsia="Arial" w:hAnsi="Arial"/>
          <w:sz w:val="18"/>
          <w:szCs w:val="18"/>
          <w:i w:val="1"/>
          <w:iCs w:val="1"/>
          <w:color w:val="auto"/>
        </w:rPr>
        <w:t>http://lobbyingdisclosure.house.gov</w:t>
      </w:r>
      <w:r>
        <w:rPr>
          <w:rFonts w:ascii="Arial" w:cs="Arial" w:eastAsia="Arial" w:hAnsi="Arial"/>
          <w:sz w:val="18"/>
          <w:szCs w:val="18"/>
          <w:color w:val="auto"/>
        </w:rPr>
        <w:t>. Federal and certain state laws also require that we disclose the portion of certain trade association dues that are used for lobbying activities.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280" w:hanging="454"/>
        <w:spacing w:after="0" w:line="23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in many cases, we are not aware of all of the associations’ activities.</w:t>
      </w:r>
    </w:p>
    <w:p>
      <w:pPr>
        <w:spacing w:after="0" w:line="51" w:lineRule="exact"/>
        <w:rPr>
          <w:rFonts w:ascii="Arial" w:cs="Arial" w:eastAsia="Arial" w:hAnsi="Arial"/>
          <w:sz w:val="18"/>
          <w:szCs w:val="18"/>
          <w:color w:val="auto"/>
        </w:rPr>
      </w:pPr>
    </w:p>
    <w:p>
      <w:pPr>
        <w:ind w:left="800" w:right="460" w:hanging="454"/>
        <w:spacing w:after="0" w:line="264"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be clear, this proposal does not relate to our political spending activities. As noted in the Statement, </w:t>
      </w:r>
      <w:r>
        <w:rPr>
          <w:rFonts w:ascii="Arial" w:cs="Arial" w:eastAsia="Arial" w:hAnsi="Arial"/>
          <w:sz w:val="18"/>
          <w:szCs w:val="18"/>
          <w:b w:val="1"/>
          <w:bCs w:val="1"/>
          <w:color w:val="auto"/>
        </w:rPr>
        <w:t>we do not</w:t>
      </w:r>
      <w:r>
        <w:rPr>
          <w:rFonts w:ascii="Arial" w:cs="Arial" w:eastAsia="Arial" w:hAnsi="Arial"/>
          <w:sz w:val="18"/>
          <w:szCs w:val="18"/>
          <w:color w:val="auto"/>
        </w:rPr>
        <w:t>, either directly or through our employees and executive officers:</w:t>
      </w:r>
    </w:p>
    <w:p>
      <w:pPr>
        <w:spacing w:after="0" w:line="52" w:lineRule="exact"/>
        <w:rPr>
          <w:rFonts w:ascii="Arial" w:cs="Arial" w:eastAsia="Arial" w:hAnsi="Arial"/>
          <w:sz w:val="18"/>
          <w:szCs w:val="18"/>
          <w:color w:val="auto"/>
        </w:rPr>
      </w:pPr>
    </w:p>
    <w:p>
      <w:pPr>
        <w:ind w:left="1580" w:right="620" w:hanging="208"/>
        <w:spacing w:after="0" w:line="227" w:lineRule="auto"/>
        <w:tabs>
          <w:tab w:leader="none" w:pos="1580" w:val="left"/>
        </w:tabs>
        <w:numPr>
          <w:ilvl w:val="1"/>
          <w:numId w:val="26"/>
        </w:numPr>
        <w:rPr>
          <w:rFonts w:ascii="Arial" w:cs="Arial" w:eastAsia="Arial" w:hAnsi="Arial"/>
          <w:sz w:val="21"/>
          <w:szCs w:val="21"/>
          <w:color w:val="auto"/>
          <w:vertAlign w:val="superscript"/>
        </w:rPr>
      </w:pPr>
      <w:r>
        <w:rPr>
          <w:rFonts w:ascii="Arial" w:cs="Arial" w:eastAsia="Arial" w:hAnsi="Arial"/>
          <w:sz w:val="17"/>
          <w:szCs w:val="17"/>
          <w:color w:val="auto"/>
        </w:rPr>
        <w:t>make independent expenditures or contribute to federal, state or local political committees that only make independent expenditures (so-called “SuperPACs”) or to any organization for the purpose of funding independent expenditures, or</w:t>
      </w:r>
    </w:p>
    <w:p>
      <w:pPr>
        <w:spacing w:after="0" w:line="72" w:lineRule="exact"/>
        <w:rPr>
          <w:rFonts w:ascii="Arial" w:cs="Arial" w:eastAsia="Arial" w:hAnsi="Arial"/>
          <w:sz w:val="21"/>
          <w:szCs w:val="21"/>
          <w:color w:val="auto"/>
          <w:vertAlign w:val="superscript"/>
        </w:rPr>
      </w:pPr>
    </w:p>
    <w:p>
      <w:pPr>
        <w:ind w:left="1580" w:right="220" w:hanging="208"/>
        <w:spacing w:after="0" w:line="215" w:lineRule="auto"/>
        <w:tabs>
          <w:tab w:leader="none" w:pos="15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support any 501(c)4 organization for the purpose of funding political activity or any unregulated 527 political organization for the purpose of funding political advertising.</w:t>
      </w:r>
    </w:p>
    <w:p>
      <w:pPr>
        <w:spacing w:after="0" w:line="74" w:lineRule="exact"/>
        <w:rPr>
          <w:rFonts w:ascii="Arial" w:cs="Arial" w:eastAsia="Arial" w:hAnsi="Arial"/>
          <w:sz w:val="22"/>
          <w:szCs w:val="22"/>
          <w:color w:val="auto"/>
          <w:vertAlign w:val="superscript"/>
        </w:rPr>
      </w:pPr>
    </w:p>
    <w:p>
      <w:pPr>
        <w:ind w:left="800" w:right="920" w:hanging="454"/>
        <w:spacing w:after="0" w:line="23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74"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For the reasons set forth above, our Board believes that the requirements in this proposal are burdensome and an unproductive use of our resources and are not in the best interests of our shareholders.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15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PROPOSAL 5: TO PROHIBIT ACCELERATED VESTING UPON A CHANGE IN CONTROL</w:t>
      </w:r>
    </w:p>
    <w:p>
      <w:pPr>
        <w:spacing w:after="0" w:line="15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proposal and supporting statement were submitted by the Trust for the International Brotherhood of Electrical Workers’ Pension Benefit Fund, 900 Seventh Street, NW, Washington, DC 20001.</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RESOLVED: The shareholders ask the board of directors to adopt a policy that in the event of a change in control (as defined under any applicable employment agreement, equity incentive plan or other plan), there shall be no acceleration of vesting of any equity award granted to any senior executive, provided, however, that the board’s Compensation Committee may provide in an applicable grant or purchase agreement that any unvested award will vest on a partial,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 to the time of the senior executive’s termination, with such qualifications for an award as the Committee may determine.</w:t>
      </w:r>
    </w:p>
    <w:p>
      <w:pPr>
        <w:spacing w:after="0" w:line="76"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affect any contractual rights in existence on the date this proposal is adopted, and it shall apply only to equity awards made under equity incentive plans or plan amendments that shareholders approve after the date of the 2014 annual meeting.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Supporting Statement</w:t>
      </w:r>
    </w:p>
    <w:p>
      <w:pPr>
        <w:spacing w:after="0" w:line="9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Comcast Corporation (“Company”) allows senior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 senior executive’s performance.</w:t>
      </w:r>
    </w:p>
    <w:p>
      <w:pPr>
        <w:spacing w:after="0" w:line="74"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The Board of Directors retains the authority to accelerate equity awards during a change in control. Had the Board exercised this authority combined with a change in control as of Dec. 31, 2012, Comcast’s five senior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officers would have been eligible for $300 million worth of long-term equity, including $85 million to the CEO.</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unpersuaded by the argument that executives somehow “deserve” to receive unvested awards. To accelerate the vesting of unearned equity on the theory that an executive was denied the opportunity to earn those shares seems inconsistent with a “pay for performance” philosophy worthy of the name.</w:t>
      </w:r>
    </w:p>
    <w:p>
      <w:pPr>
        <w:spacing w:after="0" w:line="5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 xml:space="preserve">We do believe, however, that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5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Other major corporations, including Apple, Chevron, ExxonMobil, IBM, Intel, Microsoft, and Occidental Petroleum, have limitations on accelerated vesting of unearned equity, such as providing pro rata awards or simply forfeiting unearned awards. Research from James Reda &amp; Associates found that over one third of the largest 200 companies now pro rate, forfeit, or only partially vest performance shares upon a change of control.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vote FOR this proposal.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believe that our current equity compensation program design with respect to the treatment of outstanding equity awards in connection with a change in control, as highlighted below, is in the best interest of our shareholders.</w:t>
      </w:r>
    </w:p>
    <w:p>
      <w:pPr>
        <w:spacing w:after="0" w:line="54" w:lineRule="exact"/>
        <w:rPr>
          <w:sz w:val="20"/>
          <w:szCs w:val="20"/>
          <w:color w:val="auto"/>
        </w:rPr>
      </w:pPr>
    </w:p>
    <w:p>
      <w:pPr>
        <w:ind w:left="780" w:right="260" w:hanging="326"/>
        <w:spacing w:after="0" w:line="325"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We grant equity awards as part of our annual compensation program under our restricted stock plan and stock option plan. </w:t>
      </w:r>
      <w:r>
        <w:rPr>
          <w:rFonts w:ascii="Arial" w:cs="Arial" w:eastAsia="Arial" w:hAnsi="Arial"/>
          <w:sz w:val="16"/>
          <w:szCs w:val="16"/>
          <w:b w:val="1"/>
          <w:bCs w:val="1"/>
          <w:i w:val="1"/>
          <w:iCs w:val="1"/>
          <w:color w:val="auto"/>
        </w:rPr>
        <w:t>Neither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these equity plans provides for the automatic accelerated vesting of awards in connection with a change in control</w:t>
      </w:r>
      <w:r>
        <w:rPr>
          <w:rFonts w:ascii="Arial" w:cs="Arial" w:eastAsia="Arial" w:hAnsi="Arial"/>
          <w:sz w:val="16"/>
          <w:szCs w:val="16"/>
          <w:color w:val="auto"/>
        </w:rPr>
        <w:t>.</w:t>
      </w:r>
    </w:p>
    <w:p>
      <w:pPr>
        <w:spacing w:after="0" w:line="7" w:lineRule="exact"/>
        <w:rPr>
          <w:rFonts w:ascii="Arial" w:cs="Arial" w:eastAsia="Arial" w:hAnsi="Arial"/>
          <w:sz w:val="16"/>
          <w:szCs w:val="16"/>
          <w:color w:val="auto"/>
        </w:rPr>
      </w:pPr>
    </w:p>
    <w:p>
      <w:pPr>
        <w:ind w:left="780" w:hanging="326"/>
        <w:spacing w:after="0" w:line="23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our named executive officers’ (“NEOs”) employment agreements provides for the automatic accelerated vesting of equity awards in connection with a change in control (a “single trigger”), and our Compensation Committee has no affirmative obligation to accelerate any such awards.</w:t>
      </w:r>
    </w:p>
    <w:p>
      <w:pPr>
        <w:spacing w:after="0" w:line="72" w:lineRule="exact"/>
        <w:rPr>
          <w:rFonts w:ascii="Arial" w:cs="Arial" w:eastAsia="Arial" w:hAnsi="Arial"/>
          <w:sz w:val="18"/>
          <w:szCs w:val="18"/>
          <w:color w:val="auto"/>
        </w:rPr>
      </w:pPr>
    </w:p>
    <w:p>
      <w:pPr>
        <w:ind w:left="780" w:hanging="326"/>
        <w:spacing w:after="0" w:line="23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our NEOs’ employment agreements, other than Mr. Brian L. Roberts, provides for the automatic accelerated vesting of equity awards upon the occurrence of one or more specified events that may follow a change in control, such as a termination of employment (a “double trigger”).</w:t>
      </w:r>
    </w:p>
    <w:p>
      <w:pPr>
        <w:spacing w:after="0" w:line="7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 light of our current equity compensation design, we do not believe that the proponent’s proposal is in the best interests of our company and shareholders for the reasons set forth below.</w:t>
      </w:r>
    </w:p>
    <w:p>
      <w:pPr>
        <w:spacing w:after="0" w:line="74" w:lineRule="exact"/>
        <w:rPr>
          <w:sz w:val="20"/>
          <w:szCs w:val="20"/>
          <w:color w:val="auto"/>
        </w:rPr>
      </w:pPr>
    </w:p>
    <w:p>
      <w:pPr>
        <w:ind w:left="780" w:right="40" w:hanging="326"/>
        <w:spacing w:after="0" w:line="23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Integral to our equity compensation program design is the fundamental belief that the Compensation Committee should retain the flexibility and discretion to determine whether, and under what circumstances, to accelerate all or part of an equity award in connection with a change in control. The proponent’s proposal, however, seeks to substitute for the Compensation Committee’s informed judgment the proponent’s view that the amount of time an employee is employed represents the extent to which an equity award is “earned.” The Compensation Committee, which is composed entirely of independent directors, is bound by fiduciary obligations under law to act in a manner that it believes to be in our best interests and the best interests of our shareholders. As such, the Compensation Committee, and not shareholders who are not bound by fiduciary obligations, should be able to exercise its judgment in determining what is in the best interests of our company and shareholders in a particular change in control transaction.</w:t>
      </w:r>
    </w:p>
    <w:p>
      <w:pPr>
        <w:spacing w:after="0" w:line="73" w:lineRule="exact"/>
        <w:rPr>
          <w:rFonts w:ascii="Arial" w:cs="Arial" w:eastAsia="Arial" w:hAnsi="Arial"/>
          <w:sz w:val="18"/>
          <w:szCs w:val="18"/>
          <w:color w:val="auto"/>
        </w:rPr>
      </w:pPr>
    </w:p>
    <w:p>
      <w:pPr>
        <w:ind w:left="780" w:right="240" w:hanging="326"/>
        <w:spacing w:after="0" w:line="23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should have the ability to exercise its judgment, in accordance with its fiduciary duties, to protect executives, and all employees, against the potential forfeiture of all or a substantial portion of their equity awards upon a change in control. Equity compensation, which is inherently performance based, is a significant component of our executive’s total annual compensation, and we believe that putting executives in a position to lose the opportunity to earn their equity awards undermines pay-for-performance objectives.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line="270"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Compensation Committee’s ability to exercise its discretion is crucial to its ability to develop a competitive executive compensation program that fosters the achievement of our strategic, operational and financial goals. For example, allowing the Compensation Committee to retain the discretion to accelerate the vesting of some or all of an employee’s equity awards in connection with a change in control (i) would encourage employees, including our senior executives (who would be the most likely to be terminated in connection with a change in control), to remain with our company through a transaction while reducing uncertainty and distraction leading up to such an event and (ii) would potentially avoid conflicts of interest that could result if employees believed they were being penalized by losing incentive compensation as a result of a transaction that is outside of their control but is in the best interests of our shareholders.</w:t>
      </w:r>
    </w:p>
    <w:p>
      <w:pPr>
        <w:spacing w:after="0" w:line="50" w:lineRule="exact"/>
        <w:rPr>
          <w:rFonts w:ascii="Arial" w:cs="Arial" w:eastAsia="Arial" w:hAnsi="Arial"/>
          <w:sz w:val="16"/>
          <w:szCs w:val="16"/>
          <w:color w:val="auto"/>
        </w:rPr>
      </w:pPr>
    </w:p>
    <w:p>
      <w:pPr>
        <w:ind w:left="780" w:hanging="326"/>
        <w:spacing w:after="0" w:line="23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Imposing a restriction as the proponent proposes could adversely affect shareholder value, as it may be appropriate for the Compensation Committee to accelerate vesting to properly align our executives’ interests with those of our shareholders by incentivizing them to maximize value for shareholders in connection with a change in control transaction. In this regard, a recent independent academic study concluded that takeover premiums are significantly larger when the CEO of a target company receives the benefit of accelerated vesting as compared to when the CEO of a target company continues to vest in his or her awards after the transaction closes. (</w:t>
      </w:r>
      <w:r>
        <w:rPr>
          <w:rFonts w:ascii="Arial" w:cs="Arial" w:eastAsia="Arial" w:hAnsi="Arial"/>
          <w:sz w:val="18"/>
          <w:szCs w:val="18"/>
          <w:i w:val="1"/>
          <w:iCs w:val="1"/>
          <w:color w:val="auto"/>
        </w:rPr>
        <w:t>See Elkinawy, Susan and Offenberg, David, Accelerated Vesting in Takeovers: The Impact on Shareholder Wealth (November 7,</w:t>
      </w:r>
      <w:r>
        <w:rPr>
          <w:rFonts w:ascii="Arial" w:cs="Arial" w:eastAsia="Arial" w:hAnsi="Arial"/>
          <w:sz w:val="18"/>
          <w:szCs w:val="18"/>
          <w:color w:val="auto"/>
        </w:rPr>
        <w:t xml:space="preserve"> </w:t>
      </w:r>
      <w:r>
        <w:rPr>
          <w:rFonts w:ascii="Arial" w:cs="Arial" w:eastAsia="Arial" w:hAnsi="Arial"/>
          <w:sz w:val="18"/>
          <w:szCs w:val="18"/>
          <w:i w:val="1"/>
          <w:iCs w:val="1"/>
          <w:color w:val="auto"/>
        </w:rPr>
        <w:t>2011). Financial Management. Available at SSRN: http://ssrn.com/abstract=1975962.</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780" w:hanging="326"/>
        <w:spacing w:after="0" w:line="23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Adopting the proponent’s proposal, where senior executives would be treated significantly worse than other employees who participate in our equity plans, serves no legitimate shareholder interest and undermines the objectives discussed above for the individuals most at risk of departure in connection with a potential change in control.</w:t>
      </w:r>
    </w:p>
    <w:p>
      <w:pPr>
        <w:spacing w:after="0" w:line="51" w:lineRule="exact"/>
        <w:rPr>
          <w:sz w:val="20"/>
          <w:szCs w:val="20"/>
          <w:color w:val="auto"/>
        </w:rPr>
      </w:pPr>
    </w:p>
    <w:p>
      <w:pPr>
        <w:jc w:val="center"/>
        <w:ind w:right="52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the more specific compensation information for our named executive officers (“NEOs”) relating to 2013 contained in the tables and related disclosures that follow. For 2013, our NEOs are as follows:</w:t>
      </w:r>
    </w:p>
    <w:p>
      <w:pPr>
        <w:spacing w:after="0" w:line="19"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Michael J. Angelakis, Vice Chairman and Chief Financial Officer</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Stephen B. Burke, Executive Vice President, and President and Chief Executive Officer of NBCUniversal</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Neil Smit, Executive Vice President, and President and Chief Executive Officer of Comcast Cable Communications</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David L. Cohen, Executive Vice President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 Comcast Cable is the nation’s largest provider of video, high-speed Internet and voice services to residential customers under the XFINITY brand and also provides these services to businesses. NBCUniversal operates a diversified portfolio of cable networks, the NBC and Telemundo broadcast networks, television production operations, television station groups, Universal Pictures and Universal Parks and Resorts. As a company with two primary businesses that may have both converging and diverging goals, our NEOs are responsible for managing a more complex company than many of our peer companies.</w:t>
      </w:r>
    </w:p>
    <w:p>
      <w:pPr>
        <w:spacing w:after="0" w:line="7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businesses’ objectives and take into account the complexity of our businesses to create a compensation program that is tailored toward furthering our company’s objectives.</w:t>
      </w:r>
    </w:p>
    <w:p>
      <w:pPr>
        <w:spacing w:after="0" w:line="74" w:lineRule="exact"/>
        <w:rPr>
          <w:sz w:val="20"/>
          <w:szCs w:val="20"/>
          <w:color w:val="auto"/>
        </w:rPr>
      </w:pPr>
    </w:p>
    <w:p>
      <w:pPr>
        <w:ind w:left="800" w:right="120" w:hanging="454"/>
        <w:spacing w:after="0" w:line="295"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our businesses, the quality and performance of our executives makes a substantial difference in our ability to compete. We need uniquely talented and experienced individuals to perform for our highly competitive businesses. To address this issue, we do two things:</w:t>
      </w: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First, we provide pay opportunity levels that are highly competitive.</w:t>
      </w:r>
    </w:p>
    <w:p>
      <w:pPr>
        <w:spacing w:after="0" w:line="7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Second, we structure our long-term incentive program to be provided in restricted stock units (“RSUs”) (with performance conditions) and stock options, both generally with vesting periods much longer than typical, as an explicit retention strategy and to tie the value ultimately realized to our long-term performance.</w:t>
      </w:r>
    </w:p>
    <w:p>
      <w:pPr>
        <w:spacing w:after="0" w:line="73"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800"/>
        <w:spacing w:after="0" w:line="238" w:lineRule="auto"/>
        <w:rPr>
          <w:sz w:val="20"/>
          <w:szCs w:val="20"/>
          <w:color w:val="auto"/>
        </w:rPr>
      </w:pPr>
      <w:r>
        <w:rPr>
          <w:rFonts w:ascii="Arial" w:cs="Arial" w:eastAsia="Arial" w:hAnsi="Arial"/>
          <w:sz w:val="18"/>
          <w:szCs w:val="18"/>
          <w:color w:val="auto"/>
        </w:rPr>
        <w:t>We believe that the combination of these elements furthers our shareholders’ interests in that they obtain the benefit of our executives’ services in an exceedingly competitive talent market for the long-term and our executives’ interests are strongly aligned with the interests of our shareholders.</w:t>
      </w:r>
    </w:p>
    <w:p>
      <w:pPr>
        <w:spacing w:after="0" w:line="73" w:lineRule="exact"/>
        <w:rPr>
          <w:sz w:val="20"/>
          <w:szCs w:val="20"/>
          <w:color w:val="auto"/>
        </w:rPr>
      </w:pPr>
    </w:p>
    <w:p>
      <w:pPr>
        <w:ind w:left="800" w:right="200" w:hanging="454"/>
        <w:spacing w:after="0" w:line="275"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Cash generation is critical to our businesses, both in measuring the operating success of our businesses and in generating excess capital, which is not only necessary to maintain our existing businesses, but also to make growth and strategic capital investments that allow us to proactively anticipate technological and consumer behavior changes in a rapidly-changing competitive environment. Cash generation also supports our return of capital strategy for our shareholders in the form of dividend payments and share repurchases.</w:t>
      </w:r>
    </w:p>
    <w:p>
      <w:pPr>
        <w:spacing w:after="0" w:line="48" w:lineRule="exact"/>
        <w:rPr>
          <w:rFonts w:ascii="Arial" w:cs="Arial" w:eastAsia="Arial" w:hAnsi="Arial"/>
          <w:sz w:val="16"/>
          <w:szCs w:val="16"/>
          <w:color w:val="auto"/>
        </w:rPr>
      </w:pPr>
    </w:p>
    <w:p>
      <w:pPr>
        <w:ind w:left="1580" w:right="320" w:hanging="208"/>
        <w:spacing w:after="0" w:line="221" w:lineRule="auto"/>
        <w:tabs>
          <w:tab w:leader="none" w:pos="158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color w:val="auto"/>
        </w:rPr>
        <w:t>To reinforce this critical aspect of our businesses, we use three quantitative performance goals in certain elements of our compensation program tied to (1) revenue — which serves as the top line component to our cash generation, (2) operating cash flow — which reflects the operational performance of our business, taking into account the costs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600" w:right="620"/>
        <w:spacing w:after="0" w:line="299" w:lineRule="auto"/>
        <w:rPr>
          <w:sz w:val="20"/>
          <w:szCs w:val="20"/>
          <w:color w:val="auto"/>
        </w:rPr>
      </w:pPr>
      <w:r>
        <w:rPr>
          <w:rFonts w:ascii="Arial" w:cs="Arial" w:eastAsia="Arial" w:hAnsi="Arial"/>
          <w:sz w:val="16"/>
          <w:szCs w:val="16"/>
          <w:color w:val="auto"/>
        </w:rPr>
        <w:t>operating our business and (3) free cash flow — which measures, among other things, the cash remaining after capital investments and allows us to repay indebtedness, make strategic investments and return capital to shareholders.</w:t>
      </w:r>
    </w:p>
    <w:p>
      <w:pPr>
        <w:spacing w:after="0" w:line="28" w:lineRule="exact"/>
        <w:rPr>
          <w:sz w:val="20"/>
          <w:szCs w:val="20"/>
          <w:color w:val="auto"/>
        </w:rPr>
      </w:pPr>
    </w:p>
    <w:p>
      <w:pPr>
        <w:ind w:left="800" w:hanging="454"/>
        <w:spacing w:after="0" w:line="23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complexity of our businesses, overlaid with the impact of cyclical factors and macroeconomic factors, make consolidated financial goal-setting a challenge for us. The work our executives must do to successfully operate our businesses, including businesses that at times may have diverging interests, does not entirely lend itself to formulaic measurements, and a proper assessment requires the use of considerable business judgment.</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To address this, our compensation program empowers the Compensation Committee to employ discretion in determining a portion of annual cash bonus payments to NEOs. While the use of discretion can often be associated with the lack of a performance orientation, in our case, our Compensation Committee critically evaluates our NEOs’ performance for the year and employs a rigorous process to determine payouts on the qualitative portion of our program based upon a set of defined objectives.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2014 and going forward, the level of qualitative judgment being employed in our annual cash bonus payments is being reduced from 60% in the case of Messrs. Roberts, Angelakis and Cohen, and 80% in the case of Messrs. Burke and Smit, to 33%. Now that our Comcast Cable and NBCUniversal businesses have been part of the same portfolio for approximately three years, we believe a mix of 67% quantitative and 33% qualitative will provide the appropriate balance for our annual cash bonus determinations going forward.</w:t>
      </w:r>
    </w:p>
    <w:p>
      <w:pPr>
        <w:spacing w:after="0" w:line="76"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right="260"/>
        <w:spacing w:after="0" w:line="239" w:lineRule="auto"/>
        <w:rPr>
          <w:sz w:val="20"/>
          <w:szCs w:val="20"/>
          <w:color w:val="auto"/>
        </w:rPr>
      </w:pPr>
      <w:r>
        <w:rPr>
          <w:rFonts w:ascii="Arial" w:cs="Arial" w:eastAsia="Arial" w:hAnsi="Arial"/>
          <w:sz w:val="18"/>
          <w:szCs w:val="18"/>
          <w:color w:val="auto"/>
        </w:rPr>
        <w:t>Taken together, the interplay of these various elements provides a pay program that is strongly aligned with shareholder interests, retains a high quality executive team and compensates the executive team when they do the right things to help our businesses succeed.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Business Highlights</w:t>
      </w:r>
    </w:p>
    <w:p>
      <w:pPr>
        <w:spacing w:after="0" w:line="1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All of our businesses operate in intensely competitive, rapidly changing and complex technological environments. While our businesses also are extensively regulated, we face unique challenges in that Comcast Cable and NBCUniversal are subject to additional regulatory requirements due to the NBCUniversal transaction in 2011. Our board credits the leadership of Mr. Brian L. Roberts and the other members of our executive management committee (which is composed of all of our NEOs) for Comcast achieving such strong performance over the past several years.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strong consolidated financial performance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217285" cy="1895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1728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Reconciliations of consolidated operating cash flow to operating income and consolidated free cash flow to net cash provided by operating activities are set forth on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Cable Communications and NBCUniversal businesses also had strong performances in 2013:</w:t>
      </w:r>
    </w:p>
    <w:p>
      <w:pPr>
        <w:sectPr>
          <w:pgSz w:w="11900" w:h="16838" w:orient="portrait"/>
          <w:cols w:equalWidth="0" w:num="1">
            <w:col w:w="11400"/>
          </w:cols>
          <w:pgMar w:left="240" w:top="459" w:right="259" w:bottom="1440" w:gutter="0" w:footer="0" w:header="0"/>
        </w:sectPr>
      </w:pPr>
    </w:p>
    <w:p>
      <w:pPr>
        <w:spacing w:after="0" w:line="6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Cable Communications’ revenue increased 5.6% to $41.8 billion and operating income before depreciation and amortization increased 5.8% to $17.2 billion</w:t>
      </w:r>
    </w:p>
    <w:p>
      <w:pPr>
        <w:spacing w:after="0" w:line="7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NBCUniversal’s revenue increased 5.7% to $23.7 billion, when excluding the impact from our broadcasts of the Super Bowl and London Olympics in 2012, and decreased 0.7%, when including $1.4 billion of revenue in 2012 related to these events; NBCUniversal’s operating income before depreciation and amortization increased 15.2% to $4.7 billion</w:t>
      </w:r>
    </w:p>
    <w:p>
      <w:pPr>
        <w:spacing w:after="0" w:line="73" w:lineRule="exact"/>
        <w:rPr>
          <w:sz w:val="20"/>
          <w:szCs w:val="20"/>
          <w:color w:val="auto"/>
        </w:rPr>
      </w:pPr>
    </w:p>
    <w:p>
      <w:pPr>
        <w:sectPr>
          <w:pgSz w:w="11900" w:h="16838" w:orient="portrait"/>
          <w:cols w:equalWidth="0" w:num="2">
            <w:col w:w="1400" w:space="180"/>
            <w:col w:w="9820"/>
          </w:cols>
          <w:pgMar w:left="240" w:top="459" w:right="259" w:bottom="1440" w:gutter="0" w:footer="0" w:header="0"/>
          <w:type w:val="continuous"/>
        </w:sectPr>
      </w:pPr>
    </w:p>
    <w:p>
      <w:pPr>
        <w:ind w:left="800" w:right="60" w:hanging="454"/>
        <w:spacing w:after="0" w:line="239"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returned a total of $4.0 billion of capital to shareholders in 2013, by repurchasing $2.0 billion of our common shares and making four cash dividend payments totaling $2.0 billion.</w:t>
      </w:r>
    </w:p>
    <w:p>
      <w:pPr>
        <w:spacing w:after="0" w:line="73" w:lineRule="exact"/>
        <w:rPr>
          <w:rFonts w:ascii="Arial" w:cs="Arial" w:eastAsia="Arial" w:hAnsi="Arial"/>
          <w:sz w:val="18"/>
          <w:szCs w:val="18"/>
          <w:color w:val="auto"/>
        </w:rPr>
      </w:pPr>
    </w:p>
    <w:p>
      <w:pPr>
        <w:ind w:left="800" w:right="400" w:hanging="454"/>
        <w:spacing w:after="0" w:line="239"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2014, we announced a 15.4% increase in our dividend to $0.90 per share on an annualized basis — the 6</w:t>
      </w:r>
      <w:r>
        <w:rPr>
          <w:rFonts w:ascii="Arial" w:cs="Arial" w:eastAsia="Arial" w:hAnsi="Arial"/>
          <w:sz w:val="11"/>
          <w:szCs w:val="11"/>
          <w:color w:val="auto"/>
        </w:rPr>
        <w:t>th</w:t>
      </w:r>
      <w:r>
        <w:rPr>
          <w:rFonts w:ascii="Arial" w:cs="Arial" w:eastAsia="Arial" w:hAnsi="Arial"/>
          <w:sz w:val="18"/>
          <w:szCs w:val="18"/>
          <w:color w:val="auto"/>
        </w:rPr>
        <w:t xml:space="preserve"> increase in 6 years, and a $1.0 billion increase in our planned 2014 share repurchases.</w:t>
      </w:r>
    </w:p>
    <w:p>
      <w:pPr>
        <w:spacing w:after="0" w:line="73" w:lineRule="exact"/>
        <w:rPr>
          <w:rFonts w:ascii="Arial" w:cs="Arial" w:eastAsia="Arial" w:hAnsi="Arial"/>
          <w:sz w:val="18"/>
          <w:szCs w:val="18"/>
          <w:color w:val="auto"/>
        </w:rPr>
      </w:pPr>
    </w:p>
    <w:p>
      <w:pPr>
        <w:ind w:left="800" w:right="220" w:hanging="454"/>
        <w:spacing w:after="0" w:line="239"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March 2013, we acquired General Electric Company’s remaining 49% common equity interest in NBCUniversal for $16.7 billion and now own 100% of NBCUniversal’s common equity.</w:t>
      </w:r>
    </w:p>
    <w:p>
      <w:pPr>
        <w:spacing w:after="0" w:line="73" w:lineRule="exact"/>
        <w:rPr>
          <w:rFonts w:ascii="Arial" w:cs="Arial" w:eastAsia="Arial" w:hAnsi="Arial"/>
          <w:sz w:val="18"/>
          <w:szCs w:val="18"/>
          <w:color w:val="auto"/>
        </w:rPr>
      </w:pPr>
    </w:p>
    <w:p>
      <w:pPr>
        <w:ind w:left="800" w:right="400" w:hanging="454"/>
        <w:spacing w:after="0" w:line="239"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December 31, 2013, our Comcast Cable customers totaled 53.1 million, an increase of 1.8 million, or 3.4% over the prior year, reflecting increased high-speed Internet and voice customer additions and reduced video customer losses.</w:t>
      </w:r>
    </w:p>
    <w:p>
      <w:pPr>
        <w:spacing w:after="0" w:line="73"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February 2014, we entered into an agreement for Time Warner Cable to merge into us, whereby each Time Warner Cable share will be exchanged for 2.875 shares of our Class A common stock, equal to Time Warner Cable shareholders owning approximately 23% of our common stock (based on the number of shares outstanding as of the date of the agreement). We believe that this transaction will ultimately generate approximately $1.5 billion in operating efficiencies and will be accretive to our free cash flow while preserving our balance sheet strength. This transaction remains subject to shareholder approval at both of our companies, regulatory review and other customary conditions and is expected to close by the end of 2014.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continued to execute on key strategic initiatives, such as:</w:t>
      </w:r>
    </w:p>
    <w:p>
      <w:pPr>
        <w:spacing w:after="0" w:line="77" w:lineRule="exact"/>
        <w:rPr>
          <w:sz w:val="20"/>
          <w:szCs w:val="20"/>
          <w:color w:val="auto"/>
        </w:rPr>
      </w:pPr>
    </w:p>
    <w:p>
      <w:pPr>
        <w:jc w:val="both"/>
        <w:ind w:left="800" w:right="240" w:hanging="454"/>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Investing in our IP and cloud-enabled video platform, referred to as our X1 platform, to deliver video and advanced search capabilities and allow access to certain third-party apps via the Internet, such as Pandora and Facebook; our X1 platform is now available in all of the markets in which we operate.</w:t>
      </w:r>
    </w:p>
    <w:p>
      <w:pPr>
        <w:spacing w:after="0" w:line="72" w:lineRule="exact"/>
        <w:rPr>
          <w:rFonts w:ascii="Arial" w:cs="Arial" w:eastAsia="Arial" w:hAnsi="Arial"/>
          <w:sz w:val="18"/>
          <w:szCs w:val="18"/>
          <w:color w:val="auto"/>
        </w:rPr>
      </w:pPr>
    </w:p>
    <w:p>
      <w:pPr>
        <w:ind w:left="800" w:hanging="454"/>
        <w:spacing w:after="0" w:line="23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Enabling a variety of consumer electronic devices, including computers, tablets, smartphones and Internet-connected televisions, to view and control certain live programming and On Demand content we provide to our video customers.</w:t>
      </w:r>
    </w:p>
    <w:p>
      <w:pPr>
        <w:spacing w:after="0" w:line="73" w:lineRule="exact"/>
        <w:rPr>
          <w:rFonts w:ascii="Arial" w:cs="Arial" w:eastAsia="Arial" w:hAnsi="Arial"/>
          <w:sz w:val="18"/>
          <w:szCs w:val="18"/>
          <w:color w:val="auto"/>
        </w:rPr>
      </w:pPr>
    </w:p>
    <w:p>
      <w:pPr>
        <w:ind w:left="800" w:right="160" w:hanging="454"/>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and deploying wireless gateways in the home that enable our residential high-speed Internet customers to receive higher Internet speeds and to improve the use of multiple Internet-enabled devices at the same time; to date, we have deployed over 7 million wireless gateways in customers’ homes.</w:t>
      </w:r>
    </w:p>
    <w:p>
      <w:pPr>
        <w:spacing w:after="0" w:line="72" w:lineRule="exact"/>
        <w:rPr>
          <w:rFonts w:ascii="Arial" w:cs="Arial" w:eastAsia="Arial" w:hAnsi="Arial"/>
          <w:sz w:val="18"/>
          <w:szCs w:val="18"/>
          <w:color w:val="auto"/>
        </w:rPr>
      </w:pPr>
    </w:p>
    <w:p>
      <w:pPr>
        <w:ind w:left="800" w:right="360" w:hanging="454"/>
        <w:spacing w:after="0" w:line="23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to invest in our network infrastructure by deploying multiple tools to recapture bandwidth and optimize our network and in expanding our business services and our home security and automation services.</w:t>
      </w:r>
    </w:p>
    <w:p>
      <w:pPr>
        <w:spacing w:after="0" w:line="73" w:lineRule="exact"/>
        <w:rPr>
          <w:rFonts w:ascii="Arial" w:cs="Arial" w:eastAsia="Arial" w:hAnsi="Arial"/>
          <w:sz w:val="18"/>
          <w:szCs w:val="18"/>
          <w:color w:val="auto"/>
        </w:rPr>
      </w:pPr>
    </w:p>
    <w:p>
      <w:pPr>
        <w:ind w:left="800" w:right="200" w:hanging="454"/>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Continuing to invest in NBCUniversal’s original programming and sports programming rights at both our cable networks and broadcast networks and in new attractions at our Universal theme parks, including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and </w:t>
      </w:r>
      <w:r>
        <w:rPr>
          <w:rFonts w:ascii="Arial" w:cs="Arial" w:eastAsia="Arial" w:hAnsi="Arial"/>
          <w:sz w:val="18"/>
          <w:szCs w:val="18"/>
          <w:i w:val="1"/>
          <w:iCs w:val="1"/>
          <w:color w:val="auto"/>
        </w:rPr>
        <w:t>Despicable Me</w:t>
      </w:r>
      <w:r>
        <w:rPr>
          <w:rFonts w:ascii="Arial" w:cs="Arial" w:eastAsia="Arial" w:hAnsi="Arial"/>
          <w:sz w:val="18"/>
          <w:szCs w:val="18"/>
          <w:color w:val="auto"/>
        </w:rPr>
        <w:t xml:space="preserve"> attractions and the expansion of the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attraction.</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Executing on attaining key diversity milestones.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Highlights</w:t>
      </w:r>
    </w:p>
    <w:p>
      <w:pPr>
        <w:spacing w:after="0" w:line="16" w:lineRule="exact"/>
        <w:rPr>
          <w:sz w:val="20"/>
          <w:szCs w:val="20"/>
          <w:color w:val="auto"/>
        </w:rPr>
      </w:pPr>
    </w:p>
    <w:p>
      <w:pPr>
        <w:ind w:left="800" w:right="100" w:hanging="454"/>
        <w:spacing w:after="0" w:line="23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compensation program is designed to motivate, reward and retain our NEOs by including in their compensation both short-term and long-term performance-based components and to align their compensation with our shareholders’ interests. We use objective performance-based criteria tied to key financial and operating measures for our annual cash incentive plan and the vesting of RSUs as noted immediately below, and a material portion of our NEOs’ compensation is in the form of equity, which is inherently tied to our stock price movement and the achievement of shareholder value.</w:t>
      </w:r>
    </w:p>
    <w:p>
      <w:pPr>
        <w:spacing w:after="0" w:line="76" w:lineRule="exact"/>
        <w:rPr>
          <w:rFonts w:ascii="Arial" w:cs="Arial" w:eastAsia="Arial" w:hAnsi="Arial"/>
          <w:sz w:val="18"/>
          <w:szCs w:val="18"/>
          <w:color w:val="auto"/>
        </w:rPr>
      </w:pPr>
    </w:p>
    <w:p>
      <w:pPr>
        <w:ind w:left="800" w:right="80" w:hanging="454"/>
        <w:spacing w:after="0" w:line="23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manage and operate our businesses in a large part with a view to revenue, operating cash flow and free cash flow growth, which we consider among the key measures in executing our strategic plans. As such, payments under our annual cash incentive plan and the vesting of RSUs are linked to one or more of these objective, quantitative performance-based criteria to align executive compensation with our long-term performance goals and the interests of our shareholders.</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Annual Cash Bonus. </w:t>
      </w:r>
      <w:r>
        <w:rPr>
          <w:rFonts w:ascii="Arial" w:cs="Arial" w:eastAsia="Arial" w:hAnsi="Arial"/>
          <w:sz w:val="18"/>
          <w:szCs w:val="18"/>
          <w:color w:val="auto"/>
        </w:rPr>
        <w:t>Our NEOs’ annual cash bonus is entirely at risk. For 2013, bonuses were subject to achievement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 performance goal of 2013 consolidated operating cash flow being at least 101% of that in 2012. Only if that threshold is attained is a bonus then paid based on predetermined levels of revenue, operating cash flow and free cash flow, as well as on qualitative factors related to company management and diversity initiatives.</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RSUs do not vest unless performance conditions are met; for 2013, the condition was that 2013 consolidated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be at least 101% of that in 2012.</w:t>
      </w:r>
    </w:p>
    <w:p>
      <w:pPr>
        <w:spacing w:after="0" w:line="38"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1580" w:right="140" w:hanging="208"/>
        <w:spacing w:after="0" w:line="225" w:lineRule="auto"/>
        <w:tabs>
          <w:tab w:leader="none" w:pos="158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2013 Outcomes. </w:t>
      </w:r>
      <w:r>
        <w:rPr>
          <w:rFonts w:ascii="Arial" w:cs="Arial" w:eastAsia="Arial" w:hAnsi="Arial"/>
          <w:sz w:val="18"/>
          <w:szCs w:val="18"/>
          <w:color w:val="auto"/>
        </w:rPr>
        <w:t>We had strong performances across all of our businesses in 2013, and target levels of all of our quantitative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were met or exceeded as more fully explained below.</w:t>
      </w:r>
    </w:p>
    <w:p>
      <w:pPr>
        <w:spacing w:after="0" w:line="72" w:lineRule="exact"/>
        <w:rPr>
          <w:rFonts w:ascii="Arial" w:cs="Arial" w:eastAsia="Arial" w:hAnsi="Arial"/>
          <w:sz w:val="22"/>
          <w:szCs w:val="22"/>
          <w:color w:val="auto"/>
          <w:vertAlign w:val="superscript"/>
        </w:rPr>
      </w:pPr>
    </w:p>
    <w:p>
      <w:pPr>
        <w:ind w:left="800" w:right="80" w:hanging="454"/>
        <w:spacing w:after="0" w:line="281"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RSUs and option awards for our NEOs have among the longest vesting terms of any company — generally, stock options vest over 9.5 years and RSUs vest over 5 years and are back-end weighted, with 40% vesting in the fifth year. We believe that, in addition to aiding in retention, these long vesting terms tie a significant portion of our NEOs’ realizable compensation to our long-term performance.</w:t>
      </w:r>
    </w:p>
    <w:p>
      <w:pPr>
        <w:spacing w:after="0" w:line="42" w:lineRule="exact"/>
        <w:rPr>
          <w:rFonts w:ascii="Arial" w:cs="Arial" w:eastAsia="Arial" w:hAnsi="Arial"/>
          <w:sz w:val="16"/>
          <w:szCs w:val="16"/>
          <w:color w:val="auto"/>
        </w:rPr>
      </w:pPr>
    </w:p>
    <w:p>
      <w:pPr>
        <w:ind w:left="800" w:right="60" w:hanging="454"/>
        <w:spacing w:after="0" w:line="23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maintain any defined benefit pension plans or SERPs for our NEOs; instead, we offer a deferred compensation plan as our primary retirement vehicle generally to all employees with base salaries of at least $250,000. The deferred compensation plan is non-qualified and unfunded; account balances are unsecured and at-risk and may be forfeited in the event of a company bankruptcy. Subject to certain exceptions discussed in more detail below, the interest crediting rate on certain future deferred compensation contributions was reduced to 9% from 12% effective January 1, 2014.</w:t>
      </w:r>
    </w:p>
    <w:p>
      <w:pPr>
        <w:spacing w:after="0" w:line="76" w:lineRule="exact"/>
        <w:rPr>
          <w:rFonts w:ascii="Arial" w:cs="Arial" w:eastAsia="Arial" w:hAnsi="Arial"/>
          <w:sz w:val="18"/>
          <w:szCs w:val="18"/>
          <w:color w:val="auto"/>
        </w:rPr>
      </w:pPr>
    </w:p>
    <w:p>
      <w:pPr>
        <w:ind w:left="800" w:right="220" w:hanging="454"/>
        <w:spacing w:after="0" w:line="299"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October 2013, the Compensation Committee retained Hay Group as its independent compensation consultant. Hay Group performs no other consulting services for us, although it does provide compensation surveys and access to online compensation data.</w:t>
      </w:r>
    </w:p>
    <w:p>
      <w:pPr>
        <w:spacing w:after="0" w:line="27" w:lineRule="exact"/>
        <w:rPr>
          <w:rFonts w:ascii="Arial" w:cs="Arial" w:eastAsia="Arial" w:hAnsi="Arial"/>
          <w:sz w:val="16"/>
          <w:szCs w:val="16"/>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Various policies, as discussed in more detail below, further reinforce our performance-based compensation program, such as:</w:t>
      </w:r>
    </w:p>
    <w:p>
      <w:pPr>
        <w:spacing w:after="0" w:line="34" w:lineRule="exact"/>
        <w:rPr>
          <w:rFonts w:ascii="Arial" w:cs="Arial" w:eastAsia="Arial" w:hAnsi="Arial"/>
          <w:sz w:val="18"/>
          <w:szCs w:val="18"/>
          <w:color w:val="auto"/>
        </w:rPr>
      </w:pPr>
    </w:p>
    <w:p>
      <w:pPr>
        <w:ind w:left="1580" w:hanging="208"/>
        <w:spacing w:after="0"/>
        <w:tabs>
          <w:tab w:leader="none" w:pos="158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color w:val="auto"/>
        </w:rPr>
        <w:t>We maintain stock ownership guidelines, with our CEO required to own Comcast shares worth at least 10x his base salary.</w:t>
      </w:r>
    </w:p>
    <w:p>
      <w:pPr>
        <w:spacing w:after="0" w:line="72" w:lineRule="exact"/>
        <w:rPr>
          <w:rFonts w:ascii="Arial" w:cs="Arial" w:eastAsia="Arial" w:hAnsi="Arial"/>
          <w:sz w:val="22"/>
          <w:szCs w:val="22"/>
          <w:color w:val="auto"/>
          <w:vertAlign w:val="superscript"/>
        </w:rPr>
      </w:pPr>
    </w:p>
    <w:p>
      <w:pPr>
        <w:ind w:left="1580" w:right="60" w:hanging="208"/>
        <w:spacing w:after="0" w:line="215" w:lineRule="auto"/>
        <w:tabs>
          <w:tab w:leader="none" w:pos="158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color w:val="auto"/>
        </w:rPr>
        <w:t>Our executive officers and directors are prohibited from using any strategies or products to hedge against potential changes in the value of our stock.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31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Stock can be pledged only in limited circumstances and only with the approval of the Chair of our Governance and Directors Nominating Committee; any stock pledged as collateral or held in a margin account will not be counted in determining compliance with our stock ownership guidelines. No executive officer or director currently has any stock pledged or held in a margin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-1061085</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Our NEOs are required to reimburse us for any benefits that would be considered perquisites. We do not provide premium payments or reimbursements, or tax payments to our NEOs under any life or any other insurance policies.</w:t>
      </w:r>
    </w:p>
    <w:p>
      <w:pPr>
        <w:spacing w:after="0" w:line="135" w:lineRule="exact"/>
        <w:rPr>
          <w:sz w:val="20"/>
          <w:szCs w:val="20"/>
          <w:color w:val="auto"/>
        </w:rPr>
      </w:pPr>
    </w:p>
    <w:p>
      <w:pPr>
        <w:sectPr>
          <w:pgSz w:w="11900" w:h="16838" w:orient="portrait"/>
          <w:cols w:equalWidth="0" w:num="2">
            <w:col w:w="1400" w:space="180"/>
            <w:col w:w="984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compensation program is well aligned to our performance.</w:t>
      </w:r>
    </w:p>
    <w:p>
      <w:pPr>
        <w:spacing w:after="0" w:line="77" w:lineRule="exact"/>
        <w:rPr>
          <w:sz w:val="20"/>
          <w:szCs w:val="20"/>
          <w:color w:val="auto"/>
        </w:rPr>
      </w:pPr>
    </w:p>
    <w:p>
      <w:pPr>
        <w:ind w:left="800" w:right="60" w:hanging="454"/>
        <w:spacing w:after="0" w:line="23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While our performance measures are “absolute” in nature, our Compensation Committee also reviews our performance measures on a “relative” basis compared to our peers over time to ensure that our relative financial performance is consistent with our strongly competitive compensation philosophy. Based on these reviews in 2012 and 2013, our compounded annual growth rates over the past ten years for operating cash flow, free cash flow and revenue have consistently been at or near the top of our three peer groups, and we believe that we use an appropriate portion of our operating cash flow, free cash flow and operating income to support our compensation program. We also believe that our “pay at risk” practices are generally aligned with peer group practices. See “Use of Competitive Data,” “Pay Program Validation” and “Emphasis on Performance” starting on pages 42, 44 and 47, respectively, for more information on how our compensation program is aligned with performance.</w:t>
      </w:r>
    </w:p>
    <w:p>
      <w:pPr>
        <w:spacing w:after="0" w:line="73"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Class A common stock and Class A Special common stock performance over the last five years exceeded the performance of our transmission/distribution and general industry peer groups, as well as the Standard and Poor’s 500 Stock Index. Our stock performance has lagged somewhat behind our entertainment/media peer group over the last three years, although we did not acquire NBCUniversal until January 2011. The 2013 target total compensation of Mr. Roberts fell between the 25</w:t>
      </w:r>
      <w:r>
        <w:rPr>
          <w:rFonts w:ascii="Arial" w:cs="Arial" w:eastAsia="Arial" w:hAnsi="Arial"/>
          <w:sz w:val="11"/>
          <w:szCs w:val="11"/>
          <w:color w:val="auto"/>
        </w:rPr>
        <w:t>th</w:t>
      </w:r>
      <w:r>
        <w:rPr>
          <w:rFonts w:ascii="Arial" w:cs="Arial" w:eastAsia="Arial" w:hAnsi="Arial"/>
          <w:sz w:val="18"/>
          <w:szCs w:val="18"/>
          <w:color w:val="auto"/>
        </w:rPr>
        <w:t xml:space="preserve"> percentile and median of the entertainment/media peer group.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19"/>
                <w:szCs w:val="19"/>
                <w:color w:val="auto"/>
              </w:rPr>
            </w:pPr>
          </w:p>
        </w:tc>
        <w:tc>
          <w:tcPr>
            <w:tcW w:w="54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w w:val="99"/>
              </w:rPr>
              <w:t>Cumulative Total Returns (as of December 31, 2013)</w:t>
            </w:r>
            <w:r>
              <w:rPr>
                <w:rFonts w:ascii="Arial" w:cs="Arial" w:eastAsia="Arial" w:hAnsi="Arial"/>
                <w:sz w:val="11"/>
                <w:szCs w:val="11"/>
                <w:b w:val="1"/>
                <w:bCs w:val="1"/>
                <w:color w:val="auto"/>
                <w:w w:val="99"/>
              </w:rPr>
              <w:t>1</w:t>
            </w:r>
          </w:p>
        </w:tc>
        <w:tc>
          <w:tcPr>
            <w:tcW w:w="12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General</w:t>
            </w:r>
          </w:p>
        </w:tc>
        <w:tc>
          <w:tcPr>
            <w:tcW w:w="98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S&amp;P 500</w:t>
            </w: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1820" w:type="dxa"/>
            <w:vAlign w:val="bottom"/>
            <w:gridSpan w:val="2"/>
          </w:tcPr>
          <w:p>
            <w:pPr>
              <w:jc w:val="center"/>
              <w:ind w:right="540"/>
              <w:spacing w:after="0" w:line="177" w:lineRule="exact"/>
              <w:rPr>
                <w:sz w:val="20"/>
                <w:szCs w:val="20"/>
                <w:color w:val="auto"/>
              </w:rPr>
            </w:pPr>
            <w:r>
              <w:rPr>
                <w:rFonts w:ascii="Arial" w:cs="Arial" w:eastAsia="Arial" w:hAnsi="Arial"/>
                <w:sz w:val="18"/>
                <w:szCs w:val="18"/>
                <w:b w:val="1"/>
                <w:bCs w:val="1"/>
                <w:color w:val="auto"/>
                <w:w w:val="96"/>
              </w:rPr>
              <w:t>Class A</w:t>
            </w:r>
          </w:p>
        </w:tc>
        <w:tc>
          <w:tcPr>
            <w:tcW w:w="18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Class A Special</w:t>
            </w:r>
          </w:p>
        </w:tc>
        <w:tc>
          <w:tcPr>
            <w:tcW w:w="1760" w:type="dxa"/>
            <w:vAlign w:val="bottom"/>
            <w:gridSpan w:val="2"/>
          </w:tcPr>
          <w:p>
            <w:pPr>
              <w:jc w:val="center"/>
              <w:ind w:right="520"/>
              <w:spacing w:after="0" w:line="177" w:lineRule="exact"/>
              <w:rPr>
                <w:sz w:val="20"/>
                <w:szCs w:val="20"/>
                <w:color w:val="auto"/>
              </w:rPr>
            </w:pPr>
            <w:r>
              <w:rPr>
                <w:rFonts w:ascii="Arial" w:cs="Arial" w:eastAsia="Arial" w:hAnsi="Arial"/>
                <w:sz w:val="18"/>
                <w:szCs w:val="18"/>
                <w:b w:val="1"/>
                <w:bCs w:val="1"/>
                <w:color w:val="auto"/>
                <w:w w:val="98"/>
              </w:rPr>
              <w:t>Entertainment/</w:t>
            </w:r>
          </w:p>
        </w:tc>
        <w:tc>
          <w:tcPr>
            <w:tcW w:w="12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Transmission/</w:t>
            </w:r>
          </w:p>
        </w:tc>
        <w:tc>
          <w:tcPr>
            <w:tcW w:w="5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Common Stock</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Media</w:t>
            </w: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Distribution</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Industry</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4"/>
              </w:rPr>
              <w:t>Stock Index</w:t>
            </w: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300" w:type="dxa"/>
            <w:vAlign w:val="bottom"/>
            <w:tcBorders>
              <w:top w:val="single" w:sz="8" w:color="auto"/>
            </w:tcBorders>
            <w:shd w:val="clear" w:color="auto" w:fill="CCEEFF"/>
          </w:tcPr>
          <w:p>
            <w:pPr>
              <w:jc w:val="right"/>
              <w:ind w:right="352"/>
              <w:spacing w:after="0" w:line="196" w:lineRule="exact"/>
              <w:rPr>
                <w:sz w:val="20"/>
                <w:szCs w:val="20"/>
                <w:color w:val="auto"/>
              </w:rPr>
            </w:pPr>
            <w:r>
              <w:rPr>
                <w:rFonts w:ascii="Arial" w:cs="Arial" w:eastAsia="Arial" w:hAnsi="Arial"/>
                <w:sz w:val="18"/>
                <w:szCs w:val="18"/>
                <w:b w:val="1"/>
                <w:bCs w:val="1"/>
                <w:color w:val="auto"/>
              </w:rPr>
              <w:t>42%</w:t>
            </w:r>
          </w:p>
        </w:tc>
        <w:tc>
          <w:tcPr>
            <w:tcW w:w="5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b w:val="1"/>
                <w:bCs w:val="1"/>
                <w:color w:val="auto"/>
              </w:rPr>
              <w:t>41%</w:t>
            </w:r>
          </w:p>
        </w:tc>
        <w:tc>
          <w:tcPr>
            <w:tcW w:w="5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60%</w:t>
            </w:r>
          </w:p>
        </w:tc>
        <w:tc>
          <w:tcPr>
            <w:tcW w:w="5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27%</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39%</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3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151%</w:t>
            </w:r>
          </w:p>
        </w:tc>
        <w:tc>
          <w:tcPr>
            <w:tcW w:w="520" w:type="dxa"/>
            <w:vAlign w:val="bottom"/>
          </w:tcPr>
          <w:p>
            <w:pPr>
              <w:spacing w:after="0"/>
              <w:rPr>
                <w:sz w:val="17"/>
                <w:szCs w:val="17"/>
                <w:color w:val="auto"/>
              </w:rPr>
            </w:pP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155%</w:t>
            </w:r>
          </w:p>
        </w:tc>
        <w:tc>
          <w:tcPr>
            <w:tcW w:w="520" w:type="dxa"/>
            <w:vAlign w:val="bottom"/>
          </w:tcPr>
          <w:p>
            <w:pPr>
              <w:spacing w:after="0"/>
              <w:rPr>
                <w:sz w:val="17"/>
                <w:szCs w:val="17"/>
                <w:color w:val="auto"/>
              </w:rPr>
            </w:pPr>
          </w:p>
        </w:tc>
        <w:tc>
          <w:tcPr>
            <w:tcW w:w="12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162%</w:t>
            </w:r>
          </w:p>
        </w:tc>
        <w:tc>
          <w:tcPr>
            <w:tcW w:w="520" w:type="dxa"/>
            <w:vAlign w:val="bottom"/>
          </w:tcPr>
          <w:p>
            <w:pPr>
              <w:spacing w:after="0"/>
              <w:rPr>
                <w:sz w:val="17"/>
                <w:szCs w:val="17"/>
                <w:color w:val="auto"/>
              </w:rPr>
            </w:pPr>
          </w:p>
        </w:tc>
        <w:tc>
          <w:tcPr>
            <w:tcW w:w="12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74%</w:t>
            </w:r>
          </w:p>
        </w:tc>
        <w:tc>
          <w:tcPr>
            <w:tcW w:w="52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w:t>
            </w:r>
          </w:p>
        </w:tc>
        <w:tc>
          <w:tcPr>
            <w:tcW w:w="540" w:type="dxa"/>
            <w:vAlign w:val="bottom"/>
          </w:tcPr>
          <w:p>
            <w:pPr>
              <w:spacing w:after="0"/>
              <w:rPr>
                <w:sz w:val="17"/>
                <w:szCs w:val="17"/>
                <w:color w:val="auto"/>
              </w:rPr>
            </w:pP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3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b w:val="1"/>
                <w:bCs w:val="1"/>
                <w:color w:val="auto"/>
              </w:rPr>
              <w:t>240%</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243%</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408%</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right="100" w:hanging="332"/>
        <w:spacing w:after="0" w:line="23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Cumulative returns for each of the peer groups are based on the composition of our 2013 peer groups and are calculated by averaging returns without reference to market capitalization or other weightings.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2013 CEO and NEO Compensation</w:t>
      </w:r>
    </w:p>
    <w:p>
      <w:pPr>
        <w:spacing w:after="0" w:line="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CEO Pay Changes from Prior Year</w:t>
      </w:r>
      <w:r>
        <w:rPr>
          <w:rFonts w:ascii="Arial" w:cs="Arial" w:eastAsia="Arial" w:hAnsi="Arial"/>
          <w:sz w:val="18"/>
          <w:szCs w:val="18"/>
          <w:color w:val="auto"/>
        </w:rPr>
        <w:t>. Mr. Roberts’ base salary remained unchanged in 2013, as it has for the past five years. In light of our strong 2013 performance, Mr. Roberts received 110% of his target annual cash bonus, or $9.2 million. He also received grants of stock options and RSUs, each with a grant date value of approximately $5.3 million and representing approximately 10% more than the value granted to him in 2012 and 9% less than the value granted to him in 2011. We also credited Mr. Roberts’ deferred compensation account with $3.5 million, a 5% increase from last year. As a result, excluding the change in his deferred compensation earnings, Mr. Roberts’ total compensation for 2013 increased by $1.2 million, or 4.9%.</w:t>
      </w:r>
    </w:p>
    <w:p>
      <w:pPr>
        <w:spacing w:after="0" w:line="75"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u w:val="single" w:color="auto"/>
          <w:color w:val="auto"/>
        </w:rPr>
        <w:t>Other NEO Pay Changes from Prior Year</w:t>
      </w:r>
      <w:r>
        <w:rPr>
          <w:rFonts w:ascii="Arial" w:cs="Arial" w:eastAsia="Arial" w:hAnsi="Arial"/>
          <w:sz w:val="18"/>
          <w:szCs w:val="18"/>
          <w:color w:val="auto"/>
        </w:rPr>
        <w:t>. Compensation actions for our other NEOs in 2013 reflect their strong contributions to our overall performance, as well as the performance and operation of each NEO’s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respective business or function. The annual cash bonuses for each of these NEOs were paid at 110% of their target, and annual RSU and option awards were similar in grant date value to those granted in 2012, with the exception of Mr. Burke, who received an additional performance-based RSU award worth approximately $2.5 million and a deferred compensation contribution credit of $2.5 million in connection with his entering into a new employment agreement to secure his employment through August 2018 as a result of his outstanding work in integrating NBCUniversal and its businesses into Comcast and making extraordinary progress in improving NBCUniversal’s businesses and results based on the Compensation Committee’s analysis of the actual results of NBCUniversal measured against its plan. Total compensation for these NEOs also was affected by an increase of 2.5% in the base salaries of Messrs. Angelakis, Burke, Smit and Cohen and a subsequent 13.1% increase in the base salary of</w:t>
      </w:r>
    </w:p>
    <w:p>
      <w:pPr>
        <w:spacing w:after="0" w:line="1"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Mr. Burke in connection with his new employment agreement, and by the year-over-year changes in their respective deferred compensation account balances.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did not hold a shareholder advisory vote on executive compensation at our 2013 annual meeting in light of the recommendation of holders of more than a majority of the votes cast at our 2011 annual meeting to hold that vote every three years (with the next vote being held at this year’s annual meeting). At our 2011 annual meeting, our shareholders approved by 84.4% of the votes cast, on an advisory basis, the 2011 compensation of our NEOs. The Compensation Committee has carefully considered the results of the 2011 advisory vote on executive compensation, as well as the voting results for the election of members of our compensation committee as directors at our 2012 and 2013 annual meetings. The Compensation Committee also has discussed our executive compensation program and our annual meeting voting results with respect to the 2011 advisory say on pay vote, as well as the director election outcomes for our Compensation Committee members in 2012 and 2013, with Mercer, the Company’s independent compensation consultant until October 2013, and with Hay Group, who the Compensation Committee hired as its new independent compensation consultant in October 2013.</w:t>
      </w:r>
    </w:p>
    <w:p>
      <w:pPr>
        <w:spacing w:after="0" w:line="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Consistent with our Board’s and the Compensation Committee’s recognition that shareholders have an interest in the compensation of our executive officers, the Compensation Committee also considered shareholder feedback regarding our executive compensation received through dialogue with various shareholders and proxy advisory services.</w:t>
      </w:r>
    </w:p>
    <w:p>
      <w:pPr>
        <w:spacing w:after="0" w:line="73" w:lineRule="exact"/>
        <w:rPr>
          <w:sz w:val="20"/>
          <w:szCs w:val="20"/>
          <w:color w:val="auto"/>
        </w:rPr>
      </w:pPr>
    </w:p>
    <w:p>
      <w:pPr>
        <w:ind w:left="800" w:hanging="454"/>
        <w:spacing w:after="0" w:line="235"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always maintained a very active and broad-based investor relations outreach program to update investors on our business strategy and performance. Over the past year, we have expanded that outreach program to include governance road shows, where at least one of Messrs. Roberts, Angelakis and Cohen participated in in-person meetings at approximately 20 of our top institutional investors, including each of our top ten investors. This dialogue provided an opportunity to discuss governance matters generally, as well as our approach to compensation matters, the linkage between pay and performance and our compensation program’s alignment to our shareholders’ interests. Additionally, some of our shareholders requested certain additional disclosures, such as how our board evaluates director candidates and its own performance, the rigor of our objective, performance-based criteria and the scope of employees covered by our deferred compensation plans — we have attempted to address these disclosure suggestions in this proxy statement. Our Compensation Committee, with the assistance of Hay Group as its new compensation consultant, continues to evaluate our compensation program design. To date, the Compensation Committee has increased the quantitative portion of our NEOs’ annual cash bonus for 2014 to 67%.</w:t>
      </w:r>
    </w:p>
    <w:p>
      <w:pPr>
        <w:spacing w:after="0" w:line="8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committed to continued engagement with shareholders to solicit and fully understand diverse viewpoints and to discussing and demonstrating the important connection between our compensation program, on the one hand, and our business strategy, goals and financial and operating performance, on the other hand. Shareholders may express their views to the Compensation Committee as described above under “Contacting Our Board, Board Committees or Directors.”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Following these deliberations and discussions, the Compensation Committee believes that its policies and decisions are consistent with our compensation philosophy and objectives discussed below and align, without incenting inappropriate risk taking, the interests of our NEOs with our long-term goals and the interests of our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Compensation Program Philosophy</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believe that our compensation practices have played a key role in our strong operating and financial results in 2013, as well as in furthering our diversity and key talent development initiatives, and that our executive officers have helped create significant shareholder value over the past several years. Below is an overview of key aspects of our compensation program philosophy.</w:t>
      </w:r>
    </w:p>
    <w:p>
      <w:pPr>
        <w:spacing w:after="0" w:line="51" w:lineRule="exact"/>
        <w:rPr>
          <w:sz w:val="20"/>
          <w:szCs w:val="20"/>
          <w:color w:val="auto"/>
        </w:rPr>
      </w:pPr>
    </w:p>
    <w:p>
      <w:pPr>
        <w:ind w:left="780" w:right="20" w:hanging="326"/>
        <w:spacing w:after="0" w:line="274"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Attract, motivate, reward and retain the highest caliber executive talent in the marketplace</w:t>
      </w:r>
      <w:r>
        <w:rPr>
          <w:rFonts w:ascii="Arial" w:cs="Arial" w:eastAsia="Arial" w:hAnsi="Arial"/>
          <w:sz w:val="16"/>
          <w:szCs w:val="16"/>
          <w:color w:val="auto"/>
        </w:rPr>
        <w:t>. We believe our executive officers have</w:t>
      </w:r>
      <w:r>
        <w:rPr>
          <w:rFonts w:ascii="Arial" w:cs="Arial" w:eastAsia="Arial" w:hAnsi="Arial"/>
          <w:sz w:val="16"/>
          <w:szCs w:val="16"/>
          <w:b w:val="1"/>
          <w:bCs w:val="1"/>
          <w:color w:val="auto"/>
        </w:rPr>
        <w:t xml:space="preserve"> </w:t>
      </w:r>
      <w:r>
        <w:rPr>
          <w:rFonts w:ascii="Arial" w:cs="Arial" w:eastAsia="Arial" w:hAnsi="Arial"/>
          <w:sz w:val="16"/>
          <w:szCs w:val="16"/>
          <w:color w:val="auto"/>
        </w:rPr>
        <w:t>played a key role in continuing our long-term track record of strong financial performance, particularly in light of challenging competitive, regulatory, technological and economic environments. We have been recognized within our industries as having one of the best and most stable senior management teams over the years, and we seek to continue this tradition. In addition, because high-quality executive talent with the experience and capabilities sought by us is scarce, our compensation package should be strongly competitive with the marketplace to attract and retain our senior leadership team. The Compensation Committee strongly believes that it is an unnecessary risk to shareholder value to not provide a competitive level of compensation to our NEOs consistent with their performance.</w:t>
      </w:r>
    </w:p>
    <w:p>
      <w:pPr>
        <w:spacing w:after="0" w:line="28" w:lineRule="exact"/>
        <w:rPr>
          <w:rFonts w:ascii="Arial" w:cs="Arial" w:eastAsia="Arial" w:hAnsi="Arial"/>
          <w:sz w:val="16"/>
          <w:szCs w:val="16"/>
          <w:color w:val="auto"/>
        </w:rPr>
      </w:pPr>
    </w:p>
    <w:p>
      <w:pPr>
        <w:ind w:left="780" w:right="80" w:hanging="326"/>
        <w:spacing w:after="0" w:line="242"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Create a pay mix portfolio with an appropriate balance of fixed and variable pay; performance-based pay; short-term and long-term components; and form of pay (cash, equity, deferred compensation)</w:t>
      </w:r>
      <w:r>
        <w:rPr>
          <w:rFonts w:ascii="Arial" w:cs="Arial" w:eastAsia="Arial" w:hAnsi="Arial"/>
          <w:sz w:val="18"/>
          <w:szCs w:val="18"/>
          <w:color w:val="auto"/>
        </w:rPr>
        <w:t>. Our executive compensation program seeks to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fixed and short-term performance-based compensation with long-term performance-based equity compensation, both of which the Compensation Committee believes play a vital role in retaining our key executives. A significant portion of total compensation should be performance based.</w:t>
      </w:r>
    </w:p>
    <w:p>
      <w:pPr>
        <w:spacing w:after="0" w:line="50" w:lineRule="exact"/>
        <w:rPr>
          <w:rFonts w:ascii="Arial" w:cs="Arial" w:eastAsia="Arial" w:hAnsi="Arial"/>
          <w:sz w:val="18"/>
          <w:szCs w:val="18"/>
          <w:color w:val="auto"/>
        </w:rPr>
      </w:pPr>
    </w:p>
    <w:p>
      <w:pPr>
        <w:ind w:left="780" w:right="60" w:hanging="326"/>
        <w:spacing w:after="0" w:line="242"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The Compensation Committee should use a range of factors, and retain discretion, in evaluating overall performance and total compensation. </w:t>
      </w:r>
      <w:r>
        <w:rPr>
          <w:rFonts w:ascii="Arial" w:cs="Arial" w:eastAsia="Arial" w:hAnsi="Arial"/>
          <w:sz w:val="18"/>
          <w:szCs w:val="18"/>
          <w:color w:val="auto"/>
        </w:rPr>
        <w:t>A broad range of quantitative and qualitative factors is used to assess an NEO’s overall performance and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total compensation. The Compensation Committee does not only use peer group analyses or mathematical or other formulas in which stated factors or their interrelationship are quantified and weighted, but also evaluates the NEOs’ performance and determines their total compensation with subjective criteria, exercising discretion and judgment as appropriate.</w:t>
      </w:r>
    </w:p>
    <w:p>
      <w:pPr>
        <w:spacing w:after="0" w:line="50" w:lineRule="exact"/>
        <w:rPr>
          <w:rFonts w:ascii="Arial" w:cs="Arial" w:eastAsia="Arial" w:hAnsi="Arial"/>
          <w:sz w:val="18"/>
          <w:szCs w:val="18"/>
          <w:color w:val="auto"/>
        </w:rPr>
      </w:pPr>
    </w:p>
    <w:p>
      <w:pPr>
        <w:ind w:left="780" w:right="180" w:hanging="326"/>
        <w:spacing w:after="0" w:line="277"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Align the interests of our executives with those of our shareholders, and ensure the compensation program does not contain incentives to take inappropriate business risks. </w:t>
      </w:r>
      <w:r>
        <w:rPr>
          <w:rFonts w:ascii="Arial" w:cs="Arial" w:eastAsia="Arial" w:hAnsi="Arial"/>
          <w:sz w:val="16"/>
          <w:szCs w:val="16"/>
          <w:color w:val="auto"/>
        </w:rPr>
        <w:t>The interests of our executive officers are linked with those of our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a meaningful ownership stake in our company. As such, a significant portion of NEO compensation is tied to stock options and RSUs with longer than typical vesting terms (generally 9.5 and 5 years, respectively). To reinforce this belief, we maintain stock ownership guidelines and recoupment and anti-hedging policies. Aligning the interests of our executives with those of our shareholders incents our executives to avoid taking inappropriate business risks that may not be in the best interests of our shareholders.</w:t>
      </w:r>
    </w:p>
    <w:p>
      <w:pPr>
        <w:spacing w:after="0" w:line="22" w:lineRule="exact"/>
        <w:rPr>
          <w:rFonts w:ascii="Arial" w:cs="Arial" w:eastAsia="Arial" w:hAnsi="Arial"/>
          <w:sz w:val="16"/>
          <w:szCs w:val="16"/>
          <w:color w:val="auto"/>
        </w:rPr>
      </w:pPr>
    </w:p>
    <w:p>
      <w:pPr>
        <w:ind w:left="780" w:right="60" w:hanging="326"/>
        <w:spacing w:after="0" w:line="280"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Provide limited perquisites and set policies that reinforce our objectives. </w:t>
      </w:r>
      <w:r>
        <w:rPr>
          <w:rFonts w:ascii="Arial" w:cs="Arial" w:eastAsia="Arial" w:hAnsi="Arial"/>
          <w:sz w:val="16"/>
          <w:szCs w:val="16"/>
          <w:color w:val="auto"/>
        </w:rPr>
        <w:t>Our NEOs are required to reimburse us for any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be considered perquisites, including as required under our aviation policy as discussed in the “Summary Compensation Table for 2013.” We do not provide premium payments or reimbursements, or tax payments to our NEOs under any life or other insurance policies. We have implemented policies that reinforce our compensation objectives as highlighted in “Compensation Program Highlights” above and in more detail below, such as our recoupment policy and stock ownership guidelines. We do not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220"/>
        <w:spacing w:after="0" w:line="239" w:lineRule="auto"/>
        <w:rPr>
          <w:sz w:val="20"/>
          <w:szCs w:val="20"/>
          <w:color w:val="auto"/>
        </w:rPr>
      </w:pPr>
      <w:r>
        <w:rPr>
          <w:rFonts w:ascii="Arial" w:cs="Arial" w:eastAsia="Arial" w:hAnsi="Arial"/>
          <w:sz w:val="18"/>
          <w:szCs w:val="18"/>
          <w:color w:val="auto"/>
        </w:rPr>
        <w:t>have any provisions in any employment agreements or benefit plans, such as accelerated vesting of equity awards, that are triggered automatically as a result of a change in control (a “single trigger”).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Role and Process</w:t>
      </w:r>
    </w:p>
    <w:p>
      <w:pPr>
        <w:spacing w:after="0" w:line="1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year, the Compensation Committee reviews:</w:t>
      </w:r>
    </w:p>
    <w:p>
      <w:pPr>
        <w:spacing w:after="0" w:line="77" w:lineRule="exact"/>
        <w:rPr>
          <w:sz w:val="20"/>
          <w:szCs w:val="20"/>
          <w:color w:val="auto"/>
        </w:rPr>
      </w:pPr>
    </w:p>
    <w:p>
      <w:pPr>
        <w:ind w:left="800" w:right="100" w:hanging="454"/>
        <w:spacing w:after="0" w:line="23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nature and amounts of all elements of the NEOs’ compensation, both separately and in the aggregate, using comprehensive tally sheets that include the current value of outstanding stock option and RSU awards (as compared to their grant date value) and deferred compensation account balances.</w:t>
      </w:r>
    </w:p>
    <w:p>
      <w:pPr>
        <w:spacing w:after="0" w:line="72" w:lineRule="exact"/>
        <w:rPr>
          <w:rFonts w:ascii="Arial" w:cs="Arial" w:eastAsia="Arial" w:hAnsi="Arial"/>
          <w:sz w:val="18"/>
          <w:szCs w:val="18"/>
          <w:color w:val="auto"/>
        </w:rPr>
      </w:pPr>
    </w:p>
    <w:p>
      <w:pPr>
        <w:ind w:left="800" w:right="200" w:hanging="454"/>
        <w:spacing w:after="0" w:line="239"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data from peer groups and surveys, taking into account our prior year performance (including as compared to the prior year performance of the companies in our peer groups).</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element of the NEOs’ compensation for internal consistency.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Various analyses provided by the compensation consultant, including the following that were reviewed in 2013:</w:t>
      </w:r>
    </w:p>
    <w:p>
      <w:pPr>
        <w:spacing w:after="0" w:line="34" w:lineRule="exact"/>
        <w:rPr>
          <w:rFonts w:ascii="Arial" w:cs="Arial" w:eastAsia="Arial" w:hAnsi="Arial"/>
          <w:sz w:val="18"/>
          <w:szCs w:val="18"/>
          <w:color w:val="auto"/>
        </w:rPr>
      </w:pPr>
    </w:p>
    <w:p>
      <w:pPr>
        <w:ind w:left="1580" w:hanging="208"/>
        <w:spacing w:after="0"/>
        <w:tabs>
          <w:tab w:leader="none" w:pos="1580" w:val="left"/>
        </w:tabs>
        <w:numPr>
          <w:ilvl w:val="1"/>
          <w:numId w:val="44"/>
        </w:numPr>
        <w:rPr>
          <w:rFonts w:ascii="Arial" w:cs="Arial" w:eastAsia="Arial" w:hAnsi="Arial"/>
          <w:sz w:val="22"/>
          <w:szCs w:val="22"/>
          <w:color w:val="auto"/>
          <w:vertAlign w:val="superscript"/>
        </w:rPr>
      </w:pPr>
      <w:r>
        <w:rPr>
          <w:rFonts w:ascii="Arial" w:cs="Arial" w:eastAsia="Arial" w:hAnsi="Arial"/>
          <w:sz w:val="18"/>
          <w:szCs w:val="18"/>
          <w:color w:val="auto"/>
        </w:rPr>
        <w:t>an assessment of the composition of our peer groups;</w:t>
      </w:r>
    </w:p>
    <w:p>
      <w:pPr>
        <w:spacing w:after="0" w:line="72" w:lineRule="exact"/>
        <w:rPr>
          <w:rFonts w:ascii="Arial" w:cs="Arial" w:eastAsia="Arial" w:hAnsi="Arial"/>
          <w:sz w:val="22"/>
          <w:szCs w:val="22"/>
          <w:color w:val="auto"/>
          <w:vertAlign w:val="superscript"/>
        </w:rPr>
      </w:pPr>
    </w:p>
    <w:p>
      <w:pPr>
        <w:ind w:left="1580" w:right="140" w:hanging="208"/>
        <w:spacing w:after="0" w:line="215" w:lineRule="auto"/>
        <w:tabs>
          <w:tab w:leader="none" w:pos="1580" w:val="left"/>
        </w:tabs>
        <w:numPr>
          <w:ilvl w:val="1"/>
          <w:numId w:val="44"/>
        </w:numPr>
        <w:rPr>
          <w:rFonts w:ascii="Arial" w:cs="Arial" w:eastAsia="Arial" w:hAnsi="Arial"/>
          <w:sz w:val="22"/>
          <w:szCs w:val="22"/>
          <w:color w:val="auto"/>
          <w:vertAlign w:val="superscript"/>
        </w:rPr>
      </w:pPr>
      <w:r>
        <w:rPr>
          <w:rFonts w:ascii="Arial" w:cs="Arial" w:eastAsia="Arial" w:hAnsi="Arial"/>
          <w:sz w:val="18"/>
          <w:szCs w:val="18"/>
          <w:color w:val="auto"/>
        </w:rPr>
        <w:t>a proxy pay analysis (comparing NEO compensation to proxy statement data for executives holding comparable positions in our peer group companies);</w:t>
      </w:r>
    </w:p>
    <w:p>
      <w:pPr>
        <w:spacing w:after="0" w:line="74" w:lineRule="exact"/>
        <w:rPr>
          <w:rFonts w:ascii="Arial" w:cs="Arial" w:eastAsia="Arial" w:hAnsi="Arial"/>
          <w:sz w:val="22"/>
          <w:szCs w:val="22"/>
          <w:color w:val="auto"/>
          <w:vertAlign w:val="superscript"/>
        </w:rPr>
      </w:pPr>
    </w:p>
    <w:p>
      <w:pPr>
        <w:ind w:left="1580" w:right="300" w:hanging="208"/>
        <w:spacing w:after="0" w:line="215" w:lineRule="auto"/>
        <w:tabs>
          <w:tab w:leader="none" w:pos="1580" w:val="left"/>
        </w:tabs>
        <w:numPr>
          <w:ilvl w:val="1"/>
          <w:numId w:val="44"/>
        </w:numPr>
        <w:rPr>
          <w:rFonts w:ascii="Arial" w:cs="Arial" w:eastAsia="Arial" w:hAnsi="Arial"/>
          <w:sz w:val="22"/>
          <w:szCs w:val="22"/>
          <w:color w:val="auto"/>
          <w:vertAlign w:val="superscript"/>
        </w:rPr>
      </w:pPr>
      <w:r>
        <w:rPr>
          <w:rFonts w:ascii="Arial" w:cs="Arial" w:eastAsia="Arial" w:hAnsi="Arial"/>
          <w:sz w:val="18"/>
          <w:szCs w:val="18"/>
          <w:color w:val="auto"/>
        </w:rPr>
        <w:t>a compensation survey analysis (analyzing NEO compensation against that of executives holding comparable positions in broad groups of companies in published surveys);</w:t>
      </w:r>
    </w:p>
    <w:p>
      <w:pPr>
        <w:sectPr>
          <w:pgSz w:w="11900" w:h="16838" w:orient="portrait"/>
          <w:cols w:equalWidth="0" w:num="1">
            <w:col w:w="11340"/>
          </w:cols>
          <w:pgMar w:left="240" w:top="459" w:right="319" w:bottom="1440" w:gutter="0" w:footer="0" w:header="0"/>
        </w:sectPr>
      </w:pPr>
    </w:p>
    <w:p>
      <w:pPr>
        <w:spacing w:after="0" w:line="4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a pay mix analysis (analyzing components of pay compared to other components (</w:t>
      </w:r>
      <w:r>
        <w:rPr>
          <w:rFonts w:ascii="Arial" w:cs="Arial" w:eastAsia="Arial" w:hAnsi="Arial"/>
          <w:sz w:val="18"/>
          <w:szCs w:val="18"/>
          <w:i w:val="1"/>
          <w:iCs w:val="1"/>
          <w:color w:val="auto"/>
        </w:rPr>
        <w:t>e.g.</w:t>
      </w:r>
      <w:r>
        <w:rPr>
          <w:rFonts w:ascii="Arial" w:cs="Arial" w:eastAsia="Arial" w:hAnsi="Arial"/>
          <w:sz w:val="18"/>
          <w:szCs w:val="18"/>
          <w:color w:val="auto"/>
        </w:rPr>
        <w:t>, fixed vs. variable, cash vs. equity-based, short-term vs. long-term));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share dilution resulting from, and annual usage rates in, our equity-based compensation plans;</w:t>
      </w:r>
    </w:p>
    <w:p>
      <w:pPr>
        <w:spacing w:after="0" w:line="7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 historical performance analysis (comparing our performance relative to our peer group companies with respect to growth in operating cash flow, free cash flow, revenue, earnings per share and total shareholder return);</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an annual incentive performance measure prevalence analysis (evaluating whether our performance metrics are in line with those used by our peer group companies);</w:t>
      </w:r>
    </w:p>
    <w:p>
      <w:pPr>
        <w:spacing w:after="0" w:line="42" w:lineRule="exact"/>
        <w:rPr>
          <w:sz w:val="20"/>
          <w:szCs w:val="20"/>
          <w:color w:val="auto"/>
        </w:rPr>
      </w:pPr>
    </w:p>
    <w:p>
      <w:pPr>
        <w:sectPr>
          <w:pgSz w:w="11900" w:h="16838" w:orient="portrait"/>
          <w:cols w:equalWidth="0" w:num="2">
            <w:col w:w="1400" w:space="180"/>
            <w:col w:w="9760"/>
          </w:cols>
          <w:pgMar w:left="240" w:top="459" w:right="319" w:bottom="1440" w:gutter="0" w:footer="0" w:header="0"/>
          <w:type w:val="continuous"/>
        </w:sect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compensation sharing analysis (analyzing the portion of our operating cash flow, free cash flow and operating income that is used for NEO compensation); and</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 correlation to shareholder value analysis (evaluating the relationship of operating cash flow growth, free cash flow growth, earnings per share growth and revenue growth to total shareholder returns of our peer group companies).</w:t>
      </w:r>
    </w:p>
    <w:p>
      <w:pPr>
        <w:spacing w:after="0" w:line="74" w:lineRule="exact"/>
        <w:rPr>
          <w:sz w:val="20"/>
          <w:szCs w:val="20"/>
          <w:color w:val="auto"/>
        </w:rPr>
      </w:pPr>
    </w:p>
    <w:p>
      <w:pPr>
        <w:sectPr>
          <w:pgSz w:w="11900" w:h="16838" w:orient="portrait"/>
          <w:cols w:equalWidth="0" w:num="2">
            <w:col w:w="1400" w:space="180"/>
            <w:col w:w="9760"/>
          </w:cols>
          <w:pgMar w:left="240" w:top="459" w:right="319" w:bottom="1440" w:gutter="0" w:footer="0" w:header="0"/>
          <w:type w:val="continuous"/>
        </w:sectPr>
      </w:pPr>
    </w:p>
    <w:p>
      <w:pPr>
        <w:ind w:left="800" w:right="220" w:hanging="454"/>
        <w:spacing w:after="0" w:line="299"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Data disclosed in SEC filings and contained in published surveys to inform its judgment, by comparing (i) our compensation levels to those of our competitors for executive talent, customers and capital and (ii) our financial performance to that of the same competitors.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The Compensation Committee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 Compensation Committee considers various quantitative data, it does not use a mathematical or other formula in which stated factors or their interrelationship are quantified and weighted (either in general or as 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“Assessing NEO Performance” below for information on how the Compensation Committee assessed performance in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Until October 2013, Mercer had been the Company’s compensation consultant for executive compensation services. In October 2013, instead of using the Company’s compensation consultant, the Compensation Committee directly engaged Hay Group as its own compensation consultant. In determining 2013 compensation, the Compensation Committee directed Mercer or Hay Group, as applicable, to provide it with various compensation analyses as described above. Neither compensation consultant recommended or determined compensation levels or elements, performance targets or compensation plan design.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reviewed our various engagements of Mercer and its affiliates (and the related fees) to assure itself of Mercer’s objectivity with respect to its work for the Compensation Committee; Hay Group does not provide any other services to the Company other than providing compensation surveys and access to online compensation data for additional fees of $11,200. The Compensation Committee’s review for Mercer addressed both the basis for selecting it or any of its affiliates for a particular engagement and the mechanisms in place at Mercer to ensure objectivity in performing its executive compensation consulting services. The Compensation Committee also assessed Mercer’s and Hay Group’s work as required under SEC rules and concluded that the work of both Mercer and Hay Group for the Compensation Committee in 2013 did not raise any conflicts of interest. See “Proposal 1: Election of Directors — About our Board and its Committees — Committees of our Board — Compensation Committee” for information on Mercer’s and Hay Group’s services in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Competitive Data</w:t>
      </w:r>
    </w:p>
    <w:p>
      <w:pPr>
        <w:spacing w:after="0" w:line="1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its experience in context in determining compensation levels (and when to change compensation levels).</w:t>
      </w:r>
    </w:p>
    <w:p>
      <w:pPr>
        <w:spacing w:after="0" w:line="48"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u w:val="single" w:color="auto"/>
          <w:color w:val="auto"/>
        </w:rPr>
        <w:t>Peer Groups</w:t>
      </w:r>
      <w:r>
        <w:rPr>
          <w:rFonts w:ascii="Arial" w:cs="Arial" w:eastAsia="Arial" w:hAnsi="Arial"/>
          <w:sz w:val="16"/>
          <w:szCs w:val="16"/>
          <w:color w:val="auto"/>
        </w:rPr>
        <w:t>. Our company is uniquely positioned among our peers, owning both Comcast Cable, which distributes content, and NBCUniversal, which is a creator of content. As such, all of our NEOs are responsible for managing a more complex company than many companies in our peer groups, as they must manage a company whose two primary businesses at many times may have both converging and diverging goals.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preparing to make its compensation determinations for 2013, the Compensation Committee reviewed its prior peer group determinations and confirmed that it should use the entertainment/media peer group as its primary point of reference. As secondary measures to inform its judgment, the Compensation Committee also maintained the use of the transmission/distribution peer group and the general industry peer group. Together, these three peer groups reflect the prominence of our two primary businesses in their respective industries and the size, scope and complexity of our businesses and enhance the Compensation Committee’s deliberations by allowing it to review practices and outcomes that are distinctive to each peer group.</w:t>
      </w:r>
    </w:p>
    <w:p>
      <w:pPr>
        <w:spacing w:after="0" w:line="57" w:lineRule="exact"/>
        <w:rPr>
          <w:sz w:val="20"/>
          <w:szCs w:val="20"/>
          <w:color w:val="auto"/>
        </w:rPr>
      </w:pPr>
    </w:p>
    <w:p>
      <w:pPr>
        <w:ind w:left="780" w:right="60" w:hanging="326"/>
        <w:spacing w:after="0" w:line="23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Entertainment/Media Peer Group</w:t>
      </w:r>
      <w:r>
        <w:rPr>
          <w:rFonts w:ascii="Arial" w:cs="Arial" w:eastAsia="Arial" w:hAnsi="Arial"/>
          <w:sz w:val="18"/>
          <w:szCs w:val="18"/>
          <w:color w:val="auto"/>
        </w:rPr>
        <w:t>. The Compensation Committee pays particular attention to the entertainment/media peer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the largest U.S. cable company. Increasingly, media companies are looking for new ways to distribute and monetize their content, both directly to consumers through the Internet and indirectly through video distributors. For all of these reasons, our executives are attractive candidates to entertainment/media companies, in addition to those companies’ executives being attractive to us.</w:t>
      </w:r>
    </w:p>
    <w:p>
      <w:pPr>
        <w:spacing w:after="0" w:line="56" w:lineRule="exact"/>
        <w:rPr>
          <w:rFonts w:ascii="Arial" w:cs="Arial" w:eastAsia="Arial" w:hAnsi="Arial"/>
          <w:sz w:val="18"/>
          <w:szCs w:val="18"/>
          <w:color w:val="auto"/>
        </w:rPr>
      </w:pPr>
    </w:p>
    <w:p>
      <w:pPr>
        <w:ind w:left="780" w:right="100" w:hanging="326"/>
        <w:spacing w:after="0" w:line="24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Transmission/Distribution Peer Group</w:t>
      </w:r>
      <w:r>
        <w:rPr>
          <w:rFonts w:ascii="Arial" w:cs="Arial" w:eastAsia="Arial" w:hAnsi="Arial"/>
          <w:sz w:val="18"/>
          <w:szCs w:val="18"/>
          <w:color w:val="auto"/>
        </w:rPr>
        <w:t>. Comcast Cable is the nation’s largest provider of video, high-speed Internet and voice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customers and also provides these services to small and medium-sized businesses. Many companies in this peer group are among Comcast Cable’s primary competitors.</w:t>
      </w:r>
    </w:p>
    <w:p>
      <w:pPr>
        <w:spacing w:after="0" w:line="49" w:lineRule="exact"/>
        <w:rPr>
          <w:rFonts w:ascii="Arial" w:cs="Arial" w:eastAsia="Arial" w:hAnsi="Arial"/>
          <w:sz w:val="18"/>
          <w:szCs w:val="18"/>
          <w:color w:val="auto"/>
        </w:rPr>
      </w:pPr>
    </w:p>
    <w:p>
      <w:pPr>
        <w:ind w:left="780" w:right="200" w:hanging="326"/>
        <w:spacing w:after="0" w:line="24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General Industry Peer Group</w:t>
      </w:r>
      <w:r>
        <w:rPr>
          <w:rFonts w:ascii="Arial" w:cs="Arial" w:eastAsia="Arial" w:hAnsi="Arial"/>
          <w:sz w:val="18"/>
          <w:szCs w:val="18"/>
          <w:color w:val="auto"/>
        </w:rPr>
        <w:t>. Our revenue and market capitalization rank us among the largest companies in the United States.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our combined revenue from advertising in all of our businesses makes us one of the largest sellers of advertising in the world. As such, this peer group includes companies with revenue and market capitalization levels similar to ours.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2013, these three peer groups were composed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Entertainment/Media</w:t>
            </w: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Transmission/Distribution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3"/>
          </w:tcPr>
          <w:p>
            <w:pPr>
              <w:ind w:left="1840"/>
              <w:spacing w:after="0"/>
              <w:rPr>
                <w:sz w:val="20"/>
                <w:szCs w:val="20"/>
                <w:color w:val="auto"/>
              </w:rPr>
            </w:pPr>
            <w:r>
              <w:rPr>
                <w:rFonts w:ascii="Arial" w:cs="Arial" w:eastAsia="Arial" w:hAnsi="Arial"/>
                <w:sz w:val="18"/>
                <w:szCs w:val="18"/>
                <w:b w:val="1"/>
                <w:bCs w:val="1"/>
                <w:color w:val="auto"/>
              </w:rPr>
              <w:t>General Industry</w:t>
            </w:r>
            <w:r>
              <w:rPr>
                <w:rFonts w:ascii="Arial" w:cs="Arial" w:eastAsia="Arial" w:hAnsi="Arial"/>
                <w:sz w:val="11"/>
                <w:szCs w:val="11"/>
                <w:b w:val="1"/>
                <w:bCs w:val="1"/>
                <w:color w:val="auto"/>
              </w:rPr>
              <w:t>1</w:t>
            </w:r>
          </w:p>
        </w:tc>
      </w:tr>
      <w:tr>
        <w:trPr>
          <w:trHeight w:val="179"/>
        </w:trPr>
        <w:tc>
          <w:tcPr>
            <w:tcW w:w="2880" w:type="dxa"/>
            <w:vAlign w:val="bottom"/>
            <w:gridSpan w:val="3"/>
          </w:tcPr>
          <w:p>
            <w:pPr>
              <w:spacing w:after="0" w:line="179" w:lineRule="exact"/>
              <w:rPr>
                <w:sz w:val="20"/>
                <w:szCs w:val="20"/>
                <w:color w:val="auto"/>
              </w:rPr>
            </w:pPr>
            <w:r>
              <w:rPr>
                <w:rFonts w:ascii="Arial" w:cs="Arial" w:eastAsia="Arial" w:hAnsi="Arial"/>
                <w:sz w:val="18"/>
                <w:szCs w:val="18"/>
                <w:color w:val="auto"/>
              </w:rPr>
              <w:t>• CBS Corporation</w:t>
            </w:r>
          </w:p>
        </w:tc>
        <w:tc>
          <w:tcPr>
            <w:tcW w:w="3080" w:type="dxa"/>
            <w:vAlign w:val="bottom"/>
            <w:gridSpan w:val="2"/>
          </w:tcPr>
          <w:p>
            <w:pPr>
              <w:spacing w:after="0" w:line="179" w:lineRule="exact"/>
              <w:rPr>
                <w:sz w:val="20"/>
                <w:szCs w:val="20"/>
                <w:color w:val="auto"/>
              </w:rPr>
            </w:pPr>
            <w:r>
              <w:rPr>
                <w:rFonts w:ascii="Arial" w:cs="Arial" w:eastAsia="Arial" w:hAnsi="Arial"/>
                <w:sz w:val="18"/>
                <w:szCs w:val="18"/>
                <w:color w:val="auto"/>
              </w:rPr>
              <w:t>• AT&amp;T Inc.</w:t>
            </w:r>
          </w:p>
        </w:tc>
        <w:tc>
          <w:tcPr>
            <w:tcW w:w="2720" w:type="dxa"/>
            <w:vAlign w:val="bottom"/>
            <w:gridSpan w:val="3"/>
          </w:tcPr>
          <w:p>
            <w:pPr>
              <w:ind w:left="120"/>
              <w:spacing w:after="0" w:line="179" w:lineRule="exact"/>
              <w:rPr>
                <w:sz w:val="20"/>
                <w:szCs w:val="20"/>
                <w:color w:val="auto"/>
              </w:rPr>
            </w:pPr>
            <w:r>
              <w:rPr>
                <w:rFonts w:ascii="Arial" w:cs="Arial" w:eastAsia="Arial" w:hAnsi="Arial"/>
                <w:sz w:val="18"/>
                <w:szCs w:val="18"/>
                <w:color w:val="auto"/>
              </w:rPr>
              <w:t>• 3M Company</w:t>
            </w:r>
          </w:p>
        </w:tc>
        <w:tc>
          <w:tcPr>
            <w:tcW w:w="2740" w:type="dxa"/>
            <w:vAlign w:val="bottom"/>
            <w:gridSpan w:val="2"/>
          </w:tcPr>
          <w:p>
            <w:pPr>
              <w:ind w:left="120"/>
              <w:spacing w:after="0" w:line="179" w:lineRule="exact"/>
              <w:rPr>
                <w:sz w:val="20"/>
                <w:szCs w:val="20"/>
                <w:color w:val="auto"/>
              </w:rPr>
            </w:pPr>
            <w:r>
              <w:rPr>
                <w:rFonts w:ascii="Arial" w:cs="Arial" w:eastAsia="Arial" w:hAnsi="Arial"/>
                <w:sz w:val="18"/>
                <w:szCs w:val="18"/>
                <w:color w:val="auto"/>
              </w:rPr>
              <w:t>• Johnson &amp; Johnson</w:t>
            </w:r>
          </w:p>
        </w:tc>
      </w:tr>
      <w:tr>
        <w:trPr>
          <w:trHeight w:val="203"/>
        </w:trPr>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Twenty-First Century Fox,</w:t>
            </w: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80" w:type="dxa"/>
            <w:vAlign w:val="bottom"/>
          </w:tcPr>
          <w:p>
            <w:pPr>
              <w:ind w:left="60"/>
              <w:spacing w:after="0" w:line="202" w:lineRule="exact"/>
              <w:rPr>
                <w:sz w:val="20"/>
                <w:szCs w:val="20"/>
                <w:color w:val="auto"/>
              </w:rPr>
            </w:pPr>
            <w:r>
              <w:rPr>
                <w:rFonts w:ascii="Arial" w:cs="Arial" w:eastAsia="Arial" w:hAnsi="Arial"/>
                <w:sz w:val="18"/>
                <w:szCs w:val="18"/>
                <w:color w:val="auto"/>
              </w:rPr>
              <w:t>DIRECTV</w:t>
            </w: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Abbott Laboratories</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Merck &amp; Co. Inc.</w:t>
            </w:r>
          </w:p>
        </w:tc>
      </w:tr>
      <w:tr>
        <w:trPr>
          <w:trHeight w:val="203"/>
        </w:trPr>
        <w:tc>
          <w:tcPr>
            <w:tcW w:w="120" w:type="dxa"/>
            <w:vAlign w:val="bottom"/>
          </w:tcPr>
          <w:p>
            <w:pPr>
              <w:spacing w:after="0"/>
              <w:rPr>
                <w:sz w:val="17"/>
                <w:szCs w:val="17"/>
                <w:color w:val="auto"/>
              </w:rPr>
            </w:pPr>
          </w:p>
        </w:tc>
        <w:tc>
          <w:tcPr>
            <w:tcW w:w="2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Inc./News Corporation</w:t>
            </w:r>
            <w:r>
              <w:rPr>
                <w:rFonts w:ascii="Arial" w:cs="Arial" w:eastAsia="Arial" w:hAnsi="Arial"/>
                <w:sz w:val="11"/>
                <w:szCs w:val="11"/>
                <w:color w:val="auto"/>
              </w:rPr>
              <w:t>2</w:t>
            </w: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80" w:type="dxa"/>
            <w:vAlign w:val="bottom"/>
          </w:tcPr>
          <w:p>
            <w:pPr>
              <w:ind w:left="60"/>
              <w:spacing w:after="0" w:line="202" w:lineRule="exact"/>
              <w:rPr>
                <w:sz w:val="20"/>
                <w:szCs w:val="20"/>
                <w:color w:val="auto"/>
              </w:rPr>
            </w:pPr>
            <w:r>
              <w:rPr>
                <w:rFonts w:ascii="Arial" w:cs="Arial" w:eastAsia="Arial" w:hAnsi="Arial"/>
                <w:sz w:val="18"/>
                <w:szCs w:val="18"/>
                <w:color w:val="auto"/>
              </w:rPr>
              <w:t>Sprint Nextel Corporation</w:t>
            </w: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Amazon.com, Inc.</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MetLife, Inc.</w:t>
            </w:r>
          </w:p>
        </w:tc>
      </w:tr>
      <w:tr>
        <w:trPr>
          <w:trHeight w:val="203"/>
        </w:trPr>
        <w:tc>
          <w:tcPr>
            <w:tcW w:w="2880" w:type="dxa"/>
            <w:vAlign w:val="bottom"/>
            <w:gridSpan w:val="3"/>
          </w:tcPr>
          <w:p>
            <w:pPr>
              <w:spacing w:after="0" w:line="202" w:lineRule="exact"/>
              <w:rPr>
                <w:sz w:val="20"/>
                <w:szCs w:val="20"/>
                <w:color w:val="auto"/>
              </w:rPr>
            </w:pPr>
            <w:r>
              <w:rPr>
                <w:rFonts w:ascii="Arial" w:cs="Arial" w:eastAsia="Arial" w:hAnsi="Arial"/>
                <w:sz w:val="18"/>
                <w:szCs w:val="18"/>
                <w:color w:val="auto"/>
              </w:rPr>
              <w:t>• Time Warner Inc.</w:t>
            </w:r>
          </w:p>
        </w:tc>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 Time Warner Cable Inc.</w:t>
            </w: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American Express Company</w:t>
            </w:r>
          </w:p>
        </w:tc>
        <w:tc>
          <w:tcPr>
            <w:tcW w:w="2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Morgan Stanley</w:t>
            </w:r>
          </w:p>
        </w:tc>
      </w:tr>
      <w:tr>
        <w:trPr>
          <w:trHeight w:val="203"/>
        </w:trPr>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Viacom Inc.</w:t>
            </w: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980" w:type="dxa"/>
            <w:vAlign w:val="bottom"/>
          </w:tcPr>
          <w:p>
            <w:pPr>
              <w:ind w:left="60"/>
              <w:spacing w:after="0" w:line="202" w:lineRule="exact"/>
              <w:rPr>
                <w:sz w:val="20"/>
                <w:szCs w:val="20"/>
                <w:color w:val="auto"/>
              </w:rPr>
            </w:pPr>
            <w:r>
              <w:rPr>
                <w:rFonts w:ascii="Arial" w:cs="Arial" w:eastAsia="Arial" w:hAnsi="Arial"/>
                <w:sz w:val="18"/>
                <w:szCs w:val="18"/>
                <w:color w:val="auto"/>
              </w:rPr>
              <w:t>Verizon Communications Inc.</w:t>
            </w: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The Boeing Company</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Oracle Corporation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The Walt Disney Company</w:t>
            </w: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Caterpillar Inc.</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2500" w:type="dxa"/>
            <w:vAlign w:val="bottom"/>
          </w:tcPr>
          <w:p>
            <w:pPr>
              <w:ind w:left="40"/>
              <w:spacing w:after="0"/>
              <w:rPr>
                <w:sz w:val="20"/>
                <w:szCs w:val="20"/>
                <w:color w:val="auto"/>
              </w:rPr>
            </w:pPr>
            <w:r>
              <w:rPr>
                <w:rFonts w:ascii="Arial" w:cs="Arial" w:eastAsia="Arial" w:hAnsi="Arial"/>
                <w:sz w:val="18"/>
                <w:szCs w:val="18"/>
                <w:color w:val="auto"/>
              </w:rPr>
              <w:t>PepsiCo, Inc.</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60"/>
              <w:spacing w:after="0" w:line="202" w:lineRule="exact"/>
              <w:rPr>
                <w:sz w:val="20"/>
                <w:szCs w:val="20"/>
                <w:color w:val="auto"/>
              </w:rPr>
            </w:pPr>
            <w:r>
              <w:rPr>
                <w:rFonts w:ascii="Arial" w:cs="Arial" w:eastAsia="Arial" w:hAnsi="Arial"/>
                <w:sz w:val="18"/>
                <w:szCs w:val="18"/>
                <w:color w:val="auto"/>
              </w:rPr>
              <w:t>Cisco Systems, Inc.</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Pfizer Inc.</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The Coca-Cola Company</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Philip Morris International</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CVS Caremark Corp.</w:t>
            </w:r>
          </w:p>
        </w:tc>
        <w:tc>
          <w:tcPr>
            <w:tcW w:w="2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The Procter &amp; Gamble</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The Dow Chemical Company</w:t>
            </w:r>
          </w:p>
        </w:tc>
        <w:tc>
          <w:tcPr>
            <w:tcW w:w="240" w:type="dxa"/>
            <w:vAlign w:val="bottom"/>
          </w:tcPr>
          <w:p>
            <w:pPr>
              <w:spacing w:after="0"/>
              <w:rPr>
                <w:sz w:val="17"/>
                <w:szCs w:val="17"/>
                <w:color w:val="auto"/>
              </w:rPr>
            </w:pP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7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E. I. du Pont de Nemours and</w:t>
            </w:r>
          </w:p>
        </w:tc>
        <w:tc>
          <w:tcPr>
            <w:tcW w:w="2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Schlumberger N.V.</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Company</w:t>
            </w:r>
          </w:p>
        </w:tc>
        <w:tc>
          <w:tcPr>
            <w:tcW w:w="27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UnitedHealth Group</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60"/>
              <w:spacing w:after="0" w:line="202" w:lineRule="exact"/>
              <w:rPr>
                <w:sz w:val="20"/>
                <w:szCs w:val="20"/>
                <w:color w:val="auto"/>
              </w:rPr>
            </w:pPr>
            <w:r>
              <w:rPr>
                <w:rFonts w:ascii="Arial" w:cs="Arial" w:eastAsia="Arial" w:hAnsi="Arial"/>
                <w:sz w:val="18"/>
                <w:szCs w:val="18"/>
                <w:color w:val="auto"/>
              </w:rPr>
              <w:t>Google Inc.</w:t>
            </w:r>
          </w:p>
        </w:tc>
        <w:tc>
          <w:tcPr>
            <w:tcW w:w="240" w:type="dxa"/>
            <w:vAlign w:val="bottom"/>
          </w:tcPr>
          <w:p>
            <w:pPr>
              <w:spacing w:after="0"/>
              <w:rPr>
                <w:sz w:val="17"/>
                <w:szCs w:val="17"/>
                <w:color w:val="auto"/>
              </w:rPr>
            </w:pP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Incorporated</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The Home Depot, Inc.</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United Parcel Service, Inc.</w:t>
            </w:r>
          </w:p>
        </w:tc>
      </w:tr>
      <w:tr>
        <w:trPr>
          <w:trHeight w:val="203"/>
        </w:trPr>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60"/>
              <w:spacing w:after="0" w:line="202" w:lineRule="exact"/>
              <w:rPr>
                <w:sz w:val="20"/>
                <w:szCs w:val="20"/>
                <w:color w:val="auto"/>
              </w:rPr>
            </w:pPr>
            <w:r>
              <w:rPr>
                <w:rFonts w:ascii="Arial" w:cs="Arial" w:eastAsia="Arial" w:hAnsi="Arial"/>
                <w:sz w:val="18"/>
                <w:szCs w:val="18"/>
                <w:color w:val="auto"/>
              </w:rPr>
              <w:t>Intel Corporation</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2500" w:type="dxa"/>
            <w:vAlign w:val="bottom"/>
          </w:tcPr>
          <w:p>
            <w:pPr>
              <w:ind w:left="40"/>
              <w:spacing w:after="0" w:line="202" w:lineRule="exact"/>
              <w:rPr>
                <w:sz w:val="20"/>
                <w:szCs w:val="20"/>
                <w:color w:val="auto"/>
              </w:rPr>
            </w:pPr>
            <w:r>
              <w:rPr>
                <w:rFonts w:ascii="Arial" w:cs="Arial" w:eastAsia="Arial" w:hAnsi="Arial"/>
                <w:sz w:val="18"/>
                <w:szCs w:val="18"/>
                <w:color w:val="auto"/>
              </w:rPr>
              <w:t>United Technologies</w:t>
            </w:r>
          </w:p>
        </w:tc>
      </w:tr>
      <w:tr>
        <w:trPr>
          <w:trHeight w:val="211"/>
        </w:trPr>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0"/>
          <w:szCs w:val="20"/>
          <w:color w:val="auto"/>
        </w:rPr>
      </w:pPr>
    </w:p>
    <w:p>
      <w:pPr>
        <w:ind w:left="120" w:right="280" w:hanging="112"/>
        <w:spacing w:after="0" w:line="180" w:lineRule="auto"/>
        <w:tabs>
          <w:tab w:leader="none" w:pos="12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The peer group companies reflect changes from 2012 as a result of the annual review by Mercer of corporate activity, as well as other changes in size or lines of business of the General Industry peer group as compared to our company; UnitedHealth Group Incorporated was the only addition to the peer group in 2013.</w:t>
      </w:r>
    </w:p>
    <w:p>
      <w:pPr>
        <w:ind w:left="120" w:hanging="112"/>
        <w:spacing w:after="0" w:line="218" w:lineRule="auto"/>
        <w:tabs>
          <w:tab w:leader="none" w:pos="12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Twenty-First Century Fox, Inc. replaced News Corporation as a member of this peer group following the separation of its businesses from News Corporation in June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line="23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peer group analyses indicate that overall, with respect to the mix of fixed vs. variable, cash vs. equity-based and the types of equity-based vehicles used, our “pay at risk” practices are generally aligned with peer group practices, although Mr. Roberts’ compensation does have somewhat more emphasis on fixed compensation than our peers. Our Compensation Committee believes it is appropriate to provide Mr. Roberts with slightly more fixed compensation in light of his very significant stock holdings in our company, which provides meaningful shareholder alignment and long-term focus.</w:t>
      </w:r>
    </w:p>
    <w:p>
      <w:pPr>
        <w:spacing w:after="0" w:line="71"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each of the three peer groups, comparisons for (i) Mr. Roberts were made to peer chief executive officers of other companies,</w:t>
      </w:r>
    </w:p>
    <w:p>
      <w:pPr>
        <w:ind w:left="780" w:right="100" w:hanging="2"/>
        <w:spacing w:after="0" w:line="238" w:lineRule="auto"/>
        <w:tabs>
          <w:tab w:leader="none" w:pos="10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Mr. Angelakis were made to peer chief financial officers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2013”), (iii) Mr. Burke were made to peer chief executive officers of other companies and by ordinal rank, (iv) Mr. Smit were made to peer business unit heads and by ordinal rank and (v) Mr. Cohen were made by ordinal rank.</w:t>
      </w:r>
    </w:p>
    <w:p>
      <w:pPr>
        <w:spacing w:after="0" w:line="72" w:lineRule="exact"/>
        <w:rPr>
          <w:rFonts w:ascii="Arial" w:cs="Arial" w:eastAsia="Arial" w:hAnsi="Arial"/>
          <w:sz w:val="18"/>
          <w:szCs w:val="18"/>
          <w:color w:val="auto"/>
        </w:rPr>
      </w:pPr>
    </w:p>
    <w:p>
      <w:pPr>
        <w:ind w:left="780" w:right="160" w:hanging="326"/>
        <w:spacing w:after="0" w:line="23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Compensation Committee strongly believes in the importance of using compensation as a tool to attract and retain the best senior executives.</w:t>
      </w:r>
    </w:p>
    <w:p>
      <w:pPr>
        <w:spacing w:after="0" w:line="73" w:lineRule="exact"/>
        <w:rPr>
          <w:rFonts w:ascii="Arial" w:cs="Arial" w:eastAsia="Arial" w:hAnsi="Arial"/>
          <w:sz w:val="18"/>
          <w:szCs w:val="18"/>
          <w:color w:val="auto"/>
        </w:rPr>
      </w:pPr>
    </w:p>
    <w:p>
      <w:pPr>
        <w:ind w:left="780" w:right="120" w:hanging="326"/>
        <w:spacing w:after="0" w:line="281"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Compensation Committee does not determine an NEO’s target compensation solely based on a specific reference point within our peer groups; instead, it reviews our peer group analyses, as well as the other analyses discussed immediately below under “Pay Program Validation,” both to validate our compensation program design and to inform its judgment in determining target compensation.</w:t>
      </w:r>
    </w:p>
    <w:p>
      <w:pPr>
        <w:spacing w:after="0" w:line="42" w:lineRule="exact"/>
        <w:rPr>
          <w:rFonts w:ascii="Arial" w:cs="Arial" w:eastAsia="Arial" w:hAnsi="Arial"/>
          <w:sz w:val="16"/>
          <w:szCs w:val="16"/>
          <w:color w:val="auto"/>
        </w:rPr>
      </w:pPr>
    </w:p>
    <w:p>
      <w:pPr>
        <w:ind w:left="1580" w:right="840" w:hanging="208"/>
        <w:spacing w:after="0" w:line="227" w:lineRule="auto"/>
        <w:tabs>
          <w:tab w:leader="none" w:pos="1580" w:val="left"/>
        </w:tabs>
        <w:numPr>
          <w:ilvl w:val="2"/>
          <w:numId w:val="49"/>
        </w:numPr>
        <w:rPr>
          <w:rFonts w:ascii="Arial" w:cs="Arial" w:eastAsia="Arial" w:hAnsi="Arial"/>
          <w:sz w:val="21"/>
          <w:szCs w:val="21"/>
          <w:color w:val="auto"/>
          <w:vertAlign w:val="superscript"/>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72" w:lineRule="exact"/>
        <w:rPr>
          <w:rFonts w:ascii="Arial" w:cs="Arial" w:eastAsia="Arial" w:hAnsi="Arial"/>
          <w:sz w:val="21"/>
          <w:szCs w:val="21"/>
          <w:color w:val="auto"/>
          <w:vertAlign w:val="superscript"/>
        </w:rPr>
      </w:pPr>
    </w:p>
    <w:p>
      <w:pPr>
        <w:ind w:left="1580" w:right="100" w:hanging="208"/>
        <w:spacing w:after="0" w:line="215" w:lineRule="auto"/>
        <w:tabs>
          <w:tab w:leader="none" w:pos="1580" w:val="left"/>
        </w:tabs>
        <w:numPr>
          <w:ilvl w:val="2"/>
          <w:numId w:val="49"/>
        </w:numPr>
        <w:rPr>
          <w:rFonts w:ascii="Arial" w:cs="Arial" w:eastAsia="Arial" w:hAnsi="Arial"/>
          <w:sz w:val="22"/>
          <w:szCs w:val="22"/>
          <w:color w:val="auto"/>
          <w:vertAlign w:val="superscript"/>
        </w:rPr>
      </w:pPr>
      <w:r>
        <w:rPr>
          <w:rFonts w:ascii="Arial" w:cs="Arial" w:eastAsia="Arial" w:hAnsi="Arial"/>
          <w:sz w:val="18"/>
          <w:szCs w:val="18"/>
          <w:color w:val="auto"/>
        </w:rPr>
        <w:t>The Compensation Committee generally seeks compensation to be in the upper quartile for the transmission/distribution and general industry peer groups as a supplemental point of reference.</w:t>
      </w:r>
    </w:p>
    <w:p>
      <w:pPr>
        <w:spacing w:after="0" w:line="74" w:lineRule="exact"/>
        <w:rPr>
          <w:rFonts w:ascii="Arial" w:cs="Arial" w:eastAsia="Arial" w:hAnsi="Arial"/>
          <w:sz w:val="22"/>
          <w:szCs w:val="22"/>
          <w:color w:val="auto"/>
          <w:vertAlign w:val="superscript"/>
        </w:rPr>
      </w:pPr>
    </w:p>
    <w:p>
      <w:pPr>
        <w:ind w:left="780" w:hanging="326"/>
        <w:spacing w:after="0" w:line="237"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compensation we provide varies among the peer groups and individual companies within a group in its relationship to the reference points above. In reviewing target compensation levels for 2013, Mr. Roberts’ target total compensation, including the value of Company deferred compensation contributions, fell between the 25</w:t>
      </w:r>
      <w:r>
        <w:rPr>
          <w:rFonts w:ascii="Arial" w:cs="Arial" w:eastAsia="Arial" w:hAnsi="Arial"/>
          <w:sz w:val="11"/>
          <w:szCs w:val="11"/>
          <w:color w:val="auto"/>
        </w:rPr>
        <w:t>th</w:t>
      </w:r>
      <w:r>
        <w:rPr>
          <w:rFonts w:ascii="Arial" w:cs="Arial" w:eastAsia="Arial" w:hAnsi="Arial"/>
          <w:sz w:val="18"/>
          <w:szCs w:val="18"/>
          <w:color w:val="auto"/>
        </w:rPr>
        <w:t xml:space="preserve"> percentile and median of the entertainment/media peer group. Otherwise, our NEOs’ total compensation for 2013 generally met or exceeded the reference points.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Pay Program Validation</w:t>
      </w:r>
      <w:r>
        <w:rPr>
          <w:rFonts w:ascii="Arial" w:cs="Arial" w:eastAsia="Arial" w:hAnsi="Arial"/>
          <w:sz w:val="18"/>
          <w:szCs w:val="18"/>
          <w:color w:val="auto"/>
        </w:rPr>
        <w:t>. The Compensation Committee annually reviews our financial performance as compared to our peers over time to ensure that our relative financial performance is consistent with our strongly competitive compensation philosophy. In particular, it believes our executives should be rewarded when our key financial performance metrics are among the top of our peers. The following analyses demonstrate that our pay program is both well aligned from a relative financial performance perspective and uses an appropriate portion of operating cash flow, free cash flow and operating income to support it as compared to our peers. It also supports our use of revenue, operating cash flow and free cash flow as performance metrics for our annual cash bonus and annual RSU grants.</w:t>
      </w:r>
    </w:p>
    <w:p>
      <w:pPr>
        <w:spacing w:after="0" w:line="75" w:lineRule="exact"/>
        <w:rPr>
          <w:sz w:val="20"/>
          <w:szCs w:val="20"/>
          <w:color w:val="auto"/>
        </w:rPr>
      </w:pPr>
    </w:p>
    <w:p>
      <w:pPr>
        <w:ind w:left="780" w:right="160" w:hanging="326"/>
        <w:spacing w:after="0" w:line="23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operating cash flow, free cash flow and revenue compounded annual growth rates generally have been in the top quartile of our three peer groups, in all instances with the highest growth rate among our entertainment/media peers, over the 10-year periods ended December 31, 2012 and 2013.</w:t>
      </w:r>
    </w:p>
    <w:p>
      <w:pPr>
        <w:spacing w:after="0" w:line="72" w:lineRule="exact"/>
        <w:rPr>
          <w:rFonts w:ascii="Arial" w:cs="Arial" w:eastAsia="Arial" w:hAnsi="Arial"/>
          <w:sz w:val="18"/>
          <w:szCs w:val="18"/>
          <w:color w:val="auto"/>
        </w:rPr>
      </w:pPr>
    </w:p>
    <w:p>
      <w:pPr>
        <w:ind w:left="780" w:right="260" w:hanging="326"/>
        <w:spacing w:after="0" w:line="23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operating cash flow, free cash flow and revenue compounded annual growth rates have generally been in the top quartile of our three peer groups, in all instances with the highest growth rate among our entertainment/media peers, over the 5-year periods ended December 31, 2012 and 2013.</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overhang and burn rate for share-based compensation are within the range of market practices.</w:t>
      </w:r>
    </w:p>
    <w:p>
      <w:pPr>
        <w:spacing w:after="0" w:line="76" w:lineRule="exact"/>
        <w:rPr>
          <w:rFonts w:ascii="Arial" w:cs="Arial" w:eastAsia="Arial" w:hAnsi="Arial"/>
          <w:sz w:val="18"/>
          <w:szCs w:val="18"/>
          <w:color w:val="auto"/>
        </w:rPr>
      </w:pPr>
    </w:p>
    <w:p>
      <w:pPr>
        <w:ind w:left="780" w:hanging="326"/>
        <w:spacing w:after="0" w:line="23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compensation sharing, the portion of operating cash flow and free cash flow used to pay the NEOs’ annual cash bonus, total cash compensation (base salary plus target annual cash bonus plus Company deferred compensation contributions) and total direct compensation (total cash compensation plus equity-based compensation) generally aligns with our financial performance. The portion of our operating cash flow and free cash flow that we use to pay these types of compensation varies by type, but generally is in the lower quartile of our entertainment/media peers, between the middle quartiles of our transmission/distribution peers and in the top quartile of our general industry peers.</w:t>
      </w:r>
    </w:p>
    <w:p>
      <w:pPr>
        <w:spacing w:after="0" w:line="75" w:lineRule="exact"/>
        <w:rPr>
          <w:rFonts w:ascii="Arial" w:cs="Arial" w:eastAsia="Arial" w:hAnsi="Arial"/>
          <w:sz w:val="18"/>
          <w:szCs w:val="18"/>
          <w:color w:val="auto"/>
        </w:rPr>
      </w:pPr>
    </w:p>
    <w:p>
      <w:pPr>
        <w:ind w:left="780" w:hanging="326"/>
        <w:spacing w:after="0" w:line="23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reviewed a Mercer compensation survey analysis in which base salary, total cash compensation and total direct compensation for each NEO were measured against published compensation survey data for functionally comparable positions among broad groups of companies of similar size to us. This analysis concluded that, while our NEOs’ total compensation was competitive with our entertainment/media peers and was relatively high on a competitive basis with our transmission/distribution and general industry peers, our financial performance also was high relative to our peers as stated above.</w:t>
      </w:r>
    </w:p>
    <w:p>
      <w:pPr>
        <w:spacing w:after="0" w:line="76"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Accordingly, the Compensation Committee concluded that our NEOs’ total compensation is positively correlated with our performance and with the Compensation Committee’s philosophy of attracting and retaining the highest quality executives.</w:t>
      </w:r>
    </w:p>
    <w:p>
      <w:pPr>
        <w:spacing w:after="0" w:line="7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Compensation Committee did not use any Mercer or Hay Group analysis, or any of the surveys included in any such analysis, to benchmark our NEO compensation, but instead used the analysis to understand the current compensation practices for comparable job functions of a broad cross-section of companies across varied industry lines but with revenue sizes that are within a range close to ours.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and Mix of Our Compensation Program</w:t>
      </w:r>
    </w:p>
    <w:p>
      <w:pPr>
        <w:spacing w:after="0" w:line="9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view the executive compensation program on a “portfolio” basis. The following chart illustrates our view of the significant aspects of our portfolio.</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Type</w:t>
            </w:r>
          </w:p>
        </w:tc>
        <w:tc>
          <w:tcPr>
            <w:tcW w:w="1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Element</w:t>
            </w:r>
          </w:p>
        </w:tc>
        <w:tc>
          <w:tcPr>
            <w:tcW w:w="42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Why We Use It</w:t>
            </w:r>
          </w:p>
        </w:tc>
        <w:tc>
          <w:tcPr>
            <w:tcW w:w="42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Highlights</w:t>
            </w:r>
          </w:p>
        </w:tc>
      </w:tr>
      <w:tr>
        <w:trPr>
          <w:trHeight w:val="141"/>
        </w:trPr>
        <w:tc>
          <w:tcPr>
            <w:tcW w:w="128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Fixed</w:t>
            </w:r>
          </w:p>
        </w:tc>
        <w:tc>
          <w:tcPr>
            <w:tcW w:w="1700" w:type="dxa"/>
            <w:vAlign w:val="bottom"/>
            <w:tcBorders>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Base Salary</w:t>
            </w:r>
          </w:p>
        </w:tc>
        <w:tc>
          <w:tcPr>
            <w:tcW w:w="42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4"/>
                <w:szCs w:val="14"/>
                <w:color w:val="auto"/>
              </w:rPr>
              <w:t>•  Necessary to attract and retain our NEOs.</w:t>
            </w:r>
          </w:p>
        </w:tc>
        <w:tc>
          <w:tcPr>
            <w:tcW w:w="422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Salary level is based on individual performance, level of</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Serves as a baseline measure of an NEO’s value.</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achievement of performance goals and any increase in duties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7"/>
              </w:rPr>
              <w:t>•  Guaranteed compensation in exchange for investing in a career</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and responsibilities.</w:t>
            </w: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with us.</w:t>
            </w:r>
          </w:p>
        </w:tc>
        <w:tc>
          <w:tcPr>
            <w:tcW w:w="4220" w:type="dxa"/>
            <w:vAlign w:val="bottom"/>
            <w:tcBorders>
              <w:bottom w:val="single" w:sz="8" w:color="auto"/>
              <w:right w:val="single" w:sz="8" w:color="auto"/>
            </w:tcBorders>
          </w:tcPr>
          <w:p>
            <w:pPr>
              <w:spacing w:after="0"/>
              <w:rPr>
                <w:sz w:val="14"/>
                <w:szCs w:val="14"/>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Deferred</w:t>
            </w:r>
          </w:p>
        </w:tc>
        <w:tc>
          <w:tcPr>
            <w:tcW w:w="4240" w:type="dxa"/>
            <w:vAlign w:val="bottom"/>
            <w:tcBorders>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  One of our primary tools to attract and retain our NEOs.</w:t>
            </w:r>
          </w:p>
        </w:tc>
        <w:tc>
          <w:tcPr>
            <w:tcW w:w="422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of company contributions are determined as part of</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Compensation</w:t>
            </w: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6"/>
              </w:rPr>
              <w:t>•  Retention incentive gets stronger as the account balance grows;</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 overall evaluation of individual performance, any increase</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Plans</w:t>
            </w: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w w:val="99"/>
              </w:rPr>
              <w:t>the crediting rate is materially reduced following termination of</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in duties and responsibilities and retention.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employment.</w:t>
            </w:r>
          </w:p>
        </w:tc>
        <w:tc>
          <w:tcPr>
            <w:tcW w:w="42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Receipt of RSUs may be voluntarily deferred; the value of</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9"/>
              </w:rPr>
              <w:t>•  We do not offer any pension or other defined benefit-type plan.</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RSUs ultimately received is based on stock price when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Provides a simple, transparent, tax-efficient vehicle for long-</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deferral lapses or upon diversification into cash deferred</w:t>
            </w:r>
          </w:p>
        </w:tc>
      </w:tr>
      <w:tr>
        <w:trPr>
          <w:trHeight w:val="162"/>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term value accumulation.</w:t>
            </w:r>
          </w:p>
        </w:tc>
        <w:tc>
          <w:tcPr>
            <w:tcW w:w="42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compensation.</w:t>
            </w:r>
          </w:p>
        </w:tc>
      </w:tr>
      <w:tr>
        <w:trPr>
          <w:trHeight w:val="126"/>
        </w:trPr>
        <w:tc>
          <w:tcPr>
            <w:tcW w:w="128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Variable, Short-</w:t>
            </w:r>
          </w:p>
        </w:tc>
        <w:tc>
          <w:tcPr>
            <w:tcW w:w="1700" w:type="dxa"/>
            <w:vAlign w:val="bottom"/>
            <w:tcBorders>
              <w:right w:val="single" w:sz="8" w:color="auto"/>
            </w:tcBorders>
          </w:tcPr>
          <w:p>
            <w:pPr>
              <w:ind w:left="80"/>
              <w:spacing w:after="0" w:line="126" w:lineRule="exact"/>
              <w:rPr>
                <w:sz w:val="20"/>
                <w:szCs w:val="20"/>
                <w:color w:val="auto"/>
              </w:rPr>
            </w:pPr>
            <w:r>
              <w:rPr>
                <w:rFonts w:ascii="Arial" w:cs="Arial" w:eastAsia="Arial" w:hAnsi="Arial"/>
                <w:sz w:val="14"/>
                <w:szCs w:val="14"/>
                <w:color w:val="auto"/>
              </w:rPr>
              <w:t>Annual Cash</w:t>
            </w:r>
          </w:p>
        </w:tc>
        <w:tc>
          <w:tcPr>
            <w:tcW w:w="4240" w:type="dxa"/>
            <w:vAlign w:val="bottom"/>
            <w:tcBorders>
              <w:right w:val="single" w:sz="8" w:color="auto"/>
            </w:tcBorders>
          </w:tcPr>
          <w:p>
            <w:pPr>
              <w:ind w:left="220"/>
              <w:spacing w:after="0" w:line="126" w:lineRule="exact"/>
              <w:rPr>
                <w:sz w:val="20"/>
                <w:szCs w:val="20"/>
                <w:color w:val="auto"/>
              </w:rPr>
            </w:pPr>
            <w:r>
              <w:rPr>
                <w:rFonts w:ascii="Arial" w:cs="Arial" w:eastAsia="Arial" w:hAnsi="Arial"/>
                <w:sz w:val="14"/>
                <w:szCs w:val="14"/>
                <w:color w:val="auto"/>
              </w:rPr>
              <w:t>•  Provides a competitive annual cash bonus opportunity and</w:t>
            </w:r>
          </w:p>
        </w:tc>
        <w:tc>
          <w:tcPr>
            <w:tcW w:w="422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Bonus is at risk for performance – 100% of the target bonus is</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Bonus</w:t>
            </w: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completes our competitive total annual cash compensation</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not paid unless 100% of the goals are met; no bonus is paid</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package.</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unless the minimum performance goal is achieved.</w:t>
            </w:r>
          </w:p>
        </w:tc>
      </w:tr>
      <w:tr>
        <w:trPr>
          <w:trHeight w:val="165"/>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Based</w:t>
            </w:r>
          </w:p>
        </w:tc>
        <w:tc>
          <w:tcPr>
            <w:tcW w:w="1700" w:type="dxa"/>
            <w:vAlign w:val="bottom"/>
            <w:tcBorders>
              <w:right w:val="single" w:sz="8" w:color="auto"/>
            </w:tcBorders>
          </w:tcPr>
          <w:p>
            <w:pPr>
              <w:spacing w:after="0"/>
              <w:rPr>
                <w:sz w:val="14"/>
                <w:szCs w:val="14"/>
                <w:color w:val="auto"/>
              </w:rPr>
            </w:pPr>
          </w:p>
        </w:tc>
        <w:tc>
          <w:tcPr>
            <w:tcW w:w="42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  Target bonus is based on the Compensation Committee’s</w:t>
            </w:r>
          </w:p>
        </w:tc>
        <w:tc>
          <w:tcPr>
            <w:tcW w:w="422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Based on objective performance metrics (revenue, operating</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w w:val="98"/>
              </w:rPr>
              <w:t>assessment of the optimal mix of base salary and annual cash</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cash flow and free cash flow), but also includes a qualitative</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bonus compensation.</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portion based on achievement of key initiatives, such as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Supports our objective that NEOs must balance achieving</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diversity.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w w:val="97"/>
              </w:rPr>
              <w:t>satisfactory or better current year (short-term) results with long-</w:t>
            </w:r>
          </w:p>
        </w:tc>
        <w:tc>
          <w:tcPr>
            <w:tcW w:w="4220" w:type="dxa"/>
            <w:vAlign w:val="bottom"/>
            <w:tcBorders>
              <w:right w:val="single" w:sz="8" w:color="auto"/>
            </w:tcBorders>
          </w:tcPr>
          <w:p>
            <w:pPr>
              <w:spacing w:after="0"/>
              <w:rPr>
                <w:sz w:val="12"/>
                <w:szCs w:val="12"/>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term value creation.</w:t>
            </w:r>
          </w:p>
        </w:tc>
        <w:tc>
          <w:tcPr>
            <w:tcW w:w="4220" w:type="dxa"/>
            <w:vAlign w:val="bottom"/>
            <w:tcBorders>
              <w:bottom w:val="single" w:sz="8" w:color="auto"/>
              <w:right w:val="single" w:sz="8" w:color="auto"/>
            </w:tcBorders>
          </w:tcPr>
          <w:p>
            <w:pPr>
              <w:spacing w:after="0"/>
              <w:rPr>
                <w:sz w:val="14"/>
                <w:szCs w:val="14"/>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Special Awards</w:t>
            </w:r>
          </w:p>
        </w:tc>
        <w:tc>
          <w:tcPr>
            <w:tcW w:w="4240" w:type="dxa"/>
            <w:vAlign w:val="bottom"/>
            <w:tcBorders>
              <w:right w:val="single" w:sz="8" w:color="auto"/>
            </w:tcBorders>
          </w:tcPr>
          <w:p>
            <w:pPr>
              <w:ind w:left="220"/>
              <w:spacing w:after="0" w:line="142" w:lineRule="exact"/>
              <w:rPr>
                <w:sz w:val="20"/>
                <w:szCs w:val="20"/>
                <w:color w:val="auto"/>
              </w:rPr>
            </w:pPr>
            <w:r>
              <w:rPr>
                <w:rFonts w:ascii="Arial" w:cs="Arial" w:eastAsia="Arial" w:hAnsi="Arial"/>
                <w:sz w:val="14"/>
                <w:szCs w:val="14"/>
                <w:color w:val="auto"/>
                <w:w w:val="99"/>
              </w:rPr>
              <w:t>•  Rewards an NEO for extraordinary performance, attainment of</w:t>
            </w:r>
          </w:p>
        </w:tc>
        <w:tc>
          <w:tcPr>
            <w:tcW w:w="422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and form of awards are based on individual</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w w:val="97"/>
              </w:rPr>
              <w:t>strategic milestones or unanticipated additional responsibilities.</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performance and any increase in duties and responsibilities.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7"/>
              </w:rPr>
              <w:t>•  May also be used in connection with an employment agreement</w:t>
            </w:r>
          </w:p>
        </w:tc>
        <w:tc>
          <w:tcPr>
            <w:tcW w:w="4220" w:type="dxa"/>
            <w:vAlign w:val="bottom"/>
            <w:tcBorders>
              <w:right w:val="single" w:sz="8" w:color="auto"/>
            </w:tcBorders>
          </w:tcPr>
          <w:p>
            <w:pPr>
              <w:spacing w:after="0"/>
              <w:rPr>
                <w:sz w:val="12"/>
                <w:szCs w:val="12"/>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renewal or extension, which provides a strong retention tool.</w:t>
            </w:r>
          </w:p>
        </w:tc>
        <w:tc>
          <w:tcPr>
            <w:tcW w:w="4220" w:type="dxa"/>
            <w:vAlign w:val="bottom"/>
            <w:tcBorders>
              <w:right w:val="single" w:sz="8" w:color="auto"/>
            </w:tcBorders>
          </w:tcPr>
          <w:p>
            <w:pPr>
              <w:spacing w:after="0"/>
              <w:rPr>
                <w:sz w:val="12"/>
                <w:szCs w:val="12"/>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9"/>
              </w:rPr>
              <w:t>•  Form of bonus can vary, depending on primary goals/purposes</w:t>
            </w:r>
          </w:p>
        </w:tc>
        <w:tc>
          <w:tcPr>
            <w:tcW w:w="4220" w:type="dxa"/>
            <w:vAlign w:val="bottom"/>
            <w:tcBorders>
              <w:right w:val="single" w:sz="8" w:color="auto"/>
            </w:tcBorders>
          </w:tcPr>
          <w:p>
            <w:pPr>
              <w:spacing w:after="0"/>
              <w:rPr>
                <w:sz w:val="12"/>
                <w:szCs w:val="12"/>
                <w:color w:val="auto"/>
              </w:rPr>
            </w:pPr>
          </w:p>
        </w:tc>
      </w:tr>
      <w:tr>
        <w:trPr>
          <w:trHeight w:val="162"/>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for the grant.</w:t>
            </w:r>
          </w:p>
        </w:tc>
        <w:tc>
          <w:tcPr>
            <w:tcW w:w="4220" w:type="dxa"/>
            <w:vAlign w:val="bottom"/>
            <w:tcBorders>
              <w:bottom w:val="single" w:sz="8" w:color="auto"/>
              <w:right w:val="single" w:sz="8" w:color="auto"/>
            </w:tcBorders>
          </w:tcPr>
          <w:p>
            <w:pPr>
              <w:spacing w:after="0"/>
              <w:rPr>
                <w:sz w:val="14"/>
                <w:szCs w:val="14"/>
                <w:color w:val="auto"/>
              </w:rPr>
            </w:pPr>
          </w:p>
        </w:tc>
      </w:tr>
      <w:tr>
        <w:trPr>
          <w:trHeight w:val="122"/>
        </w:trPr>
        <w:tc>
          <w:tcPr>
            <w:tcW w:w="1280" w:type="dxa"/>
            <w:vAlign w:val="bottom"/>
            <w:tcBorders>
              <w:left w:val="single" w:sz="8" w:color="auto"/>
              <w:right w:val="single" w:sz="8" w:color="auto"/>
            </w:tcBorders>
          </w:tcPr>
          <w:p>
            <w:pPr>
              <w:ind w:left="120"/>
              <w:spacing w:after="0" w:line="122" w:lineRule="exact"/>
              <w:rPr>
                <w:sz w:val="20"/>
                <w:szCs w:val="20"/>
                <w:color w:val="auto"/>
              </w:rPr>
            </w:pPr>
            <w:r>
              <w:rPr>
                <w:rFonts w:ascii="Arial" w:cs="Arial" w:eastAsia="Arial" w:hAnsi="Arial"/>
                <w:sz w:val="14"/>
                <w:szCs w:val="14"/>
                <w:b w:val="1"/>
                <w:bCs w:val="1"/>
                <w:color w:val="auto"/>
              </w:rPr>
              <w:t>Variable, Long-</w:t>
            </w:r>
          </w:p>
        </w:tc>
        <w:tc>
          <w:tcPr>
            <w:tcW w:w="1700" w:type="dxa"/>
            <w:vAlign w:val="bottom"/>
            <w:tcBorders>
              <w:right w:val="single" w:sz="8" w:color="auto"/>
            </w:tcBorders>
          </w:tcPr>
          <w:p>
            <w:pPr>
              <w:ind w:left="80"/>
              <w:spacing w:after="0" w:line="122" w:lineRule="exact"/>
              <w:rPr>
                <w:sz w:val="20"/>
                <w:szCs w:val="20"/>
                <w:color w:val="auto"/>
              </w:rPr>
            </w:pPr>
            <w:r>
              <w:rPr>
                <w:rFonts w:ascii="Arial" w:cs="Arial" w:eastAsia="Arial" w:hAnsi="Arial"/>
                <w:sz w:val="14"/>
                <w:szCs w:val="14"/>
                <w:color w:val="auto"/>
              </w:rPr>
              <w:t>Annual Stock</w:t>
            </w:r>
          </w:p>
        </w:tc>
        <w:tc>
          <w:tcPr>
            <w:tcW w:w="4240" w:type="dxa"/>
            <w:vAlign w:val="bottom"/>
            <w:tcBorders>
              <w:right w:val="single" w:sz="8" w:color="auto"/>
            </w:tcBorders>
          </w:tcPr>
          <w:p>
            <w:pPr>
              <w:ind w:left="220"/>
              <w:spacing w:after="0" w:line="122" w:lineRule="exact"/>
              <w:rPr>
                <w:sz w:val="20"/>
                <w:szCs w:val="20"/>
                <w:color w:val="auto"/>
              </w:rPr>
            </w:pPr>
            <w:r>
              <w:rPr>
                <w:rFonts w:ascii="Arial" w:cs="Arial" w:eastAsia="Arial" w:hAnsi="Arial"/>
                <w:sz w:val="14"/>
                <w:szCs w:val="14"/>
                <w:color w:val="auto"/>
              </w:rPr>
              <w:t>•  Fosters a long-term commitment, motivates executives to</w:t>
            </w:r>
          </w:p>
        </w:tc>
        <w:tc>
          <w:tcPr>
            <w:tcW w:w="4220" w:type="dxa"/>
            <w:vAlign w:val="bottom"/>
            <w:tcBorders>
              <w:right w:val="single" w:sz="8" w:color="auto"/>
            </w:tcBorders>
          </w:tcPr>
          <w:p>
            <w:pPr>
              <w:ind w:left="200"/>
              <w:spacing w:after="0" w:line="122" w:lineRule="exact"/>
              <w:rPr>
                <w:sz w:val="20"/>
                <w:szCs w:val="20"/>
                <w:color w:val="auto"/>
              </w:rPr>
            </w:pPr>
            <w:r>
              <w:rPr>
                <w:rFonts w:ascii="Arial" w:cs="Arial" w:eastAsia="Arial" w:hAnsi="Arial"/>
                <w:sz w:val="14"/>
                <w:szCs w:val="14"/>
                <w:color w:val="auto"/>
              </w:rPr>
              <w:t>•  Stock price must appreciate for stock options to deliver value.</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Option Grants</w:t>
            </w: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42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1"/>
                <w:szCs w:val="11"/>
                <w:color w:val="auto"/>
              </w:rPr>
              <w:t>•  Generally vest over a 9.5 year period: 30% on the 2</w:t>
            </w:r>
            <w:r>
              <w:rPr>
                <w:rFonts w:ascii="Arial" w:cs="Arial" w:eastAsia="Arial" w:hAnsi="Arial"/>
                <w:sz w:val="17"/>
                <w:szCs w:val="17"/>
                <w:color w:val="auto"/>
                <w:vertAlign w:val="superscript"/>
              </w:rPr>
              <w:t>nd</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1"/>
                <w:szCs w:val="11"/>
                <w:color w:val="auto"/>
              </w:rPr>
              <w:t>anniversary of the date of grant, 15% on each of the 3</w:t>
            </w:r>
            <w:r>
              <w:rPr>
                <w:rFonts w:ascii="Arial" w:cs="Arial" w:eastAsia="Arial" w:hAnsi="Arial"/>
                <w:sz w:val="17"/>
                <w:szCs w:val="17"/>
                <w:color w:val="auto"/>
                <w:vertAlign w:val="superscript"/>
              </w:rPr>
              <w:t>rd</w:t>
            </w:r>
          </w:p>
        </w:tc>
      </w:tr>
      <w:tr>
        <w:trPr>
          <w:trHeight w:val="169"/>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Based</w:t>
            </w:r>
          </w:p>
        </w:tc>
        <w:tc>
          <w:tcPr>
            <w:tcW w:w="1700" w:type="dxa"/>
            <w:vAlign w:val="bottom"/>
            <w:tcBorders>
              <w:right w:val="single" w:sz="8" w:color="auto"/>
            </w:tcBorders>
          </w:tcPr>
          <w:p>
            <w:pPr>
              <w:spacing w:after="0"/>
              <w:rPr>
                <w:sz w:val="14"/>
                <w:szCs w:val="14"/>
                <w:color w:val="auto"/>
              </w:rPr>
            </w:pPr>
          </w:p>
        </w:tc>
        <w:tc>
          <w:tcPr>
            <w:tcW w:w="42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  Links the NEOs’ decision making with the long-term outcomes</w:t>
            </w:r>
          </w:p>
        </w:tc>
        <w:tc>
          <w:tcPr>
            <w:tcW w:w="422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through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5% on each of the 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through 9</w:t>
            </w:r>
            <w:r>
              <w:rPr>
                <w:rFonts w:ascii="Arial" w:cs="Arial" w:eastAsia="Arial" w:hAnsi="Arial"/>
                <w:sz w:val="19"/>
                <w:szCs w:val="19"/>
                <w:color w:val="auto"/>
                <w:vertAlign w:val="superscript"/>
              </w:rPr>
              <w:t>th</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of those decisions.</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anniversaries and 5% on the 9.5 year anniversary.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Use one of the longest vesting periods among our peers (9.5</w:t>
            </w:r>
          </w:p>
        </w:tc>
        <w:tc>
          <w:tcPr>
            <w:tcW w:w="4220" w:type="dxa"/>
            <w:vAlign w:val="bottom"/>
            <w:tcBorders>
              <w:right w:val="single" w:sz="8" w:color="auto"/>
            </w:tcBorders>
          </w:tcPr>
          <w:p>
            <w:pPr>
              <w:spacing w:after="0"/>
              <w:rPr>
                <w:sz w:val="12"/>
                <w:szCs w:val="12"/>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years) to create a significant retention tool and tie value</w:t>
            </w:r>
          </w:p>
        </w:tc>
        <w:tc>
          <w:tcPr>
            <w:tcW w:w="4220" w:type="dxa"/>
            <w:vAlign w:val="bottom"/>
            <w:tcBorders>
              <w:right w:val="single" w:sz="8" w:color="auto"/>
            </w:tcBorders>
          </w:tcPr>
          <w:p>
            <w:pPr>
              <w:spacing w:after="0"/>
              <w:rPr>
                <w:sz w:val="12"/>
                <w:szCs w:val="12"/>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ultimately realized to our long-term performance.</w:t>
            </w:r>
          </w:p>
        </w:tc>
        <w:tc>
          <w:tcPr>
            <w:tcW w:w="4220" w:type="dxa"/>
            <w:vAlign w:val="bottom"/>
            <w:tcBorders>
              <w:bottom w:val="single" w:sz="8" w:color="auto"/>
              <w:right w:val="single" w:sz="8" w:color="auto"/>
            </w:tcBorders>
          </w:tcPr>
          <w:p>
            <w:pPr>
              <w:spacing w:after="0"/>
              <w:rPr>
                <w:sz w:val="14"/>
                <w:szCs w:val="14"/>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Annual</w:t>
            </w:r>
          </w:p>
        </w:tc>
        <w:tc>
          <w:tcPr>
            <w:tcW w:w="4240" w:type="dxa"/>
            <w:vAlign w:val="bottom"/>
            <w:tcBorders>
              <w:right w:val="single" w:sz="8" w:color="auto"/>
            </w:tcBorders>
          </w:tcPr>
          <w:p>
            <w:pPr>
              <w:ind w:left="220"/>
              <w:spacing w:after="0" w:line="142" w:lineRule="exact"/>
              <w:rPr>
                <w:sz w:val="20"/>
                <w:szCs w:val="20"/>
                <w:color w:val="auto"/>
              </w:rPr>
            </w:pPr>
            <w:r>
              <w:rPr>
                <w:rFonts w:ascii="Arial" w:cs="Arial" w:eastAsia="Arial" w:hAnsi="Arial"/>
                <w:sz w:val="14"/>
                <w:szCs w:val="14"/>
                <w:color w:val="auto"/>
              </w:rPr>
              <w:t>•  Fosters a long-term commitment, motivates executives to</w:t>
            </w:r>
          </w:p>
        </w:tc>
        <w:tc>
          <w:tcPr>
            <w:tcW w:w="422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Vesting is dependent upon achievement of one or more</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Performance-</w:t>
            </w: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performance goals.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Based RSU</w:t>
            </w: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2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Ultimate value of shares acquired upon vesting depends 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Grants</w:t>
            </w: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Links the NEOs’ decision making with the long-term outcomes</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stock price.</w:t>
            </w:r>
          </w:p>
        </w:tc>
      </w:tr>
      <w:tr>
        <w:trPr>
          <w:trHeight w:val="128"/>
        </w:trPr>
        <w:tc>
          <w:tcPr>
            <w:tcW w:w="128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4240" w:type="dxa"/>
            <w:vAlign w:val="bottom"/>
            <w:tcBorders>
              <w:right w:val="single" w:sz="8" w:color="auto"/>
            </w:tcBorders>
          </w:tcPr>
          <w:p>
            <w:pPr>
              <w:ind w:left="400"/>
              <w:spacing w:after="0" w:line="129" w:lineRule="exact"/>
              <w:rPr>
                <w:sz w:val="20"/>
                <w:szCs w:val="20"/>
                <w:color w:val="auto"/>
              </w:rPr>
            </w:pPr>
            <w:r>
              <w:rPr>
                <w:rFonts w:ascii="Arial" w:cs="Arial" w:eastAsia="Arial" w:hAnsi="Arial"/>
                <w:sz w:val="14"/>
                <w:szCs w:val="14"/>
                <w:color w:val="auto"/>
              </w:rPr>
              <w:t>of those decisions.</w:t>
            </w:r>
          </w:p>
        </w:tc>
        <w:tc>
          <w:tcPr>
            <w:tcW w:w="4220" w:type="dxa"/>
            <w:vAlign w:val="bottom"/>
            <w:tcBorders>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  Generally vest over 5 years and are back-end weighted: 15%</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Back-end weighted vesting term used for most RSU grants</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1"/>
                <w:szCs w:val="11"/>
                <w:color w:val="auto"/>
              </w:rPr>
              <w:t>vest after 13 months, an additional 15% on each of the 2</w:t>
            </w:r>
            <w:r>
              <w:rPr>
                <w:rFonts w:ascii="Arial" w:cs="Arial" w:eastAsia="Arial" w:hAnsi="Arial"/>
                <w:sz w:val="17"/>
                <w:szCs w:val="17"/>
                <w:color w:val="auto"/>
                <w:vertAlign w:val="superscript"/>
              </w:rPr>
              <w:t>nd</w:t>
            </w:r>
          </w:p>
        </w:tc>
      </w:tr>
      <w:tr>
        <w:trPr>
          <w:trHeight w:val="169"/>
        </w:trPr>
        <w:tc>
          <w:tcPr>
            <w:tcW w:w="128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42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creates a meaningful retention tool.</w:t>
            </w:r>
          </w:p>
        </w:tc>
        <w:tc>
          <w:tcPr>
            <w:tcW w:w="422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through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and 40% on the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  Use one of the longest vesting periods among our peers</w:t>
            </w:r>
          </w:p>
        </w:tc>
        <w:tc>
          <w:tcPr>
            <w:tcW w:w="422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May have shorter vesting terms on account of extraordinary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424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w w:val="99"/>
              </w:rPr>
              <w:t>(generally 5 years) to create a significant retention tool and tie</w:t>
            </w:r>
          </w:p>
        </w:tc>
        <w:tc>
          <w:tcPr>
            <w:tcW w:w="42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performance.</w:t>
            </w:r>
          </w:p>
        </w:tc>
      </w:tr>
      <w:tr>
        <w:trPr>
          <w:trHeight w:val="162"/>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value ultimately realized to our long-term performance.</w:t>
            </w:r>
          </w:p>
        </w:tc>
        <w:tc>
          <w:tcPr>
            <w:tcW w:w="4220" w:type="dxa"/>
            <w:vAlign w:val="bottom"/>
            <w:tcBorders>
              <w:bottom w:val="single" w:sz="8" w:color="auto"/>
              <w:right w:val="single" w:sz="8" w:color="auto"/>
            </w:tcBorders>
          </w:tcPr>
          <w:p>
            <w:pPr>
              <w:spacing w:after="0"/>
              <w:rPr>
                <w:sz w:val="14"/>
                <w:szCs w:val="14"/>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40"/>
          </w:cols>
          <w:pgMar w:left="240" w:top="459" w:right="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on Performance</w:t>
      </w:r>
    </w:p>
    <w:p>
      <w:pPr>
        <w:spacing w:after="0" w:line="99" w:lineRule="exact"/>
        <w:rPr>
          <w:sz w:val="20"/>
          <w:szCs w:val="20"/>
          <w:color w:val="auto"/>
        </w:rPr>
      </w:pPr>
    </w:p>
    <w:p>
      <w:pPr>
        <w:jc w:val="both"/>
        <w:ind w:left="800" w:right="120" w:hanging="454"/>
        <w:spacing w:after="0" w:line="236"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Compensation Committee’s emphasis on performance within the NEO compensation program is evidenced by the program design, incorporating both objective financial goals (in the case of the annual cash bonus and the vesting of performance RSUs) and subjective evaluation criteria. The combination of internally measured (financial performance) and externally measured (stock price as reflected in stock options and RSUs) performance provides both short-term and long-term performance components in the compensation structure of our NEOs.</w:t>
      </w:r>
    </w:p>
    <w:p>
      <w:pPr>
        <w:spacing w:after="0" w:line="76"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compensation program’s emphasis on performance, especially equity-based compensation, aligns the compensation structure with our shareholders’ interests in that the achievement (or lack of achievement) of our operating, investing and capital goals would be expected to be reflected in the market price of our stock. Because a material portion of compensation for each NEO is in the form of equity, a significant portion of each NEO’s compensation is inherently tied to stock price movement and the achievement of shareholder value.</w:t>
      </w:r>
    </w:p>
    <w:p>
      <w:pPr>
        <w:spacing w:after="0" w:line="76" w:lineRule="exact"/>
        <w:rPr>
          <w:rFonts w:ascii="Arial" w:cs="Arial" w:eastAsia="Arial" w:hAnsi="Arial"/>
          <w:sz w:val="18"/>
          <w:szCs w:val="18"/>
          <w:color w:val="auto"/>
        </w:rPr>
      </w:pPr>
    </w:p>
    <w:p>
      <w:pPr>
        <w:ind w:left="800" w:right="340" w:hanging="454"/>
        <w:spacing w:after="0" w:line="23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Additionally, our Compensation Committee annually reviews our financial performance as compared to our peers to ensure that our relative financial performance is consistent with our strongly competitive compensation philosophy, as more fully discussed above on page 44, “Pay Program Validation.”</w:t>
      </w:r>
    </w:p>
    <w:p>
      <w:pPr>
        <w:spacing w:after="0" w:line="72" w:lineRule="exact"/>
        <w:rPr>
          <w:rFonts w:ascii="Arial" w:cs="Arial" w:eastAsia="Arial" w:hAnsi="Arial"/>
          <w:sz w:val="18"/>
          <w:szCs w:val="18"/>
          <w:color w:val="auto"/>
        </w:rPr>
      </w:pPr>
    </w:p>
    <w:p>
      <w:pPr>
        <w:ind w:left="800" w:hanging="454"/>
        <w:spacing w:after="0" w:line="271" w:lineRule="auto"/>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Total performance-based compensation in 2013 (using the grant date value of stock options and RSUs and including special awards paid in 2013 as performance-based compensation) was a significant percentage of the NEOs’ total compensation (excluding the change in deferred compensation earnings in 2013), as reflected in the chart and table below. We do not include the change in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CEO Compensation Mix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(Excluding Change in Deferred Compensation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46355</wp:posOffset>
            </wp:positionV>
            <wp:extent cx="2778760" cy="1809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787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80" w:right="20" w:hanging="326"/>
        <w:spacing w:after="0" w:line="239"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performance-based compensation as a percentage of total compensation (excluding the change in deferred compensation earnings in 2013) for our other NEOs was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Mr. Angelakis</w:t>
            </w:r>
          </w:p>
        </w:tc>
        <w:tc>
          <w:tcPr>
            <w:tcW w:w="5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322"/>
        </w:trPr>
        <w:tc>
          <w:tcPr>
            <w:tcW w:w="2400" w:type="dxa"/>
            <w:vAlign w:val="bottom"/>
          </w:tcPr>
          <w:p>
            <w:pPr>
              <w:spacing w:after="0"/>
              <w:rPr>
                <w:sz w:val="20"/>
                <w:szCs w:val="20"/>
                <w:color w:val="auto"/>
              </w:rPr>
            </w:pPr>
            <w:r>
              <w:rPr>
                <w:rFonts w:ascii="Arial" w:cs="Arial" w:eastAsia="Arial" w:hAnsi="Arial"/>
                <w:sz w:val="18"/>
                <w:szCs w:val="18"/>
                <w:color w:val="auto"/>
              </w:rPr>
              <w:t>Mr. Burke</w:t>
            </w:r>
          </w:p>
        </w:tc>
        <w:tc>
          <w:tcPr>
            <w:tcW w:w="5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97"/>
        </w:trPr>
        <w:tc>
          <w:tcPr>
            <w:tcW w:w="2400" w:type="dxa"/>
            <w:vAlign w:val="bottom"/>
          </w:tcPr>
          <w:p>
            <w:pPr>
              <w:spacing w:after="0"/>
              <w:rPr>
                <w:sz w:val="8"/>
                <w:szCs w:val="8"/>
                <w:color w:val="auto"/>
              </w:rPr>
            </w:pPr>
          </w:p>
        </w:tc>
        <w:tc>
          <w:tcPr>
            <w:tcW w:w="5360" w:type="dxa"/>
            <w:vAlign w:val="bottom"/>
          </w:tcPr>
          <w:p>
            <w:pPr>
              <w:spacing w:after="0"/>
              <w:rPr>
                <w:sz w:val="8"/>
                <w:szCs w:val="8"/>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Smit</w:t>
            </w:r>
          </w:p>
        </w:tc>
        <w:tc>
          <w:tcPr>
            <w:tcW w:w="5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322"/>
        </w:trPr>
        <w:tc>
          <w:tcPr>
            <w:tcW w:w="2400" w:type="dxa"/>
            <w:vAlign w:val="bottom"/>
          </w:tcPr>
          <w:p>
            <w:pPr>
              <w:spacing w:after="0"/>
              <w:rPr>
                <w:sz w:val="20"/>
                <w:szCs w:val="20"/>
                <w:color w:val="auto"/>
              </w:rPr>
            </w:pPr>
            <w:r>
              <w:rPr>
                <w:rFonts w:ascii="Arial" w:cs="Arial" w:eastAsia="Arial" w:hAnsi="Arial"/>
                <w:sz w:val="18"/>
                <w:szCs w:val="18"/>
                <w:color w:val="auto"/>
              </w:rPr>
              <w:t>Mr. Cohen</w:t>
            </w:r>
          </w:p>
        </w:tc>
        <w:tc>
          <w:tcPr>
            <w:tcW w:w="5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51"/>
        </w:trPr>
        <w:tc>
          <w:tcPr>
            <w:tcW w:w="2400" w:type="dxa"/>
            <w:vAlign w:val="bottom"/>
          </w:tcPr>
          <w:p>
            <w:pPr>
              <w:spacing w:after="0"/>
              <w:rPr>
                <w:sz w:val="24"/>
                <w:szCs w:val="24"/>
                <w:color w:val="auto"/>
              </w:rPr>
            </w:pPr>
          </w:p>
        </w:tc>
        <w:tc>
          <w:tcPr>
            <w:tcW w:w="5360" w:type="dxa"/>
            <w:vAlign w:val="bottom"/>
          </w:tcPr>
          <w:p>
            <w:pPr>
              <w:jc w:val="right"/>
              <w:ind w:right="3692"/>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240" w:hanging="326"/>
        <w:spacing w:after="0" w:line="237" w:lineRule="auto"/>
        <w:tabs>
          <w:tab w:leader="none" w:pos="7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Our quantitative performance metrics are meaningful measures of our performance that can be affected by the decision making of our NEOs. Measuring performance for our NEOs for these purposes using the same consolidated financial metrics (rather than individual performance goals tied to specific operating targets) is appropriate given the overall responsibility of the NEOs, as the members of our executive management committee, to achieve our most important performance goals for the year.</w:t>
      </w:r>
    </w:p>
    <w:p>
      <w:pPr>
        <w:spacing w:after="0" w:line="73" w:lineRule="exact"/>
        <w:rPr>
          <w:rFonts w:ascii="Arial" w:cs="Arial" w:eastAsia="Arial" w:hAnsi="Arial"/>
          <w:sz w:val="18"/>
          <w:szCs w:val="18"/>
          <w:color w:val="auto"/>
        </w:rPr>
      </w:pPr>
    </w:p>
    <w:p>
      <w:pPr>
        <w:ind w:left="780" w:hanging="326"/>
        <w:spacing w:after="0" w:line="236" w:lineRule="auto"/>
        <w:tabs>
          <w:tab w:leader="none" w:pos="7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Compensation Committee does not condition incentive-based compensation award achievement on a total shareholder return (TSR) metric, as it seeks to motivate our NEOs by setting company-specific quantitative and qualitative performance goals that are directly linked with our NEO’s management of our businesses rather than using a TSR metric that can be significantly affected by external factors such as economic and market conditions that they cannot control. The Compensation Committee also believes that using a TSR metric could lead to an undesirable focus on short-term results at the expense of long-term performance.</w:t>
      </w:r>
    </w:p>
    <w:p>
      <w:pPr>
        <w:spacing w:after="0" w:line="76" w:lineRule="exact"/>
        <w:rPr>
          <w:rFonts w:ascii="Arial" w:cs="Arial" w:eastAsia="Arial" w:hAnsi="Arial"/>
          <w:sz w:val="18"/>
          <w:szCs w:val="18"/>
          <w:color w:val="auto"/>
        </w:rPr>
      </w:pPr>
    </w:p>
    <w:p>
      <w:pPr>
        <w:ind w:left="800" w:right="180" w:hanging="454"/>
        <w:spacing w:after="0" w:line="275" w:lineRule="auto"/>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Compensation Committee reviews the nature and mix of compensation elements, as well as compensation plan design and award terms, to ensure that our compensation program does not include inadvertent incentives for the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Assessing NEO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77" w:lineRule="exact"/>
        <w:rPr>
          <w:sz w:val="20"/>
          <w:szCs w:val="20"/>
          <w:color w:val="auto"/>
        </w:rPr>
      </w:pPr>
    </w:p>
    <w:p>
      <w:pPr>
        <w:ind w:left="800" w:right="360" w:hanging="454"/>
        <w:spacing w:after="0" w:line="23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Brian L. Roberts, and Mr. Roberts discusses with the Compensation Committee the performance of our other NEOs.</w:t>
      </w:r>
    </w:p>
    <w:p>
      <w:pPr>
        <w:spacing w:after="0" w:line="73" w:lineRule="exact"/>
        <w:rPr>
          <w:rFonts w:ascii="Arial" w:cs="Arial" w:eastAsia="Arial" w:hAnsi="Arial"/>
          <w:sz w:val="18"/>
          <w:szCs w:val="18"/>
          <w:color w:val="auto"/>
        </w:rPr>
      </w:pPr>
    </w:p>
    <w:p>
      <w:pPr>
        <w:ind w:left="800" w:right="880" w:hanging="454"/>
        <w:spacing w:after="0" w:line="23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73" w:lineRule="exact"/>
        <w:rPr>
          <w:rFonts w:ascii="Arial" w:cs="Arial" w:eastAsia="Arial" w:hAnsi="Arial"/>
          <w:sz w:val="18"/>
          <w:szCs w:val="18"/>
          <w:color w:val="auto"/>
        </w:rPr>
      </w:pPr>
    </w:p>
    <w:p>
      <w:pPr>
        <w:ind w:left="800" w:right="320" w:hanging="454"/>
        <w:spacing w:after="0" w:line="23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73" w:lineRule="exact"/>
        <w:rPr>
          <w:rFonts w:ascii="Arial" w:cs="Arial" w:eastAsia="Arial" w:hAnsi="Arial"/>
          <w:sz w:val="18"/>
          <w:szCs w:val="18"/>
          <w:color w:val="auto"/>
        </w:rPr>
      </w:pPr>
    </w:p>
    <w:p>
      <w:pPr>
        <w:ind w:left="800" w:right="860" w:hanging="454"/>
        <w:spacing w:after="0" w:line="23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 Evaluations</w:t>
      </w:r>
    </w:p>
    <w:p>
      <w:pPr>
        <w:spacing w:after="0" w:line="1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Compensation Committee considers overall performance of our company when approving pay decisions for our NEOs. Despite the ongoing economic recovery and intensifying competition, in 2013, we delivered healthy growth in revenue and operating cash flow, added meaningful numbers of customers, generated substantial free cash flow and returned significant capital to shareholders, all as further described on pages 35-36 above.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7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NEO Performance</w:t>
      </w:r>
      <w:r>
        <w:rPr>
          <w:rFonts w:ascii="Arial" w:cs="Arial" w:eastAsia="Arial" w:hAnsi="Arial"/>
          <w:sz w:val="18"/>
          <w:szCs w:val="18"/>
          <w:color w:val="auto"/>
        </w:rPr>
        <w:t>. All of our NEOs provided critical strategic vision and leadership to our company as we continue to shape the future of technology and media. The NEOs were instrumental in fostering team building and collaboration among the senior leadership teams of both Comcast and NBCUniversal to further reinforce our “one Company” culture, with each NEO continuing to exert additional efforts on strategic issues, cultural integration and transition execution related to the NBCUniversal transaction. Our Project Symphony continues to be a strong driver of business results at both Comcast and NBCUniversal, which is supported by cross-company cooperation on technology initiatives such as TV Everywhere, advanced and interactive advertising and electronic sell through, which was launched in 2013.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Not only did the Compensation Committee recognize the exceptional performance of our NEOs in 2013, but Messrs. Roberts and Burke also were recognized by </w:t>
      </w:r>
      <w:r>
        <w:rPr>
          <w:rFonts w:ascii="Arial" w:cs="Arial" w:eastAsia="Arial" w:hAnsi="Arial"/>
          <w:sz w:val="18"/>
          <w:szCs w:val="18"/>
          <w:i w:val="1"/>
          <w:iCs w:val="1"/>
          <w:color w:val="auto"/>
        </w:rPr>
        <w:t>Fortune Magazine</w:t>
      </w:r>
      <w:r>
        <w:rPr>
          <w:rFonts w:ascii="Arial" w:cs="Arial" w:eastAsia="Arial" w:hAnsi="Arial"/>
          <w:sz w:val="18"/>
          <w:szCs w:val="18"/>
          <w:color w:val="auto"/>
        </w:rPr>
        <w:t xml:space="preserve"> in its 2013 Businessperson of the Year list (ranking third) as a result of their strategic vision and our company’s performance, and Messrs. Roberts and Angelakis received first place rankings in 2013 for best media sector CEO and CFO, respectively, by buy-side investors in </w:t>
      </w:r>
      <w:r>
        <w:rPr>
          <w:rFonts w:ascii="Arial" w:cs="Arial" w:eastAsia="Arial" w:hAnsi="Arial"/>
          <w:sz w:val="18"/>
          <w:szCs w:val="18"/>
          <w:i w:val="1"/>
          <w:iCs w:val="1"/>
          <w:color w:val="auto"/>
        </w:rPr>
        <w:t>Institutional Investor</w:t>
      </w:r>
      <w:r>
        <w:rPr>
          <w:rFonts w:ascii="Arial" w:cs="Arial" w:eastAsia="Arial" w:hAnsi="Arial"/>
          <w:sz w:val="18"/>
          <w:szCs w:val="18"/>
          <w:color w:val="auto"/>
        </w:rPr>
        <w:t xml:space="preserve"> magazine.</w:t>
      </w:r>
    </w:p>
    <w:p>
      <w:pPr>
        <w:spacing w:after="0" w:line="7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assessing NEO performance, our Compensation Committee also considered each NEO’s progress on various strategic initiatives, including those described on page 36 above. In particular:</w:t>
      </w:r>
    </w:p>
    <w:p>
      <w:pPr>
        <w:spacing w:after="0" w:line="74" w:lineRule="exact"/>
        <w:rPr>
          <w:sz w:val="20"/>
          <w:szCs w:val="20"/>
          <w:color w:val="auto"/>
        </w:rPr>
      </w:pPr>
    </w:p>
    <w:p>
      <w:pPr>
        <w:ind w:left="780" w:right="20" w:hanging="326"/>
        <w:spacing w:after="0" w:line="236" w:lineRule="auto"/>
        <w:tabs>
          <w:tab w:leader="none" w:pos="7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Mr. Roberts continued to demonstrate strong leadership among our NEOs and senior leadership team in fostering our diversity initiatives, in leading the visioning of the future of the Company, including in the technology space, in creating a culture of integrity and compliance and in reinforcing our “one Company” culture and Project Symphony initiatives. He also continued to play a leading role in transaction planning and execution, including the decision to accelerate the purchase of GE’s remaining 49% common equity interest in NBCUniversal in 2013.</w:t>
      </w:r>
    </w:p>
    <w:p>
      <w:pPr>
        <w:spacing w:after="0" w:line="76" w:lineRule="exact"/>
        <w:rPr>
          <w:rFonts w:ascii="Arial" w:cs="Arial" w:eastAsia="Arial" w:hAnsi="Arial"/>
          <w:sz w:val="18"/>
          <w:szCs w:val="18"/>
          <w:color w:val="auto"/>
        </w:rPr>
      </w:pPr>
    </w:p>
    <w:p>
      <w:pPr>
        <w:ind w:left="800" w:right="40" w:hanging="454"/>
        <w:spacing w:after="0" w:line="275" w:lineRule="auto"/>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Angelakis provides critical financial and strategic leadership to our company, including to our corporate development and strategy functions and initiatives. He successfully managed our balance sheet, which enabled us to return $4.0 billion of capital to shareholders in 2013. Mr. Angelakis also ensured that our capital allocation framework supported our business initiatives and strategies, including our 2013 acquisition of GE’s remaining 49% common equity interest in NBCUniversal (which he led along with Mr. Roberts).</w:t>
      </w:r>
    </w:p>
    <w:p>
      <w:pPr>
        <w:spacing w:after="0" w:line="48" w:lineRule="exact"/>
        <w:rPr>
          <w:rFonts w:ascii="Arial" w:cs="Arial" w:eastAsia="Arial" w:hAnsi="Arial"/>
          <w:sz w:val="16"/>
          <w:szCs w:val="16"/>
          <w:color w:val="auto"/>
        </w:rPr>
      </w:pPr>
    </w:p>
    <w:p>
      <w:pPr>
        <w:ind w:left="800" w:right="180" w:hanging="454"/>
        <w:spacing w:after="0" w:line="275" w:lineRule="auto"/>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Burke successfully managed NBCUniversal, which had revenue growth of 5.7%, when excluding the impact from our broadcasts of the Super Bowl and London Olympics in 2012, or a decrease of 0.7%, when including $1.4 billion of revenue in 2012 related to these events, and operating cash flow growth of 15.2% in 2013. He also has successfully reorganized his senior leadership team and restructured the operations of certain business units, including news, cable networks, advertising and Telemundo.</w:t>
      </w:r>
    </w:p>
    <w:p>
      <w:pPr>
        <w:spacing w:after="0" w:line="48" w:lineRule="exact"/>
        <w:rPr>
          <w:rFonts w:ascii="Arial" w:cs="Arial" w:eastAsia="Arial" w:hAnsi="Arial"/>
          <w:sz w:val="16"/>
          <w:szCs w:val="16"/>
          <w:color w:val="auto"/>
        </w:rPr>
      </w:pPr>
    </w:p>
    <w:p>
      <w:pPr>
        <w:ind w:left="800" w:hanging="454"/>
        <w:spacing w:after="0" w:line="23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Smit successfully managed Comcast Cable, which had revenue growth of 5.6% and operating cash flow growth of 5.8% in 2013. He also oversaw a seamless transition to a new CFO of Cable Communications and the reorganization of our video, high-speed Internet and voice services. Mr. Smit has strengthened our leadership team in the field and has been the driver behind improved customer operating metrics, even with increased activity levels created by the acceleration of new products, such as our X-1 video platform and wireless gateways.</w:t>
      </w:r>
    </w:p>
    <w:p>
      <w:pPr>
        <w:spacing w:after="0" w:line="76" w:lineRule="exact"/>
        <w:rPr>
          <w:rFonts w:ascii="Arial" w:cs="Arial" w:eastAsia="Arial" w:hAnsi="Arial"/>
          <w:sz w:val="18"/>
          <w:szCs w:val="18"/>
          <w:color w:val="auto"/>
        </w:rPr>
      </w:pPr>
    </w:p>
    <w:p>
      <w:pPr>
        <w:ind w:left="800" w:right="220" w:hanging="454"/>
        <w:spacing w:after="0" w:line="235"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Cohen effectively managed his significant administrative responsibilities and provided critical leadership in our governmental relations and external affairs functions, in our diversity initiatives and in our corporate communications and community investment functions. Through Mr. Cohen’s leadership, we continue to execute on our diversity initiatives, which reach far beyond our efforts to diversify our workforce and span both Comcast Cable and NBCUniversal. In 2013, we increased (i) Tier I and Tier II procurement spending with minority-owned or operated companies by 35% to approximately $1.5 billion and (ii) community investment spending for minority-led and minority-serving organizations by approximately 10%. We are committed to increasing the number of programming choices offered as part of our video services and have launched four new independent, minority-owned or operated networks. We also are the cable industry’s leader on making cable services more accessible to individuals with disabilities, as evidenced by our development of the nation’s first talking video TV interface.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2013</w:t>
      </w:r>
    </w:p>
    <w:p>
      <w:pPr>
        <w:spacing w:after="0" w:line="79"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Following discussions with Mr. Roberts, the Compensation Committee did not increase Mr. Roberts’ base salary in 2013, resulting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five-year freeze in his base salary and reflecting both the Compensation Committee’s philosophy to limit increases in nonperformance-based compensation and Mr. Roberts’ willingness to forego additional compensation that is not performance based. The Compensation Committee did, however, increase the base salaries of Messrs. Angelakis, Burke, Cohen and Smit by 2.5% in March 2013 for the first time in five years (three years in the case of Mr. Smit) and subsequently increased Mr. Burke’s base salary in September 2013 by 13.1% in connection with his new employment agreement.</w:t>
      </w:r>
    </w:p>
    <w:p>
      <w:pPr>
        <w:spacing w:after="0" w:line="5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 xml:space="preserve">Annual Cash Bonus. </w:t>
      </w:r>
      <w:r>
        <w:rPr>
          <w:rFonts w:ascii="Arial" w:cs="Arial" w:eastAsia="Arial" w:hAnsi="Arial"/>
          <w:sz w:val="18"/>
          <w:szCs w:val="18"/>
          <w:color w:val="auto"/>
        </w:rPr>
        <w:t>Our cash bonus plan, which was approved by our shareholders, provides a variable and performance-based element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cash compensation.</w:t>
      </w:r>
    </w:p>
    <w:p>
      <w:pPr>
        <w:spacing w:after="0" w:line="54" w:lineRule="exact"/>
        <w:rPr>
          <w:sz w:val="20"/>
          <w:szCs w:val="20"/>
          <w:color w:val="auto"/>
        </w:rPr>
      </w:pPr>
    </w:p>
    <w:p>
      <w:pPr>
        <w:ind w:left="800" w:right="240" w:hanging="454"/>
        <w:spacing w:after="0" w:line="239"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target bonus opportunity amount in 2013, expressed as a percentage of salary, was 300% for Messrs. Roberts, Angelakis, Burke and Smit and 200% for Mr. Cohen.</w:t>
      </w:r>
    </w:p>
    <w:p>
      <w:pPr>
        <w:spacing w:after="0" w:line="73" w:lineRule="exact"/>
        <w:rPr>
          <w:rFonts w:ascii="Arial" w:cs="Arial" w:eastAsia="Arial" w:hAnsi="Arial"/>
          <w:sz w:val="18"/>
          <w:szCs w:val="18"/>
          <w:color w:val="auto"/>
        </w:rPr>
      </w:pPr>
    </w:p>
    <w:p>
      <w:pPr>
        <w:jc w:val="both"/>
        <w:ind w:left="800" w:right="80" w:hanging="454"/>
        <w:spacing w:after="0" w:line="23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 our cash bonus plan, a threshold quantitative performance goal must be satisfied as a condition for any bonus payment to occur. For 2013, this threshold performance goal was that our consolidated operating cash flow in 2013 must be at least 101% of that in 2012, and this was achieved.</w:t>
      </w:r>
    </w:p>
    <w:p>
      <w:pPr>
        <w:spacing w:after="0" w:line="72" w:lineRule="exact"/>
        <w:rPr>
          <w:rFonts w:ascii="Arial" w:cs="Arial" w:eastAsia="Arial" w:hAnsi="Arial"/>
          <w:sz w:val="18"/>
          <w:szCs w:val="18"/>
          <w:color w:val="auto"/>
        </w:rPr>
      </w:pPr>
    </w:p>
    <w:p>
      <w:pPr>
        <w:ind w:left="800" w:right="240" w:hanging="454"/>
        <w:spacing w:after="0" w:line="23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Once the threshold goal is achieved, the NEOs’ actual bonus payments are based on the achievement of quantitative goals (consolidated revenue, consolidated operating cash flow and consolidated free cash flow) and qualitative goals. The maximum bonus payment is 170% of each NEO’s target bonus amount.</w:t>
      </w:r>
    </w:p>
    <w:p>
      <w:pPr>
        <w:spacing w:after="0" w:line="72" w:lineRule="exact"/>
        <w:rPr>
          <w:rFonts w:ascii="Arial" w:cs="Arial" w:eastAsia="Arial" w:hAnsi="Arial"/>
          <w:sz w:val="18"/>
          <w:szCs w:val="18"/>
          <w:color w:val="auto"/>
        </w:rPr>
      </w:pPr>
    </w:p>
    <w:p>
      <w:pPr>
        <w:ind w:left="800" w:right="20" w:hanging="454"/>
        <w:spacing w:after="0" w:line="23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Messrs. Roberts, Angelakis and Cohen, up to 40% of their bonus payment amount was based on quantitative goals and up to 60% was based on qualitative goals. The qualitative portion of their respective bonuses was based on the Compensation Committee’s determination of the level of achievement of these NEOs in contributing to the overall management of Comcast, including the integration process relating to NBCUniversal, the continuing management of Comcast Cable and the continuing focus on critical diversity and customer service metrics.</w:t>
      </w:r>
    </w:p>
    <w:p>
      <w:pPr>
        <w:spacing w:after="0" w:line="76"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Messrs. Burke’s and Smit’s target bonuses were structured differently in light of the nature of their respective duties — up to 20% of their bonus payment amount was based on quantitative goals and up to 80% was based on qualitative goals. For Mr. Burke, the qualitative portion of his bonus was based on the Compensation Committee’s determination of the level of achievement in contributing to the performance of NBCUniversal. For Mr. Smit, the qualitative portion of his bonus was based on the Compensation Committee’s determination of the level of achievement in contributing to the performance of Comcast Cable.</w:t>
      </w:r>
    </w:p>
    <w:p>
      <w:pPr>
        <w:spacing w:after="0" w:line="76" w:lineRule="exact"/>
        <w:rPr>
          <w:rFonts w:ascii="Arial" w:cs="Arial" w:eastAsia="Arial" w:hAnsi="Arial"/>
          <w:sz w:val="18"/>
          <w:szCs w:val="18"/>
          <w:color w:val="auto"/>
        </w:rPr>
      </w:pPr>
    </w:p>
    <w:p>
      <w:pPr>
        <w:ind w:left="800" w:right="100" w:hanging="454"/>
        <w:spacing w:after="0" w:line="23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a result of our strong performance during 2013, of a potential maximum bonus payment of 170% of the NEOs’ target bonuses, the Compensation Committee considered it appropriate to award bonuses based on actual achievement of the quantitative and qualitative goals as follows: approximately 117% of the target bonuses for Messrs. Roberts, Angelakis and Cohen and approximately 115% of the target bonuses for Messrs. Burke and Smit. However, prior to any such determination, the NEOs requested that they not receive more than 110% of their target bonuses to more closely align their bonus outcomes with those of other corporate and Cable management employees. After considering this request, the Compensation Committee determined to limit the NEOs’ 2013 cash bonus awards to the level requested by them.</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220" w:hanging="326"/>
        <w:spacing w:after="0" w:line="299"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table below provides further details of our 2013 cash bonus plan, including the levels that were pre-established for the quantitative goals and the actual achievement against those goals. The target levels established for the quantitative goals are bolded.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Brian L. Roberts,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97"/>
              </w:rPr>
              <w:t>Achievement Range</w:t>
            </w:r>
          </w:p>
        </w:tc>
        <w:tc>
          <w:tcPr>
            <w:tcW w:w="2640" w:type="dxa"/>
            <w:vAlign w:val="bottom"/>
            <w:gridSpan w:val="11"/>
          </w:tcPr>
          <w:p>
            <w:pPr>
              <w:jc w:val="center"/>
              <w:spacing w:after="0" w:line="202" w:lineRule="exact"/>
              <w:rPr>
                <w:sz w:val="20"/>
                <w:szCs w:val="20"/>
                <w:color w:val="auto"/>
              </w:rPr>
            </w:pPr>
            <w:r>
              <w:rPr>
                <w:rFonts w:ascii="Arial" w:cs="Arial" w:eastAsia="Arial" w:hAnsi="Arial"/>
                <w:sz w:val="18"/>
                <w:szCs w:val="18"/>
                <w:b w:val="1"/>
                <w:bCs w:val="1"/>
                <w:color w:val="auto"/>
                <w:w w:val="97"/>
              </w:rPr>
              <w:t>Michael J. Angelakis &amp;</w:t>
            </w:r>
          </w:p>
        </w:tc>
        <w:tc>
          <w:tcPr>
            <w:tcW w:w="2720" w:type="dxa"/>
            <w:vAlign w:val="bottom"/>
            <w:gridSpan w:val="9"/>
          </w:tcPr>
          <w:p>
            <w:pPr>
              <w:jc w:val="center"/>
              <w:ind w:left="12"/>
              <w:spacing w:after="0" w:line="202" w:lineRule="exact"/>
              <w:rPr>
                <w:sz w:val="20"/>
                <w:szCs w:val="20"/>
                <w:color w:val="auto"/>
              </w:rPr>
            </w:pPr>
            <w:r>
              <w:rPr>
                <w:rFonts w:ascii="Arial" w:cs="Arial" w:eastAsia="Arial" w:hAnsi="Arial"/>
                <w:sz w:val="18"/>
                <w:szCs w:val="18"/>
                <w:b w:val="1"/>
                <w:bCs w:val="1"/>
                <w:color w:val="auto"/>
                <w:w w:val="97"/>
              </w:rPr>
              <w:t>Stephen B. Burke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2640" w:type="dxa"/>
            <w:vAlign w:val="bottom"/>
            <w:gridSpan w:val="11"/>
          </w:tcPr>
          <w:p>
            <w:pPr>
              <w:jc w:val="center"/>
              <w:spacing w:after="0" w:line="189" w:lineRule="exact"/>
              <w:rPr>
                <w:sz w:val="20"/>
                <w:szCs w:val="20"/>
                <w:color w:val="auto"/>
              </w:rPr>
            </w:pPr>
            <w:r>
              <w:rPr>
                <w:rFonts w:ascii="Arial" w:cs="Arial" w:eastAsia="Arial" w:hAnsi="Arial"/>
                <w:sz w:val="18"/>
                <w:szCs w:val="18"/>
                <w:b w:val="1"/>
                <w:bCs w:val="1"/>
                <w:color w:val="auto"/>
                <w:w w:val="96"/>
              </w:rPr>
              <w:t>David L. Cohen</w:t>
            </w:r>
          </w:p>
        </w:tc>
        <w:tc>
          <w:tcPr>
            <w:tcW w:w="2720" w:type="dxa"/>
            <w:vAlign w:val="bottom"/>
            <w:gridSpan w:val="9"/>
          </w:tcPr>
          <w:p>
            <w:pPr>
              <w:jc w:val="center"/>
              <w:ind w:left="12"/>
              <w:spacing w:after="0" w:line="189" w:lineRule="exact"/>
              <w:rPr>
                <w:sz w:val="20"/>
                <w:szCs w:val="20"/>
                <w:color w:val="auto"/>
              </w:rPr>
            </w:pPr>
            <w:r>
              <w:rPr>
                <w:rFonts w:ascii="Arial" w:cs="Arial" w:eastAsia="Arial" w:hAnsi="Arial"/>
                <w:sz w:val="18"/>
                <w:szCs w:val="18"/>
                <w:b w:val="1"/>
                <w:bCs w:val="1"/>
                <w:color w:val="auto"/>
                <w:w w:val="98"/>
              </w:rPr>
              <w:t>&amp; Neil Smit</w:t>
            </w:r>
          </w:p>
        </w:tc>
        <w:tc>
          <w:tcPr>
            <w:tcW w:w="0" w:type="dxa"/>
            <w:vAlign w:val="bottom"/>
          </w:tcPr>
          <w:p>
            <w:pPr>
              <w:spacing w:after="0"/>
              <w:rPr>
                <w:sz w:val="1"/>
                <w:szCs w:val="1"/>
                <w:color w:val="auto"/>
              </w:rPr>
            </w:pPr>
          </w:p>
        </w:tc>
      </w:tr>
      <w:tr>
        <w:trPr>
          <w:trHeight w:val="235"/>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Goal</w:t>
            </w:r>
          </w:p>
        </w:tc>
        <w:tc>
          <w:tcPr>
            <w:tcW w:w="27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7"/>
              </w:rPr>
              <w:t>(in billions)</w:t>
            </w:r>
          </w:p>
        </w:tc>
        <w:tc>
          <w:tcPr>
            <w:tcW w:w="26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 of target bonus)</w:t>
            </w:r>
          </w:p>
        </w:tc>
        <w:tc>
          <w:tcPr>
            <w:tcW w:w="2720" w:type="dxa"/>
            <w:vAlign w:val="bottom"/>
            <w:gridSpan w:val="9"/>
          </w:tcPr>
          <w:p>
            <w:pPr>
              <w:jc w:val="center"/>
              <w:ind w:left="12"/>
              <w:spacing w:after="0"/>
              <w:rPr>
                <w:sz w:val="20"/>
                <w:szCs w:val="20"/>
                <w:color w:val="auto"/>
              </w:rPr>
            </w:pPr>
            <w:r>
              <w:rPr>
                <w:rFonts w:ascii="Arial" w:cs="Arial" w:eastAsia="Arial" w:hAnsi="Arial"/>
                <w:sz w:val="18"/>
                <w:szCs w:val="18"/>
                <w:b w:val="1"/>
                <w:bCs w:val="1"/>
                <w:color w:val="auto"/>
                <w:w w:val="96"/>
              </w:rPr>
              <w:t>(% of target bonus)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6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2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gridSpan w:val="4"/>
            <w:shd w:val="clear" w:color="auto" w:fill="CCEEFF"/>
          </w:tcPr>
          <w:p>
            <w:pPr>
              <w:jc w:val="center"/>
              <w:ind w:left="872"/>
              <w:spacing w:after="0" w:line="177" w:lineRule="exact"/>
              <w:rPr>
                <w:sz w:val="20"/>
                <w:szCs w:val="20"/>
                <w:color w:val="auto"/>
              </w:rPr>
            </w:pPr>
            <w:r>
              <w:rPr>
                <w:rFonts w:ascii="Arial" w:cs="Arial" w:eastAsia="Arial" w:hAnsi="Arial"/>
                <w:sz w:val="18"/>
                <w:szCs w:val="18"/>
                <w:color w:val="auto"/>
                <w:w w:val="96"/>
              </w:rPr>
              <w:t>£ $20.3</w:t>
            </w:r>
          </w:p>
        </w:tc>
        <w:tc>
          <w:tcPr>
            <w:tcW w:w="114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gridSpan w:val="5"/>
            <w:shd w:val="clear" w:color="auto" w:fill="CCEEFF"/>
          </w:tcPr>
          <w:p>
            <w:pPr>
              <w:jc w:val="center"/>
              <w:ind w:left="1112"/>
              <w:spacing w:after="0" w:line="177" w:lineRule="exact"/>
              <w:rPr>
                <w:sz w:val="20"/>
                <w:szCs w:val="20"/>
                <w:color w:val="auto"/>
              </w:rPr>
            </w:pPr>
            <w:r>
              <w:rPr>
                <w:rFonts w:ascii="Arial" w:cs="Arial" w:eastAsia="Arial" w:hAnsi="Arial"/>
                <w:sz w:val="18"/>
                <w:szCs w:val="18"/>
                <w:color w:val="auto"/>
                <w:w w:val="92"/>
              </w:rPr>
              <w:t>0%</w:t>
            </w: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gridSpan w:val="5"/>
            <w:shd w:val="clear" w:color="auto" w:fill="CCEEFF"/>
          </w:tcPr>
          <w:p>
            <w:pPr>
              <w:jc w:val="center"/>
              <w:ind w:left="1192"/>
              <w:spacing w:after="0" w:line="177" w:lineRule="exact"/>
              <w:rPr>
                <w:sz w:val="20"/>
                <w:szCs w:val="20"/>
                <w:color w:val="auto"/>
              </w:rPr>
            </w:pPr>
            <w:r>
              <w:rPr>
                <w:rFonts w:ascii="Arial" w:cs="Arial" w:eastAsia="Arial" w:hAnsi="Arial"/>
                <w:sz w:val="18"/>
                <w:szCs w:val="18"/>
                <w:color w:val="auto"/>
                <w:w w:val="99"/>
              </w:rPr>
              <w:t>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Flow</w:t>
            </w:r>
          </w:p>
        </w:tc>
        <w:tc>
          <w:tcPr>
            <w:tcW w:w="26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97"/>
              </w:rPr>
              <w:t>&gt; $20.3 – $20.9</w:t>
            </w:r>
          </w:p>
        </w:tc>
        <w:tc>
          <w:tcPr>
            <w:tcW w:w="2640" w:type="dxa"/>
            <w:vAlign w:val="bottom"/>
            <w:gridSpan w:val="11"/>
            <w:shd w:val="clear" w:color="auto" w:fill="CCEEFF"/>
          </w:tcPr>
          <w:p>
            <w:pPr>
              <w:jc w:val="center"/>
              <w:ind w:left="52"/>
              <w:spacing w:after="0"/>
              <w:rPr>
                <w:sz w:val="20"/>
                <w:szCs w:val="20"/>
                <w:color w:val="auto"/>
              </w:rPr>
            </w:pPr>
            <w:r>
              <w:rPr>
                <w:rFonts w:ascii="Arial" w:cs="Arial" w:eastAsia="Arial" w:hAnsi="Arial"/>
                <w:sz w:val="18"/>
                <w:szCs w:val="18"/>
                <w:color w:val="auto"/>
                <w:w w:val="98"/>
              </w:rPr>
              <w:t>8% – 18%</w:t>
            </w:r>
            <w:r>
              <w:rPr>
                <w:rFonts w:ascii="Arial" w:cs="Arial" w:eastAsia="Arial" w:hAnsi="Arial"/>
                <w:sz w:val="11"/>
                <w:szCs w:val="11"/>
                <w:color w:val="auto"/>
                <w:w w:val="98"/>
              </w:rPr>
              <w:t>(1)</w:t>
            </w:r>
          </w:p>
        </w:tc>
        <w:tc>
          <w:tcPr>
            <w:tcW w:w="2720" w:type="dxa"/>
            <w:vAlign w:val="bottom"/>
            <w:gridSpan w:val="9"/>
            <w:shd w:val="clear" w:color="auto" w:fill="CCEEFF"/>
          </w:tcPr>
          <w:p>
            <w:pPr>
              <w:jc w:val="center"/>
              <w:ind w:left="72"/>
              <w:spacing w:after="0"/>
              <w:rPr>
                <w:sz w:val="20"/>
                <w:szCs w:val="20"/>
                <w:color w:val="auto"/>
              </w:rPr>
            </w:pPr>
            <w:r>
              <w:rPr>
                <w:rFonts w:ascii="Arial" w:cs="Arial" w:eastAsia="Arial" w:hAnsi="Arial"/>
                <w:sz w:val="18"/>
                <w:szCs w:val="18"/>
                <w:color w:val="auto"/>
                <w:w w:val="98"/>
              </w:rPr>
              <w:t>4.8% – 10.8%</w:t>
            </w:r>
            <w:r>
              <w:rPr>
                <w:rFonts w:ascii="Arial" w:cs="Arial" w:eastAsia="Arial" w:hAnsi="Arial"/>
                <w:sz w:val="11"/>
                <w:szCs w:val="11"/>
                <w:color w:val="auto"/>
                <w:w w:val="98"/>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72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7"/>
              </w:rPr>
              <w:t>&gt; $20.9 – $20.989</w:t>
            </w:r>
          </w:p>
        </w:tc>
        <w:tc>
          <w:tcPr>
            <w:tcW w:w="1560" w:type="dxa"/>
            <w:vAlign w:val="bottom"/>
            <w:gridSpan w:val="5"/>
            <w:shd w:val="clear" w:color="auto" w:fill="CCEEFF"/>
          </w:tcPr>
          <w:p>
            <w:pPr>
              <w:jc w:val="center"/>
              <w:ind w:left="1112"/>
              <w:spacing w:after="0"/>
              <w:rPr>
                <w:sz w:val="20"/>
                <w:szCs w:val="20"/>
                <w:color w:val="auto"/>
              </w:rPr>
            </w:pPr>
            <w:r>
              <w:rPr>
                <w:rFonts w:ascii="Arial" w:cs="Arial" w:eastAsia="Arial" w:hAnsi="Arial"/>
                <w:sz w:val="18"/>
                <w:szCs w:val="18"/>
                <w:b w:val="1"/>
                <w:bCs w:val="1"/>
                <w:color w:val="auto"/>
                <w:w w:val="99"/>
              </w:rPr>
              <w:t>20%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20" w:type="dxa"/>
            <w:vAlign w:val="bottom"/>
            <w:gridSpan w:val="5"/>
            <w:shd w:val="clear" w:color="auto" w:fill="CCEEFF"/>
          </w:tcPr>
          <w:p>
            <w:pPr>
              <w:jc w:val="center"/>
              <w:ind w:left="1172"/>
              <w:spacing w:after="0"/>
              <w:rPr>
                <w:sz w:val="20"/>
                <w:szCs w:val="20"/>
                <w:color w:val="auto"/>
              </w:rPr>
            </w:pPr>
            <w:r>
              <w:rPr>
                <w:rFonts w:ascii="Arial" w:cs="Arial" w:eastAsia="Arial" w:hAnsi="Arial"/>
                <w:sz w:val="18"/>
                <w:szCs w:val="18"/>
                <w:b w:val="1"/>
                <w:bCs w:val="1"/>
                <w:color w:val="auto"/>
                <w:w w:val="99"/>
              </w:rPr>
              <w:t>12%</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Actual 2013</w:t>
            </w:r>
          </w:p>
        </w:tc>
        <w:tc>
          <w:tcPr>
            <w:tcW w:w="26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7"/>
              </w:rPr>
              <w:t>&gt; $20.989 – $21.4 or more</w:t>
            </w:r>
          </w:p>
        </w:tc>
        <w:tc>
          <w:tcPr>
            <w:tcW w:w="2640" w:type="dxa"/>
            <w:vAlign w:val="bottom"/>
            <w:gridSpan w:val="11"/>
            <w:shd w:val="clear" w:color="auto" w:fill="CCEEFF"/>
          </w:tcPr>
          <w:p>
            <w:pPr>
              <w:jc w:val="center"/>
              <w:ind w:left="32"/>
              <w:spacing w:after="0"/>
              <w:rPr>
                <w:sz w:val="20"/>
                <w:szCs w:val="20"/>
                <w:color w:val="auto"/>
              </w:rPr>
            </w:pPr>
            <w:r>
              <w:rPr>
                <w:rFonts w:ascii="Arial" w:cs="Arial" w:eastAsia="Arial" w:hAnsi="Arial"/>
                <w:sz w:val="18"/>
                <w:szCs w:val="18"/>
                <w:color w:val="auto"/>
                <w:w w:val="98"/>
              </w:rPr>
              <w:t>22% – 30%</w:t>
            </w:r>
            <w:r>
              <w:rPr>
                <w:rFonts w:ascii="Arial" w:cs="Arial" w:eastAsia="Arial" w:hAnsi="Arial"/>
                <w:sz w:val="11"/>
                <w:szCs w:val="11"/>
                <w:color w:val="auto"/>
                <w:w w:val="98"/>
              </w:rPr>
              <w:t>(1)</w:t>
            </w:r>
          </w:p>
        </w:tc>
        <w:tc>
          <w:tcPr>
            <w:tcW w:w="2720" w:type="dxa"/>
            <w:vAlign w:val="bottom"/>
            <w:gridSpan w:val="9"/>
            <w:shd w:val="clear" w:color="auto" w:fill="CCEEFF"/>
          </w:tcPr>
          <w:p>
            <w:pPr>
              <w:jc w:val="center"/>
              <w:ind w:left="92"/>
              <w:spacing w:after="0"/>
              <w:rPr>
                <w:sz w:val="20"/>
                <w:szCs w:val="20"/>
                <w:color w:val="auto"/>
              </w:rPr>
            </w:pPr>
            <w:r>
              <w:rPr>
                <w:rFonts w:ascii="Arial" w:cs="Arial" w:eastAsia="Arial" w:hAnsi="Arial"/>
                <w:sz w:val="18"/>
                <w:szCs w:val="18"/>
                <w:color w:val="auto"/>
                <w:w w:val="97"/>
              </w:rPr>
              <w:t>13.2% – 18%</w:t>
            </w: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21.434</w:t>
            </w: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Borders>
              <w:bottom w:val="single" w:sz="8" w:color="CCEEFF"/>
            </w:tcBorders>
            <w:shd w:val="clear" w:color="auto" w:fill="CCEEFF"/>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gridSpan w:val="2"/>
            <w:vMerge w:val="continue"/>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60" w:type="dxa"/>
            <w:vAlign w:val="bottom"/>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260" w:type="dxa"/>
            <w:vAlign w:val="bottom"/>
          </w:tcPr>
          <w:p>
            <w:pPr>
              <w:spacing w:after="0"/>
              <w:rPr>
                <w:sz w:val="15"/>
                <w:szCs w:val="15"/>
                <w:color w:val="auto"/>
              </w:rPr>
            </w:pPr>
          </w:p>
        </w:tc>
        <w:tc>
          <w:tcPr>
            <w:tcW w:w="1580" w:type="dxa"/>
            <w:vAlign w:val="bottom"/>
            <w:gridSpan w:val="4"/>
          </w:tcPr>
          <w:p>
            <w:pPr>
              <w:jc w:val="center"/>
              <w:ind w:left="852"/>
              <w:spacing w:after="0" w:line="177" w:lineRule="exact"/>
              <w:rPr>
                <w:sz w:val="20"/>
                <w:szCs w:val="20"/>
                <w:color w:val="auto"/>
              </w:rPr>
            </w:pPr>
            <w:r>
              <w:rPr>
                <w:rFonts w:ascii="Arial" w:cs="Arial" w:eastAsia="Arial" w:hAnsi="Arial"/>
                <w:sz w:val="18"/>
                <w:szCs w:val="18"/>
                <w:color w:val="auto"/>
                <w:w w:val="95"/>
              </w:rPr>
              <w:t>£ $7.1</w:t>
            </w:r>
          </w:p>
        </w:tc>
        <w:tc>
          <w:tcPr>
            <w:tcW w:w="1140" w:type="dxa"/>
            <w:vAlign w:val="bottom"/>
          </w:tcPr>
          <w:p>
            <w:pPr>
              <w:spacing w:after="0"/>
              <w:rPr>
                <w:sz w:val="15"/>
                <w:szCs w:val="15"/>
                <w:color w:val="auto"/>
              </w:rPr>
            </w:pPr>
          </w:p>
        </w:tc>
        <w:tc>
          <w:tcPr>
            <w:tcW w:w="1560" w:type="dxa"/>
            <w:vAlign w:val="bottom"/>
            <w:gridSpan w:val="5"/>
          </w:tcPr>
          <w:p>
            <w:pPr>
              <w:jc w:val="center"/>
              <w:ind w:left="1112"/>
              <w:spacing w:after="0" w:line="177" w:lineRule="exact"/>
              <w:rPr>
                <w:sz w:val="20"/>
                <w:szCs w:val="20"/>
                <w:color w:val="auto"/>
              </w:rPr>
            </w:pPr>
            <w:r>
              <w:rPr>
                <w:rFonts w:ascii="Arial" w:cs="Arial" w:eastAsia="Arial" w:hAnsi="Arial"/>
                <w:sz w:val="18"/>
                <w:szCs w:val="18"/>
                <w:color w:val="auto"/>
                <w:w w:val="92"/>
              </w:rPr>
              <w:t>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5"/>
          </w:tcPr>
          <w:p>
            <w:pPr>
              <w:jc w:val="center"/>
              <w:ind w:left="1192"/>
              <w:spacing w:after="0" w:line="177"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Free Cash Flow</w:t>
            </w:r>
          </w:p>
        </w:tc>
        <w:tc>
          <w:tcPr>
            <w:tcW w:w="2720" w:type="dxa"/>
            <w:vAlign w:val="bottom"/>
            <w:gridSpan w:val="5"/>
          </w:tcPr>
          <w:p>
            <w:pPr>
              <w:jc w:val="center"/>
              <w:ind w:right="180"/>
              <w:spacing w:after="0"/>
              <w:rPr>
                <w:sz w:val="20"/>
                <w:szCs w:val="20"/>
                <w:color w:val="auto"/>
              </w:rPr>
            </w:pPr>
            <w:r>
              <w:rPr>
                <w:rFonts w:ascii="Arial" w:cs="Arial" w:eastAsia="Arial" w:hAnsi="Arial"/>
                <w:sz w:val="18"/>
                <w:szCs w:val="18"/>
                <w:color w:val="auto"/>
                <w:w w:val="96"/>
              </w:rPr>
              <w:t>&gt; $7.1 – $7.7</w:t>
            </w:r>
          </w:p>
        </w:tc>
        <w:tc>
          <w:tcPr>
            <w:tcW w:w="2640" w:type="dxa"/>
            <w:vAlign w:val="bottom"/>
            <w:gridSpan w:val="11"/>
          </w:tcPr>
          <w:p>
            <w:pPr>
              <w:jc w:val="center"/>
              <w:ind w:left="52"/>
              <w:spacing w:after="0"/>
              <w:rPr>
                <w:sz w:val="20"/>
                <w:szCs w:val="20"/>
                <w:color w:val="auto"/>
              </w:rPr>
            </w:pPr>
            <w:r>
              <w:rPr>
                <w:rFonts w:ascii="Arial" w:cs="Arial" w:eastAsia="Arial" w:hAnsi="Arial"/>
                <w:sz w:val="18"/>
                <w:szCs w:val="18"/>
                <w:color w:val="auto"/>
                <w:w w:val="97"/>
              </w:rPr>
              <w:t>5% – 11.25%</w:t>
            </w:r>
            <w:r>
              <w:rPr>
                <w:rFonts w:ascii="Arial" w:cs="Arial" w:eastAsia="Arial" w:hAnsi="Arial"/>
                <w:sz w:val="11"/>
                <w:szCs w:val="11"/>
                <w:color w:val="auto"/>
                <w:w w:val="97"/>
              </w:rPr>
              <w:t>(1)</w:t>
            </w:r>
          </w:p>
        </w:tc>
        <w:tc>
          <w:tcPr>
            <w:tcW w:w="2720" w:type="dxa"/>
            <w:vAlign w:val="bottom"/>
            <w:gridSpan w:val="9"/>
          </w:tcPr>
          <w:p>
            <w:pPr>
              <w:jc w:val="center"/>
              <w:ind w:left="92"/>
              <w:spacing w:after="0"/>
              <w:rPr>
                <w:sz w:val="20"/>
                <w:szCs w:val="20"/>
                <w:color w:val="auto"/>
              </w:rPr>
            </w:pPr>
            <w:r>
              <w:rPr>
                <w:rFonts w:ascii="Arial" w:cs="Arial" w:eastAsia="Arial" w:hAnsi="Arial"/>
                <w:sz w:val="18"/>
                <w:szCs w:val="18"/>
                <w:color w:val="auto"/>
                <w:w w:val="97"/>
              </w:rPr>
              <w:t>2% – 4.5%</w:t>
            </w: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6"/>
              </w:rPr>
              <w:t>&gt; $7.7 – $7.8</w:t>
            </w:r>
          </w:p>
        </w:tc>
        <w:tc>
          <w:tcPr>
            <w:tcW w:w="1640" w:type="dxa"/>
            <w:vAlign w:val="bottom"/>
            <w:gridSpan w:val="7"/>
          </w:tcPr>
          <w:p>
            <w:pPr>
              <w:jc w:val="center"/>
              <w:ind w:left="1052"/>
              <w:spacing w:after="0"/>
              <w:rPr>
                <w:sz w:val="20"/>
                <w:szCs w:val="20"/>
                <w:color w:val="auto"/>
              </w:rPr>
            </w:pPr>
            <w:r>
              <w:rPr>
                <w:rFonts w:ascii="Arial" w:cs="Arial" w:eastAsia="Arial" w:hAnsi="Arial"/>
                <w:sz w:val="18"/>
                <w:szCs w:val="18"/>
                <w:b w:val="1"/>
                <w:bCs w:val="1"/>
                <w:color w:val="auto"/>
                <w:w w:val="97"/>
              </w:rPr>
              <w:t>12.5%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20" w:type="dxa"/>
            <w:vAlign w:val="bottom"/>
            <w:gridSpan w:val="5"/>
          </w:tcPr>
          <w:p>
            <w:pPr>
              <w:jc w:val="center"/>
              <w:ind w:left="1192"/>
              <w:spacing w:after="0"/>
              <w:rPr>
                <w:sz w:val="20"/>
                <w:szCs w:val="20"/>
                <w:color w:val="auto"/>
              </w:rPr>
            </w:pPr>
            <w:r>
              <w:rPr>
                <w:rFonts w:ascii="Arial" w:cs="Arial" w:eastAsia="Arial" w:hAnsi="Arial"/>
                <w:sz w:val="18"/>
                <w:szCs w:val="18"/>
                <w:b w:val="1"/>
                <w:bCs w:val="1"/>
                <w:color w:val="auto"/>
                <w:w w:val="99"/>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Actual 2013</w:t>
            </w: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7"/>
              </w:rPr>
              <w:t>&gt; $7.8 – $8.2 or more</w:t>
            </w:r>
          </w:p>
        </w:tc>
        <w:tc>
          <w:tcPr>
            <w:tcW w:w="2640" w:type="dxa"/>
            <w:vAlign w:val="bottom"/>
            <w:gridSpan w:val="11"/>
          </w:tcPr>
          <w:p>
            <w:pPr>
              <w:jc w:val="center"/>
              <w:ind w:left="32"/>
              <w:spacing w:after="0"/>
              <w:rPr>
                <w:sz w:val="20"/>
                <w:szCs w:val="20"/>
                <w:color w:val="auto"/>
              </w:rPr>
            </w:pPr>
            <w:r>
              <w:rPr>
                <w:rFonts w:ascii="Arial" w:cs="Arial" w:eastAsia="Arial" w:hAnsi="Arial"/>
                <w:sz w:val="18"/>
                <w:szCs w:val="18"/>
                <w:color w:val="auto"/>
                <w:w w:val="97"/>
              </w:rPr>
              <w:t>13.75% – 18.75%</w:t>
            </w:r>
            <w:r>
              <w:rPr>
                <w:rFonts w:ascii="Arial" w:cs="Arial" w:eastAsia="Arial" w:hAnsi="Arial"/>
                <w:sz w:val="11"/>
                <w:szCs w:val="11"/>
                <w:color w:val="auto"/>
                <w:w w:val="97"/>
              </w:rPr>
              <w:t>(1)</w:t>
            </w:r>
          </w:p>
        </w:tc>
        <w:tc>
          <w:tcPr>
            <w:tcW w:w="2720" w:type="dxa"/>
            <w:vAlign w:val="bottom"/>
            <w:gridSpan w:val="9"/>
          </w:tcPr>
          <w:p>
            <w:pPr>
              <w:jc w:val="center"/>
              <w:ind w:left="92"/>
              <w:spacing w:after="0"/>
              <w:rPr>
                <w:sz w:val="20"/>
                <w:szCs w:val="20"/>
                <w:color w:val="auto"/>
              </w:rPr>
            </w:pPr>
            <w:r>
              <w:rPr>
                <w:rFonts w:ascii="Arial" w:cs="Arial" w:eastAsia="Arial" w:hAnsi="Arial"/>
                <w:sz w:val="18"/>
                <w:szCs w:val="18"/>
                <w:color w:val="auto"/>
                <w:w w:val="98"/>
              </w:rPr>
              <w:t>5.5% – 7.5%</w:t>
            </w:r>
            <w:r>
              <w:rPr>
                <w:rFonts w:ascii="Arial" w:cs="Arial" w:eastAsia="Arial" w:hAnsi="Arial"/>
                <w:sz w:val="11"/>
                <w:szCs w:val="11"/>
                <w:color w:val="auto"/>
                <w:w w:val="98"/>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8.189</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5"/>
            <w:vMerge w:val="restart"/>
          </w:tcPr>
          <w:p>
            <w:pPr>
              <w:jc w:val="center"/>
              <w:spacing w:after="0"/>
              <w:rPr>
                <w:sz w:val="20"/>
                <w:szCs w:val="20"/>
                <w:color w:val="auto"/>
              </w:rPr>
            </w:pPr>
            <w:r>
              <w:rPr>
                <w:rFonts w:ascii="Arial" w:cs="Arial" w:eastAsia="Arial" w:hAnsi="Arial"/>
                <w:sz w:val="18"/>
                <w:szCs w:val="18"/>
                <w:color w:val="auto"/>
                <w:w w:val="97"/>
              </w:rPr>
              <w:t>17.</w:t>
            </w:r>
            <w:r>
              <w:rPr>
                <w:rFonts w:ascii="Arial" w:cs="Arial" w:eastAsia="Arial" w:hAnsi="Arial"/>
                <w:sz w:val="18"/>
                <w:szCs w:val="18"/>
                <w:u w:val="single" w:color="auto"/>
                <w:color w:val="auto"/>
                <w:w w:val="97"/>
              </w:rPr>
              <w:t>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7"/>
              </w:rPr>
              <w:t>7.</w:t>
            </w:r>
            <w:r>
              <w:rPr>
                <w:rFonts w:ascii="Arial" w:cs="Arial" w:eastAsia="Arial" w:hAnsi="Arial"/>
                <w:sz w:val="18"/>
                <w:szCs w:val="18"/>
                <w:u w:val="single" w:color="auto"/>
                <w:color w:val="auto"/>
                <w:w w:val="97"/>
              </w:rPr>
              <w:t>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gridSpan w:val="2"/>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920" w:type="dxa"/>
            <w:vAlign w:val="bottom"/>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260" w:type="dxa"/>
            <w:vAlign w:val="bottom"/>
            <w:gridSpan w:val="2"/>
          </w:tcPr>
          <w:p>
            <w:pPr>
              <w:jc w:val="right"/>
              <w:ind w:right="1120"/>
              <w:spacing w:after="0"/>
              <w:rPr>
                <w:sz w:val="20"/>
                <w:szCs w:val="20"/>
                <w:color w:val="auto"/>
              </w:rPr>
            </w:pPr>
            <w:r>
              <w:rPr>
                <w:rFonts w:ascii="Arial" w:cs="Arial" w:eastAsia="Arial" w:hAnsi="Arial"/>
                <w:sz w:val="11"/>
                <w:szCs w:val="11"/>
                <w:color w:val="auto"/>
                <w:w w:val="88"/>
              </w:rPr>
              <w:t>(3)</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260" w:type="dxa"/>
            <w:vAlign w:val="bottom"/>
            <w:shd w:val="clear" w:color="auto" w:fill="CCEEFF"/>
          </w:tcPr>
          <w:p>
            <w:pPr>
              <w:spacing w:after="0"/>
              <w:rPr>
                <w:sz w:val="15"/>
                <w:szCs w:val="15"/>
                <w:color w:val="auto"/>
              </w:rPr>
            </w:pPr>
          </w:p>
        </w:tc>
        <w:tc>
          <w:tcPr>
            <w:tcW w:w="1580" w:type="dxa"/>
            <w:vAlign w:val="bottom"/>
            <w:gridSpan w:val="4"/>
            <w:shd w:val="clear" w:color="auto" w:fill="CCEEFF"/>
          </w:tcPr>
          <w:p>
            <w:pPr>
              <w:jc w:val="center"/>
              <w:ind w:left="872"/>
              <w:spacing w:after="0" w:line="177" w:lineRule="exact"/>
              <w:rPr>
                <w:sz w:val="20"/>
                <w:szCs w:val="20"/>
                <w:color w:val="auto"/>
              </w:rPr>
            </w:pPr>
            <w:r>
              <w:rPr>
                <w:rFonts w:ascii="Arial" w:cs="Arial" w:eastAsia="Arial" w:hAnsi="Arial"/>
                <w:sz w:val="18"/>
                <w:szCs w:val="18"/>
                <w:color w:val="auto"/>
                <w:w w:val="96"/>
              </w:rPr>
              <w:t>£ $62.7</w:t>
            </w:r>
          </w:p>
        </w:tc>
        <w:tc>
          <w:tcPr>
            <w:tcW w:w="114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jc w:val="center"/>
              <w:ind w:left="1112"/>
              <w:spacing w:after="0" w:line="177" w:lineRule="exact"/>
              <w:rPr>
                <w:sz w:val="20"/>
                <w:szCs w:val="20"/>
                <w:color w:val="auto"/>
              </w:rPr>
            </w:pPr>
            <w:r>
              <w:rPr>
                <w:rFonts w:ascii="Arial" w:cs="Arial" w:eastAsia="Arial" w:hAnsi="Arial"/>
                <w:sz w:val="18"/>
                <w:szCs w:val="18"/>
                <w:color w:val="auto"/>
                <w:w w:val="92"/>
              </w:rPr>
              <w:t>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20" w:type="dxa"/>
            <w:vAlign w:val="bottom"/>
            <w:gridSpan w:val="5"/>
            <w:shd w:val="clear" w:color="auto" w:fill="CCEEFF"/>
          </w:tcPr>
          <w:p>
            <w:pPr>
              <w:jc w:val="center"/>
              <w:ind w:left="1192"/>
              <w:spacing w:after="0" w:line="177" w:lineRule="exact"/>
              <w:rPr>
                <w:sz w:val="20"/>
                <w:szCs w:val="20"/>
                <w:color w:val="auto"/>
              </w:rPr>
            </w:pPr>
            <w:r>
              <w:rPr>
                <w:rFonts w:ascii="Arial" w:cs="Arial" w:eastAsia="Arial" w:hAnsi="Arial"/>
                <w:sz w:val="18"/>
                <w:szCs w:val="18"/>
                <w:color w:val="auto"/>
                <w:w w:val="99"/>
              </w:rPr>
              <w:t>0%</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97"/>
              </w:rPr>
              <w:t>&gt; $62.7 – $63.9</w:t>
            </w:r>
          </w:p>
        </w:tc>
        <w:tc>
          <w:tcPr>
            <w:tcW w:w="2640" w:type="dxa"/>
            <w:vAlign w:val="bottom"/>
            <w:gridSpan w:val="11"/>
            <w:shd w:val="clear" w:color="auto" w:fill="CCEEFF"/>
          </w:tcPr>
          <w:p>
            <w:pPr>
              <w:jc w:val="center"/>
              <w:ind w:left="32"/>
              <w:spacing w:after="0"/>
              <w:rPr>
                <w:sz w:val="20"/>
                <w:szCs w:val="20"/>
                <w:color w:val="auto"/>
              </w:rPr>
            </w:pPr>
            <w:r>
              <w:rPr>
                <w:rFonts w:ascii="Arial" w:cs="Arial" w:eastAsia="Arial" w:hAnsi="Arial"/>
                <w:sz w:val="18"/>
                <w:szCs w:val="18"/>
                <w:color w:val="auto"/>
                <w:w w:val="97"/>
              </w:rPr>
              <w:t>3% – 6.75%</w:t>
            </w:r>
            <w:r>
              <w:rPr>
                <w:rFonts w:ascii="Arial" w:cs="Arial" w:eastAsia="Arial" w:hAnsi="Arial"/>
                <w:sz w:val="11"/>
                <w:szCs w:val="11"/>
                <w:color w:val="auto"/>
                <w:w w:val="97"/>
              </w:rPr>
              <w:t>(2)</w:t>
            </w:r>
          </w:p>
        </w:tc>
        <w:tc>
          <w:tcPr>
            <w:tcW w:w="2720" w:type="dxa"/>
            <w:vAlign w:val="bottom"/>
            <w:gridSpan w:val="9"/>
            <w:shd w:val="clear" w:color="auto" w:fill="CCEEFF"/>
          </w:tcPr>
          <w:p>
            <w:pPr>
              <w:jc w:val="center"/>
              <w:ind w:left="92"/>
              <w:spacing w:after="0"/>
              <w:rPr>
                <w:sz w:val="20"/>
                <w:szCs w:val="20"/>
                <w:color w:val="auto"/>
              </w:rPr>
            </w:pPr>
            <w:r>
              <w:rPr>
                <w:rFonts w:ascii="Arial" w:cs="Arial" w:eastAsia="Arial" w:hAnsi="Arial"/>
                <w:sz w:val="18"/>
                <w:szCs w:val="18"/>
                <w:color w:val="auto"/>
                <w:w w:val="98"/>
              </w:rPr>
              <w:t>1.2% – 2.7%</w:t>
            </w:r>
            <w:r>
              <w:rPr>
                <w:rFonts w:ascii="Arial" w:cs="Arial" w:eastAsia="Arial" w:hAnsi="Arial"/>
                <w:sz w:val="11"/>
                <w:szCs w:val="11"/>
                <w:color w:val="auto"/>
                <w:w w:val="98"/>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72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7"/>
              </w:rPr>
              <w:t>&gt; $63.9 – $64.2</w:t>
            </w:r>
          </w:p>
        </w:tc>
        <w:tc>
          <w:tcPr>
            <w:tcW w:w="1600" w:type="dxa"/>
            <w:vAlign w:val="bottom"/>
            <w:gridSpan w:val="6"/>
            <w:shd w:val="clear" w:color="auto" w:fill="CCEEFF"/>
          </w:tcPr>
          <w:p>
            <w:pPr>
              <w:jc w:val="center"/>
              <w:ind w:left="1072"/>
              <w:spacing w:after="0"/>
              <w:rPr>
                <w:sz w:val="20"/>
                <w:szCs w:val="20"/>
                <w:color w:val="auto"/>
              </w:rPr>
            </w:pPr>
            <w:r>
              <w:rPr>
                <w:rFonts w:ascii="Arial" w:cs="Arial" w:eastAsia="Arial" w:hAnsi="Arial"/>
                <w:sz w:val="18"/>
                <w:szCs w:val="18"/>
                <w:b w:val="1"/>
                <w:bCs w:val="1"/>
                <w:color w:val="auto"/>
                <w:w w:val="97"/>
              </w:rPr>
              <w:t>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20" w:type="dxa"/>
            <w:vAlign w:val="bottom"/>
            <w:gridSpan w:val="5"/>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9"/>
              </w:rPr>
              <w:t>3%</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Actual 2013</w:t>
            </w:r>
          </w:p>
        </w:tc>
        <w:tc>
          <w:tcPr>
            <w:tcW w:w="26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7"/>
              </w:rPr>
              <w:t>&gt; $64.2 – $65.0 or more</w:t>
            </w:r>
          </w:p>
        </w:tc>
        <w:tc>
          <w:tcPr>
            <w:tcW w:w="2640" w:type="dxa"/>
            <w:vAlign w:val="bottom"/>
            <w:gridSpan w:val="11"/>
            <w:shd w:val="clear" w:color="auto" w:fill="CCEEFF"/>
          </w:tcPr>
          <w:p>
            <w:pPr>
              <w:jc w:val="center"/>
              <w:ind w:left="32"/>
              <w:spacing w:after="0"/>
              <w:rPr>
                <w:sz w:val="20"/>
                <w:szCs w:val="20"/>
                <w:color w:val="auto"/>
              </w:rPr>
            </w:pPr>
            <w:r>
              <w:rPr>
                <w:rFonts w:ascii="Arial" w:cs="Arial" w:eastAsia="Arial" w:hAnsi="Arial"/>
                <w:sz w:val="18"/>
                <w:szCs w:val="18"/>
                <w:color w:val="auto"/>
                <w:w w:val="98"/>
              </w:rPr>
              <w:t>8.25% – 11.25%</w:t>
            </w:r>
            <w:r>
              <w:rPr>
                <w:rFonts w:ascii="Arial" w:cs="Arial" w:eastAsia="Arial" w:hAnsi="Arial"/>
                <w:sz w:val="11"/>
                <w:szCs w:val="11"/>
                <w:color w:val="auto"/>
                <w:w w:val="98"/>
              </w:rPr>
              <w:t>(2)</w:t>
            </w:r>
          </w:p>
        </w:tc>
        <w:tc>
          <w:tcPr>
            <w:tcW w:w="2720" w:type="dxa"/>
            <w:vAlign w:val="bottom"/>
            <w:gridSpan w:val="9"/>
            <w:shd w:val="clear" w:color="auto" w:fill="CCEEFF"/>
          </w:tcPr>
          <w:p>
            <w:pPr>
              <w:jc w:val="center"/>
              <w:ind w:left="92"/>
              <w:spacing w:after="0"/>
              <w:rPr>
                <w:sz w:val="20"/>
                <w:szCs w:val="20"/>
                <w:color w:val="auto"/>
              </w:rPr>
            </w:pPr>
            <w:r>
              <w:rPr>
                <w:rFonts w:ascii="Arial" w:cs="Arial" w:eastAsia="Arial" w:hAnsi="Arial"/>
                <w:sz w:val="18"/>
                <w:szCs w:val="18"/>
                <w:color w:val="auto"/>
                <w:w w:val="98"/>
              </w:rPr>
              <w:t>3.3% – 4.5%</w:t>
            </w:r>
            <w:r>
              <w:rPr>
                <w:rFonts w:ascii="Arial" w:cs="Arial" w:eastAsia="Arial" w:hAnsi="Arial"/>
                <w:sz w:val="11"/>
                <w:szCs w:val="11"/>
                <w:color w:val="auto"/>
                <w:w w:val="98"/>
              </w:rPr>
              <w:t>(2)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64.657</w:t>
            </w: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5"/>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9.75%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3.9%</w:t>
            </w: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Borders>
              <w:bottom w:val="single" w:sz="8" w:color="CCEEFF"/>
            </w:tcBorders>
            <w:shd w:val="clear" w:color="auto" w:fill="CCEEFF"/>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spacing w:after="0"/>
              <w:rPr>
                <w:sz w:val="14"/>
                <w:szCs w:val="14"/>
                <w:color w:val="auto"/>
              </w:rPr>
            </w:pPr>
          </w:p>
        </w:tc>
        <w:tc>
          <w:tcPr>
            <w:tcW w:w="640" w:type="dxa"/>
            <w:vAlign w:val="bottom"/>
            <w:tcBorders>
              <w:bottom w:val="single" w:sz="8" w:color="auto"/>
            </w:tcBorders>
            <w:gridSpan w:val="2"/>
            <w:vMerge w:val="continue"/>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gridSpan w:val="5"/>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gridSpan w:val="3"/>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right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60" w:type="dxa"/>
            <w:vAlign w:val="bottom"/>
          </w:tcPr>
          <w:p>
            <w:pPr>
              <w:spacing w:after="0" w:line="177" w:lineRule="exact"/>
              <w:rPr>
                <w:sz w:val="20"/>
                <w:szCs w:val="20"/>
                <w:color w:val="auto"/>
              </w:rPr>
            </w:pPr>
            <w:r>
              <w:rPr>
                <w:rFonts w:ascii="Arial" w:cs="Arial" w:eastAsia="Arial" w:hAnsi="Arial"/>
                <w:sz w:val="18"/>
                <w:szCs w:val="18"/>
                <w:b w:val="1"/>
                <w:bCs w:val="1"/>
                <w:color w:val="auto"/>
              </w:rPr>
              <w:t>Qualitative Goal</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40" w:type="dxa"/>
            <w:vAlign w:val="bottom"/>
            <w:gridSpan w:val="11"/>
          </w:tcPr>
          <w:p>
            <w:pPr>
              <w:jc w:val="center"/>
              <w:ind w:left="52"/>
              <w:spacing w:after="0" w:line="177" w:lineRule="exact"/>
              <w:rPr>
                <w:sz w:val="20"/>
                <w:szCs w:val="20"/>
                <w:color w:val="auto"/>
              </w:rPr>
            </w:pPr>
            <w:r>
              <w:rPr>
                <w:rFonts w:ascii="Arial" w:cs="Arial" w:eastAsia="Arial" w:hAnsi="Arial"/>
                <w:sz w:val="18"/>
                <w:szCs w:val="18"/>
                <w:color w:val="auto"/>
                <w:w w:val="97"/>
              </w:rPr>
              <w:t>0% – 110%</w:t>
            </w:r>
          </w:p>
        </w:tc>
        <w:tc>
          <w:tcPr>
            <w:tcW w:w="2720" w:type="dxa"/>
            <w:vAlign w:val="bottom"/>
            <w:gridSpan w:val="9"/>
          </w:tcPr>
          <w:p>
            <w:pPr>
              <w:jc w:val="center"/>
              <w:ind w:left="92"/>
              <w:spacing w:after="0" w:line="177" w:lineRule="exact"/>
              <w:rPr>
                <w:sz w:val="20"/>
                <w:szCs w:val="20"/>
                <w:color w:val="auto"/>
              </w:rPr>
            </w:pPr>
            <w:r>
              <w:rPr>
                <w:rFonts w:ascii="Arial" w:cs="Arial" w:eastAsia="Arial" w:hAnsi="Arial"/>
                <w:sz w:val="18"/>
                <w:szCs w:val="18"/>
                <w:color w:val="auto"/>
                <w:w w:val="97"/>
              </w:rPr>
              <w:t>0% – 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tcPr>
          <w:p>
            <w:pPr>
              <w:ind w:left="640"/>
              <w:spacing w:after="0" w:line="202" w:lineRule="exact"/>
              <w:rPr>
                <w:sz w:val="20"/>
                <w:szCs w:val="20"/>
                <w:color w:val="auto"/>
              </w:rPr>
            </w:pPr>
            <w:r>
              <w:rPr>
                <w:rFonts w:ascii="Arial" w:cs="Arial" w:eastAsia="Arial" w:hAnsi="Arial"/>
                <w:sz w:val="18"/>
                <w:szCs w:val="18"/>
                <w:b w:val="1"/>
                <w:bCs w:val="1"/>
                <w:color w:val="auto"/>
              </w:rPr>
              <w:t>Actual 2013</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9"/>
              </w:rPr>
              <w:t>60%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9"/>
              </w:rPr>
              <w:t>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gridSpan w:val="2"/>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of Target Bonus Achieved for 2013</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40" w:type="dxa"/>
            <w:vAlign w:val="bottom"/>
            <w:gridSpan w:val="9"/>
            <w:vMerge w:val="restart"/>
            <w:shd w:val="clear" w:color="auto" w:fill="CCEEFF"/>
          </w:tcPr>
          <w:p>
            <w:pPr>
              <w:jc w:val="center"/>
              <w:ind w:left="932"/>
              <w:spacing w:after="0"/>
              <w:rPr>
                <w:sz w:val="20"/>
                <w:szCs w:val="20"/>
                <w:color w:val="auto"/>
              </w:rPr>
            </w:pPr>
            <w:r>
              <w:rPr>
                <w:rFonts w:ascii="Arial" w:cs="Arial" w:eastAsia="Arial" w:hAnsi="Arial"/>
                <w:sz w:val="18"/>
                <w:szCs w:val="18"/>
                <w:color w:val="auto"/>
                <w:w w:val="95"/>
              </w:rPr>
              <w:t>117.25%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500" w:type="dxa"/>
            <w:vAlign w:val="bottom"/>
            <w:gridSpan w:val="8"/>
            <w:vMerge w:val="restart"/>
            <w:shd w:val="clear" w:color="auto" w:fill="CCEEFF"/>
          </w:tcPr>
          <w:p>
            <w:pPr>
              <w:jc w:val="center"/>
              <w:ind w:left="292"/>
              <w:spacing w:after="0"/>
              <w:rPr>
                <w:sz w:val="20"/>
                <w:szCs w:val="20"/>
                <w:color w:val="auto"/>
              </w:rPr>
            </w:pPr>
            <w:r>
              <w:rPr>
                <w:rFonts w:ascii="Arial" w:cs="Arial" w:eastAsia="Arial" w:hAnsi="Arial"/>
                <w:sz w:val="18"/>
                <w:szCs w:val="18"/>
                <w:color w:val="auto"/>
                <w:w w:val="98"/>
              </w:rPr>
              <w:t>114.9%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740" w:type="dxa"/>
            <w:vAlign w:val="bottom"/>
            <w:gridSpan w:val="9"/>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500" w:type="dxa"/>
            <w:vAlign w:val="bottom"/>
            <w:gridSpan w:val="8"/>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60" w:type="dxa"/>
            <w:vAlign w:val="bottom"/>
            <w:tcBorders>
              <w:top w:val="single" w:sz="8" w:color="CCEEFF"/>
              <w:bottom w:val="single" w:sz="8" w:color="auto"/>
            </w:tcBorders>
            <w:shd w:val="clear" w:color="auto" w:fill="CCEEFF"/>
          </w:tcPr>
          <w:p>
            <w:pPr>
              <w:spacing w:after="0"/>
              <w:rPr>
                <w:sz w:val="7"/>
                <w:szCs w:val="7"/>
                <w:color w:val="auto"/>
              </w:rPr>
            </w:pPr>
          </w:p>
        </w:tc>
        <w:tc>
          <w:tcPr>
            <w:tcW w:w="260" w:type="dxa"/>
            <w:vAlign w:val="bottom"/>
            <w:tcBorders>
              <w:top w:val="single" w:sz="8" w:color="CCEEFF"/>
              <w:bottom w:val="single" w:sz="8" w:color="auto"/>
            </w:tcBorders>
            <w:shd w:val="clear" w:color="auto" w:fill="CCEEFF"/>
          </w:tcPr>
          <w:p>
            <w:pPr>
              <w:spacing w:after="0"/>
              <w:rPr>
                <w:sz w:val="7"/>
                <w:szCs w:val="7"/>
                <w:color w:val="auto"/>
              </w:rPr>
            </w:pPr>
          </w:p>
        </w:tc>
        <w:tc>
          <w:tcPr>
            <w:tcW w:w="920" w:type="dxa"/>
            <w:vAlign w:val="bottom"/>
            <w:tcBorders>
              <w:top w:val="single" w:sz="8" w:color="CCEEFF"/>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520" w:type="dxa"/>
            <w:vAlign w:val="bottom"/>
            <w:tcBorders>
              <w:top w:val="single" w:sz="8" w:color="CCEEFF"/>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1140" w:type="dxa"/>
            <w:vAlign w:val="bottom"/>
            <w:tcBorders>
              <w:top w:val="single" w:sz="8" w:color="CCEEFF"/>
              <w:bottom w:val="single" w:sz="8" w:color="auto"/>
            </w:tcBorders>
            <w:shd w:val="clear" w:color="auto" w:fill="CCEEFF"/>
          </w:tcPr>
          <w:p>
            <w:pPr>
              <w:spacing w:after="0"/>
              <w:rPr>
                <w:sz w:val="7"/>
                <w:szCs w:val="7"/>
                <w:color w:val="auto"/>
              </w:rPr>
            </w:pPr>
          </w:p>
        </w:tc>
        <w:tc>
          <w:tcPr>
            <w:tcW w:w="104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spacing w:after="0"/>
              <w:rPr>
                <w:sz w:val="7"/>
                <w:szCs w:val="7"/>
                <w:color w:val="auto"/>
              </w:rPr>
            </w:pPr>
          </w:p>
        </w:tc>
        <w:tc>
          <w:tcPr>
            <w:tcW w:w="360" w:type="dxa"/>
            <w:vAlign w:val="bottom"/>
            <w:tcBorders>
              <w:top w:val="single" w:sz="8" w:color="auto"/>
              <w:bottom w:val="single" w:sz="8" w:color="auto"/>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20" w:type="dxa"/>
            <w:vAlign w:val="bottom"/>
            <w:tcBorders>
              <w:top w:val="single" w:sz="8" w:color="CCEEFF"/>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780" w:type="dxa"/>
            <w:vAlign w:val="bottom"/>
            <w:tcBorders>
              <w:top w:val="single" w:sz="8" w:color="CCEEFF"/>
              <w:bottom w:val="single" w:sz="8" w:color="auto"/>
            </w:tcBorders>
            <w:shd w:val="clear" w:color="auto" w:fill="CCEEFF"/>
          </w:tcPr>
          <w:p>
            <w:pPr>
              <w:spacing w:after="0"/>
              <w:rPr>
                <w:sz w:val="7"/>
                <w:szCs w:val="7"/>
                <w:color w:val="auto"/>
              </w:rPr>
            </w:pPr>
          </w:p>
        </w:tc>
        <w:tc>
          <w:tcPr>
            <w:tcW w:w="114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360" w:type="dxa"/>
            <w:vAlign w:val="bottom"/>
            <w:tcBorders>
              <w:top w:val="single" w:sz="8" w:color="auto"/>
              <w:bottom w:val="single" w:sz="8" w:color="auto"/>
            </w:tcBorders>
            <w:shd w:val="clear" w:color="auto" w:fill="CCEEFF"/>
          </w:tcPr>
          <w:p>
            <w:pPr>
              <w:spacing w:after="0"/>
              <w:rPr>
                <w:sz w:val="7"/>
                <w:szCs w:val="7"/>
                <w:color w:val="auto"/>
              </w:rPr>
            </w:pP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auto"/>
              <w:bottom w:val="single" w:sz="8" w:color="auto"/>
              <w:right w:val="single" w:sz="8" w:color="CCEEFF"/>
            </w:tcBorders>
            <w:shd w:val="clear" w:color="auto" w:fill="CCEEFF"/>
          </w:tcPr>
          <w:p>
            <w:pPr>
              <w:spacing w:after="0"/>
              <w:rPr>
                <w:sz w:val="7"/>
                <w:szCs w:val="7"/>
                <w:color w:val="auto"/>
              </w:rPr>
            </w:pPr>
          </w:p>
        </w:tc>
        <w:tc>
          <w:tcPr>
            <w:tcW w:w="760" w:type="dxa"/>
            <w:vAlign w:val="bottom"/>
            <w:tcBorders>
              <w:top w:val="single" w:sz="8" w:color="CCEEFF"/>
              <w:bottom w:val="single" w:sz="8" w:color="auto"/>
            </w:tcBorders>
            <w:shd w:val="clear" w:color="auto" w:fill="CCEEFF"/>
          </w:tcPr>
          <w:p>
            <w:pPr>
              <w:spacing w:after="0"/>
              <w:rPr>
                <w:sz w:val="7"/>
                <w:szCs w:val="7"/>
                <w:color w:val="auto"/>
              </w:rPr>
            </w:pPr>
          </w:p>
        </w:tc>
        <w:tc>
          <w:tcPr>
            <w:tcW w:w="220" w:type="dxa"/>
            <w:vAlign w:val="bottom"/>
            <w:tcBorders>
              <w:top w:val="single" w:sz="8" w:color="CCEEFF"/>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 of Target Bonus Paid for 2013</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gridSpan w:val="7"/>
            <w:vMerge w:val="restart"/>
          </w:tcPr>
          <w:p>
            <w:pPr>
              <w:jc w:val="center"/>
              <w:ind w:left="1032"/>
              <w:spacing w:after="0"/>
              <w:rPr>
                <w:sz w:val="20"/>
                <w:szCs w:val="20"/>
                <w:color w:val="auto"/>
              </w:rPr>
            </w:pPr>
            <w:r>
              <w:rPr>
                <w:rFonts w:ascii="Arial" w:cs="Arial" w:eastAsia="Arial" w:hAnsi="Arial"/>
                <w:sz w:val="18"/>
                <w:szCs w:val="18"/>
                <w:color w:val="auto"/>
                <w:w w:val="95"/>
              </w:rPr>
              <w:t>110%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gridSpan w:val="7"/>
            <w:vMerge w:val="restart"/>
          </w:tcPr>
          <w:p>
            <w:pPr>
              <w:jc w:val="center"/>
              <w:ind w:left="1052"/>
              <w:spacing w:after="0"/>
              <w:rPr>
                <w:sz w:val="20"/>
                <w:szCs w:val="20"/>
                <w:color w:val="auto"/>
              </w:rPr>
            </w:pPr>
            <w:r>
              <w:rPr>
                <w:rFonts w:ascii="Arial" w:cs="Arial" w:eastAsia="Arial" w:hAnsi="Arial"/>
                <w:sz w:val="18"/>
                <w:szCs w:val="18"/>
                <w:color w:val="auto"/>
                <w:w w:val="95"/>
              </w:rPr>
              <w:t>110%</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4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gridSpan w:val="7"/>
            <w:vMerge w:val="continue"/>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Actual Bonus for 2013</w:t>
            </w: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740" w:type="dxa"/>
            <w:vAlign w:val="bottom"/>
            <w:gridSpan w:val="9"/>
            <w:shd w:val="clear" w:color="auto" w:fill="CCEEFF"/>
          </w:tcPr>
          <w:p>
            <w:pPr>
              <w:ind w:left="840"/>
              <w:spacing w:after="0" w:line="170" w:lineRule="exact"/>
              <w:rPr>
                <w:sz w:val="20"/>
                <w:szCs w:val="20"/>
                <w:color w:val="auto"/>
              </w:rPr>
            </w:pPr>
            <w:r>
              <w:rPr>
                <w:rFonts w:ascii="Arial" w:cs="Arial" w:eastAsia="Arial" w:hAnsi="Arial"/>
                <w:sz w:val="18"/>
                <w:szCs w:val="18"/>
                <w:color w:val="auto"/>
              </w:rPr>
              <w:t>Roberts:</w:t>
            </w:r>
          </w:p>
        </w:tc>
        <w:tc>
          <w:tcPr>
            <w:tcW w:w="9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$9,242,511</w:t>
            </w:r>
          </w:p>
        </w:tc>
        <w:tc>
          <w:tcPr>
            <w:tcW w:w="2720" w:type="dxa"/>
            <w:vAlign w:val="bottom"/>
            <w:gridSpan w:val="9"/>
            <w:shd w:val="clear" w:color="auto" w:fill="CCEEFF"/>
          </w:tcPr>
          <w:p>
            <w:pPr>
              <w:jc w:val="right"/>
              <w:ind w:right="220"/>
              <w:spacing w:after="0" w:line="170" w:lineRule="exact"/>
              <w:rPr>
                <w:sz w:val="20"/>
                <w:szCs w:val="20"/>
                <w:color w:val="auto"/>
              </w:rPr>
            </w:pPr>
            <w:r>
              <w:rPr>
                <w:rFonts w:ascii="Arial" w:cs="Arial" w:eastAsia="Arial" w:hAnsi="Arial"/>
                <w:sz w:val="18"/>
                <w:szCs w:val="18"/>
                <w:color w:val="auto"/>
              </w:rPr>
              <w:t>Burke: $7,858,241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740" w:type="dxa"/>
            <w:vAlign w:val="bottom"/>
            <w:gridSpan w:val="9"/>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gridSpan w:val="7"/>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740" w:type="dxa"/>
            <w:vAlign w:val="bottom"/>
            <w:gridSpan w:val="9"/>
            <w:shd w:val="clear" w:color="auto" w:fill="CCEEFF"/>
          </w:tcPr>
          <w:p>
            <w:pPr>
              <w:ind w:left="840"/>
              <w:spacing w:after="0" w:line="182" w:lineRule="exact"/>
              <w:rPr>
                <w:sz w:val="20"/>
                <w:szCs w:val="20"/>
                <w:color w:val="auto"/>
              </w:rPr>
            </w:pPr>
            <w:r>
              <w:rPr>
                <w:rFonts w:ascii="Arial" w:cs="Arial" w:eastAsia="Arial" w:hAnsi="Arial"/>
                <w:sz w:val="18"/>
                <w:szCs w:val="18"/>
                <w:color w:val="auto"/>
              </w:rPr>
              <w:t>Angelakis:</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$5,664,721</w:t>
            </w:r>
          </w:p>
        </w:tc>
        <w:tc>
          <w:tcPr>
            <w:tcW w:w="2720" w:type="dxa"/>
            <w:vAlign w:val="bottom"/>
            <w:gridSpan w:val="9"/>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Smit:  $5,050,428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740" w:type="dxa"/>
            <w:vAlign w:val="bottom"/>
            <w:gridSpan w:val="9"/>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740" w:type="dxa"/>
            <w:vAlign w:val="bottom"/>
            <w:gridSpan w:val="9"/>
            <w:shd w:val="clear" w:color="auto" w:fill="CCEEFF"/>
          </w:tcPr>
          <w:p>
            <w:pPr>
              <w:ind w:left="840"/>
              <w:spacing w:after="0" w:line="182" w:lineRule="exact"/>
              <w:rPr>
                <w:sz w:val="20"/>
                <w:szCs w:val="20"/>
                <w:color w:val="auto"/>
              </w:rPr>
            </w:pPr>
            <w:r>
              <w:rPr>
                <w:rFonts w:ascii="Arial" w:cs="Arial" w:eastAsia="Arial" w:hAnsi="Arial"/>
                <w:sz w:val="18"/>
                <w:szCs w:val="18"/>
                <w:color w:val="auto"/>
              </w:rPr>
              <w:t>Cohen:</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$3,003,308</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Determined based on incremental increases of $100 million.</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Determined based on incremental increases of $200 million.</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Reported consolidated free cash flow of $8.489 billion was reduced by $300 million for purposes of bonus achievement due to unusual working capital items.</w:t>
      </w:r>
    </w:p>
    <w:p>
      <w:pPr>
        <w:spacing w:after="0" w:line="13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 xml:space="preserve">Equity-Based Incentive Compensation. </w:t>
      </w:r>
      <w:r>
        <w:rPr>
          <w:rFonts w:ascii="Arial" w:cs="Arial" w:eastAsia="Arial" w:hAnsi="Arial"/>
          <w:sz w:val="18"/>
          <w:szCs w:val="18"/>
          <w:color w:val="auto"/>
        </w:rPr>
        <w:t>The Compensation Committee seeks to achieve the long-term objectives of equity compensation in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generally extending the vesting period for options and RSUs granted under our annual award program over a longer time period than most other large public companies.</w:t>
      </w:r>
    </w:p>
    <w:p>
      <w:pPr>
        <w:spacing w:after="0" w:line="67" w:lineRule="exact"/>
        <w:rPr>
          <w:sz w:val="20"/>
          <w:szCs w:val="20"/>
          <w:color w:val="auto"/>
        </w:rPr>
      </w:pPr>
    </w:p>
    <w:p>
      <w:pPr>
        <w:jc w:val="both"/>
        <w:ind w:left="780" w:right="260" w:hanging="326"/>
        <w:spacing w:after="0" w:line="23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20" w:hanging="454"/>
        <w:spacing w:after="0" w:line="23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has not materially increased over the last several years. The value of 2013 equity-based compensation (using grant date values) as a percentage of 2013 base salary and the percentage as it relates to 2012 equity-based compensation, in each case only taking into account awards made under our annual award program in March, was as follows: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356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7"/>
              </w:rPr>
              <w:t>% of 2013 Base Salary</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6"/>
              </w:rPr>
              <w:t>% of 2012 Annual Award</w:t>
            </w:r>
          </w:p>
        </w:tc>
      </w:tr>
      <w:tr>
        <w:trPr>
          <w:trHeight w:val="196"/>
        </w:trPr>
        <w:tc>
          <w:tcPr>
            <w:tcW w:w="4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Mr. Roberts</w:t>
            </w:r>
          </w:p>
        </w:tc>
        <w:tc>
          <w:tcPr>
            <w:tcW w:w="18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378%</w:t>
            </w:r>
          </w:p>
        </w:tc>
        <w:tc>
          <w:tcPr>
            <w:tcW w:w="17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110%</w:t>
            </w:r>
          </w:p>
        </w:tc>
      </w:tr>
      <w:tr>
        <w:trPr>
          <w:trHeight w:val="322"/>
        </w:trPr>
        <w:tc>
          <w:tcPr>
            <w:tcW w:w="4000" w:type="dxa"/>
            <w:vAlign w:val="bottom"/>
          </w:tcPr>
          <w:p>
            <w:pPr>
              <w:spacing w:after="0"/>
              <w:rPr>
                <w:sz w:val="20"/>
                <w:szCs w:val="20"/>
                <w:color w:val="auto"/>
              </w:rPr>
            </w:pPr>
            <w:r>
              <w:rPr>
                <w:rFonts w:ascii="Arial" w:cs="Arial" w:eastAsia="Arial" w:hAnsi="Arial"/>
                <w:sz w:val="18"/>
                <w:szCs w:val="18"/>
                <w:color w:val="auto"/>
              </w:rPr>
              <w:t>Mr. Angelakis</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484%</w:t>
            </w:r>
          </w:p>
        </w:tc>
        <w:tc>
          <w:tcPr>
            <w:tcW w:w="17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97"/>
        </w:trPr>
        <w:tc>
          <w:tcPr>
            <w:tcW w:w="4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Burke</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380%</w:t>
            </w:r>
          </w:p>
        </w:tc>
        <w:tc>
          <w:tcPr>
            <w:tcW w:w="17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101%</w:t>
            </w:r>
          </w:p>
        </w:tc>
      </w:tr>
      <w:tr>
        <w:trPr>
          <w:trHeight w:val="322"/>
        </w:trPr>
        <w:tc>
          <w:tcPr>
            <w:tcW w:w="4000" w:type="dxa"/>
            <w:vAlign w:val="bottom"/>
          </w:tcPr>
          <w:p>
            <w:pPr>
              <w:spacing w:after="0"/>
              <w:rPr>
                <w:sz w:val="20"/>
                <w:szCs w:val="20"/>
                <w:color w:val="auto"/>
              </w:rPr>
            </w:pPr>
            <w:r>
              <w:rPr>
                <w:rFonts w:ascii="Arial" w:cs="Arial" w:eastAsia="Arial" w:hAnsi="Arial"/>
                <w:sz w:val="18"/>
                <w:szCs w:val="18"/>
                <w:color w:val="auto"/>
              </w:rPr>
              <w:t>Mr. Smit</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437%</w:t>
            </w:r>
          </w:p>
        </w:tc>
        <w:tc>
          <w:tcPr>
            <w:tcW w:w="17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97"/>
        </w:trPr>
        <w:tc>
          <w:tcPr>
            <w:tcW w:w="4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Cohen</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457%</w:t>
            </w:r>
          </w:p>
        </w:tc>
        <w:tc>
          <w:tcPr>
            <w:tcW w:w="17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101%</w:t>
            </w:r>
          </w:p>
        </w:tc>
      </w:tr>
    </w:tbl>
    <w:p>
      <w:pPr>
        <w:spacing w:after="0" w:line="84" w:lineRule="exact"/>
        <w:rPr>
          <w:sz w:val="20"/>
          <w:szCs w:val="20"/>
          <w:color w:val="auto"/>
        </w:rPr>
      </w:pPr>
    </w:p>
    <w:p>
      <w:pPr>
        <w:ind w:left="800" w:right="100" w:hanging="454"/>
        <w:spacing w:after="0" w:line="23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RSUs and stock options each represented approximately 50% of the total value of equity awards granted to Messrs. Roberts and Burke under our annual award program, while the mix varied among the other NEOs in 2013.</w:t>
      </w:r>
    </w:p>
    <w:p>
      <w:pPr>
        <w:spacing w:after="0" w:line="73" w:lineRule="exact"/>
        <w:rPr>
          <w:rFonts w:ascii="Arial" w:cs="Arial" w:eastAsia="Arial" w:hAnsi="Arial"/>
          <w:sz w:val="18"/>
          <w:szCs w:val="18"/>
          <w:color w:val="auto"/>
        </w:rPr>
      </w:pPr>
    </w:p>
    <w:p>
      <w:pPr>
        <w:ind w:left="800" w:right="140" w:hanging="454"/>
        <w:spacing w:after="0" w:line="236"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under RSUs granted in March 2013 as part of our annual award program generally vest in their first scheduled year of vesting if performance goals have been achieved with respect to any prior year; any shares that did not vest in the first scheduled year of vesting because of the failure to achieve applicable performance goals are carried over to the next year’s scheduled vesting date (if any such date remains under the grant) for potential vesting at that time. If applicable performance goals are not achieved by the final potential vesting date, any unvested shares are forfeited.</w:t>
      </w:r>
    </w:p>
    <w:p>
      <w:pPr>
        <w:spacing w:after="0" w:line="76" w:lineRule="exact"/>
        <w:rPr>
          <w:rFonts w:ascii="Arial" w:cs="Arial" w:eastAsia="Arial" w:hAnsi="Arial"/>
          <w:sz w:val="18"/>
          <w:szCs w:val="18"/>
          <w:color w:val="auto"/>
        </w:rPr>
      </w:pPr>
    </w:p>
    <w:p>
      <w:pPr>
        <w:ind w:left="800" w:right="20" w:hanging="454"/>
        <w:spacing w:after="0" w:line="273" w:lineRule="auto"/>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RSUs granted in March 2013 as part of our annual award program, the Compensation Committee established the performance goal as consolidated operating cash flow being at least 101% of the prior year’s consolidated operating cash flow (in which event the NEOs would receive 100% of the service vested portion of the award). The Compensation Committee’s use of performance goals in granting RSUs reflects its intention that the RSUs meet the requirements for tax deductibility under Section 162(m) of the Internal Revenue Code. Neither our Board nor the Compensation Committee has the discretion to vest these RSUs absent attainment of the applicable goal.</w:t>
      </w:r>
    </w:p>
    <w:p>
      <w:pPr>
        <w:spacing w:after="0" w:line="28"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Deferred Compensation. </w:t>
      </w:r>
      <w:r>
        <w:rPr>
          <w:rFonts w:ascii="Arial" w:cs="Arial" w:eastAsia="Arial" w:hAnsi="Arial"/>
          <w:sz w:val="18"/>
          <w:szCs w:val="18"/>
          <w:color w:val="auto"/>
        </w:rPr>
        <w:t>The deferred compensation plan available to our NEOs allows certain employees, including all employees with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of at least $250,000, to defer the receipt of cash compensation (</w:t>
      </w:r>
      <w:r>
        <w:rPr>
          <w:rFonts w:ascii="Arial" w:cs="Arial" w:eastAsia="Arial" w:hAnsi="Arial"/>
          <w:sz w:val="18"/>
          <w:szCs w:val="18"/>
          <w:i w:val="1"/>
          <w:iCs w:val="1"/>
          <w:color w:val="auto"/>
        </w:rPr>
        <w:t>i.e.</w:t>
      </w:r>
      <w:r>
        <w:rPr>
          <w:rFonts w:ascii="Arial" w:cs="Arial" w:eastAsia="Arial" w:hAnsi="Arial"/>
          <w:sz w:val="18"/>
          <w:szCs w:val="18"/>
          <w:color w:val="auto"/>
        </w:rPr>
        <w:t>, base salary and annual bonus). In addition, our NEOs have specified amounts credited to their deferred compensation plan account, in each case, as described below under “Agreements with Our Named Executive Officers.” The deferred compensation plan is not tax qualified and is unfunded; account balances are unsecured and at-risk and may be forfeited in the event of a company bankruptcy. As of January 1, 2014, the interest crediting rate on deferred compensation account contributions was reduced to 9% from 12%, although it will remain at 12% for (i) compensation that was originally earned before 2014 (including any subsequent redeferrals) and Company deferred compensation contributions made pursuant to employment agreements entered into before 2014, (ii) amounts pursuant to “diversification elections” made in 2013 under our restricted stock plan and (iii) certain future contributions depending generally on whether a participant’s account balance at a certain points during the five-year period ending December 31, 2013 was higher than the participant’s balance at specified future times. Our deferred compensation plan is described in more detail below under “Nonqualified Deferred Compensation in and as of 2013 Fiscal Year-End.”</w:t>
      </w:r>
    </w:p>
    <w:p>
      <w:pPr>
        <w:spacing w:after="0" w:line="8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Compensation Committee reviewed the deferred compensation plan balances of our NEOs and other key senior executives in 2012 and 2013 and annually reviews the embedded and projected costs of this plan.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Special Performance-Related Awards. </w:t>
      </w:r>
      <w:r>
        <w:rPr>
          <w:rFonts w:ascii="Arial" w:cs="Arial" w:eastAsia="Arial" w:hAnsi="Arial"/>
          <w:sz w:val="18"/>
          <w:szCs w:val="18"/>
          <w:color w:val="auto"/>
        </w:rPr>
        <w:t>From time to time, the Compensation Committee may grant cash bonuses or equity awards or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contributions to an NEO’s deferred compensation plan on account of extraordinary performance, unanticipated additional responsibilities (such as those that occurred in connection with the NBCUniversal transaction), an employment agreement renewal or extension or other circumstances. The Compensation Committee grants these additional awards not only as a reward for extraordinary past performance, but also to motivate our executives to continue operating at such high levels of performance.</w:t>
      </w:r>
    </w:p>
    <w:p>
      <w:pPr>
        <w:spacing w:after="0" w:line="7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connection with entering into a new employment agreement in August 2013, Mr. Burke received additional compensation as a result of his outstanding work in integrating NBCUniversal and its businesses into Comcast and making extraordinary progress in improving NBCUniversal’s businesses and results since 2011. Under his new employment agreement, which is described below under “Agreements with Our Named Executive Officers,” Mr. Burke’s employment was secured through August 31, 2018. Additionally, Mr. Burke was granted a performance-related bonus in the amount of $5 million, payable in the form of a $2.5 million credit to his account under our deferred compensation plan and an RSU grant having a value of $2.5 million that will vest 13 months following the date of grant, subject to continued employment and satisfaction of a performance condition that our consolidated operating cash flow for the twelve-month period ending June 30, 2014 equals at least 101% of the consolidated operating cash flow for the twelve-month period ended June 30,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We have a stock ownership policy for members of our senior management, including our NEOs, which is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our website,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xml:space="preserve"> Under these guidelines, Mr. Roberts is expected to own our stock in an amount equal to at least ten times his annual base salary, and the other NEOs are expected to own our stock in an amount equal to at least three times their annual base salaries. This policy is designed to increase the NEOs’ ownership stake in our company and align their interests with the interests of our shareholders. “Ownership” for purposes of this policy is defined to include stock owned directly or indirectly by the NEO and shares credited to the NEO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the shares owned under our 401(k) plan, deferred vested shares under our restricted stock plan and the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2013. If a member of our senior management is not in compliance, he or she is prohibited from selling our stock (unless a hardship exemption is granted).</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 xml:space="preserve">Policies Regarding Trading Activities, Hedging and Pledging. </w:t>
      </w:r>
      <w:r>
        <w:rPr>
          <w:rFonts w:ascii="Arial" w:cs="Arial" w:eastAsia="Arial" w:hAnsi="Arial"/>
          <w:sz w:val="16"/>
          <w:szCs w:val="16"/>
          <w:color w:val="auto"/>
        </w:rPr>
        <w:t>Our trading policy prohibits our executive officers and directors from buying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 Automatic Payments in Connection with a Change in Control. </w:t>
      </w:r>
      <w:r>
        <w:rPr>
          <w:rFonts w:ascii="Arial" w:cs="Arial" w:eastAsia="Arial" w:hAnsi="Arial"/>
          <w:sz w:val="18"/>
          <w:szCs w:val="18"/>
          <w:color w:val="auto"/>
        </w:rPr>
        <w:t>We generally do not have any benefits, such as accelerated vesting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RSUs or provide other benefits in connection with a particular change in control transaction.</w:t>
      </w:r>
    </w:p>
    <w:p>
      <w:pPr>
        <w:spacing w:after="0" w:line="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5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 xml:space="preserve">Payments in Connection with a Termination of Employment. </w:t>
      </w:r>
      <w:r>
        <w:rPr>
          <w:rFonts w:ascii="Arial" w:cs="Arial" w:eastAsia="Arial" w:hAnsi="Arial"/>
          <w:sz w:val="16"/>
          <w:szCs w:val="16"/>
          <w:color w:val="auto"/>
        </w:rPr>
        <w:t>Payments to our NEOs upon a termination of employment are described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“Potential Payments upon Termination or Change in Control” Table on page 68.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Award Timing. </w:t>
      </w:r>
      <w:r>
        <w:rPr>
          <w:rFonts w:ascii="Arial" w:cs="Arial" w:eastAsia="Arial" w:hAnsi="Arial"/>
          <w:sz w:val="18"/>
          <w:szCs w:val="18"/>
          <w:color w:val="auto"/>
        </w:rPr>
        <w:t>As has been the practice in the past, our annual equity incentive awards are granted each year on the second bi-weekly pay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These annual awards are approved by the Compensation Committee at a meeting on or prior to the grant date. Our off-cycle awards (for new hires, mid-year promotions, etc.) are granted in accordance with pre-established grant date schedules.</w:t>
      </w:r>
    </w:p>
    <w:p>
      <w:pPr>
        <w:spacing w:after="0" w:line="4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Recoupment Policy. </w:t>
      </w:r>
      <w:r>
        <w:rPr>
          <w:rFonts w:ascii="Arial" w:cs="Arial" w:eastAsia="Arial" w:hAnsi="Arial"/>
          <w:sz w:val="18"/>
          <w:szCs w:val="18"/>
          <w:color w:val="auto"/>
        </w:rPr>
        <w:t>We have an incentive compensation recoupment policy providing that, if it is determined by our Board that gross negligence,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adoption of rules regarding recoupment policies arising under the Dodd-Frank Act.</w:t>
      </w:r>
    </w:p>
    <w:p>
      <w:pPr>
        <w:spacing w:after="0" w:line="5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i w:val="1"/>
          <w:iCs w:val="1"/>
          <w:color w:val="auto"/>
        </w:rPr>
        <w:t xml:space="preserve">Tax and Accounting Considerations. </w:t>
      </w:r>
      <w:r>
        <w:rPr>
          <w:rFonts w:ascii="Arial" w:cs="Arial" w:eastAsia="Arial" w:hAnsi="Arial"/>
          <w:sz w:val="18"/>
          <w:szCs w:val="18"/>
          <w:color w:val="auto"/>
        </w:rPr>
        <w:t>The Compensation Committee periodically reviews our compensation practices with respect to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deductibility of compensation paid under Section 162(m) of the Internal Revenue Code. When the Compensation Committee determines it to be appropriate, it designs compensation to provide for tax deductibility, taking into account the terms of our employment agreements and related contractual commitments and any other factors it determines to be relevant. For example, one of the reasons we generally include a performance condition in RSU awards to our NEOs is to obtain a tax deduction for their compensatory value. In the exercise of its business judgment, the Compensation Committee has awarded, and may in the future award, compensation that is not tax deductible if it determines that such award is consistent with its philosophy and is in our and our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shareholders’ best interests. Our employment agreements with our NEOs seek to ensure that any compensation that could be characterized as nonqualified deferred compensation complies with Section 409A of the Internal Revenue Code.</w:t>
      </w:r>
    </w:p>
    <w:p>
      <w:pPr>
        <w:spacing w:after="0" w:line="7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Compensation Committee also considers the accounting treatment of the various forms and components of compensation in determining types and levels of compensation for our NEOs.</w:t>
      </w:r>
    </w:p>
    <w:p>
      <w:pPr>
        <w:spacing w:after="0" w:line="54"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b w:val="1"/>
          <w:bCs w:val="1"/>
          <w:i w:val="1"/>
          <w:iCs w:val="1"/>
          <w:color w:val="auto"/>
        </w:rPr>
        <w:t xml:space="preserve">Other Considerations. </w:t>
      </w:r>
      <w:r>
        <w:rPr>
          <w:rFonts w:ascii="Arial" w:cs="Arial" w:eastAsia="Arial" w:hAnsi="Arial"/>
          <w:sz w:val="18"/>
          <w:szCs w:val="18"/>
          <w:color w:val="auto"/>
        </w:rPr>
        <w:t>The Compensation Committee is aware that Mr. Brian L. Roberts is a son of our founder and director, Mr. Ralph J.</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9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Dr. Judith Rodin (Chair)</w:t>
      </w:r>
    </w:p>
    <w:p>
      <w:pPr>
        <w:jc w:val="center"/>
        <w:ind w:right="-19"/>
        <w:spacing w:after="0" w:line="234" w:lineRule="auto"/>
        <w:rPr>
          <w:sz w:val="20"/>
          <w:szCs w:val="20"/>
          <w:color w:val="auto"/>
        </w:rPr>
      </w:pPr>
      <w:r>
        <w:rPr>
          <w:rFonts w:ascii="Arial" w:cs="Arial" w:eastAsia="Arial" w:hAnsi="Arial"/>
          <w:sz w:val="18"/>
          <w:szCs w:val="18"/>
          <w:color w:val="auto"/>
        </w:rPr>
        <w:t>Edward D. Breen (member since February 13, 2014)</w:t>
      </w:r>
    </w:p>
    <w:p>
      <w:pPr>
        <w:jc w:val="center"/>
        <w:ind w:right="-19"/>
        <w:spacing w:after="0" w:line="235" w:lineRule="auto"/>
        <w:rPr>
          <w:sz w:val="20"/>
          <w:szCs w:val="20"/>
          <w:color w:val="auto"/>
        </w:rPr>
      </w:pPr>
      <w:r>
        <w:rPr>
          <w:rFonts w:ascii="Arial" w:cs="Arial" w:eastAsia="Arial" w:hAnsi="Arial"/>
          <w:sz w:val="18"/>
          <w:szCs w:val="18"/>
          <w:color w:val="auto"/>
        </w:rPr>
        <w:t>Joseph J. Collins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Gerald L. Hassell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No member of the Compensation Committee is, or ever has been, an employee or an officer of our company. None of our executive officers has served during 2013 as a director or a member of the compensation committee of another company, one of whose executive officers serves as a member of our Board or Compensation Committee.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2013</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sets forth specified information regarding the compensation for 2013, 2012 and 2011 of our Chairman of the Board, President and Chief Executive Officer (Mr. Brian L. Roberts), our Vice Chairman and Chief Financial Officer (Mr. Michael J. Angelakis) and our next three most highly compensated executive officers (Messrs. Stephen B. Burke, Neil Smit and David L. Cohen). We refer to these individuals as our named executive officers or NEOs.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Change in</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Pension Value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ind w:right="94"/>
              <w:spacing w:after="0" w:line="13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7"/>
              </w:rPr>
              <w:t>Incentive Plan</w:t>
            </w:r>
          </w:p>
        </w:tc>
        <w:tc>
          <w:tcPr>
            <w:tcW w:w="1020" w:type="dxa"/>
            <w:vAlign w:val="bottom"/>
            <w:gridSpan w:val="2"/>
          </w:tcPr>
          <w:p>
            <w:pPr>
              <w:jc w:val="center"/>
              <w:ind w:right="4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14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4"/>
              </w:rPr>
              <w:t>All Other</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6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40" w:type="dxa"/>
            <w:vAlign w:val="bottom"/>
          </w:tcPr>
          <w:p>
            <w:pPr>
              <w:spacing w:after="0"/>
              <w:rPr>
                <w:sz w:val="15"/>
                <w:szCs w:val="15"/>
                <w:color w:val="auto"/>
              </w:rPr>
            </w:pPr>
          </w:p>
        </w:tc>
        <w:tc>
          <w:tcPr>
            <w:tcW w:w="84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(3)</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(4)</w:t>
            </w:r>
          </w:p>
        </w:tc>
        <w:tc>
          <w:tcPr>
            <w:tcW w:w="10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(5)</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(6)</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40"/>
              <w:spacing w:after="0" w:line="141" w:lineRule="exact"/>
              <w:rPr>
                <w:sz w:val="20"/>
                <w:szCs w:val="20"/>
                <w:color w:val="auto"/>
              </w:rPr>
            </w:pPr>
            <w:r>
              <w:rPr>
                <w:rFonts w:ascii="Arial" w:cs="Arial" w:eastAsia="Arial" w:hAnsi="Arial"/>
                <w:sz w:val="14"/>
                <w:szCs w:val="14"/>
                <w:color w:val="auto"/>
                <w:w w:val="89"/>
              </w:rPr>
              <w:t>2013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$2,800,761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$5,257,200</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$5,332,800</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$9,242,511</w:t>
            </w:r>
          </w:p>
        </w:tc>
        <w:tc>
          <w:tcPr>
            <w:tcW w:w="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73"/>
              <w:spacing w:after="0" w:line="141" w:lineRule="exact"/>
              <w:rPr>
                <w:sz w:val="20"/>
                <w:szCs w:val="20"/>
                <w:color w:val="auto"/>
              </w:rPr>
            </w:pPr>
            <w:r>
              <w:rPr>
                <w:rFonts w:ascii="Arial" w:cs="Arial" w:eastAsia="Arial" w:hAnsi="Arial"/>
                <w:sz w:val="14"/>
                <w:szCs w:val="14"/>
                <w:color w:val="auto"/>
              </w:rPr>
              <w:t>$5,058,930</w:t>
            </w:r>
          </w:p>
        </w:tc>
        <w:tc>
          <w:tcPr>
            <w:tcW w:w="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$3,675,052</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2"/>
              </w:rPr>
              <w:t>$ 31,367,254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w:t>
            </w: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2,800,761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4,753,080</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4,833,900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9,032,455</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4,036,635</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3,667,183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29,124,014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Board, President and</w:t>
            </w: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2,800,761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5,737,095</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5,847,830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5,461,484</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3,689,731</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3,397,176</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26,934,077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Michael J. Angelakis</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1,716,582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4,494,930</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3,819,200</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5,664,721</w:t>
            </w:r>
          </w:p>
        </w:tc>
        <w:tc>
          <w:tcPr>
            <w:tcW w:w="60" w:type="dxa"/>
            <w:vAlign w:val="bottom"/>
          </w:tcPr>
          <w:p>
            <w:pPr>
              <w:spacing w:after="0"/>
              <w:rPr>
                <w:sz w:val="24"/>
                <w:szCs w:val="24"/>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1,623,149</w:t>
            </w:r>
          </w:p>
        </w:tc>
        <w:tc>
          <w:tcPr>
            <w:tcW w:w="6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1,857,791</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19,176,373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Chairman and</w:t>
            </w: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1,682,448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2,125,000</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4,459,862</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3,808,080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5,425,894</w:t>
            </w:r>
          </w:p>
        </w:tc>
        <w:tc>
          <w:tcPr>
            <w:tcW w:w="60" w:type="dxa"/>
            <w:vAlign w:val="bottom"/>
          </w:tcPr>
          <w:p>
            <w:pPr>
              <w:spacing w:after="0"/>
              <w:rPr>
                <w:sz w:val="12"/>
                <w:szCs w:val="12"/>
                <w:color w:val="auto"/>
              </w:rPr>
            </w:pP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1,853,283</w:t>
            </w:r>
          </w:p>
        </w:tc>
        <w:tc>
          <w:tcPr>
            <w:tcW w:w="6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3,882,859</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23,237,426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w:t>
            </w: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2011</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1,682,448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2,125,000</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3,312,744</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3,561,670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5,047,344</w:t>
            </w:r>
          </w:p>
        </w:tc>
        <w:tc>
          <w:tcPr>
            <w:tcW w:w="60" w:type="dxa"/>
            <w:vAlign w:val="bottom"/>
          </w:tcPr>
          <w:p>
            <w:pPr>
              <w:spacing w:after="0"/>
              <w:rPr>
                <w:sz w:val="12"/>
                <w:szCs w:val="12"/>
                <w:color w:val="auto"/>
              </w:rPr>
            </w:pP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2,274,653</w:t>
            </w:r>
          </w:p>
        </w:tc>
        <w:tc>
          <w:tcPr>
            <w:tcW w:w="6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3,903,701</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21,907,560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2013</w:t>
            </w:r>
          </w:p>
        </w:tc>
        <w:tc>
          <w:tcPr>
            <w:tcW w:w="7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2,381,285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6,800,147</w:t>
            </w: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4,708,000</w:t>
            </w: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7,858,241</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8" w:lineRule="exact"/>
              <w:rPr>
                <w:sz w:val="20"/>
                <w:szCs w:val="20"/>
                <w:color w:val="auto"/>
              </w:rPr>
            </w:pPr>
            <w:r>
              <w:rPr>
                <w:rFonts w:ascii="Arial" w:cs="Arial" w:eastAsia="Arial" w:hAnsi="Arial"/>
                <w:sz w:val="14"/>
                <w:szCs w:val="14"/>
                <w:color w:val="auto"/>
              </w:rPr>
              <w:t>4,147,711</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5,216,244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31,111,628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EVP of Comcast and</w:t>
            </w: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2,243,264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4,298,256</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4,708,440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7,234,526</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5,269,477</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2,583,511</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26,337,474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2,243,264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4,378,968</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4,711,720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6,729,792</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3,081,674</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2,509,419</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23,654,837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NBCUniversal</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Neil Smit</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2013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1,530,433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3,702,265</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2,992,000</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5,050,428</w:t>
            </w:r>
          </w:p>
        </w:tc>
        <w:tc>
          <w:tcPr>
            <w:tcW w:w="60" w:type="dxa"/>
            <w:vAlign w:val="bottom"/>
          </w:tcPr>
          <w:p>
            <w:pPr>
              <w:spacing w:after="0"/>
              <w:rPr>
                <w:sz w:val="24"/>
                <w:szCs w:val="24"/>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2,433,390</w:t>
            </w:r>
          </w:p>
        </w:tc>
        <w:tc>
          <w:tcPr>
            <w:tcW w:w="6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1,695,488</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17,404,004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EVP of Comcast and</w:t>
            </w: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4,627,957</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3,003,660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4,837,500</w:t>
            </w:r>
          </w:p>
        </w:tc>
        <w:tc>
          <w:tcPr>
            <w:tcW w:w="60" w:type="dxa"/>
            <w:vAlign w:val="bottom"/>
          </w:tcPr>
          <w:p>
            <w:pPr>
              <w:spacing w:after="0"/>
              <w:rPr>
                <w:sz w:val="12"/>
                <w:szCs w:val="12"/>
                <w:color w:val="auto"/>
              </w:rPr>
            </w:pP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1,688,285</w:t>
            </w:r>
          </w:p>
        </w:tc>
        <w:tc>
          <w:tcPr>
            <w:tcW w:w="6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1,606,815</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18,264,217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and CEO of</w:t>
            </w:r>
          </w:p>
        </w:tc>
        <w:tc>
          <w:tcPr>
            <w:tcW w:w="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2011</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7,612,833</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3,004,070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2"/>
                <w:szCs w:val="12"/>
                <w:color w:val="auto"/>
              </w:rPr>
            </w:pPr>
          </w:p>
        </w:tc>
        <w:tc>
          <w:tcPr>
            <w:tcW w:w="9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870,696</w:t>
            </w:r>
          </w:p>
        </w:tc>
        <w:tc>
          <w:tcPr>
            <w:tcW w:w="6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1,515,761</w:t>
            </w: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18,503,360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 Cable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gridSpan w:val="2"/>
          </w:tcPr>
          <w:p>
            <w:pPr>
              <w:ind w:left="200"/>
              <w:spacing w:after="0"/>
              <w:rPr>
                <w:sz w:val="20"/>
                <w:szCs w:val="20"/>
                <w:color w:val="auto"/>
              </w:rPr>
            </w:pPr>
            <w:r>
              <w:rPr>
                <w:rFonts w:ascii="Arial" w:cs="Arial" w:eastAsia="Arial" w:hAnsi="Arial"/>
                <w:sz w:val="14"/>
                <w:szCs w:val="14"/>
                <w:color w:val="auto"/>
              </w:rPr>
              <w:t>Communications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2013</w:t>
            </w:r>
          </w:p>
        </w:tc>
        <w:tc>
          <w:tcPr>
            <w:tcW w:w="7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1,365,140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3,481,575</w:t>
            </w:r>
          </w:p>
        </w:tc>
        <w:tc>
          <w:tcPr>
            <w:tcW w:w="9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2,763,200</w:t>
            </w: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3,003,308</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8" w:lineRule="exact"/>
              <w:rPr>
                <w:sz w:val="20"/>
                <w:szCs w:val="20"/>
                <w:color w:val="auto"/>
              </w:rPr>
            </w:pPr>
            <w:r>
              <w:rPr>
                <w:rFonts w:ascii="Arial" w:cs="Arial" w:eastAsia="Arial" w:hAnsi="Arial"/>
                <w:sz w:val="14"/>
                <w:szCs w:val="14"/>
                <w:color w:val="auto"/>
              </w:rPr>
              <w:t>2,079,985</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1,264,243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13,957,451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1,337,994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4,436,439</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2,767,500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2,876,687</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1,754,708</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1,200,243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15,873,571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1,337,994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1,500,000</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4,503,661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2,767,090</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2,675,988</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1,108,862</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1,197,269</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15,090,864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Compensation Committee did not increase Mr. Roberts’ base salary in 2013, resulting in a five-year freeze in his base salary.</w:t>
      </w:r>
    </w:p>
    <w:p>
      <w:pPr>
        <w:spacing w:after="0" w:line="63" w:lineRule="exact"/>
        <w:rPr>
          <w:rFonts w:ascii="Arial" w:cs="Arial" w:eastAsia="Arial" w:hAnsi="Arial"/>
          <w:sz w:val="18"/>
          <w:szCs w:val="18"/>
          <w:color w:val="auto"/>
        </w:rPr>
      </w:pPr>
    </w:p>
    <w:p>
      <w:pPr>
        <w:ind w:left="340" w:right="60" w:hanging="332"/>
        <w:spacing w:after="0" w:line="235"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in this column for 2013 represent the aggregate grant date fair value of performance-based RSUs granted to each of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 on Form 10-K for the year ended December 31, 2013. The amounts were determined by multiplying the Class A common stock closing price on the date of grant by the number of shares subject to the grant and, as the RSUs are subject to performance conditions as defined in the Glossary to FASB ASC Topic 718, in accordance with the SEC’s rules relating to executive compensation disclosure, taking into account the probable outcome of the RSUs’ performance conditions as of the date of grant and excluding the effect of estimated forfeitures. The amounts were also discounted for the lack of dividends during the vesting period. See the “Grants in 2013 of Plan-Based Awards” table on page 58 for information, including grant date, on RSUs granted in 2013.</w:t>
      </w:r>
    </w:p>
    <w:p>
      <w:pPr>
        <w:spacing w:after="0" w:line="53" w:lineRule="exact"/>
        <w:rPr>
          <w:rFonts w:ascii="Arial" w:cs="Arial" w:eastAsia="Arial" w:hAnsi="Arial"/>
          <w:sz w:val="18"/>
          <w:szCs w:val="18"/>
          <w:color w:val="auto"/>
        </w:rPr>
      </w:pPr>
    </w:p>
    <w:p>
      <w:pPr>
        <w:ind w:left="340" w:right="100" w:hanging="332"/>
        <w:spacing w:after="0" w:line="275"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stock options granted to each of the NEOs in the respective year, in accordance with FASB ASC Topic 718. Under the SEC’s rules relating to executive compensation disclosure,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80"/>
        <w:spacing w:after="0" w:line="237" w:lineRule="auto"/>
        <w:rPr>
          <w:sz w:val="20"/>
          <w:szCs w:val="20"/>
          <w:color w:val="auto"/>
        </w:rPr>
      </w:pPr>
      <w:r>
        <w:rPr>
          <w:rFonts w:ascii="Arial" w:cs="Arial" w:eastAsia="Arial" w:hAnsi="Arial"/>
          <w:sz w:val="18"/>
          <w:szCs w:val="18"/>
          <w:color w:val="auto"/>
        </w:rPr>
        <w:t>2013: an expected volatility of approximately 25%, an expected term to exercise of seven years, an interest rate of approximately 1.3% and a dividend yield of approximately 1.9%. For information on the valuation assumptions with respect to grants made before 2013, refer to the “Share-Based Compensation” footnote to the financial statements in our Annual Report on Form 10-K for the respective year-end. See the “Grants in 2013 of Plan-Based Awards” table on page 58 for information, including grant date, on options granted in 2013.</w:t>
      </w:r>
    </w:p>
    <w:p>
      <w:pPr>
        <w:spacing w:after="0" w:line="47" w:lineRule="exact"/>
        <w:rPr>
          <w:sz w:val="20"/>
          <w:szCs w:val="20"/>
          <w:color w:val="auto"/>
        </w:rPr>
      </w:pPr>
    </w:p>
    <w:p>
      <w:pPr>
        <w:ind w:left="340" w:right="80" w:hanging="332"/>
        <w:spacing w:after="0" w:line="23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NEOs under our 2006 Cash Bonus Plan. The grant of these bonuses also is disclosed under the “Grants in 2013 of Plan-Based Awards” table on page 58. See “Compensation Discussion and Analysis — Compensation Decisions for 2013 — Annual Cash Bonus” above for more information on the achievement of specified metrics in 2013.</w:t>
      </w:r>
    </w:p>
    <w:p>
      <w:pPr>
        <w:spacing w:after="0" w:line="46" w:lineRule="exact"/>
        <w:rPr>
          <w:rFonts w:ascii="Arial" w:cs="Arial" w:eastAsia="Arial" w:hAnsi="Arial"/>
          <w:sz w:val="18"/>
          <w:szCs w:val="18"/>
          <w:color w:val="auto"/>
        </w:rPr>
      </w:pPr>
    </w:p>
    <w:p>
      <w:pPr>
        <w:ind w:left="340" w:right="40" w:hanging="332"/>
        <w:spacing w:after="0" w:line="23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 this column represent the dollar value of interest earned on compensation deferred under our deferred compensation plans in excess of 120% of the long-term applicable federal rate (the interest crediting rate on deferred compensation for 2013 was 12%).</w:t>
      </w:r>
    </w:p>
    <w:p>
      <w:pPr>
        <w:spacing w:after="0" w:line="46" w:lineRule="exact"/>
        <w:rPr>
          <w:rFonts w:ascii="Arial" w:cs="Arial" w:eastAsia="Arial" w:hAnsi="Arial"/>
          <w:sz w:val="18"/>
          <w:szCs w:val="18"/>
          <w:color w:val="auto"/>
        </w:rPr>
      </w:pPr>
    </w:p>
    <w:p>
      <w:pPr>
        <w:jc w:val="both"/>
        <w:ind w:left="340" w:right="40" w:hanging="332"/>
        <w:spacing w:after="0" w:line="26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in this column for 2013 include: (a) Company contributions to our retirement-investment plan accounts in the amount of $10,000 for each NEO, other than Mr. Smit, whose Company contribution was $4,591; (b) Company contributions to our deferred compensation plans (Mr. Roberts, $3,472,875; Mr. Angelakis, $1,653,700; Mr. Burke, $4,815,250; Mr. Smit, $1,653,750; and Mr. Cohen, $1,102,500); and</w:t>
      </w:r>
    </w:p>
    <w:p>
      <w:pPr>
        <w:ind w:left="340" w:right="80"/>
        <w:spacing w:after="0" w:line="237" w:lineRule="auto"/>
        <w:rPr>
          <w:rFonts w:ascii="Arial" w:cs="Arial" w:eastAsia="Arial" w:hAnsi="Arial"/>
          <w:sz w:val="16"/>
          <w:szCs w:val="16"/>
          <w:color w:val="auto"/>
        </w:rPr>
      </w:pPr>
      <w:r>
        <w:rPr>
          <w:rFonts w:ascii="Arial" w:cs="Arial" w:eastAsia="Arial" w:hAnsi="Arial"/>
          <w:sz w:val="18"/>
          <w:szCs w:val="18"/>
          <w:color w:val="auto"/>
        </w:rPr>
        <w:t>(c) amounts on account of personal use of Company-provided aircraft (Mr. Roberts, $192,177; Mr. Angelakis, $194,091; Mr. Burke, $390,994; Mr. Smit, $37,147; and Mr. Cohen, $151,743). For security reasons, Company practices and policy strongly encourage, and in some cases may require, Messrs. Roberts and Burke to use Company-provided aircraft for business and personal travel, although the NEOs are required to pay us for personal use of Company-provided aircraft in amounts determined by Company policy.</w:t>
      </w:r>
    </w:p>
    <w:p>
      <w:pPr>
        <w:spacing w:after="0" w:line="33" w:lineRule="exact"/>
        <w:rPr>
          <w:sz w:val="20"/>
          <w:szCs w:val="20"/>
          <w:color w:val="auto"/>
        </w:rPr>
      </w:pPr>
    </w:p>
    <w:p>
      <w:pPr>
        <w:ind w:left="360" w:right="120"/>
        <w:spacing w:after="0" w:line="236" w:lineRule="auto"/>
        <w:rPr>
          <w:sz w:val="20"/>
          <w:szCs w:val="20"/>
          <w:color w:val="auto"/>
        </w:rPr>
      </w:pPr>
      <w:r>
        <w:rPr>
          <w:rFonts w:ascii="Arial" w:cs="Arial" w:eastAsia="Arial" w:hAnsi="Arial"/>
          <w:sz w:val="18"/>
          <w:szCs w:val="18"/>
          <w:color w:val="auto"/>
        </w:rPr>
        <w:t>The amounts reflected for each NEO on account of personal use of Company-provided aircraft indicate the extent to which the incremental cost of such use exceeds the amount paid to us by the NEO.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This methodology excludes fixed costs, as these costs do not change based on usage.</w:t>
      </w:r>
    </w:p>
    <w:p>
      <w:pPr>
        <w:spacing w:after="0" w:line="35" w:lineRule="exact"/>
        <w:rPr>
          <w:sz w:val="20"/>
          <w:szCs w:val="20"/>
          <w:color w:val="auto"/>
        </w:rPr>
      </w:pPr>
    </w:p>
    <w:p>
      <w:pPr>
        <w:ind w:left="360"/>
        <w:spacing w:after="0" w:line="239" w:lineRule="auto"/>
        <w:rPr>
          <w:sz w:val="20"/>
          <w:szCs w:val="20"/>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2013 OF PLAN-BASED AWARDS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table below provides information about equity and non-equity awards granted to our NEOs in 2013 as follows: (1) the grant date for equity awards; (2) the estimated future payouts under non-equity incentive plan awards (columns (a), (b) and (c)); (3) the estimated future payouts under equity incentive plan awards, which consist of performance-based RSUs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rPr>
              <w:t>Estimated Future Payouts Under</w:t>
            </w:r>
          </w:p>
        </w:tc>
        <w:tc>
          <w:tcPr>
            <w:tcW w:w="21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6"/>
              </w:rPr>
              <w:t>Estimated Future Payouts</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Awards:</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Exercise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218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160"/>
              <w:spacing w:after="0" w:line="124"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gridSpan w:val="2"/>
          </w:tcPr>
          <w:p>
            <w:pPr>
              <w:jc w:val="center"/>
              <w:ind w:right="180"/>
              <w:spacing w:after="0" w:line="124" w:lineRule="exact"/>
              <w:rPr>
                <w:sz w:val="20"/>
                <w:szCs w:val="20"/>
                <w:color w:val="auto"/>
              </w:rPr>
            </w:pPr>
            <w:r>
              <w:rPr>
                <w:rFonts w:ascii="Arial" w:cs="Arial" w:eastAsia="Arial" w:hAnsi="Arial"/>
                <w:sz w:val="14"/>
                <w:szCs w:val="14"/>
                <w:b w:val="1"/>
                <w:bCs w:val="1"/>
                <w:color w:val="auto"/>
                <w:w w:val="97"/>
              </w:rPr>
              <w:t>or Base</w:t>
            </w:r>
          </w:p>
        </w:tc>
        <w:tc>
          <w:tcPr>
            <w:tcW w:w="760" w:type="dxa"/>
            <w:vAlign w:val="bottom"/>
            <w:gridSpan w:val="2"/>
          </w:tcPr>
          <w:p>
            <w:pPr>
              <w:jc w:val="center"/>
              <w:ind w:right="80"/>
              <w:spacing w:after="0" w:line="124"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6"/>
              </w:rPr>
              <w:t>Non-Equity Incentive Plan</w:t>
            </w: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Under Equity Incentive Plan</w:t>
            </w:r>
          </w:p>
        </w:tc>
        <w:tc>
          <w:tcPr>
            <w:tcW w:w="1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Securities</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Price of</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(1)</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80"/>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(2)</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rPr>
              <w:t>Grant</w:t>
            </w: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4"/>
              </w:rPr>
              <w:t>Threshold</w:t>
            </w:r>
          </w:p>
        </w:tc>
        <w:tc>
          <w:tcPr>
            <w:tcW w:w="7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2"/>
                <w:szCs w:val="12"/>
                <w:color w:val="auto"/>
              </w:rPr>
            </w:pP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Threshold</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6"/>
                <w:szCs w:val="16"/>
                <w:b w:val="1"/>
                <w:bCs w:val="1"/>
                <w:color w:val="auto"/>
                <w:vertAlign w:val="superscript"/>
              </w:rPr>
              <w:t>(3)</w:t>
            </w:r>
          </w:p>
        </w:tc>
        <w:tc>
          <w:tcPr>
            <w:tcW w:w="7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Awards</w:t>
            </w:r>
          </w:p>
        </w:tc>
        <w:tc>
          <w:tcPr>
            <w:tcW w:w="760" w:type="dxa"/>
            <w:vAlign w:val="bottom"/>
            <w:gridSpan w:val="2"/>
          </w:tcPr>
          <w:p>
            <w:pPr>
              <w:jc w:val="center"/>
              <w:ind w:right="100"/>
              <w:spacing w:after="0" w:line="13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165"/>
        </w:trPr>
        <w:tc>
          <w:tcPr>
            <w:tcW w:w="2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Date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w:t>
            </w: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(f)</w:t>
            </w: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(h)</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w:t>
            </w:r>
          </w:p>
        </w:tc>
        <w:tc>
          <w:tcPr>
            <w:tcW w:w="0" w:type="dxa"/>
            <w:vAlign w:val="bottom"/>
          </w:tcPr>
          <w:p>
            <w:pPr>
              <w:spacing w:after="0"/>
              <w:rPr>
                <w:sz w:val="1"/>
                <w:szCs w:val="1"/>
                <w:color w:val="auto"/>
              </w:rPr>
            </w:pPr>
          </w:p>
        </w:tc>
      </w:tr>
      <w:tr>
        <w:trPr>
          <w:trHeight w:val="141"/>
        </w:trPr>
        <w:tc>
          <w:tcPr>
            <w:tcW w:w="29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Brian L. Roberts</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$1,344,365</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$8,402,283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2"/>
              </w:rPr>
              <w:t>$ 14,283,881</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3/22/2013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130,000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$5,257,200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3/22/2013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606,000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8" w:lineRule="exact"/>
              <w:rPr>
                <w:sz w:val="20"/>
                <w:szCs w:val="20"/>
                <w:color w:val="auto"/>
              </w:rPr>
            </w:pPr>
            <w:r>
              <w:rPr>
                <w:rFonts w:ascii="Arial" w:cs="Arial" w:eastAsia="Arial" w:hAnsi="Arial"/>
                <w:sz w:val="14"/>
                <w:szCs w:val="14"/>
                <w:color w:val="auto"/>
              </w:rPr>
              <w:t>Michael J. Angelakis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8" w:lineRule="exact"/>
              <w:rPr>
                <w:sz w:val="20"/>
                <w:szCs w:val="20"/>
                <w:color w:val="auto"/>
              </w:rPr>
            </w:pPr>
            <w:r>
              <w:rPr>
                <w:rFonts w:ascii="Arial" w:cs="Arial" w:eastAsia="Arial" w:hAnsi="Arial"/>
                <w:sz w:val="14"/>
                <w:szCs w:val="14"/>
                <w:color w:val="auto"/>
              </w:rPr>
              <w:t>823,959</w:t>
            </w: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5,149,746</w:t>
            </w:r>
          </w:p>
        </w:tc>
        <w:tc>
          <w:tcPr>
            <w:tcW w:w="8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8,754,568</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3/22/2013</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116,600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116,600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116,600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4,494,930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3/22/2013</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434,000</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3,819,200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B. Burke</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571,508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7,143,855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12,144,554</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114,300</w:t>
            </w: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114,300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114,300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4,349,115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3/22/2013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3/22/2013</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535,000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41.22</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4,708,000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2"/>
                <w:szCs w:val="12"/>
                <w:color w:val="auto"/>
              </w:rPr>
              <w:t>8/23/2013</w:t>
            </w:r>
            <w:r>
              <w:rPr>
                <w:rFonts w:ascii="Arial" w:cs="Arial" w:eastAsia="Arial" w:hAnsi="Arial"/>
                <w:sz w:val="19"/>
                <w:szCs w:val="19"/>
                <w:color w:val="auto"/>
                <w:vertAlign w:val="superscript"/>
              </w:rPr>
              <w:t>(5)</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59,723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59,723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59,723</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2,451,032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8" w:lineRule="exact"/>
              <w:rPr>
                <w:sz w:val="20"/>
                <w:szCs w:val="20"/>
                <w:color w:val="auto"/>
              </w:rPr>
            </w:pPr>
            <w:r>
              <w:rPr>
                <w:rFonts w:ascii="Arial" w:cs="Arial" w:eastAsia="Arial" w:hAnsi="Arial"/>
                <w:sz w:val="14"/>
                <w:szCs w:val="14"/>
                <w:color w:val="auto"/>
              </w:rPr>
              <w:t>Neil Smit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8" w:lineRule="exact"/>
              <w:rPr>
                <w:sz w:val="20"/>
                <w:szCs w:val="20"/>
                <w:color w:val="auto"/>
              </w:rPr>
            </w:pPr>
            <w:r>
              <w:rPr>
                <w:rFonts w:ascii="Arial" w:cs="Arial" w:eastAsia="Arial" w:hAnsi="Arial"/>
                <w:sz w:val="14"/>
                <w:szCs w:val="14"/>
                <w:color w:val="auto"/>
              </w:rPr>
              <w:t>367,304</w:t>
            </w: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4,591,299</w:t>
            </w:r>
          </w:p>
        </w:tc>
        <w:tc>
          <w:tcPr>
            <w:tcW w:w="8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7,805,208</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3/22/2013</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97,300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97,300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97,300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3,702,265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3/22/2013</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340,000</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2,992,000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L. Cohen</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436,845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2,730,280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4,641,476</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91,500</w:t>
            </w: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91,500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3,481,575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3/22/2013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3/22/2013</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2,763,200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32" w:lineRule="exact"/>
        <w:rPr>
          <w:sz w:val="20"/>
          <w:szCs w:val="20"/>
          <w:color w:val="auto"/>
        </w:rPr>
      </w:pPr>
    </w:p>
    <w:p>
      <w:pPr>
        <w:ind w:left="340" w:right="180" w:hanging="332"/>
        <w:spacing w:after="0" w:line="238"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2013 are included in the “Summary Compensation Table for 2013” on page 56 under the “Non-Equity Incentive Plan Compensation” column (see footnote (4) to the “Summary Compensation Table for 2013”).</w:t>
      </w:r>
    </w:p>
    <w:p>
      <w:pPr>
        <w:spacing w:after="0" w:line="59" w:lineRule="exact"/>
        <w:rPr>
          <w:rFonts w:ascii="Arial" w:cs="Arial" w:eastAsia="Arial" w:hAnsi="Arial"/>
          <w:sz w:val="18"/>
          <w:szCs w:val="18"/>
          <w:color w:val="auto"/>
        </w:rPr>
      </w:pPr>
    </w:p>
    <w:p>
      <w:pPr>
        <w:ind w:left="340" w:right="40" w:hanging="332"/>
        <w:spacing w:after="0" w:line="235"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performance-based RSUs granted under our 2002 Restricted Stock Plan. Subject to consolidated operating cash flow equaling or exceeding 101% of that in an applicable prior year period, as described above in “Compensation Discussion and Analysis — Compensation Decisions for 2013 — Equity-Based Incentive Compensation,” shares subject to these RSUs will vest as follows: (i) RSUs granted on March 22, 2013 to the NEOs other than Messrs. Roberts and Angelakis vest at the rate of 15% on the 13-month anniversary of the date of grant (April 22, 2014), 15% on each of the second, third and fourth anniversaries of the date of grant (March 22, 2015, 2016 and 2017) and 40% on the fifth anniversary of the date of grant (March 22, 2018); (ii) RSUs granted on March 22, 2013 to Mr. Angelakis vest approximately 33% on the 13-month anniversary of the date of grant (April 22, 2014), approximately 12% on each of the second, third and fourth anniversaries of the date of grant (March 22, 2015, 2016 and 2017) and approximately 32% on the fifth anniversary of the date of grant (March 22, 2018); (iii) RSUs granted to Mr. Roberts on March 22, 2013 vest 100% on the 13-month anniversary of the date of grant (April 22, 2014); and (iv) RSUs granted to Mr. Burke on August 23, 2013 vest 100% on the 13-month anniversary of the date of grant (September 23, 2014).</w:t>
      </w:r>
    </w:p>
    <w:p>
      <w:pPr>
        <w:spacing w:after="0" w:line="66" w:lineRule="exact"/>
        <w:rPr>
          <w:rFonts w:ascii="Arial" w:cs="Arial" w:eastAsia="Arial" w:hAnsi="Arial"/>
          <w:sz w:val="18"/>
          <w:szCs w:val="18"/>
          <w:color w:val="auto"/>
        </w:rPr>
      </w:pPr>
    </w:p>
    <w:p>
      <w:pPr>
        <w:jc w:val="both"/>
        <w:ind w:left="340" w:right="340" w:hanging="332"/>
        <w:spacing w:after="0" w:line="281"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amounts in this column represent shares of our Class A common stock underlying stock options granted under our 2003 Stock Option Plan. These options become exercisable as follows: 30% of the shares become exercisable on the second anniversary of the date of grant (March 22, 2015), 15% on each of the third, fourth and fifth anniversaries of the date of grant (March 22, 2016, 2017 and 2018),</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60"/>
        <w:spacing w:after="0" w:line="239" w:lineRule="auto"/>
        <w:rPr>
          <w:sz w:val="20"/>
          <w:szCs w:val="20"/>
          <w:color w:val="auto"/>
        </w:rPr>
      </w:pPr>
      <w:r>
        <w:rPr>
          <w:rFonts w:ascii="Arial" w:cs="Arial" w:eastAsia="Arial" w:hAnsi="Arial"/>
          <w:sz w:val="18"/>
          <w:szCs w:val="18"/>
          <w:color w:val="auto"/>
        </w:rPr>
        <w:t>5% on each of the sixth through ninth anniversaries of the date of grant (March 22, 2019, 2020, 2021 and 2022) and 5% on the nine-and-a-half-year anniversary of the date of grant (September 22, 2022).</w:t>
      </w:r>
    </w:p>
    <w:p>
      <w:pPr>
        <w:spacing w:after="0" w:line="60" w:lineRule="exact"/>
        <w:rPr>
          <w:sz w:val="20"/>
          <w:szCs w:val="20"/>
          <w:color w:val="auto"/>
        </w:rPr>
      </w:pPr>
    </w:p>
    <w:p>
      <w:pPr>
        <w:ind w:left="340" w:right="20" w:hanging="332"/>
        <w:spacing w:after="0" w:line="236"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NEOs. The grant date fair value of RSUs was determined as described in footnote (2) to the “Summary Compensation Table for 2013” beginning on page 56. Amounts with respect to stock options were calculated using the Black-Scholes option-pricing model, based upon the assumptions set forth in footnote (3) to the “Summary Compensation Table for 2013.”</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grant was approved on August 8, 2013.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provides information on the holdings of stock option and stock awards by our NEOs as of December 31, 2013. This table includes unexercised vested and unvested options to purchase shares of Class A common stock (see columns (a), (b), (c) and (d)), unvested RSUs with respect to shares of Class A common stock (see columns (e) and (f)) and unvested performance-based RSUs with respect to shares of Class A common stock, the vesting of which is subject to achieving specified increases in consolidated operating cash flow or free cash flow (see columns (g) and (h)). The vesting schedules for these grants are disclosed in the footnotes to this table. The market value of stock awards is based on the closing market price of a share of our Class A common stock as of December 31, 2013, or $51.965.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Securities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Shares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w:t>
            </w:r>
          </w:p>
        </w:tc>
        <w:tc>
          <w:tcPr>
            <w:tcW w:w="1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Units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Shares or</w:t>
            </w:r>
          </w:p>
        </w:tc>
        <w:tc>
          <w:tcPr>
            <w:tcW w:w="18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 of Stock</w:t>
            </w:r>
          </w:p>
        </w:tc>
        <w:tc>
          <w:tcPr>
            <w:tcW w:w="18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Shares, Units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64"/>
              <w:spacing w:after="0" w:line="139" w:lineRule="exact"/>
              <w:rPr>
                <w:sz w:val="20"/>
                <w:szCs w:val="20"/>
                <w:color w:val="auto"/>
              </w:rPr>
            </w:pPr>
            <w:r>
              <w:rPr>
                <w:rFonts w:ascii="Arial" w:cs="Arial" w:eastAsia="Arial" w:hAnsi="Arial"/>
                <w:sz w:val="14"/>
                <w:szCs w:val="14"/>
                <w:b w:val="1"/>
                <w:bCs w:val="1"/>
                <w:color w:val="auto"/>
                <w:w w:val="98"/>
              </w:rPr>
              <w:t>Options</w:t>
            </w:r>
          </w:p>
        </w:tc>
        <w:tc>
          <w:tcPr>
            <w:tcW w:w="180" w:type="dxa"/>
            <w:vAlign w:val="bottom"/>
          </w:tcPr>
          <w:p>
            <w:pPr>
              <w:spacing w:after="0"/>
              <w:rPr>
                <w:sz w:val="12"/>
                <w:szCs w:val="12"/>
                <w:color w:val="auto"/>
              </w:rPr>
            </w:pPr>
          </w:p>
        </w:tc>
        <w:tc>
          <w:tcPr>
            <w:tcW w:w="106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3"/>
              </w:rPr>
              <w:t>Exercise</w:t>
            </w:r>
          </w:p>
        </w:tc>
        <w:tc>
          <w:tcPr>
            <w:tcW w:w="9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Expiration</w:t>
            </w: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w:t>
            </w:r>
          </w:p>
        </w:tc>
        <w:tc>
          <w:tcPr>
            <w:tcW w:w="180" w:type="dxa"/>
            <w:vAlign w:val="bottom"/>
          </w:tcPr>
          <w:p>
            <w:pPr>
              <w:spacing w:after="0"/>
              <w:rPr>
                <w:sz w:val="12"/>
                <w:szCs w:val="12"/>
                <w:color w:val="auto"/>
              </w:rPr>
            </w:pPr>
          </w:p>
        </w:tc>
        <w:tc>
          <w:tcPr>
            <w:tcW w:w="13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Rights That Have</w:t>
            </w:r>
          </w:p>
        </w:tc>
        <w:tc>
          <w:tcPr>
            <w:tcW w:w="1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5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3"/>
                <w:szCs w:val="13"/>
                <w:color w:val="auto"/>
              </w:rPr>
            </w:pPr>
          </w:p>
        </w:tc>
        <w:tc>
          <w:tcPr>
            <w:tcW w:w="800" w:type="dxa"/>
            <w:vAlign w:val="bottom"/>
            <w:gridSpan w:val="4"/>
          </w:tcPr>
          <w:p>
            <w:pPr>
              <w:jc w:val="center"/>
              <w:spacing w:after="0" w:line="159" w:lineRule="exact"/>
              <w:rPr>
                <w:sz w:val="20"/>
                <w:szCs w:val="20"/>
                <w:color w:val="auto"/>
              </w:rPr>
            </w:pPr>
            <w:r>
              <w:rPr>
                <w:rFonts w:ascii="Arial" w:cs="Arial" w:eastAsia="Arial" w:hAnsi="Arial"/>
                <w:sz w:val="14"/>
                <w:szCs w:val="14"/>
                <w:b w:val="1"/>
                <w:bCs w:val="1"/>
                <w:color w:val="auto"/>
                <w:w w:val="97"/>
              </w:rPr>
              <w:t>Exercisable</w:t>
            </w:r>
          </w:p>
        </w:tc>
        <w:tc>
          <w:tcPr>
            <w:tcW w:w="180" w:type="dxa"/>
            <w:vAlign w:val="bottom"/>
          </w:tcPr>
          <w:p>
            <w:pPr>
              <w:spacing w:after="0"/>
              <w:rPr>
                <w:sz w:val="13"/>
                <w:szCs w:val="13"/>
                <w:color w:val="auto"/>
              </w:rPr>
            </w:pPr>
          </w:p>
        </w:tc>
        <w:tc>
          <w:tcPr>
            <w:tcW w:w="1060" w:type="dxa"/>
            <w:vAlign w:val="bottom"/>
            <w:gridSpan w:val="3"/>
          </w:tcPr>
          <w:p>
            <w:pPr>
              <w:jc w:val="center"/>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(2)</w:t>
            </w:r>
          </w:p>
        </w:tc>
        <w:tc>
          <w:tcPr>
            <w:tcW w:w="1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5"/>
              </w:rPr>
              <w:t>Vested</w:t>
            </w: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8"/>
              </w:rPr>
              <w:t>Not Vested</w:t>
            </w:r>
          </w:p>
        </w:tc>
        <w:tc>
          <w:tcPr>
            <w:tcW w:w="180" w:type="dxa"/>
            <w:vAlign w:val="bottom"/>
          </w:tcPr>
          <w:p>
            <w:pPr>
              <w:spacing w:after="0"/>
              <w:rPr>
                <w:sz w:val="13"/>
                <w:szCs w:val="13"/>
                <w:color w:val="auto"/>
              </w:rPr>
            </w:pPr>
          </w:p>
        </w:tc>
        <w:tc>
          <w:tcPr>
            <w:tcW w:w="1340" w:type="dxa"/>
            <w:vAlign w:val="bottom"/>
            <w:gridSpan w:val="2"/>
          </w:tcPr>
          <w:p>
            <w:pPr>
              <w:jc w:val="center"/>
              <w:ind w:right="180"/>
              <w:spacing w:after="0" w:line="159"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(3)</w:t>
            </w:r>
          </w:p>
        </w:tc>
        <w:tc>
          <w:tcPr>
            <w:tcW w:w="1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Have Not Vested</w:t>
            </w:r>
          </w:p>
        </w:tc>
        <w:tc>
          <w:tcPr>
            <w:tcW w:w="0" w:type="dxa"/>
            <w:vAlign w:val="bottom"/>
          </w:tcPr>
          <w:p>
            <w:pPr>
              <w:spacing w:after="0"/>
              <w:rPr>
                <w:sz w:val="1"/>
                <w:szCs w:val="1"/>
                <w:color w:val="auto"/>
              </w:rPr>
            </w:pPr>
          </w:p>
        </w:tc>
      </w:tr>
      <w:tr>
        <w:trPr>
          <w:trHeight w:val="165"/>
        </w:trPr>
        <w:tc>
          <w:tcPr>
            <w:tcW w:w="2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(f)</w:t>
            </w:r>
          </w:p>
        </w:tc>
        <w:tc>
          <w:tcPr>
            <w:tcW w:w="18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Brian L. Roberts</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vMerge w:val="restart"/>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459,085</w:t>
            </w:r>
          </w:p>
        </w:tc>
        <w:tc>
          <w:tcPr>
            <w:tcW w:w="1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$ 23,856,352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$ 19.9200</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573,750</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63,750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03/14/2015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642,600</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113,400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438,400</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109,600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602,250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200,750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687,000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521,100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636,900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251,700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587,300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655,000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606,000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41.2200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Michael J. Angelakis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525,765</w:t>
            </w:r>
          </w:p>
        </w:tc>
        <w:tc>
          <w:tcPr>
            <w:tcW w:w="1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27,321,378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color w:val="auto"/>
              </w:rPr>
              <w:t>198,188</w:t>
            </w:r>
          </w:p>
        </w:tc>
        <w:tc>
          <w:tcPr>
            <w:tcW w:w="140" w:type="dxa"/>
            <w:vAlign w:val="bottom"/>
          </w:tcPr>
          <w:p>
            <w:pPr>
              <w:spacing w:after="0"/>
              <w:rPr>
                <w:sz w:val="12"/>
                <w:szCs w:val="12"/>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color w:val="auto"/>
              </w:rPr>
              <w:t>49,547</w:t>
            </w:r>
          </w:p>
        </w:tc>
        <w:tc>
          <w:tcPr>
            <w:tcW w:w="4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25.9500</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03/29/2017</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361,350</w:t>
            </w:r>
          </w:p>
        </w:tc>
        <w:tc>
          <w:tcPr>
            <w:tcW w:w="14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120,450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03/27/2018</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414,000</w:t>
            </w:r>
          </w:p>
        </w:tc>
        <w:tc>
          <w:tcPr>
            <w:tcW w:w="14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276,000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03/26/2019</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317,430</w:t>
            </w:r>
          </w:p>
        </w:tc>
        <w:tc>
          <w:tcPr>
            <w:tcW w:w="14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387,970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03/25/2020</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153,300</w:t>
            </w:r>
          </w:p>
        </w:tc>
        <w:tc>
          <w:tcPr>
            <w:tcW w:w="14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357,700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03/24/2021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516,000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29.9900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03/22/2022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84"/>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434,000</w:t>
            </w:r>
          </w:p>
        </w:tc>
        <w:tc>
          <w:tcPr>
            <w:tcW w:w="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41.2200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03/21/2023</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704,653</w:t>
            </w: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36,617,293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34,875</w:t>
            </w:r>
          </w:p>
        </w:tc>
        <w:tc>
          <w:tcPr>
            <w:tcW w:w="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22.6600</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03/14/2015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20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90,720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87,680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160,600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419,850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513,150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202,800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473,200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638,000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535,000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41.2200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Neil Smit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68,750</w:t>
            </w:r>
            <w:r>
              <w:rPr>
                <w:rFonts w:ascii="Arial" w:cs="Arial" w:eastAsia="Arial" w:hAnsi="Arial"/>
                <w:sz w:val="22"/>
                <w:szCs w:val="22"/>
                <w:color w:val="auto"/>
                <w:vertAlign w:val="superscript"/>
              </w:rPr>
              <w:t>(3)</w:t>
            </w:r>
          </w:p>
        </w:tc>
        <w:tc>
          <w:tcPr>
            <w:tcW w:w="1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$3,572,594</w:t>
            </w:r>
          </w:p>
        </w:tc>
        <w:tc>
          <w:tcPr>
            <w:tcW w:w="134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348,490</w:t>
            </w:r>
          </w:p>
        </w:tc>
        <w:tc>
          <w:tcPr>
            <w:tcW w:w="1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18,109,283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color w:val="auto"/>
              </w:rPr>
              <w:t>207,090</w:t>
            </w:r>
          </w:p>
        </w:tc>
        <w:tc>
          <w:tcPr>
            <w:tcW w:w="140" w:type="dxa"/>
            <w:vAlign w:val="bottom"/>
          </w:tcPr>
          <w:p>
            <w:pPr>
              <w:spacing w:after="0"/>
              <w:rPr>
                <w:sz w:val="21"/>
                <w:szCs w:val="21"/>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color w:val="auto"/>
              </w:rPr>
              <w:t>253,110</w:t>
            </w:r>
          </w:p>
        </w:tc>
        <w:tc>
          <w:tcPr>
            <w:tcW w:w="40" w:type="dxa"/>
            <w:vAlign w:val="bottom"/>
          </w:tcPr>
          <w:p>
            <w:pPr>
              <w:spacing w:after="0"/>
              <w:rPr>
                <w:sz w:val="21"/>
                <w:szCs w:val="2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18.3400</w:t>
            </w:r>
          </w:p>
        </w:tc>
        <w:tc>
          <w:tcPr>
            <w:tcW w:w="18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03/25/2020</w:t>
            </w: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129,300</w:t>
            </w:r>
          </w:p>
        </w:tc>
        <w:tc>
          <w:tcPr>
            <w:tcW w:w="14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301,700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03/24/2021</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407,000</w:t>
            </w: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29.9900</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03/22/2022</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84"/>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340,000</w:t>
            </w:r>
          </w:p>
        </w:tc>
        <w:tc>
          <w:tcPr>
            <w:tcW w:w="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41.2200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03/21/2023</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459,505</w:t>
            </w: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23,878,177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19.9200</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84"/>
              <w:spacing w:after="0" w:line="148" w:lineRule="exact"/>
              <w:rPr>
                <w:sz w:val="20"/>
                <w:szCs w:val="20"/>
                <w:color w:val="auto"/>
              </w:rPr>
            </w:pPr>
            <w:r>
              <w:rPr>
                <w:rFonts w:ascii="Arial" w:cs="Arial" w:eastAsia="Arial" w:hAnsi="Arial"/>
                <w:sz w:val="14"/>
                <w:szCs w:val="14"/>
                <w:color w:val="auto"/>
              </w:rPr>
              <w:t>56,250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270,000</w:t>
            </w:r>
          </w:p>
        </w:tc>
        <w:tc>
          <w:tcPr>
            <w:tcW w:w="1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22.6600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03/14/2015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286,425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33,750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17.9533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11/11/2015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299,625</w:t>
            </w:r>
          </w:p>
        </w:tc>
        <w:tc>
          <w:tcPr>
            <w:tcW w:w="140" w:type="dxa"/>
            <w:vAlign w:val="bottom"/>
            <w:vMerge w:val="continue"/>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52,875</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204,160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51,040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280,500</w:t>
            </w:r>
          </w:p>
        </w:tc>
        <w:tc>
          <w:tcPr>
            <w:tcW w:w="1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93,500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324,000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216,000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246,510</w:t>
            </w:r>
          </w:p>
        </w:tc>
        <w:tc>
          <w:tcPr>
            <w:tcW w:w="1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301,290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119,100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277,900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375,000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314,000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350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Cohen assigned to family trusts a portion of these options representing 264,375; 168,300 and 164,340 shares, respectively.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dates for each outstanding option award for the NEOs are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2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20" w:type="dxa"/>
            <w:vAlign w:val="bottom"/>
            <w:gridSpan w:val="11"/>
          </w:tcPr>
          <w:p>
            <w:pPr>
              <w:ind w:left="640"/>
              <w:spacing w:after="0"/>
              <w:rPr>
                <w:sz w:val="20"/>
                <w:szCs w:val="20"/>
                <w:color w:val="auto"/>
              </w:rPr>
            </w:pPr>
            <w:r>
              <w:rPr>
                <w:rFonts w:ascii="Arial" w:cs="Arial" w:eastAsia="Arial" w:hAnsi="Arial"/>
                <w:sz w:val="18"/>
                <w:szCs w:val="18"/>
                <w:b w:val="1"/>
                <w:bCs w:val="1"/>
                <w:color w:val="auto"/>
              </w:rPr>
              <w:t>Number of Shares Underlying Vesting Awards</w:t>
            </w:r>
          </w:p>
        </w:tc>
        <w:tc>
          <w:tcPr>
            <w:tcW w:w="0" w:type="dxa"/>
            <w:vAlign w:val="bottom"/>
          </w:tcPr>
          <w:p>
            <w:pPr>
              <w:spacing w:after="0"/>
              <w:rPr>
                <w:sz w:val="1"/>
                <w:szCs w:val="1"/>
                <w:color w:val="auto"/>
              </w:rPr>
            </w:pPr>
          </w:p>
        </w:tc>
      </w:tr>
      <w:tr>
        <w:trPr>
          <w:trHeight w:val="177"/>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top w:val="single" w:sz="8" w:color="auto"/>
            </w:tcBorders>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98"/>
              </w:rPr>
              <w:t>Brian L.</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rPr>
              <w:t>Michael J.</w:t>
            </w:r>
          </w:p>
        </w:tc>
        <w:tc>
          <w:tcPr>
            <w:tcW w:w="1260" w:type="dxa"/>
            <w:vAlign w:val="bottom"/>
            <w:tcBorders>
              <w:top w:val="single" w:sz="8" w:color="auto"/>
            </w:tcBorders>
            <w:gridSpan w:val="2"/>
          </w:tcPr>
          <w:p>
            <w:pPr>
              <w:jc w:val="center"/>
              <w:ind w:right="180"/>
              <w:spacing w:after="0" w:line="177" w:lineRule="exact"/>
              <w:rPr>
                <w:sz w:val="20"/>
                <w:szCs w:val="20"/>
                <w:color w:val="auto"/>
              </w:rPr>
            </w:pPr>
            <w:r>
              <w:rPr>
                <w:rFonts w:ascii="Arial" w:cs="Arial" w:eastAsia="Arial" w:hAnsi="Arial"/>
                <w:sz w:val="18"/>
                <w:szCs w:val="18"/>
                <w:b w:val="1"/>
                <w:bCs w:val="1"/>
                <w:color w:val="auto"/>
                <w:w w:val="97"/>
              </w:rPr>
              <w:t>Stephen B.</w:t>
            </w:r>
          </w:p>
        </w:tc>
        <w:tc>
          <w:tcPr>
            <w:tcW w:w="880" w:type="dxa"/>
            <w:vAlign w:val="bottom"/>
            <w:tcBorders>
              <w:top w:val="single" w:sz="8" w:color="auto"/>
            </w:tcBorders>
            <w:gridSpan w:val="2"/>
          </w:tcPr>
          <w:p>
            <w:pPr>
              <w:jc w:val="center"/>
              <w:ind w:right="180"/>
              <w:spacing w:after="0" w:line="177" w:lineRule="exact"/>
              <w:rPr>
                <w:sz w:val="20"/>
                <w:szCs w:val="20"/>
                <w:color w:val="auto"/>
              </w:rPr>
            </w:pPr>
            <w:r>
              <w:rPr>
                <w:rFonts w:ascii="Arial" w:cs="Arial" w:eastAsia="Arial" w:hAnsi="Arial"/>
                <w:sz w:val="18"/>
                <w:szCs w:val="18"/>
                <w:b w:val="1"/>
                <w:bCs w:val="1"/>
                <w:color w:val="auto"/>
              </w:rPr>
              <w:t>Neil</w:t>
            </w:r>
          </w:p>
        </w:tc>
        <w:tc>
          <w:tcPr>
            <w:tcW w:w="7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5"/>
              </w:rPr>
              <w:t>Exercise Price</w:t>
            </w:r>
          </w:p>
        </w:tc>
        <w:tc>
          <w:tcPr>
            <w:tcW w:w="16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Roberts</w:t>
            </w:r>
          </w:p>
        </w:tc>
        <w:tc>
          <w:tcPr>
            <w:tcW w:w="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Burke</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Smit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Cohen</w:t>
            </w:r>
          </w:p>
        </w:tc>
        <w:tc>
          <w:tcPr>
            <w:tcW w:w="0" w:type="dxa"/>
            <w:vAlign w:val="bottom"/>
          </w:tcPr>
          <w:p>
            <w:pPr>
              <w:spacing w:after="0"/>
              <w:rPr>
                <w:sz w:val="1"/>
                <w:szCs w:val="1"/>
                <w:color w:val="auto"/>
              </w:rPr>
            </w:pPr>
          </w:p>
        </w:tc>
      </w:tr>
      <w:tr>
        <w:trPr>
          <w:trHeight w:val="196"/>
        </w:trPr>
        <w:tc>
          <w:tcPr>
            <w:tcW w:w="2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03/10/2014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37,800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30,240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03/14/2014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22.6600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31,875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17,437</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03/16/2014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27,400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03/23/2014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196,500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154,800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191,400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122,100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03/25/2014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76,650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03/26/2014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173,700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105,810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139,950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69,030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82,170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03/27/2014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103,500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138,000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03/28/2014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03/30/2014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12,386</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09/14/2014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22.6600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17,438</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11/11/2014</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17.9533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03/10/2015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37,800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30,240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03/16/2015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27,400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03/22/2015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181,800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130,200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160,500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102,000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94,200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03/23/2015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98,250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77,400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95,700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61,050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03/25/2015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76,650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101,400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64,650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03/26/2015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173,700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105,810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139,950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69,030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82,170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03/27/2015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03/28/2015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03/30/2015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25.9500</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12,387</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05/11/2015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17.9533</w:t>
            </w: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11"/>
        </w:trPr>
        <w:tc>
          <w:tcPr>
            <w:tcW w:w="2940" w:type="dxa"/>
            <w:vAlign w:val="bottom"/>
          </w:tcPr>
          <w:p>
            <w:pPr>
              <w:jc w:val="right"/>
              <w:ind w:right="1752"/>
              <w:spacing w:after="0"/>
              <w:rPr>
                <w:sz w:val="20"/>
                <w:szCs w:val="20"/>
                <w:color w:val="auto"/>
              </w:rPr>
            </w:pPr>
            <w:r>
              <w:rPr>
                <w:rFonts w:ascii="Arial" w:cs="Arial" w:eastAsia="Arial" w:hAnsi="Arial"/>
                <w:sz w:val="18"/>
                <w:szCs w:val="18"/>
                <w:color w:val="auto"/>
              </w:rPr>
              <w:t>09/10/2015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30,240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03/16/2016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27,400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03/22/2016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90,900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65,100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80,250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03/23/2016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98,250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77,400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95,700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03/25/2016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125,850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76,650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03/26/2016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57,900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35,270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46,650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23,010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03/27/2016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03/28/2016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03/30/2016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12,387</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09/16/2016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09/30/2016</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12,387</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03/22/2017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90,900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65,100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80,250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51,000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03/23/2017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98,250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77,400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95,700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61,050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03/25/2017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25,550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33,800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21,550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03/26/2017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57,900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35,270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46,650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23,010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03/27/2017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752"/>
              <w:spacing w:after="0" w:line="202" w:lineRule="exact"/>
              <w:rPr>
                <w:sz w:val="20"/>
                <w:szCs w:val="20"/>
                <w:color w:val="auto"/>
              </w:rPr>
            </w:pPr>
            <w:r>
              <w:rPr>
                <w:rFonts w:ascii="Arial" w:cs="Arial" w:eastAsia="Arial" w:hAnsi="Arial"/>
                <w:sz w:val="18"/>
                <w:szCs w:val="18"/>
                <w:color w:val="auto"/>
              </w:rPr>
              <w:t>03/28/2017</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11"/>
        </w:trPr>
        <w:tc>
          <w:tcPr>
            <w:tcW w:w="2940" w:type="dxa"/>
            <w:vAlign w:val="bottom"/>
          </w:tcPr>
          <w:p>
            <w:pPr>
              <w:jc w:val="right"/>
              <w:ind w:right="1752"/>
              <w:spacing w:after="0"/>
              <w:rPr>
                <w:sz w:val="20"/>
                <w:szCs w:val="20"/>
                <w:color w:val="auto"/>
              </w:rPr>
            </w:pPr>
            <w:r>
              <w:rPr>
                <w:rFonts w:ascii="Arial" w:cs="Arial" w:eastAsia="Arial" w:hAnsi="Arial"/>
                <w:sz w:val="18"/>
                <w:szCs w:val="18"/>
                <w:color w:val="auto"/>
              </w:rPr>
              <w:t>09/28/2017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18.9800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40,150</w:t>
            </w: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24,090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32,120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03/22/2018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90,900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65,100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80,250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03/23/2018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25,800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31,900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03/25/2018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41,950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25,550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33,800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03/26/2018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57,900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35,270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46,650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23,010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03/27/2018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rPr>
              <w:t>09/27/2018</w:t>
            </w: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363"/>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40" w:type="dxa"/>
            <w:vAlign w:val="bottom"/>
            <w:gridSpan w:val="18"/>
          </w:tcPr>
          <w:p>
            <w:pPr>
              <w:ind w:left="100"/>
              <w:spacing w:after="0"/>
              <w:rPr>
                <w:sz w:val="20"/>
                <w:szCs w:val="20"/>
                <w:color w:val="auto"/>
              </w:rPr>
            </w:pPr>
            <w:r>
              <w:rPr>
                <w:rFonts w:ascii="Arial" w:cs="Arial" w:eastAsia="Arial" w:hAnsi="Arial"/>
                <w:sz w:val="18"/>
                <w:szCs w:val="18"/>
                <w:b w:val="1"/>
                <w:bCs w:val="1"/>
                <w:color w:val="auto"/>
              </w:rPr>
              <w:t>Number of Shares Underlying Vesting Awards</w:t>
            </w: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2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gridSpan w:val="3"/>
          </w:tcPr>
          <w:p>
            <w:pPr>
              <w:ind w:left="120"/>
              <w:spacing w:after="0" w:line="177" w:lineRule="exact"/>
              <w:rPr>
                <w:sz w:val="20"/>
                <w:szCs w:val="20"/>
                <w:color w:val="auto"/>
              </w:rPr>
            </w:pPr>
            <w:r>
              <w:rPr>
                <w:rFonts w:ascii="Arial" w:cs="Arial" w:eastAsia="Arial" w:hAnsi="Arial"/>
                <w:sz w:val="18"/>
                <w:szCs w:val="18"/>
                <w:b w:val="1"/>
                <w:bCs w:val="1"/>
                <w:color w:val="auto"/>
              </w:rPr>
              <w:t>Brian L.</w:t>
            </w: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4"/>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80"/>
              <w:spacing w:after="0" w:line="177" w:lineRule="exact"/>
              <w:rPr>
                <w:sz w:val="20"/>
                <w:szCs w:val="20"/>
                <w:color w:val="auto"/>
              </w:rPr>
            </w:pPr>
            <w:r>
              <w:rPr>
                <w:rFonts w:ascii="Arial" w:cs="Arial" w:eastAsia="Arial" w:hAnsi="Arial"/>
                <w:sz w:val="18"/>
                <w:szCs w:val="18"/>
                <w:b w:val="1"/>
                <w:bCs w:val="1"/>
                <w:color w:val="auto"/>
              </w:rPr>
              <w:t>Stephen B.</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ind w:left="140"/>
              <w:spacing w:after="0" w:line="177" w:lineRule="exact"/>
              <w:rPr>
                <w:sz w:val="20"/>
                <w:szCs w:val="20"/>
                <w:color w:val="auto"/>
              </w:rPr>
            </w:pPr>
            <w:r>
              <w:rPr>
                <w:rFonts w:ascii="Arial" w:cs="Arial" w:eastAsia="Arial" w:hAnsi="Arial"/>
                <w:sz w:val="18"/>
                <w:szCs w:val="18"/>
                <w:b w:val="1"/>
                <w:bCs w:val="1"/>
                <w:color w:val="auto"/>
              </w:rPr>
              <w:t>Neil</w:t>
            </w:r>
          </w:p>
        </w:tc>
        <w:tc>
          <w:tcPr>
            <w:tcW w:w="7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1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Exercise Price</w:t>
            </w:r>
          </w:p>
        </w:tc>
        <w:tc>
          <w:tcPr>
            <w:tcW w:w="160" w:type="dxa"/>
            <w:vAlign w:val="bottom"/>
          </w:tcPr>
          <w:p>
            <w:pPr>
              <w:spacing w:after="0"/>
              <w:rPr>
                <w:sz w:val="19"/>
                <w:szCs w:val="19"/>
                <w:color w:val="auto"/>
              </w:rPr>
            </w:pPr>
          </w:p>
        </w:tc>
        <w:tc>
          <w:tcPr>
            <w:tcW w:w="8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9"/>
              </w:rPr>
              <w:t>Roberts</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Angelakis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Burke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Smit</w:t>
            </w:r>
          </w:p>
        </w:tc>
        <w:tc>
          <w:tcPr>
            <w:tcW w:w="18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Cohen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900" w:type="dxa"/>
            <w:vAlign w:val="bottom"/>
            <w:gridSpan w:val="2"/>
          </w:tcPr>
          <w:p>
            <w:pPr>
              <w:ind w:left="92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03/22/2019</w:t>
            </w:r>
          </w:p>
        </w:tc>
        <w:tc>
          <w:tcPr>
            <w:tcW w:w="2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41.2200</w:t>
            </w:r>
          </w:p>
        </w:tc>
        <w:tc>
          <w:tcPr>
            <w:tcW w:w="120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30,300</w:t>
            </w:r>
          </w:p>
        </w:tc>
        <w:tc>
          <w:tcPr>
            <w:tcW w:w="10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21,700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26,750</w:t>
            </w: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17,000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03/23/2019</w:t>
            </w:r>
          </w:p>
        </w:tc>
        <w:tc>
          <w:tcPr>
            <w:tcW w:w="2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29.9900</w:t>
            </w:r>
          </w:p>
        </w:tc>
        <w:tc>
          <w:tcPr>
            <w:tcW w:w="120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32,750</w:t>
            </w:r>
          </w:p>
        </w:tc>
        <w:tc>
          <w:tcPr>
            <w:tcW w:w="10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25,800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20,350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03/25/2019</w:t>
            </w:r>
          </w:p>
        </w:tc>
        <w:tc>
          <w:tcPr>
            <w:tcW w:w="2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25.0200</w:t>
            </w:r>
          </w:p>
        </w:tc>
        <w:tc>
          <w:tcPr>
            <w:tcW w:w="120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41,950</w:t>
            </w:r>
          </w:p>
        </w:tc>
        <w:tc>
          <w:tcPr>
            <w:tcW w:w="10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25,550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33,800</w:t>
            </w: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21,550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03/26/2019</w:t>
            </w:r>
          </w:p>
        </w:tc>
        <w:tc>
          <w:tcPr>
            <w:tcW w:w="2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18.3400</w:t>
            </w:r>
          </w:p>
        </w:tc>
        <w:tc>
          <w:tcPr>
            <w:tcW w:w="120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57,900</w:t>
            </w:r>
          </w:p>
        </w:tc>
        <w:tc>
          <w:tcPr>
            <w:tcW w:w="10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35,270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46,650</w:t>
            </w: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23,010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11"/>
        </w:trPr>
        <w:tc>
          <w:tcPr>
            <w:tcW w:w="3100" w:type="dxa"/>
            <w:vAlign w:val="bottom"/>
            <w:gridSpan w:val="3"/>
          </w:tcPr>
          <w:p>
            <w:pPr>
              <w:jc w:val="right"/>
              <w:ind w:right="1080"/>
              <w:spacing w:after="0"/>
              <w:rPr>
                <w:sz w:val="20"/>
                <w:szCs w:val="20"/>
                <w:color w:val="auto"/>
              </w:rPr>
            </w:pPr>
            <w:r>
              <w:rPr>
                <w:rFonts w:ascii="Arial" w:cs="Arial" w:eastAsia="Arial" w:hAnsi="Arial"/>
                <w:sz w:val="18"/>
                <w:szCs w:val="18"/>
                <w:color w:val="auto"/>
              </w:rPr>
              <w:t>09/26/2019</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18.3400</w:t>
            </w:r>
          </w:p>
        </w:tc>
        <w:tc>
          <w:tcPr>
            <w:tcW w:w="1200" w:type="dxa"/>
            <w:vAlign w:val="bottom"/>
            <w:gridSpan w:val="6"/>
          </w:tcPr>
          <w:p>
            <w:pPr>
              <w:jc w:val="right"/>
              <w:ind w:right="160"/>
              <w:spacing w:after="0"/>
              <w:rPr>
                <w:sz w:val="20"/>
                <w:szCs w:val="20"/>
                <w:color w:val="auto"/>
              </w:rPr>
            </w:pPr>
            <w:r>
              <w:rPr>
                <w:rFonts w:ascii="Arial" w:cs="Arial" w:eastAsia="Arial" w:hAnsi="Arial"/>
                <w:sz w:val="18"/>
                <w:szCs w:val="18"/>
                <w:color w:val="auto"/>
              </w:rPr>
              <w:t>57,900</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35,270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46,650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23,010</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56"/>
        </w:trPr>
        <w:tc>
          <w:tcPr>
            <w:tcW w:w="9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2020</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03/22/2020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20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30,300</w:t>
            </w:r>
          </w:p>
        </w:tc>
        <w:tc>
          <w:tcPr>
            <w:tcW w:w="10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21,700</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26,750</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03/23/2020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20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32,750</w:t>
            </w:r>
          </w:p>
        </w:tc>
        <w:tc>
          <w:tcPr>
            <w:tcW w:w="10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25,800</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20,350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03/25/2020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20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41,950</w:t>
            </w:r>
          </w:p>
        </w:tc>
        <w:tc>
          <w:tcPr>
            <w:tcW w:w="10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25,550</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33,800</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21,550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09/25/2020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20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41,950</w:t>
            </w:r>
          </w:p>
        </w:tc>
        <w:tc>
          <w:tcPr>
            <w:tcW w:w="10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25,550</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33,800</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21,550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73"/>
        </w:trPr>
        <w:tc>
          <w:tcPr>
            <w:tcW w:w="1900" w:type="dxa"/>
            <w:vAlign w:val="bottom"/>
            <w:gridSpan w:val="2"/>
          </w:tcPr>
          <w:p>
            <w:pPr>
              <w:ind w:left="920"/>
              <w:spacing w:after="0"/>
              <w:rPr>
                <w:sz w:val="20"/>
                <w:szCs w:val="20"/>
                <w:color w:val="auto"/>
              </w:rPr>
            </w:pPr>
            <w:r>
              <w:rPr>
                <w:rFonts w:ascii="Arial" w:cs="Arial" w:eastAsia="Arial" w:hAnsi="Arial"/>
                <w:sz w:val="18"/>
                <w:szCs w:val="18"/>
                <w:b w:val="1"/>
                <w:bCs w:val="1"/>
                <w:color w:val="auto"/>
              </w:rPr>
              <w:t>2021</w:t>
            </w: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03/22/2021</w:t>
            </w:r>
          </w:p>
        </w:tc>
        <w:tc>
          <w:tcPr>
            <w:tcW w:w="2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41.2200</w:t>
            </w:r>
          </w:p>
        </w:tc>
        <w:tc>
          <w:tcPr>
            <w:tcW w:w="120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30,300</w:t>
            </w:r>
          </w:p>
        </w:tc>
        <w:tc>
          <w:tcPr>
            <w:tcW w:w="10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21,700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26,750</w:t>
            </w: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17,000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03/23/2021</w:t>
            </w:r>
          </w:p>
        </w:tc>
        <w:tc>
          <w:tcPr>
            <w:tcW w:w="21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29.9900</w:t>
            </w:r>
          </w:p>
        </w:tc>
        <w:tc>
          <w:tcPr>
            <w:tcW w:w="1200" w:type="dxa"/>
            <w:vAlign w:val="bottom"/>
            <w:gridSpan w:val="6"/>
          </w:tcPr>
          <w:p>
            <w:pPr>
              <w:jc w:val="right"/>
              <w:ind w:right="160"/>
              <w:spacing w:after="0" w:line="202" w:lineRule="exact"/>
              <w:rPr>
                <w:sz w:val="20"/>
                <w:szCs w:val="20"/>
                <w:color w:val="auto"/>
              </w:rPr>
            </w:pPr>
            <w:r>
              <w:rPr>
                <w:rFonts w:ascii="Arial" w:cs="Arial" w:eastAsia="Arial" w:hAnsi="Arial"/>
                <w:sz w:val="18"/>
                <w:szCs w:val="18"/>
                <w:color w:val="auto"/>
              </w:rPr>
              <w:t>32,750</w:t>
            </w:r>
          </w:p>
        </w:tc>
        <w:tc>
          <w:tcPr>
            <w:tcW w:w="10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25,800</w:t>
            </w:r>
          </w:p>
        </w:tc>
        <w:tc>
          <w:tcPr>
            <w:tcW w:w="1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20,350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1"/>
        </w:trPr>
        <w:tc>
          <w:tcPr>
            <w:tcW w:w="3100" w:type="dxa"/>
            <w:vAlign w:val="bottom"/>
            <w:gridSpan w:val="3"/>
          </w:tcPr>
          <w:p>
            <w:pPr>
              <w:jc w:val="right"/>
              <w:ind w:right="1080"/>
              <w:spacing w:after="0"/>
              <w:rPr>
                <w:sz w:val="20"/>
                <w:szCs w:val="20"/>
                <w:color w:val="auto"/>
              </w:rPr>
            </w:pPr>
            <w:r>
              <w:rPr>
                <w:rFonts w:ascii="Arial" w:cs="Arial" w:eastAsia="Arial" w:hAnsi="Arial"/>
                <w:sz w:val="18"/>
                <w:szCs w:val="18"/>
                <w:color w:val="auto"/>
              </w:rPr>
              <w:t>09/23/2021</w:t>
            </w: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29.9900</w:t>
            </w:r>
          </w:p>
        </w:tc>
        <w:tc>
          <w:tcPr>
            <w:tcW w:w="1200" w:type="dxa"/>
            <w:vAlign w:val="bottom"/>
            <w:gridSpan w:val="6"/>
          </w:tcPr>
          <w:p>
            <w:pPr>
              <w:jc w:val="right"/>
              <w:ind w:right="160"/>
              <w:spacing w:after="0"/>
              <w:rPr>
                <w:sz w:val="20"/>
                <w:szCs w:val="20"/>
                <w:color w:val="auto"/>
              </w:rPr>
            </w:pPr>
            <w:r>
              <w:rPr>
                <w:rFonts w:ascii="Arial" w:cs="Arial" w:eastAsia="Arial" w:hAnsi="Arial"/>
                <w:sz w:val="18"/>
                <w:szCs w:val="18"/>
                <w:color w:val="auto"/>
              </w:rPr>
              <w:t>32,750</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25,800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31,900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20,350</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56"/>
        </w:trPr>
        <w:tc>
          <w:tcPr>
            <w:tcW w:w="9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2022</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03/22/2022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20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30,300</w:t>
            </w:r>
          </w:p>
        </w:tc>
        <w:tc>
          <w:tcPr>
            <w:tcW w:w="10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21,700</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26,750</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09/22/2022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200" w:type="dxa"/>
            <w:vAlign w:val="bottom"/>
            <w:gridSpan w:val="6"/>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30,300</w:t>
            </w:r>
          </w:p>
        </w:tc>
        <w:tc>
          <w:tcPr>
            <w:tcW w:w="10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21,700</w:t>
            </w:r>
          </w:p>
        </w:tc>
        <w:tc>
          <w:tcPr>
            <w:tcW w:w="1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26,750</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95"/>
        </w:trPr>
        <w:tc>
          <w:tcPr>
            <w:tcW w:w="8700" w:type="dxa"/>
            <w:vAlign w:val="bottom"/>
            <w:gridSpan w:val="22"/>
          </w:tcPr>
          <w:p>
            <w:pPr>
              <w:jc w:val="right"/>
              <w:ind w:right="680"/>
              <w:spacing w:after="0"/>
              <w:rPr>
                <w:sz w:val="20"/>
                <w:szCs w:val="20"/>
                <w:color w:val="auto"/>
              </w:rPr>
            </w:pPr>
            <w:r>
              <w:rPr>
                <w:rFonts w:ascii="Arial" w:cs="Arial" w:eastAsia="Arial" w:hAnsi="Arial"/>
                <w:sz w:val="18"/>
                <w:szCs w:val="18"/>
                <w:color w:val="auto"/>
                <w:w w:val="97"/>
              </w:rPr>
              <w:t>(3)  Vesting dates for each outstanding RSU and performance-based RSU for the NEOs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300" w:type="dxa"/>
            <w:vAlign w:val="bottom"/>
            <w:tcBorders>
              <w:bottom w:val="single" w:sz="8" w:color="auto"/>
            </w:tcBorders>
            <w:gridSpan w:val="17"/>
          </w:tcPr>
          <w:p>
            <w:pPr>
              <w:ind w:left="420"/>
              <w:spacing w:after="0"/>
              <w:rPr>
                <w:sz w:val="20"/>
                <w:szCs w:val="20"/>
                <w:color w:val="auto"/>
              </w:rPr>
            </w:pPr>
            <w:r>
              <w:rPr>
                <w:rFonts w:ascii="Arial" w:cs="Arial" w:eastAsia="Arial" w:hAnsi="Arial"/>
                <w:sz w:val="18"/>
                <w:szCs w:val="18"/>
                <w:b w:val="1"/>
                <w:bCs w:val="1"/>
                <w:color w:val="auto"/>
                <w:w w:val="97"/>
              </w:rPr>
              <w:t>Number of Shares Underlying Vesting Awards</w:t>
            </w: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2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5"/>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300" w:type="dxa"/>
            <w:vAlign w:val="bottom"/>
            <w:gridSpan w:val="6"/>
          </w:tcPr>
          <w:p>
            <w:pPr>
              <w:ind w:left="40"/>
              <w:spacing w:after="0" w:line="177" w:lineRule="exact"/>
              <w:rPr>
                <w:sz w:val="20"/>
                <w:szCs w:val="20"/>
                <w:color w:val="auto"/>
              </w:rPr>
            </w:pPr>
            <w:r>
              <w:rPr>
                <w:rFonts w:ascii="Arial" w:cs="Arial" w:eastAsia="Arial" w:hAnsi="Arial"/>
                <w:sz w:val="18"/>
                <w:szCs w:val="18"/>
                <w:b w:val="1"/>
                <w:bCs w:val="1"/>
                <w:color w:val="auto"/>
              </w:rPr>
              <w:t>Michael J.</w:t>
            </w:r>
          </w:p>
        </w:tc>
        <w:tc>
          <w:tcPr>
            <w:tcW w:w="1220" w:type="dxa"/>
            <w:vAlign w:val="bottom"/>
            <w:gridSpan w:val="3"/>
          </w:tcPr>
          <w:p>
            <w:pPr>
              <w:jc w:val="right"/>
              <w:ind w:right="280"/>
              <w:spacing w:after="0" w:line="177" w:lineRule="exact"/>
              <w:rPr>
                <w:sz w:val="20"/>
                <w:szCs w:val="20"/>
                <w:color w:val="auto"/>
              </w:rPr>
            </w:pPr>
            <w:r>
              <w:rPr>
                <w:rFonts w:ascii="Arial" w:cs="Arial" w:eastAsia="Arial" w:hAnsi="Arial"/>
                <w:sz w:val="18"/>
                <w:szCs w:val="18"/>
                <w:b w:val="1"/>
                <w:bCs w:val="1"/>
                <w:color w:val="auto"/>
                <w:w w:val="97"/>
              </w:rPr>
              <w:t>Stephen B.</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380"/>
              <w:spacing w:after="0" w:line="177" w:lineRule="exact"/>
              <w:rPr>
                <w:sz w:val="20"/>
                <w:szCs w:val="20"/>
                <w:color w:val="auto"/>
              </w:rPr>
            </w:pPr>
            <w:r>
              <w:rPr>
                <w:rFonts w:ascii="Arial" w:cs="Arial" w:eastAsia="Arial" w:hAnsi="Arial"/>
                <w:sz w:val="18"/>
                <w:szCs w:val="18"/>
                <w:b w:val="1"/>
                <w:bCs w:val="1"/>
                <w:color w:val="auto"/>
                <w:w w:val="96"/>
              </w:rPr>
              <w:t>Neil</w:t>
            </w:r>
          </w:p>
        </w:tc>
        <w:tc>
          <w:tcPr>
            <w:tcW w:w="7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4"/>
          </w:tcPr>
          <w:p>
            <w:pPr>
              <w:ind w:left="260"/>
              <w:spacing w:after="0"/>
              <w:rPr>
                <w:sz w:val="20"/>
                <w:szCs w:val="20"/>
                <w:color w:val="auto"/>
              </w:rPr>
            </w:pPr>
            <w:r>
              <w:rPr>
                <w:rFonts w:ascii="Arial" w:cs="Arial" w:eastAsia="Arial" w:hAnsi="Arial"/>
                <w:sz w:val="18"/>
                <w:szCs w:val="18"/>
                <w:b w:val="1"/>
                <w:bCs w:val="1"/>
                <w:color w:val="auto"/>
              </w:rPr>
              <w:t>Award Type</w:t>
            </w:r>
          </w:p>
        </w:tc>
        <w:tc>
          <w:tcPr>
            <w:tcW w:w="1180" w:type="dxa"/>
            <w:vAlign w:val="bottom"/>
            <w:gridSpan w:val="5"/>
          </w:tcPr>
          <w:p>
            <w:pPr>
              <w:ind w:left="100"/>
              <w:spacing w:after="0"/>
              <w:rPr>
                <w:sz w:val="20"/>
                <w:szCs w:val="20"/>
                <w:color w:val="auto"/>
              </w:rPr>
            </w:pPr>
            <w:r>
              <w:rPr>
                <w:rFonts w:ascii="Arial" w:cs="Arial" w:eastAsia="Arial" w:hAnsi="Arial"/>
                <w:sz w:val="18"/>
                <w:szCs w:val="18"/>
                <w:b w:val="1"/>
                <w:bCs w:val="1"/>
                <w:color w:val="auto"/>
              </w:rPr>
              <w:t>Roberts</w:t>
            </w:r>
          </w:p>
        </w:tc>
        <w:tc>
          <w:tcPr>
            <w:tcW w:w="1300" w:type="dxa"/>
            <w:vAlign w:val="bottom"/>
            <w:gridSpan w:val="6"/>
          </w:tcPr>
          <w:p>
            <w:pPr>
              <w:ind w:left="40"/>
              <w:spacing w:after="0"/>
              <w:rPr>
                <w:sz w:val="20"/>
                <w:szCs w:val="20"/>
                <w:color w:val="auto"/>
              </w:rPr>
            </w:pPr>
            <w:r>
              <w:rPr>
                <w:rFonts w:ascii="Arial" w:cs="Arial" w:eastAsia="Arial" w:hAnsi="Arial"/>
                <w:sz w:val="18"/>
                <w:szCs w:val="18"/>
                <w:b w:val="1"/>
                <w:bCs w:val="1"/>
                <w:color w:val="auto"/>
              </w:rPr>
              <w:t>Angelakis</w:t>
            </w: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Burke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7"/>
              </w:rPr>
              <w:t>Smit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Cohen</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9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2014</w:t>
            </w:r>
          </w:p>
        </w:tc>
        <w:tc>
          <w:tcPr>
            <w:tcW w:w="1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03/23/2014</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19,080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19,995</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03/25/2014</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21,345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28,215</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17,970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03/26/2014</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47,205</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28,755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38,025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03/26/2014</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03/27/2014</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156,000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96,000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126,000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04/08/2014</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54,025</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04/22/2014</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130,000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38,145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17,145</w:t>
            </w:r>
          </w:p>
        </w:tc>
        <w:tc>
          <w:tcPr>
            <w:tcW w:w="7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14,595</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09/23/2014</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59,723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80" w:type="dxa"/>
            <w:vAlign w:val="bottom"/>
          </w:tcPr>
          <w:p>
            <w:pPr>
              <w:spacing w:after="0" w:line="202" w:lineRule="exact"/>
              <w:rPr>
                <w:sz w:val="20"/>
                <w:szCs w:val="20"/>
                <w:color w:val="auto"/>
              </w:rPr>
            </w:pPr>
            <w:r>
              <w:rPr>
                <w:rFonts w:ascii="Arial" w:cs="Arial" w:eastAsia="Arial" w:hAnsi="Arial"/>
                <w:sz w:val="18"/>
                <w:szCs w:val="18"/>
                <w:b w:val="1"/>
                <w:bCs w:val="1"/>
                <w:color w:val="auto"/>
              </w:rPr>
              <w:t>2015</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03/22/2015</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13,845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17,145</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14,595</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03/23/2015</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19,080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19,995</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03/25/2015</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21,345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28,215</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17,970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03/26/2015</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125,880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76,680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101,400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59,560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03/26/2015</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2016</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03/22/2016</w:t>
            </w:r>
          </w:p>
        </w:tc>
        <w:tc>
          <w:tcPr>
            <w:tcW w:w="140" w:type="dxa"/>
            <w:vAlign w:val="bottom"/>
          </w:tcPr>
          <w:p>
            <w:pPr>
              <w:spacing w:after="0"/>
              <w:rPr>
                <w:sz w:val="17"/>
                <w:szCs w:val="17"/>
                <w:color w:val="auto"/>
              </w:rPr>
            </w:pPr>
          </w:p>
        </w:tc>
        <w:tc>
          <w:tcPr>
            <w:tcW w:w="1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13,845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17,145</w:t>
            </w:r>
          </w:p>
        </w:tc>
        <w:tc>
          <w:tcPr>
            <w:tcW w:w="7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14,595</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03/23/2016</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19,080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19,995</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184"/>
        </w:trPr>
        <w:tc>
          <w:tcPr>
            <w:tcW w:w="3100" w:type="dxa"/>
            <w:vAlign w:val="bottom"/>
            <w:gridSpan w:val="3"/>
          </w:tcPr>
          <w:p>
            <w:pPr>
              <w:jc w:val="right"/>
              <w:ind w:right="1080"/>
              <w:spacing w:after="0" w:line="184" w:lineRule="exact"/>
              <w:rPr>
                <w:sz w:val="20"/>
                <w:szCs w:val="20"/>
                <w:color w:val="auto"/>
              </w:rPr>
            </w:pPr>
            <w:r>
              <w:rPr>
                <w:rFonts w:ascii="Arial" w:cs="Arial" w:eastAsia="Arial" w:hAnsi="Arial"/>
                <w:sz w:val="18"/>
                <w:szCs w:val="18"/>
                <w:color w:val="auto"/>
              </w:rPr>
              <w:t>03/25/2016</w:t>
            </w:r>
          </w:p>
        </w:tc>
        <w:tc>
          <w:tcPr>
            <w:tcW w:w="140" w:type="dxa"/>
            <w:vAlign w:val="bottom"/>
          </w:tcPr>
          <w:p>
            <w:pPr>
              <w:spacing w:after="0"/>
              <w:rPr>
                <w:sz w:val="15"/>
                <w:szCs w:val="15"/>
                <w:color w:val="auto"/>
              </w:rPr>
            </w:pPr>
          </w:p>
        </w:tc>
        <w:tc>
          <w:tcPr>
            <w:tcW w:w="1760" w:type="dxa"/>
            <w:vAlign w:val="bottom"/>
            <w:gridSpan w:val="4"/>
          </w:tcPr>
          <w:p>
            <w:pPr>
              <w:ind w:left="60"/>
              <w:spacing w:after="0" w:line="184"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320"/>
              <w:spacing w:after="0" w:line="184"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60"/>
              <w:spacing w:after="0" w:line="184" w:lineRule="exact"/>
              <w:rPr>
                <w:sz w:val="20"/>
                <w:szCs w:val="20"/>
                <w:color w:val="auto"/>
              </w:rPr>
            </w:pPr>
            <w:r>
              <w:rPr>
                <w:rFonts w:ascii="Arial" w:cs="Arial" w:eastAsia="Arial" w:hAnsi="Arial"/>
                <w:sz w:val="18"/>
                <w:szCs w:val="18"/>
                <w:color w:val="auto"/>
              </w:rPr>
              <w:t>56,920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jc w:val="right"/>
              <w:ind w:right="180"/>
              <w:spacing w:after="0" w:line="184" w:lineRule="exact"/>
              <w:rPr>
                <w:sz w:val="20"/>
                <w:szCs w:val="20"/>
                <w:color w:val="auto"/>
              </w:rPr>
            </w:pPr>
            <w:r>
              <w:rPr>
                <w:rFonts w:ascii="Arial" w:cs="Arial" w:eastAsia="Arial" w:hAnsi="Arial"/>
                <w:sz w:val="18"/>
                <w:szCs w:val="18"/>
                <w:color w:val="auto"/>
              </w:rPr>
              <w:t>75,240</w:t>
            </w:r>
          </w:p>
        </w:tc>
        <w:tc>
          <w:tcPr>
            <w:tcW w:w="780" w:type="dxa"/>
            <w:vAlign w:val="bottom"/>
            <w:gridSpan w:val="4"/>
          </w:tcPr>
          <w:p>
            <w:pPr>
              <w:jc w:val="right"/>
              <w:ind w:right="100"/>
              <w:spacing w:after="0" w:line="184" w:lineRule="exact"/>
              <w:rPr>
                <w:sz w:val="20"/>
                <w:szCs w:val="20"/>
                <w:color w:val="auto"/>
              </w:rPr>
            </w:pPr>
            <w:r>
              <w:rPr>
                <w:rFonts w:ascii="Arial" w:cs="Arial" w:eastAsia="Arial" w:hAnsi="Arial"/>
                <w:sz w:val="18"/>
                <w:szCs w:val="18"/>
                <w:color w:val="auto"/>
              </w:rPr>
              <w:t>47,920</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line="184" w:lineRule="exact"/>
              <w:rPr>
                <w:sz w:val="20"/>
                <w:szCs w:val="20"/>
                <w:color w:val="auto"/>
              </w:rPr>
            </w:pPr>
            <w:r>
              <w:rPr>
                <w:rFonts w:ascii="Arial" w:cs="Arial" w:eastAsia="Arial" w:hAnsi="Arial"/>
                <w:sz w:val="18"/>
                <w:szCs w:val="18"/>
                <w:color w:val="auto"/>
              </w:rPr>
              <w:t>60,200</w:t>
            </w:r>
          </w:p>
        </w:tc>
        <w:tc>
          <w:tcPr>
            <w:tcW w:w="0" w:type="dxa"/>
            <w:vAlign w:val="bottom"/>
          </w:tcPr>
          <w:p>
            <w:pPr>
              <w:spacing w:after="0"/>
              <w:rPr>
                <w:sz w:val="1"/>
                <w:szCs w:val="1"/>
                <w:color w:val="auto"/>
              </w:rPr>
            </w:pPr>
          </w:p>
        </w:tc>
      </w:tr>
      <w:tr>
        <w:trPr>
          <w:trHeight w:val="221"/>
        </w:trPr>
        <w:tc>
          <w:tcPr>
            <w:tcW w:w="1900" w:type="dxa"/>
            <w:vAlign w:val="bottom"/>
            <w:gridSpan w:val="2"/>
          </w:tcPr>
          <w:p>
            <w:pPr>
              <w:ind w:left="920"/>
              <w:spacing w:after="0"/>
              <w:rPr>
                <w:sz w:val="20"/>
                <w:szCs w:val="20"/>
                <w:color w:val="auto"/>
              </w:rPr>
            </w:pPr>
            <w:r>
              <w:rPr>
                <w:rFonts w:ascii="Arial" w:cs="Arial" w:eastAsia="Arial" w:hAnsi="Arial"/>
                <w:sz w:val="18"/>
                <w:szCs w:val="18"/>
                <w:b w:val="1"/>
                <w:bCs w:val="1"/>
                <w:color w:val="auto"/>
              </w:rPr>
              <w:t>2017</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18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03/22/2017</w:t>
            </w:r>
          </w:p>
        </w:tc>
        <w:tc>
          <w:tcPr>
            <w:tcW w:w="14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ind w:left="8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13,845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17,145</w:t>
            </w: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14,595</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3100" w:type="dxa"/>
            <w:vAlign w:val="bottom"/>
            <w:gridSpan w:val="3"/>
          </w:tcPr>
          <w:p>
            <w:pPr>
              <w:jc w:val="right"/>
              <w:ind w:right="1080"/>
              <w:spacing w:after="0" w:line="202" w:lineRule="exact"/>
              <w:rPr>
                <w:sz w:val="20"/>
                <w:szCs w:val="20"/>
                <w:color w:val="auto"/>
              </w:rPr>
            </w:pPr>
            <w:r>
              <w:rPr>
                <w:rFonts w:ascii="Arial" w:cs="Arial" w:eastAsia="Arial" w:hAnsi="Arial"/>
                <w:sz w:val="18"/>
                <w:szCs w:val="18"/>
                <w:color w:val="auto"/>
              </w:rPr>
              <w:t>03/23/2017</w:t>
            </w:r>
          </w:p>
        </w:tc>
        <w:tc>
          <w:tcPr>
            <w:tcW w:w="140" w:type="dxa"/>
            <w:vAlign w:val="bottom"/>
          </w:tcPr>
          <w:p>
            <w:pPr>
              <w:spacing w:after="0"/>
              <w:rPr>
                <w:sz w:val="17"/>
                <w:szCs w:val="17"/>
                <w:color w:val="auto"/>
              </w:rPr>
            </w:pPr>
          </w:p>
        </w:tc>
        <w:tc>
          <w:tcPr>
            <w:tcW w:w="176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50,880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62,840</w:t>
            </w:r>
          </w:p>
        </w:tc>
        <w:tc>
          <w:tcPr>
            <w:tcW w:w="7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53,320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50,240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2018</w:t>
            </w: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00" w:type="dxa"/>
            <w:vAlign w:val="bottom"/>
            <w:gridSpan w:val="3"/>
          </w:tcPr>
          <w:p>
            <w:pPr>
              <w:jc w:val="right"/>
              <w:ind w:right="1080"/>
              <w:spacing w:after="0"/>
              <w:rPr>
                <w:sz w:val="20"/>
                <w:szCs w:val="20"/>
                <w:color w:val="auto"/>
              </w:rPr>
            </w:pPr>
            <w:r>
              <w:rPr>
                <w:rFonts w:ascii="Arial" w:cs="Arial" w:eastAsia="Arial" w:hAnsi="Arial"/>
                <w:sz w:val="18"/>
                <w:szCs w:val="18"/>
                <w:color w:val="auto"/>
              </w:rPr>
              <w:t>03/22/2018</w:t>
            </w:r>
          </w:p>
        </w:tc>
        <w:tc>
          <w:tcPr>
            <w:tcW w:w="14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8"/>
                <w:szCs w:val="18"/>
                <w:color w:val="auto"/>
              </w:rPr>
              <w:t>Performance RSU</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36,920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45,720</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38,920</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36,600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2013</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RSUs and the value realized before payment of any applicable withholding tax.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6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8"/>
              </w:rPr>
              <w:t>Option Awards</w:t>
            </w:r>
          </w:p>
        </w:tc>
        <w:tc>
          <w:tcPr>
            <w:tcW w:w="10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338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60" w:type="dxa"/>
            <w:vAlign w:val="bottom"/>
            <w:gridSpan w:val="3"/>
          </w:tcPr>
          <w:p>
            <w:pPr>
              <w:jc w:val="center"/>
              <w:ind w:right="980"/>
              <w:spacing w:after="0" w:line="177" w:lineRule="exact"/>
              <w:rPr>
                <w:sz w:val="20"/>
                <w:szCs w:val="20"/>
                <w:color w:val="auto"/>
              </w:rPr>
            </w:pPr>
            <w:r>
              <w:rPr>
                <w:rFonts w:ascii="Arial" w:cs="Arial" w:eastAsia="Arial" w:hAnsi="Arial"/>
                <w:sz w:val="18"/>
                <w:szCs w:val="18"/>
                <w:b w:val="1"/>
                <w:bCs w:val="1"/>
                <w:color w:val="auto"/>
                <w:w w:val="95"/>
              </w:rPr>
              <w:t>Number of</w:t>
            </w:r>
          </w:p>
        </w:tc>
        <w:tc>
          <w:tcPr>
            <w:tcW w:w="10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960" w:type="dxa"/>
            <w:vAlign w:val="bottom"/>
          </w:tcPr>
          <w:p>
            <w:pPr>
              <w:spacing w:after="0"/>
              <w:rPr>
                <w:sz w:val="15"/>
                <w:szCs w:val="15"/>
                <w:color w:val="auto"/>
              </w:rPr>
            </w:pPr>
          </w:p>
        </w:tc>
        <w:tc>
          <w:tcPr>
            <w:tcW w:w="2160" w:type="dxa"/>
            <w:vAlign w:val="bottom"/>
            <w:gridSpan w:val="2"/>
          </w:tcPr>
          <w:p>
            <w:pPr>
              <w:jc w:val="center"/>
              <w:ind w:right="800"/>
              <w:spacing w:after="0" w:line="177" w:lineRule="exact"/>
              <w:rPr>
                <w:sz w:val="20"/>
                <w:szCs w:val="20"/>
                <w:color w:val="auto"/>
              </w:rPr>
            </w:pPr>
            <w:r>
              <w:rPr>
                <w:rFonts w:ascii="Arial" w:cs="Arial" w:eastAsia="Arial" w:hAnsi="Arial"/>
                <w:sz w:val="18"/>
                <w:szCs w:val="18"/>
                <w:b w:val="1"/>
                <w:bCs w:val="1"/>
                <w:color w:val="auto"/>
                <w:w w:val="97"/>
              </w:rPr>
              <w:t>Number of</w:t>
            </w:r>
          </w:p>
        </w:tc>
        <w:tc>
          <w:tcPr>
            <w:tcW w:w="1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03"/>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760" w:type="dxa"/>
            <w:vAlign w:val="bottom"/>
            <w:vMerge w:val="restart"/>
          </w:tcPr>
          <w:p>
            <w:pPr>
              <w:spacing w:after="0"/>
              <w:rPr>
                <w:sz w:val="17"/>
                <w:szCs w:val="17"/>
                <w:color w:val="auto"/>
              </w:rPr>
            </w:pPr>
          </w:p>
        </w:tc>
        <w:tc>
          <w:tcPr>
            <w:tcW w:w="2360" w:type="dxa"/>
            <w:vAlign w:val="bottom"/>
            <w:gridSpan w:val="3"/>
          </w:tcPr>
          <w:p>
            <w:pPr>
              <w:jc w:val="center"/>
              <w:ind w:right="980"/>
              <w:spacing w:after="0" w:line="202" w:lineRule="exact"/>
              <w:rPr>
                <w:sz w:val="20"/>
                <w:szCs w:val="20"/>
                <w:color w:val="auto"/>
              </w:rPr>
            </w:pPr>
            <w:r>
              <w:rPr>
                <w:rFonts w:ascii="Arial" w:cs="Arial" w:eastAsia="Arial" w:hAnsi="Arial"/>
                <w:sz w:val="18"/>
                <w:szCs w:val="18"/>
                <w:b w:val="1"/>
                <w:bCs w:val="1"/>
                <w:color w:val="auto"/>
                <w:w w:val="96"/>
              </w:rPr>
              <w:t>Shares Acquired</w:t>
            </w:r>
          </w:p>
        </w:tc>
        <w:tc>
          <w:tcPr>
            <w:tcW w:w="2020" w:type="dxa"/>
            <w:vAlign w:val="bottom"/>
            <w:gridSpan w:val="2"/>
          </w:tcPr>
          <w:p>
            <w:pPr>
              <w:jc w:val="center"/>
              <w:ind w:right="980"/>
              <w:spacing w:after="0" w:line="202" w:lineRule="exact"/>
              <w:rPr>
                <w:sz w:val="20"/>
                <w:szCs w:val="20"/>
                <w:color w:val="auto"/>
              </w:rPr>
            </w:pPr>
            <w:r>
              <w:rPr>
                <w:rFonts w:ascii="Arial" w:cs="Arial" w:eastAsia="Arial" w:hAnsi="Arial"/>
                <w:sz w:val="18"/>
                <w:szCs w:val="18"/>
                <w:b w:val="1"/>
                <w:bCs w:val="1"/>
                <w:color w:val="auto"/>
                <w:w w:val="95"/>
              </w:rPr>
              <w:t>Realized on</w:t>
            </w:r>
          </w:p>
        </w:tc>
        <w:tc>
          <w:tcPr>
            <w:tcW w:w="21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6"/>
              </w:rPr>
              <w:t>Shares Acquired</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Realized on</w:t>
            </w:r>
          </w:p>
        </w:tc>
        <w:tc>
          <w:tcPr>
            <w:tcW w:w="0" w:type="dxa"/>
            <w:vAlign w:val="bottom"/>
          </w:tcPr>
          <w:p>
            <w:pPr>
              <w:spacing w:after="0"/>
              <w:rPr>
                <w:sz w:val="1"/>
                <w:szCs w:val="1"/>
                <w:color w:val="auto"/>
              </w:rPr>
            </w:pPr>
          </w:p>
        </w:tc>
      </w:tr>
      <w:tr>
        <w:trPr>
          <w:trHeight w:val="221"/>
        </w:trPr>
        <w:tc>
          <w:tcPr>
            <w:tcW w:w="290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on Exercise</w:t>
            </w: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Exercise</w:t>
            </w:r>
          </w:p>
        </w:tc>
        <w:tc>
          <w:tcPr>
            <w:tcW w:w="9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on Vesting</w:t>
            </w:r>
          </w:p>
        </w:tc>
        <w:tc>
          <w:tcPr>
            <w:tcW w:w="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Vesting</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800,000</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$ 19,048,000</w:t>
            </w:r>
          </w:p>
        </w:tc>
        <w:tc>
          <w:tcPr>
            <w:tcW w:w="960" w:type="dxa"/>
            <w:vAlign w:val="bottom"/>
            <w:shd w:val="clear" w:color="auto" w:fill="CCEEFF"/>
          </w:tcPr>
          <w:p>
            <w:pPr>
              <w:spacing w:after="0"/>
              <w:rPr>
                <w:sz w:val="17"/>
                <w:szCs w:val="17"/>
                <w:color w:val="auto"/>
              </w:rPr>
            </w:pPr>
          </w:p>
        </w:tc>
        <w:tc>
          <w:tcPr>
            <w:tcW w:w="138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w w:val="96"/>
              </w:rPr>
              <w:t>378,105</w:t>
            </w:r>
            <w:r>
              <w:rPr>
                <w:rFonts w:ascii="Arial" w:cs="Arial" w:eastAsia="Arial" w:hAnsi="Arial"/>
                <w:sz w:val="11"/>
                <w:szCs w:val="11"/>
                <w:color w:val="auto"/>
                <w:w w:val="96"/>
              </w:rPr>
              <w:t>(1)</w:t>
            </w: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$15,660,358</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Michael J. Angelakis</w:t>
            </w:r>
          </w:p>
        </w:tc>
        <w:tc>
          <w:tcPr>
            <w:tcW w:w="2360" w:type="dxa"/>
            <w:vAlign w:val="bottom"/>
            <w:gridSpan w:val="3"/>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ind w:left="600"/>
              <w:spacing w:after="0" w:line="202" w:lineRule="exact"/>
              <w:rPr>
                <w:sz w:val="20"/>
                <w:szCs w:val="20"/>
                <w:color w:val="auto"/>
              </w:rPr>
            </w:pPr>
            <w:r>
              <w:rPr>
                <w:rFonts w:ascii="Arial" w:cs="Arial" w:eastAsia="Arial" w:hAnsi="Arial"/>
                <w:sz w:val="18"/>
                <w:szCs w:val="18"/>
                <w:color w:val="auto"/>
              </w:rPr>
              <w:t>204,820</w:t>
            </w:r>
          </w:p>
        </w:tc>
        <w:tc>
          <w:tcPr>
            <w:tcW w:w="7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8,513,064</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1,405,559</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39,510,561</w:t>
            </w:r>
          </w:p>
        </w:tc>
        <w:tc>
          <w:tcPr>
            <w:tcW w:w="960" w:type="dxa"/>
            <w:vAlign w:val="bottom"/>
            <w:shd w:val="clear" w:color="auto" w:fill="CCEEFF"/>
          </w:tcPr>
          <w:p>
            <w:pPr>
              <w:spacing w:after="0"/>
              <w:rPr>
                <w:sz w:val="17"/>
                <w:szCs w:val="17"/>
                <w:color w:val="auto"/>
              </w:rPr>
            </w:pPr>
          </w:p>
        </w:tc>
        <w:tc>
          <w:tcPr>
            <w:tcW w:w="13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225,375</w:t>
            </w: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9,398,055</w:t>
            </w:r>
          </w:p>
        </w:tc>
        <w:tc>
          <w:tcPr>
            <w:tcW w:w="0" w:type="dxa"/>
            <w:vAlign w:val="bottom"/>
          </w:tcPr>
          <w:p>
            <w:pPr>
              <w:spacing w:after="0"/>
              <w:rPr>
                <w:sz w:val="1"/>
                <w:szCs w:val="1"/>
                <w:color w:val="auto"/>
              </w:rPr>
            </w:pP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Neil Smit</w:t>
            </w:r>
          </w:p>
        </w:tc>
        <w:tc>
          <w:tcPr>
            <w:tcW w:w="2360" w:type="dxa"/>
            <w:vAlign w:val="bottom"/>
            <w:gridSpan w:val="3"/>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ind w:left="600"/>
              <w:spacing w:after="0" w:line="202" w:lineRule="exact"/>
              <w:rPr>
                <w:sz w:val="20"/>
                <w:szCs w:val="20"/>
                <w:color w:val="auto"/>
              </w:rPr>
            </w:pPr>
            <w:r>
              <w:rPr>
                <w:rFonts w:ascii="Arial" w:cs="Arial" w:eastAsia="Arial" w:hAnsi="Arial"/>
                <w:sz w:val="18"/>
                <w:szCs w:val="18"/>
                <w:color w:val="auto"/>
              </w:rPr>
              <w:t>253,017</w:t>
            </w:r>
          </w:p>
        </w:tc>
        <w:tc>
          <w:tcPr>
            <w:tcW w:w="78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10,528,613</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2360" w:type="dxa"/>
            <w:vAlign w:val="bottom"/>
            <w:gridSpan w:val="3"/>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142,940</w:t>
            </w: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5,956,518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663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3" w:lineRule="exact"/>
        <w:rPr>
          <w:sz w:val="20"/>
          <w:szCs w:val="20"/>
          <w:color w:val="auto"/>
        </w:rPr>
      </w:pPr>
    </w:p>
    <w:p>
      <w:pPr>
        <w:ind w:left="340" w:right="40" w:hanging="332"/>
        <w:spacing w:after="0" w:line="236"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Roberts deferred the April 23, 2013 vesting of 162,000 RSUs with respect to shares of Class A common stock until January 2, 2016. The value of the RSUs realized on vesting is based on the value of a share of Class A common stock on the original vesting date, regardless of whether the vesting had been deferred. The actual value of the RSUs realized upon settlement may be different than the value reflected in this table. The value realized on vesting also is reflected in the “Executive Contributions in Last FY” column of the “Nonqualified Deferred Compensation in and as of 2013 Fiscal Year-End” immediately below; see footnote (6) to that table for additional information regarding this RSU deferral.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2013 FISCAL YEAR-END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2013.</w:t>
      </w:r>
      <w:r>
        <w:rPr>
          <w:rFonts w:ascii="Arial" w:cs="Arial" w:eastAsia="Arial" w:hAnsi="Arial"/>
          <w:sz w:val="22"/>
          <w:szCs w:val="22"/>
          <w:color w:val="auto"/>
          <w:vertAlign w:val="superscript"/>
        </w:rPr>
        <w:t>(1)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Executive</w:t>
            </w: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Company</w:t>
            </w: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Aggregate</w:t>
            </w: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Aggregate</w:t>
            </w: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500" w:type="dxa"/>
            <w:vAlign w:val="bottom"/>
            <w:vMerge w:val="restart"/>
          </w:tcPr>
          <w:p>
            <w:pPr>
              <w:spacing w:after="0"/>
              <w:rPr>
                <w:sz w:val="17"/>
                <w:szCs w:val="17"/>
                <w:color w:val="auto"/>
              </w:rPr>
            </w:pPr>
          </w:p>
        </w:tc>
        <w:tc>
          <w:tcPr>
            <w:tcW w:w="16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6"/>
              </w:rPr>
              <w:t>Contributions</w:t>
            </w:r>
          </w:p>
        </w:tc>
        <w:tc>
          <w:tcPr>
            <w:tcW w:w="168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150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6"/>
              </w:rPr>
              <w:t>Earnings</w:t>
            </w:r>
          </w:p>
        </w:tc>
        <w:tc>
          <w:tcPr>
            <w:tcW w:w="180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7"/>
              </w:rPr>
              <w:t>Withdrawals/</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116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(2)</w:t>
            </w:r>
          </w:p>
        </w:tc>
        <w:tc>
          <w:tcPr>
            <w:tcW w:w="5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(3)</w:t>
            </w:r>
          </w:p>
        </w:tc>
        <w:tc>
          <w:tcPr>
            <w:tcW w:w="5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(4)</w:t>
            </w:r>
          </w:p>
        </w:tc>
        <w:tc>
          <w:tcPr>
            <w:tcW w:w="5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Distributions</w:t>
            </w: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2"/>
              <w:spacing w:after="0" w:line="222" w:lineRule="exact"/>
              <w:rPr>
                <w:sz w:val="20"/>
                <w:szCs w:val="20"/>
                <w:color w:val="auto"/>
              </w:rPr>
            </w:pPr>
            <w:r>
              <w:rPr>
                <w:rFonts w:ascii="Arial" w:cs="Arial" w:eastAsia="Arial" w:hAnsi="Arial"/>
                <w:sz w:val="18"/>
                <w:szCs w:val="18"/>
                <w:b w:val="1"/>
                <w:bCs w:val="1"/>
                <w:color w:val="auto"/>
              </w:rPr>
              <w:t>Last FYE</w:t>
            </w:r>
            <w:r>
              <w:rPr>
                <w:rFonts w:ascii="Arial" w:cs="Arial" w:eastAsia="Arial" w:hAnsi="Arial"/>
                <w:sz w:val="22"/>
                <w:szCs w:val="22"/>
                <w:b w:val="1"/>
                <w:bCs w:val="1"/>
                <w:color w:val="auto"/>
                <w:vertAlign w:val="superscript"/>
              </w:rPr>
              <w:t>(5)</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$9,988,167</w:t>
            </w:r>
            <w:r>
              <w:rPr>
                <w:rFonts w:ascii="Arial" w:cs="Arial" w:eastAsia="Arial" w:hAnsi="Arial"/>
                <w:sz w:val="11"/>
                <w:szCs w:val="11"/>
                <w:color w:val="auto"/>
              </w:rPr>
              <w:t>(6)</w:t>
            </w: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$3,472,875</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$7,183,587</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w w:val="96"/>
              </w:rPr>
              <w:t>$(12,000,000)</w:t>
            </w:r>
            <w:r>
              <w:rPr>
                <w:rFonts w:ascii="Arial" w:cs="Arial" w:eastAsia="Arial" w:hAnsi="Arial"/>
                <w:sz w:val="22"/>
                <w:szCs w:val="22"/>
                <w:color w:val="auto"/>
                <w:w w:val="96"/>
                <w:vertAlign w:val="superscript"/>
              </w:rPr>
              <w:t>(7)</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$ 65,848,124</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6,625,800</w:t>
            </w:r>
            <w:r>
              <w:rPr>
                <w:rFonts w:ascii="Arial" w:cs="Arial" w:eastAsia="Arial" w:hAnsi="Arial"/>
                <w:sz w:val="11"/>
                <w:szCs w:val="11"/>
                <w:color w:val="auto"/>
              </w:rPr>
              <w:t>(6)</w:t>
            </w:r>
          </w:p>
        </w:tc>
        <w:tc>
          <w:tcPr>
            <w:tcW w:w="520" w:type="dxa"/>
            <w:vAlign w:val="bottom"/>
          </w:tcPr>
          <w:p>
            <w:pPr>
              <w:spacing w:after="0"/>
              <w:rPr>
                <w:sz w:val="17"/>
                <w:szCs w:val="17"/>
                <w:color w:val="auto"/>
              </w:rPr>
            </w:pPr>
          </w:p>
        </w:tc>
        <w:tc>
          <w:tcPr>
            <w:tcW w:w="16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981,720</w:t>
            </w:r>
          </w:p>
        </w:tc>
        <w:tc>
          <w:tcPr>
            <w:tcW w:w="5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(7,607,520)</w:t>
            </w:r>
            <w:r>
              <w:rPr>
                <w:rFonts w:ascii="Arial" w:cs="Arial" w:eastAsia="Arial" w:hAnsi="Arial"/>
                <w:sz w:val="22"/>
                <w:szCs w:val="22"/>
                <w:color w:val="auto"/>
                <w:vertAlign w:val="superscript"/>
              </w:rPr>
              <w:t>(6)</w:t>
            </w: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Angelakis</w:t>
            </w:r>
          </w:p>
        </w:tc>
        <w:tc>
          <w:tcPr>
            <w:tcW w:w="11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2,712,947</w:t>
            </w: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1,653,700</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2,284,571</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(8,427,484)</w:t>
            </w:r>
            <w:r>
              <w:rPr>
                <w:rFonts w:ascii="Arial" w:cs="Arial" w:eastAsia="Arial" w:hAnsi="Arial"/>
                <w:sz w:val="22"/>
                <w:szCs w:val="22"/>
                <w:color w:val="auto"/>
                <w:vertAlign w:val="superscript"/>
              </w:rPr>
              <w:t>(7)</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21,721,680</w:t>
            </w:r>
          </w:p>
        </w:tc>
        <w:tc>
          <w:tcPr>
            <w:tcW w:w="0" w:type="dxa"/>
            <w:vAlign w:val="bottom"/>
          </w:tcPr>
          <w:p>
            <w:pPr>
              <w:spacing w:after="0"/>
              <w:rPr>
                <w:sz w:val="1"/>
                <w:szCs w:val="1"/>
                <w:color w:val="auto"/>
              </w:rPr>
            </w:pPr>
          </w:p>
        </w:tc>
      </w:tr>
      <w:tr>
        <w:trPr>
          <w:trHeight w:val="203"/>
        </w:trPr>
        <w:tc>
          <w:tcPr>
            <w:tcW w:w="3660" w:type="dxa"/>
            <w:vAlign w:val="bottom"/>
            <w:gridSpan w:val="2"/>
          </w:tcPr>
          <w:p>
            <w:pPr>
              <w:spacing w:after="0" w:line="202" w:lineRule="exact"/>
              <w:rPr>
                <w:sz w:val="20"/>
                <w:szCs w:val="20"/>
                <w:color w:val="auto"/>
              </w:rPr>
            </w:pPr>
            <w:r>
              <w:rPr>
                <w:rFonts w:ascii="Arial" w:cs="Arial" w:eastAsia="Arial" w:hAnsi="Arial"/>
                <w:sz w:val="18"/>
                <w:szCs w:val="18"/>
                <w:color w:val="auto"/>
              </w:rPr>
              <w:t>Stephen B. Burke</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2,024,092</w:t>
            </w:r>
          </w:p>
        </w:tc>
        <w:tc>
          <w:tcPr>
            <w:tcW w:w="5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4,815,250</w:t>
            </w:r>
          </w:p>
        </w:tc>
        <w:tc>
          <w:tcPr>
            <w:tcW w:w="5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5,837,873</w:t>
            </w:r>
          </w:p>
        </w:tc>
        <w:tc>
          <w:tcPr>
            <w:tcW w:w="5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(43,619,760)</w:t>
            </w:r>
            <w:r>
              <w:rPr>
                <w:rFonts w:ascii="Arial" w:cs="Arial" w:eastAsia="Arial" w:hAnsi="Arial"/>
                <w:sz w:val="22"/>
                <w:szCs w:val="22"/>
                <w:color w:val="auto"/>
                <w:vertAlign w:val="superscript"/>
              </w:rPr>
              <w:t>(7)</w:t>
            </w:r>
          </w:p>
        </w:tc>
        <w:tc>
          <w:tcPr>
            <w:tcW w:w="5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34,708,602</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Neil Smit</w:t>
            </w:r>
          </w:p>
        </w:tc>
        <w:tc>
          <w:tcPr>
            <w:tcW w:w="11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6,138,368</w:t>
            </w: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1,653,750</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3,424,979</w:t>
            </w:r>
          </w:p>
        </w:tc>
        <w:tc>
          <w:tcPr>
            <w:tcW w:w="5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34,725,003</w:t>
            </w:r>
          </w:p>
        </w:tc>
        <w:tc>
          <w:tcPr>
            <w:tcW w:w="0" w:type="dxa"/>
            <w:vAlign w:val="bottom"/>
          </w:tcPr>
          <w:p>
            <w:pPr>
              <w:spacing w:after="0"/>
              <w:rPr>
                <w:sz w:val="1"/>
                <w:szCs w:val="1"/>
                <w:color w:val="auto"/>
              </w:rPr>
            </w:pPr>
          </w:p>
        </w:tc>
      </w:tr>
      <w:tr>
        <w:trPr>
          <w:trHeight w:val="214"/>
        </w:trPr>
        <w:tc>
          <w:tcPr>
            <w:tcW w:w="366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1,438,344</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1,102,500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2,927,563</w:t>
            </w:r>
          </w:p>
        </w:tc>
        <w:tc>
          <w:tcPr>
            <w:tcW w:w="520" w:type="dxa"/>
            <w:vAlign w:val="bottom"/>
          </w:tcPr>
          <w:p>
            <w:pPr>
              <w:spacing w:after="0"/>
              <w:rPr>
                <w:sz w:val="18"/>
                <w:szCs w:val="18"/>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27,578,032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663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1" w:lineRule="exact"/>
        <w:rPr>
          <w:sz w:val="20"/>
          <w:szCs w:val="20"/>
          <w:color w:val="auto"/>
        </w:rPr>
      </w:pPr>
    </w:p>
    <w:p>
      <w:pPr>
        <w:jc w:val="both"/>
        <w:ind w:left="340" w:right="680" w:hanging="332"/>
        <w:spacing w:after="0" w:line="238"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with respect to a deferral of RSUs under our restricted stock plan by Mr. Roberts, as more fully described in footnote (6) to this table. Eligible employees and directors may elect to participate in these plans.</w:t>
      </w:r>
    </w:p>
    <w:p>
      <w:pPr>
        <w:spacing w:after="0" w:line="73" w:lineRule="exact"/>
        <w:rPr>
          <w:sz w:val="20"/>
          <w:szCs w:val="20"/>
          <w:color w:val="auto"/>
        </w:rPr>
      </w:pPr>
    </w:p>
    <w:p>
      <w:pPr>
        <w:ind w:left="460" w:right="20"/>
        <w:spacing w:after="0" w:line="229" w:lineRule="auto"/>
        <w:rPr>
          <w:sz w:val="20"/>
          <w:szCs w:val="20"/>
          <w:color w:val="auto"/>
        </w:rPr>
      </w:pPr>
      <w:r>
        <w:rPr>
          <w:rFonts w:ascii="Arial" w:cs="Arial" w:eastAsia="Arial" w:hAnsi="Arial"/>
          <w:sz w:val="18"/>
          <w:szCs w:val="18"/>
          <w:color w:val="auto"/>
        </w:rPr>
        <w:t>Under our deferred compensation plans, until December 31, 2013, certain employees could defer any cash compensation they receive, other than sales commissions or other similar payments, and nonemployee directors could defer any compensation they receive for services as a director, whether paid in stock or in cash. Effective January 1, 2014, we have limited the amount that can be deferred and reduced the interest rate credited on such deferrals. As such, beginning for compensation earned on or after January 1, 2014, each eligible employee may only defer an amount of cash compensation equal to or less than 35% of the sum of (x) his or her annual salary, target bonus opportunity, annual stock option and RSU grant values and any annual Company contribution to his or her deferred compensation account (the “total compensation value”) as of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prior year, and (y) 50% of any special award payable in respect of an employment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spacing w:after="0" w:line="237" w:lineRule="auto"/>
        <w:rPr>
          <w:sz w:val="20"/>
          <w:szCs w:val="20"/>
          <w:color w:val="auto"/>
        </w:rPr>
      </w:pPr>
      <w:r>
        <w:rPr>
          <w:rFonts w:ascii="Arial" w:cs="Arial" w:eastAsia="Arial" w:hAnsi="Arial"/>
          <w:sz w:val="18"/>
          <w:szCs w:val="18"/>
          <w:color w:val="auto"/>
        </w:rPr>
        <w:t>renewal agreement or promotion, provided that the total balance of such employee’s deferred compensation account as of September 30</w:t>
      </w:r>
      <w:r>
        <w:rPr>
          <w:rFonts w:ascii="Arial" w:cs="Arial" w:eastAsia="Arial" w:hAnsi="Arial"/>
          <w:sz w:val="11"/>
          <w:szCs w:val="11"/>
          <w:color w:val="auto"/>
        </w:rPr>
        <w:t>th</w:t>
      </w:r>
      <w:r>
        <w:rPr>
          <w:rFonts w:ascii="Arial" w:cs="Arial" w:eastAsia="Arial" w:hAnsi="Arial"/>
          <w:sz w:val="18"/>
          <w:szCs w:val="18"/>
          <w:color w:val="auto"/>
        </w:rPr>
        <w:t xml:space="preserve"> of the prior year does not exceed seven times the total compensation value (the “7x cap”). If a participant’s deferred compensation balance exceeds the 7x cap and we are contractually required to make a contribution on his or her behalf, such contribution will occur. Our nonemployee directors are not subject to either the annual 35% limit or the 7x cap.</w:t>
      </w:r>
    </w:p>
    <w:p>
      <w:pPr>
        <w:spacing w:after="0" w:line="74"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Amounts credited to each participant’s account generally will be deemed invested in an income fund, which is credited at the annual rate applicable at the time of the participant’s deferral. Nonemployee directors who have elected to defer the receipt of shares as described in the “Director Compensation for 2013” table on page 72 will have these amounts deemed invested in our stock fund. The interest crediting rate for 2013 was 12%. Beginning for compensation earned on or after January 1, 2014, the interest crediting rate generally will be 9%, but will remain at 12% on (x) compensation that was originally earned before January 1, 2014 (including any subsequent redeferrals), (y) Company contributions made to a deferred compensation account in respect of an employment agreement initially entered into before January 1, 2014 and (z) amounts credited to an income fund instead of a stock fund by September 30, 2014 pursuant to a “diversification election” made in 2013. Notwithstanding the foregoing, if, as of September 30</w:t>
      </w:r>
      <w:r>
        <w:rPr>
          <w:rFonts w:ascii="Arial" w:cs="Arial" w:eastAsia="Arial" w:hAnsi="Arial"/>
          <w:sz w:val="11"/>
          <w:szCs w:val="11"/>
          <w:color w:val="auto"/>
        </w:rPr>
        <w:t>th</w:t>
      </w:r>
      <w:r>
        <w:rPr>
          <w:rFonts w:ascii="Arial" w:cs="Arial" w:eastAsia="Arial" w:hAnsi="Arial"/>
          <w:sz w:val="18"/>
          <w:szCs w:val="18"/>
          <w:color w:val="auto"/>
        </w:rPr>
        <w:t xml:space="preserve"> of any year, a participant’s deferred compensation account balance is less than his or her highest account balance as of the last day of any calendar quarter during the five-year period ending December 31, 2013, then the interest crediting rate for contributions for the following year’s compensation (and subsequent redeferrals) will be 12%. As a result of this provision, Messrs. Roberts, Angelakis and Burke’s contributions to their respective accounts on account of 2014-earned compensation will be credited at 12%.</w:t>
      </w:r>
    </w:p>
    <w:p>
      <w:pPr>
        <w:spacing w:after="0" w:line="80" w:lineRule="exact"/>
        <w:rPr>
          <w:sz w:val="20"/>
          <w:szCs w:val="20"/>
          <w:color w:val="auto"/>
        </w:rPr>
      </w:pPr>
    </w:p>
    <w:p>
      <w:pPr>
        <w:ind w:left="460" w:right="80"/>
        <w:spacing w:after="0" w:line="236" w:lineRule="auto"/>
        <w:rPr>
          <w:sz w:val="20"/>
          <w:szCs w:val="20"/>
          <w:color w:val="auto"/>
        </w:rPr>
      </w:pPr>
      <w:r>
        <w:rPr>
          <w:rFonts w:ascii="Arial" w:cs="Arial" w:eastAsia="Arial" w:hAnsi="Arial"/>
          <w:sz w:val="18"/>
          <w:szCs w:val="18"/>
          <w:color w:val="auto"/>
        </w:rPr>
        <w:t>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of the commencement of distributions associated with any individual election is 10 years. 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75"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Under our restricted stock plan, eligible employees may defer the receipt of shares that may, subject to an award of RSUs, vest in the future. RSUs deferred may not be settled before January 2</w:t>
      </w:r>
      <w:r>
        <w:rPr>
          <w:rFonts w:ascii="Arial" w:cs="Arial" w:eastAsia="Arial" w:hAnsi="Arial"/>
          <w:sz w:val="11"/>
          <w:szCs w:val="11"/>
          <w:color w:val="auto"/>
        </w:rPr>
        <w:t>nd</w:t>
      </w:r>
      <w:r>
        <w:rPr>
          <w:rFonts w:ascii="Arial" w:cs="Arial" w:eastAsia="Arial" w:hAnsi="Arial"/>
          <w:sz w:val="18"/>
          <w:szCs w:val="18"/>
          <w:color w:val="auto"/>
        </w:rPr>
        <w:t xml:space="preserve"> of the third calendar year beginning after their vesting date, nor after January 2</w:t>
      </w:r>
      <w:r>
        <w:rPr>
          <w:rFonts w:ascii="Arial" w:cs="Arial" w:eastAsia="Arial" w:hAnsi="Arial"/>
          <w:sz w:val="11"/>
          <w:szCs w:val="11"/>
          <w:color w:val="auto"/>
        </w:rPr>
        <w:t>nd</w:t>
      </w:r>
      <w:r>
        <w:rPr>
          <w:rFonts w:ascii="Arial" w:cs="Arial" w:eastAsia="Arial" w:hAnsi="Arial"/>
          <w:sz w:val="18"/>
          <w:szCs w:val="18"/>
          <w:color w:val="auto"/>
        </w:rPr>
        <w:t xml:space="preserve"> of the eleventh calendar year beginning after their vesting date. Upon vesting, deferred RSUs are deemed invested in our stock fund. An employee who has elected to defer RSUs may also make a “diversification election” of up to 40% of the shares subject to such RSUs,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RSUs to be deemed invested in an income fund instead of our stock fund. The income fund is credited at the annual rate applicable under our deferred compensation plan, as described in the paragraph above. Any amounts credited to the income fund pursuant to a diversification election will not count toward the annual limit of 35% of total compensation value, but will count toward the 7x cap, beginning in 2014 as described above.</w:t>
      </w:r>
    </w:p>
    <w:p>
      <w:pPr>
        <w:spacing w:after="0" w:line="80" w:lineRule="exact"/>
        <w:rPr>
          <w:sz w:val="20"/>
          <w:szCs w:val="20"/>
          <w:color w:val="auto"/>
        </w:rPr>
      </w:pPr>
    </w:p>
    <w:p>
      <w:pPr>
        <w:ind w:left="340" w:right="1140" w:hanging="332"/>
        <w:spacing w:after="0" w:line="299"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These amounts (other than the amount related to Mr. Roberts’ deferral of RSUs) are reported as compensation in the “Summary Compensation Table for 2013” on page 56 under the columns “Salary” and “Non-Equity Incentive Plan Compensation.”</w:t>
      </w:r>
    </w:p>
    <w:p>
      <w:pPr>
        <w:spacing w:after="0" w:line="27" w:lineRule="exact"/>
        <w:rPr>
          <w:rFonts w:ascii="Arial" w:cs="Arial" w:eastAsia="Arial" w:hAnsi="Arial"/>
          <w:sz w:val="16"/>
          <w:szCs w:val="16"/>
          <w:color w:val="auto"/>
        </w:rPr>
      </w:pPr>
    </w:p>
    <w:p>
      <w:pPr>
        <w:ind w:left="340" w:right="620" w:hanging="332"/>
        <w:spacing w:after="0" w:line="23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2013” on page 56 under the column “All Other Compensation.”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60" w:hanging="332"/>
        <w:spacing w:after="0" w:line="238"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for 2013” on page 56 under the column “Change in Pension Value and Nonqualified Deferred Compensation Earnings.”</w:t>
      </w:r>
    </w:p>
    <w:p>
      <w:pPr>
        <w:spacing w:after="0" w:line="72" w:lineRule="exact"/>
        <w:rPr>
          <w:rFonts w:ascii="Arial" w:cs="Arial" w:eastAsia="Arial" w:hAnsi="Arial"/>
          <w:sz w:val="18"/>
          <w:szCs w:val="18"/>
          <w:color w:val="auto"/>
        </w:rPr>
      </w:pPr>
    </w:p>
    <w:p>
      <w:pPr>
        <w:ind w:left="340" w:right="100" w:hanging="332"/>
        <w:spacing w:after="0" w:line="23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RSUs deferred under our restricted stock plan has been reported in the year granted in the Summary Compensation Table in previously filed proxy statements.</w:t>
      </w:r>
    </w:p>
    <w:p>
      <w:pPr>
        <w:spacing w:after="0" w:line="73"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Pursuant to our restricted stock plan, as described in footnote (1) to this table, Mr. Roberts deferred the April 23, 2013 vesting of 162,000 RSUs with respect to shares of Class A common stock until January 2, 2016. On October 23, 2013, pursuant to a diversification election, these deferred RSUs (with an aggregate fair market value on such date of $7,607,520) were deemed invested in an income fund instead of our stock fund. The amount shown in the second row of the “Aggregate Withdrawals/Distributions” column, which is also included in the amount shown in the first row of the “Executive Contributions in Last FY” column, reflects the value that was deemed invested in the income fund and was aggregated with Mr. Roberts’ cash deferred compensation account on October 23, 2013. The amount shown in the second row of the “Executive Contributions in Last FY” column ($6,625,800) reflects the aggregate value of the 162,000 RSUs that were deferred in 2013 as of their vesting date, and the amount shown in the second row of the “Aggregate Earnings in Last FY” column ($981,720) reflects the value of the aggregate gain in 2013 of the deferred RSUs.</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distributions made pursuant to deferral elections under the deferred compensation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99"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NEOs, as such terms relate to the compensation reported and described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Roberts</w:t>
      </w:r>
    </w:p>
    <w:p>
      <w:pPr>
        <w:spacing w:after="0" w:line="9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June 30, 2013 and December 18, 2013, we entered into amendments to Mr. Roberts’ employment agreement, dated as of June 1, 2005. The June 30, 2013 amendment extended the term of his employment agreement to June 30, 2014, and the December 18, 2013 amendment specified the amount of our contribution to our deferred compensation plans on Mr. Roberts’ behalf for 2014. The following describes Mr. Roberts’ employment agreement as so amended.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$2,500,000 from the inception of the agreement through December 31, 2005.</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This amount is reviewed annually to determine whether an increase is appropriate for the subsequent calendar year in the term of the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increased, Mr. Roberts’ salary may not be reduced, except under an overall plan to reduce the compensation of all our senior executive officers.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Mr. Roberts has agreed not to receive an increase in base salary from January 1, 2009 through February 28, 2014.</w:t>
      </w:r>
    </w:p>
    <w:p>
      <w:pPr>
        <w:spacing w:after="0" w:line="8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Roberts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53" w:lineRule="exact"/>
        <w:rPr>
          <w:sz w:val="20"/>
          <w:szCs w:val="20"/>
          <w:color w:val="auto"/>
        </w:rPr>
      </w:pPr>
    </w:p>
    <w:p>
      <w:pPr>
        <w:ind w:right="200"/>
        <w:spacing w:after="0" w:line="32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during the term of the agreement. The contribution amounts include $3,472,875 for 2013 and $3,646,519 for 2014.</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Angelakis</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entered into an employment agreement with Mr. Angelakis on November 22, 2011, which secures his employment with our company through June 30, 2016. The following describes Mr. Angelakis’ employment agreement.</w:t>
      </w:r>
    </w:p>
    <w:p>
      <w:pPr>
        <w:spacing w:after="0" w:line="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$1,682,448 from the inception of the agreement through February 28, 2013.</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Angelakis’ level. Mr. Angelakis’ salary may not be reduced, other than as part of a salary reduction program effected by us during the term of the agreement, on a basis consistent with that applicable to other employees at Mr. Angelakis’ level.</w:t>
      </w:r>
    </w:p>
    <w:p>
      <w:pPr>
        <w:spacing w:after="0" w:line="5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Angelakis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Angelakis’ applicable target bonus percentage will not be less than 300% if all performance targets are achieved.</w:t>
      </w:r>
    </w:p>
    <w:p>
      <w:pPr>
        <w:spacing w:after="0" w:line="5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Angelakis received two cash signing bonuses, each of $2,125,000. Though no longer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Mr. Angelakis was required to reimburse us for 100% of the amount of each cash bonus if he terminated his employment without good reason or we terminated his employment with cause within twelve months of the payment date of such bonus. Also under the agreement, $2,125,000 and $3,700,000 were credited to his deferred compensation account in 2011 and 2012, respectively.</w:t>
      </w:r>
    </w:p>
    <w:p>
      <w:pPr>
        <w:spacing w:after="0" w:line="5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Angelakis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$1,653,700 for 2013; $1,736,437 for 2014; $1,823,259 for 2015; and $1,914,422 for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Burke</w:t>
      </w:r>
    </w:p>
    <w:p>
      <w:pPr>
        <w:spacing w:after="0" w:line="9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On August 16, 2013, we amended our employment agreement, dated as of December 16, 2009, with Mr. Burke, which secures his employment with our company through August 31, 2018. The following describes Mr. Burke’s employment agreement, as amended.</w:t>
      </w:r>
    </w:p>
    <w:p>
      <w:pPr>
        <w:spacing w:after="0" w:line="56"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$2,600,000 effective September 1, 2013 through February 28, 2014. This</w:t>
      </w:r>
      <w:r>
        <w:rPr>
          <w:rFonts w:ascii="Arial" w:cs="Arial" w:eastAsia="Arial" w:hAnsi="Arial"/>
          <w:sz w:val="16"/>
          <w:szCs w:val="16"/>
          <w:i w:val="1"/>
          <w:iCs w:val="1"/>
          <w:color w:val="auto"/>
        </w:rPr>
        <w:t xml:space="preserve"> </w:t>
      </w:r>
      <w:r>
        <w:rPr>
          <w:rFonts w:ascii="Arial" w:cs="Arial" w:eastAsia="Arial" w:hAnsi="Arial"/>
          <w:sz w:val="16"/>
          <w:szCs w:val="16"/>
          <w:color w:val="auto"/>
        </w:rPr>
        <w:t>amount may be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w:t>
      </w:r>
    </w:p>
    <w:p>
      <w:pPr>
        <w:spacing w:after="0" w:line="24"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Burke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During the term of the agreement, Mr. Burke’s applicable target bonus percentage will not be less than 300% if all performance targets are achieved.</w:t>
      </w:r>
    </w:p>
    <w:p>
      <w:pPr>
        <w:spacing w:after="0" w:line="50"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Under the agreement, Mr. Burke received a performance-related bonus in the amount of $5,000,000, payable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an RSU grant having a grant date value of $2,500,000 that vests 13 months following the date of grant, upon satisfaction of a service condition and a performance condition that our consolidated operating cash flow for the twelve-month period ending June 30, 2014 equal at least 101% of the consolidated operating cash flow for the prior year period, and a $2,500,000 credit to his account under our deferred compensation plan.</w:t>
      </w:r>
    </w:p>
    <w:p>
      <w:pPr>
        <w:spacing w:after="0" w:line="2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$2,315,250 for 2013; $3,500,000 for 2014; $3,675,000 for 2015; $3,858,750 for 2016; $4,051,688 for 2017; and $4,254,272 for 2018.</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Smit</w:t>
      </w:r>
    </w:p>
    <w:p>
      <w:pPr>
        <w:spacing w:after="0" w:line="99"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We entered into an employment agreement with Mr. Smit on November 21, 2011, which secures his employment with our company through December 31, 2016. The following describes Mr. Smit’s employment agreement.</w:t>
      </w:r>
    </w:p>
    <w:p>
      <w:pPr>
        <w:spacing w:after="0" w:line="5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$1,500,000 from the inception of the agreement through February 28, 2013.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amount may be increased in connection with any salary increase program offered by us during the term of the agreement, on a basis consistent with that applicable to other employees at Mr. Smit’s level. Mr. Smit’s salary may not be reduced, other than as part of a salary reduction program effected by us during the term of the agreement, on a basis consistent with that applicable to other employees at Mr. Smit’s level.</w:t>
      </w:r>
    </w:p>
    <w:p>
      <w:pPr>
        <w:spacing w:after="0" w:line="2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Smit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Mr. Smit’s applicable target bonus percentage will not be less than 300% if all performance targets are achieved.</w:t>
      </w:r>
    </w:p>
    <w:p>
      <w:pPr>
        <w:spacing w:after="0" w:line="38"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Smit received two cash signing bonuses, each of $1,000,000, and two RSU grants, each having a</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approximately $1,000,000. Though no longer applicable, Mr. Smit was required to reimburse us for 100% of the amount of each cash bonus if he terminated his employment without good reason or we terminated his employment with cause within twelve months of the payment date of such bonus. The RSU grants vested on the 13-month anniversary of their respective date of grant, upon satisfaction of their service condition and the performance condition of a year-over-year increase in our free cash flow.</w:t>
      </w:r>
    </w:p>
    <w:p>
      <w:pPr>
        <w:spacing w:after="0" w:line="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Smit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$1,653,750 for 2013; $1,736,437 for 2014; $1,823,259 for 2015; and $1,914,422 for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Cohen</w:t>
      </w:r>
    </w:p>
    <w:p>
      <w:pPr>
        <w:spacing w:after="0" w:line="99"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We entered into an employment agreement with Mr. Cohen on February 22, 2011, which secures his employment with our company through December 31, 2015. The following describes Mr. Cohen’s employment agreement.</w:t>
      </w:r>
    </w:p>
    <w:p>
      <w:pPr>
        <w:spacing w:after="0" w:line="56"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$1,337,994 from the inception of the agreement through February 28, 2012.</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w:t>
      </w:r>
    </w:p>
    <w:p>
      <w:pPr>
        <w:spacing w:after="0" w:line="5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200% if all performance targets are achieved.</w:t>
      </w:r>
    </w:p>
    <w:p>
      <w:pPr>
        <w:spacing w:after="0" w:line="5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Cohen received two cash bonuses, each of $1,500,000, and two immediately vested RSU grants,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having a value of approximately $1,000,000.</w:t>
      </w:r>
    </w:p>
    <w:p>
      <w:pPr>
        <w:spacing w:after="0" w:line="3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Cohen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$1,102,500 for 2013; $1,157,625 for 2014; and $1,215,506 for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and Confidentiality</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7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 below describes the payments and benefits to which each of our NEOs would have been entitled (i) had his employment terminated on December 31, 2013 (a) by us without cause or by him with good reason, (b) because of his death, (c) due to his disability or (d) 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2013 Fiscal Year-End” table on page 63. All amounts are estimates only, and actual amounts will vary depending upon the facts and circumstances applicable at the time of the triggering event.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Accrued</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Acceleration &amp;</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Annual Cash</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Annual</w:t>
            </w: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Exercisability of</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Acceleration</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Deferred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Health</w:t>
            </w:r>
          </w:p>
        </w:tc>
        <w:tc>
          <w:tcPr>
            <w:tcW w:w="920" w:type="dxa"/>
            <w:vAlign w:val="bottom"/>
          </w:tcPr>
          <w:p>
            <w:pPr>
              <w:spacing w:after="0"/>
              <w:rPr>
                <w:sz w:val="12"/>
                <w:szCs w:val="12"/>
                <w:color w:val="auto"/>
              </w:rPr>
            </w:pPr>
          </w:p>
        </w:tc>
      </w:tr>
      <w:tr>
        <w:trPr>
          <w:trHeight w:val="13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Base Salary</w:t>
            </w:r>
          </w:p>
        </w:tc>
        <w:tc>
          <w:tcPr>
            <w:tcW w:w="10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Bonus</w:t>
            </w:r>
          </w:p>
        </w:tc>
        <w:tc>
          <w:tcPr>
            <w:tcW w:w="9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9"/>
              </w:rPr>
              <w:t>Cash</w:t>
            </w:r>
          </w:p>
        </w:tc>
        <w:tc>
          <w:tcPr>
            <w:tcW w:w="1240" w:type="dxa"/>
            <w:vAlign w:val="bottom"/>
            <w:gridSpan w:val="3"/>
          </w:tcPr>
          <w:p>
            <w:pPr>
              <w:jc w:val="center"/>
              <w:ind w:right="200"/>
              <w:spacing w:after="0" w:line="139" w:lineRule="exact"/>
              <w:rPr>
                <w:sz w:val="20"/>
                <w:szCs w:val="20"/>
                <w:color w:val="auto"/>
              </w:rPr>
            </w:pPr>
            <w:r>
              <w:rPr>
                <w:rFonts w:ascii="Arial" w:cs="Arial" w:eastAsia="Arial" w:hAnsi="Arial"/>
                <w:sz w:val="14"/>
                <w:szCs w:val="14"/>
                <w:b w:val="1"/>
                <w:bCs w:val="1"/>
                <w:color w:val="auto"/>
                <w:w w:val="95"/>
              </w:rPr>
              <w:t>Unvested Stock</w:t>
            </w:r>
          </w:p>
        </w:tc>
        <w:tc>
          <w:tcPr>
            <w:tcW w:w="106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of Unvested</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0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Benefit</w:t>
            </w:r>
          </w:p>
        </w:tc>
        <w:tc>
          <w:tcPr>
            <w:tcW w:w="920" w:type="dxa"/>
            <w:vAlign w:val="bottom"/>
          </w:tcPr>
          <w:p>
            <w:pPr>
              <w:spacing w:after="0"/>
              <w:rPr>
                <w:sz w:val="12"/>
                <w:szCs w:val="12"/>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Continuation</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Continuation</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Bonus</w:t>
            </w:r>
          </w:p>
        </w:tc>
        <w:tc>
          <w:tcPr>
            <w:tcW w:w="124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(1)</w:t>
            </w:r>
          </w:p>
        </w:tc>
        <w:tc>
          <w:tcPr>
            <w:tcW w:w="120" w:type="dxa"/>
            <w:vAlign w:val="bottom"/>
          </w:tcPr>
          <w:p>
            <w:pPr>
              <w:spacing w:after="0"/>
              <w:rPr>
                <w:sz w:val="15"/>
                <w:szCs w:val="15"/>
                <w:color w:val="auto"/>
              </w:rPr>
            </w:pPr>
          </w:p>
        </w:tc>
        <w:tc>
          <w:tcPr>
            <w:tcW w:w="940" w:type="dxa"/>
            <w:vAlign w:val="bottom"/>
            <w:gridSpan w:val="2"/>
          </w:tcPr>
          <w:p>
            <w:pPr>
              <w:ind w:left="60"/>
              <w:spacing w:after="0" w:line="176"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20"/>
                <w:szCs w:val="20"/>
                <w:b w:val="1"/>
                <w:bCs w:val="1"/>
                <w:color w:val="auto"/>
                <w:vertAlign w:val="superscript"/>
              </w:rPr>
              <w:t>(1)</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Contributions</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Continuation</w:t>
            </w: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121"/>
        </w:trPr>
        <w:tc>
          <w:tcPr>
            <w:tcW w:w="274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4"/>
                <w:szCs w:val="14"/>
                <w:b w:val="1"/>
                <w:bCs w:val="1"/>
                <w:color w:val="auto"/>
              </w:rPr>
              <w:t>Brian L. Roberts</w:t>
            </w:r>
          </w:p>
        </w:tc>
        <w:tc>
          <w:tcPr>
            <w:tcW w:w="2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5,601,522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8,402,283</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$3,646,519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$ 25,258</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$ 26,077,865</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90,591,710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23,856,352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315,725</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123,166,070</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14,003,805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42,011,415</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90,591,710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23,856,352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3,646,519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182,512,084</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74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28"/>
        </w:trPr>
        <w:tc>
          <w:tcPr>
            <w:tcW w:w="2740" w:type="dxa"/>
            <w:vAlign w:val="bottom"/>
          </w:tcPr>
          <w:p>
            <w:pPr>
              <w:spacing w:after="0" w:line="128" w:lineRule="exact"/>
              <w:rPr>
                <w:sz w:val="20"/>
                <w:szCs w:val="20"/>
                <w:color w:val="auto"/>
              </w:rPr>
            </w:pPr>
            <w:r>
              <w:rPr>
                <w:rFonts w:ascii="Arial" w:cs="Arial" w:eastAsia="Arial" w:hAnsi="Arial"/>
                <w:sz w:val="14"/>
                <w:szCs w:val="14"/>
                <w:b w:val="1"/>
                <w:bCs w:val="1"/>
                <w:color w:val="auto"/>
              </w:rPr>
              <w:t>Michael J. Angelakis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3,449,018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5,173,527</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5,149,746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14,015,243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10,565,784</w:t>
            </w:r>
          </w:p>
        </w:tc>
        <w:tc>
          <w:tcPr>
            <w:tcW w:w="2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25,258</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38,378,576</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431,127</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5,149,746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54,277,456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27,321,378</w:t>
            </w:r>
          </w:p>
        </w:tc>
        <w:tc>
          <w:tcPr>
            <w:tcW w:w="2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87,179,707</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2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74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28"/>
        </w:trPr>
        <w:tc>
          <w:tcPr>
            <w:tcW w:w="274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Stephen B. Burke</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7,800,000</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7,143,855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20,513,846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15,208,752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25,258</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55,891,711</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7,143,855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75,317,847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36,617,293</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119,728,995</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74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28"/>
        </w:trPr>
        <w:tc>
          <w:tcPr>
            <w:tcW w:w="2740" w:type="dxa"/>
            <w:vAlign w:val="bottom"/>
          </w:tcPr>
          <w:p>
            <w:pPr>
              <w:spacing w:after="0" w:line="128" w:lineRule="exact"/>
              <w:rPr>
                <w:sz w:val="20"/>
                <w:szCs w:val="20"/>
                <w:color w:val="auto"/>
              </w:rPr>
            </w:pPr>
            <w:r>
              <w:rPr>
                <w:rFonts w:ascii="Arial" w:cs="Arial" w:eastAsia="Arial" w:hAnsi="Arial"/>
                <w:sz w:val="14"/>
                <w:szCs w:val="14"/>
                <w:b w:val="1"/>
                <w:bCs w:val="1"/>
                <w:color w:val="auto"/>
              </w:rPr>
              <w:t>Neil Smit</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3,075,000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4,612,500</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4,591,299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6,746,276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6,513,033</w:t>
            </w:r>
          </w:p>
        </w:tc>
        <w:tc>
          <w:tcPr>
            <w:tcW w:w="2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25,258</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25,563,366</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384,375</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4,591,299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29,237,255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21,681,877</w:t>
            </w:r>
          </w:p>
        </w:tc>
        <w:tc>
          <w:tcPr>
            <w:tcW w:w="2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55,894,806</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2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74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28"/>
        </w:trPr>
        <w:tc>
          <w:tcPr>
            <w:tcW w:w="274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David L. Cohen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2,742,888</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2,742,888</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2,730,280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12,886,975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7,871,398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24,630</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28,999,059</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342,861</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2,730,280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45,604,562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23,878,177</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72,555,880</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69"/>
        </w:trPr>
        <w:tc>
          <w:tcPr>
            <w:tcW w:w="274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99" w:lineRule="exact"/>
        <w:rPr>
          <w:sz w:val="20"/>
          <w:szCs w:val="20"/>
          <w:color w:val="auto"/>
        </w:rPr>
      </w:pPr>
    </w:p>
    <w:p>
      <w:pPr>
        <w:ind w:left="340" w:right="20" w:hanging="332"/>
        <w:spacing w:after="0" w:line="23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associated with the acceleration of equity compensation is based on the closing market price of a share of our Class A common stock as of December 31, 2013, minus, in the case of stock options, the exercise price. On December 31, 2013, the closing market price of our Class A common stock was $51.965.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hanging="332"/>
        <w:spacing w:after="0" w:line="267"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also is entitled to the payment of his annual cash bonus, prorated to reflect the number of days he was employed during the year of such termination (assuming full 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 set forth in his employment agreement.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57" w:lineRule="exact"/>
        <w:rPr>
          <w:rFonts w:ascii="Arial" w:cs="Arial" w:eastAsia="Arial" w:hAnsi="Arial"/>
          <w:sz w:val="16"/>
          <w:szCs w:val="16"/>
          <w:color w:val="auto"/>
        </w:rPr>
      </w:pPr>
    </w:p>
    <w:p>
      <w:pPr>
        <w:ind w:left="340" w:right="40" w:hanging="332"/>
        <w:spacing w:after="0" w:line="23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73"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Mr. Roberts’ employment is terminated by reason of his disability, we must continue to pay his base salary on a monthly basis for five years, his annual cash bonus for the year in which termination occurred, prorated to reflect the number of days he was employed during the year of his disability, and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 set forth in his employment agreement for so long as he is living.</w:t>
      </w:r>
    </w:p>
    <w:p>
      <w:pPr>
        <w:spacing w:after="0" w:line="47" w:lineRule="exact"/>
        <w:rPr>
          <w:rFonts w:ascii="Arial" w:cs="Arial" w:eastAsia="Arial" w:hAnsi="Arial"/>
          <w:sz w:val="16"/>
          <w:szCs w:val="16"/>
          <w:color w:val="auto"/>
        </w:rPr>
      </w:pPr>
    </w:p>
    <w:p>
      <w:pPr>
        <w:ind w:left="340" w:right="20" w:hanging="332"/>
        <w:spacing w:after="0" w:line="235"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None of our NEOs would have been entitled to any retirement-related compensation had they retired on December 31, 2013, as none is 62 years of age.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date of grant; (ii) the continued vesting and exercisability of options granted after March 2005 through July 2010 for 36 and 39 months, respectively, following the termination of employment if he or she has completed 10 years of service; and (iii) the continued vesting of RSUs granted after July 2010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80"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 Mr. Roberts’ employment agreement, if, in connection with a transaction, our Board determines that it is appropriate to accelerate the vesting of options and RSUs, we will provide notice of this decision at least 10 business days before the anticipated closing date of the event. If so determined, all options will become immediately exercisable in full and all RSUs will immediately become fully vested. Until the day before the date of the transaction, Mr. Roberts will be able to exercise all such options. If the transaction is not consummated, the options will be treated as not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60"/>
        <w:spacing w:after="0" w:line="238" w:lineRule="auto"/>
        <w:rPr>
          <w:sz w:val="20"/>
          <w:szCs w:val="20"/>
          <w:color w:val="auto"/>
        </w:rPr>
      </w:pPr>
      <w:r>
        <w:rPr>
          <w:rFonts w:ascii="Arial" w:cs="Arial" w:eastAsia="Arial" w:hAnsi="Arial"/>
          <w:sz w:val="18"/>
          <w:szCs w:val="18"/>
          <w:color w:val="auto"/>
        </w:rPr>
        <w:t>having been exercisable and the RSUs will be treated as not having vested. In addition,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73" w:lineRule="exact"/>
        <w:rPr>
          <w:sz w:val="20"/>
          <w:szCs w:val="20"/>
          <w:color w:val="auto"/>
        </w:rPr>
      </w:pPr>
    </w:p>
    <w:p>
      <w:pPr>
        <w:ind w:left="340" w:right="40"/>
        <w:spacing w:after="0" w:line="236" w:lineRule="auto"/>
        <w:rPr>
          <w:sz w:val="20"/>
          <w:szCs w:val="20"/>
          <w:color w:val="auto"/>
        </w:rPr>
      </w:pPr>
      <w:r>
        <w:rPr>
          <w:rFonts w:ascii="Arial" w:cs="Arial" w:eastAsia="Arial" w:hAnsi="Arial"/>
          <w:sz w:val="18"/>
          <w:szCs w:val="18"/>
          <w:color w:val="auto"/>
        </w:rPr>
        <w:t>We believe it is likely that if our Board were to accelerate the vesting of the options and/or RSUs of Mr. Roberts, it also would determine that it would be appropriate to accelerate the options and/or RSUs of our other NEOs. If our Board had decided to accelerate the vesting of such options or RSUs as of December 31, 2013, our NEOs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76" w:lineRule="exact"/>
        <w:rPr>
          <w:sz w:val="20"/>
          <w:szCs w:val="20"/>
          <w:color w:val="auto"/>
        </w:rPr>
      </w:pPr>
    </w:p>
    <w:p>
      <w:pPr>
        <w:ind w:left="340" w:hanging="332"/>
        <w:spacing w:after="0" w:line="23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Angelakis, Burke, Smit and Cohen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74" w:lineRule="exact"/>
        <w:rPr>
          <w:rFonts w:ascii="Arial" w:cs="Arial" w:eastAsia="Arial" w:hAnsi="Arial"/>
          <w:sz w:val="18"/>
          <w:szCs w:val="18"/>
          <w:color w:val="auto"/>
        </w:rPr>
      </w:pPr>
    </w:p>
    <w:p>
      <w:pPr>
        <w:ind w:left="340" w:right="40"/>
        <w:spacing w:after="0" w:line="236" w:lineRule="auto"/>
        <w:rPr>
          <w:rFonts w:ascii="Arial" w:cs="Arial" w:eastAsia="Arial" w:hAnsi="Arial"/>
          <w:sz w:val="18"/>
          <w:szCs w:val="18"/>
          <w:color w:val="auto"/>
        </w:rPr>
      </w:pPr>
      <w:r>
        <w:rPr>
          <w:rFonts w:ascii="Arial" w:cs="Arial" w:eastAsia="Arial" w:hAnsi="Arial"/>
          <w:sz w:val="18"/>
          <w:szCs w:val="18"/>
          <w:color w:val="auto"/>
        </w:rPr>
        <w:t>Each such executive also is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w:t>
      </w:r>
    </w:p>
    <w:p>
      <w:pPr>
        <w:spacing w:after="0" w:line="76" w:lineRule="exact"/>
        <w:rPr>
          <w:rFonts w:ascii="Arial" w:cs="Arial" w:eastAsia="Arial" w:hAnsi="Arial"/>
          <w:sz w:val="18"/>
          <w:szCs w:val="18"/>
          <w:color w:val="auto"/>
        </w:rPr>
      </w:pPr>
    </w:p>
    <w:p>
      <w:pPr>
        <w:ind w:left="340" w:right="20"/>
        <w:spacing w:after="0" w:line="236" w:lineRule="auto"/>
        <w:rPr>
          <w:rFonts w:ascii="Arial" w:cs="Arial" w:eastAsia="Arial" w:hAnsi="Arial"/>
          <w:sz w:val="18"/>
          <w:szCs w:val="18"/>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policy or a material breach of his agreement, and “good reason” generally means a substantial demotion in his position or a material breach of any material provision of his agreement.</w:t>
      </w:r>
    </w:p>
    <w:p>
      <w:pPr>
        <w:spacing w:after="0" w:line="76" w:lineRule="exact"/>
        <w:rPr>
          <w:rFonts w:ascii="Arial" w:cs="Arial" w:eastAsia="Arial" w:hAnsi="Arial"/>
          <w:sz w:val="18"/>
          <w:szCs w:val="18"/>
          <w:color w:val="auto"/>
        </w:rPr>
      </w:pPr>
    </w:p>
    <w:p>
      <w:pPr>
        <w:ind w:left="340" w:right="20" w:hanging="332"/>
        <w:spacing w:after="0" w:line="23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any of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740" w:firstLine="3744"/>
        <w:spacing w:after="0" w:line="502"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summarizes our equity plan information as of December 31, 2013.</w:t>
      </w: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3" w:lineRule="exact"/>
              <w:rPr>
                <w:sz w:val="20"/>
                <w:szCs w:val="20"/>
                <w:color w:val="auto"/>
              </w:rPr>
            </w:pPr>
            <w:r>
              <w:rPr>
                <w:rFonts w:ascii="Arial" w:cs="Arial" w:eastAsia="Arial" w:hAnsi="Arial"/>
                <w:sz w:val="18"/>
                <w:szCs w:val="18"/>
                <w:b w:val="1"/>
                <w:bCs w:val="1"/>
                <w:color w:val="auto"/>
                <w:w w:val="95"/>
              </w:rPr>
              <w:t>Number of</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7"/>
              </w:rPr>
              <w:t>Securities To Be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8"/>
              </w:rPr>
              <w:t>Weighted-</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Number of Securities</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6"/>
              </w:rPr>
              <w:t>Issued upon</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8"/>
              </w:rPr>
              <w:t>Average</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Remaining Available for</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7"/>
              </w:rPr>
              <w:t>Exercise of</w:t>
            </w:r>
          </w:p>
        </w:tc>
        <w:tc>
          <w:tcPr>
            <w:tcW w:w="500" w:type="dxa"/>
            <w:vAlign w:val="bottom"/>
          </w:tcPr>
          <w:p>
            <w:pPr>
              <w:spacing w:after="0"/>
              <w:rPr>
                <w:sz w:val="17"/>
                <w:szCs w:val="17"/>
                <w:color w:val="auto"/>
              </w:rPr>
            </w:pPr>
          </w:p>
        </w:tc>
        <w:tc>
          <w:tcPr>
            <w:tcW w:w="2280" w:type="dxa"/>
            <w:vAlign w:val="bottom"/>
            <w:gridSpan w:val="3"/>
          </w:tcPr>
          <w:p>
            <w:pPr>
              <w:jc w:val="center"/>
              <w:ind w:right="1000"/>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Future Issuance Under</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6"/>
              </w:rPr>
              <w:t>Outstanding</w:t>
            </w:r>
          </w:p>
        </w:tc>
        <w:tc>
          <w:tcPr>
            <w:tcW w:w="500" w:type="dxa"/>
            <w:vAlign w:val="bottom"/>
          </w:tcPr>
          <w:p>
            <w:pPr>
              <w:spacing w:after="0"/>
              <w:rPr>
                <w:sz w:val="17"/>
                <w:szCs w:val="17"/>
                <w:color w:val="auto"/>
              </w:rPr>
            </w:pPr>
          </w:p>
        </w:tc>
        <w:tc>
          <w:tcPr>
            <w:tcW w:w="2280" w:type="dxa"/>
            <w:vAlign w:val="bottom"/>
            <w:gridSpan w:val="3"/>
          </w:tcPr>
          <w:p>
            <w:pPr>
              <w:jc w:val="center"/>
              <w:ind w:right="1020"/>
              <w:spacing w:after="0" w:line="202" w:lineRule="exact"/>
              <w:rPr>
                <w:sz w:val="20"/>
                <w:szCs w:val="20"/>
                <w:color w:val="auto"/>
              </w:rPr>
            </w:pPr>
            <w:r>
              <w:rPr>
                <w:rFonts w:ascii="Arial" w:cs="Arial" w:eastAsia="Arial" w:hAnsi="Arial"/>
                <w:sz w:val="18"/>
                <w:szCs w:val="18"/>
                <w:b w:val="1"/>
                <w:bCs w:val="1"/>
                <w:color w:val="auto"/>
                <w:w w:val="98"/>
              </w:rPr>
              <w:t>of Outstanding</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Equity Compensation</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5"/>
              </w:rPr>
              <w:t>Options,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5"/>
              </w:rPr>
              <w:t>Options,</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Plans Excluding</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500" w:type="dxa"/>
            <w:vAlign w:val="bottom"/>
          </w:tcPr>
          <w:p>
            <w:pPr>
              <w:spacing w:after="0"/>
              <w:rPr>
                <w:sz w:val="17"/>
                <w:szCs w:val="17"/>
                <w:color w:val="auto"/>
              </w:rPr>
            </w:pPr>
          </w:p>
        </w:tc>
        <w:tc>
          <w:tcPr>
            <w:tcW w:w="2280" w:type="dxa"/>
            <w:vAlign w:val="bottom"/>
            <w:gridSpan w:val="3"/>
          </w:tcPr>
          <w:p>
            <w:pPr>
              <w:jc w:val="center"/>
              <w:ind w:right="1020"/>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Securities Reflected in</w:t>
            </w:r>
          </w:p>
        </w:tc>
        <w:tc>
          <w:tcPr>
            <w:tcW w:w="0" w:type="dxa"/>
            <w:vAlign w:val="bottom"/>
          </w:tcPr>
          <w:p>
            <w:pPr>
              <w:spacing w:after="0"/>
              <w:rPr>
                <w:sz w:val="1"/>
                <w:szCs w:val="1"/>
                <w:color w:val="auto"/>
              </w:rPr>
            </w:pPr>
          </w:p>
        </w:tc>
      </w:tr>
      <w:tr>
        <w:trPr>
          <w:trHeight w:val="203"/>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900" w:type="dxa"/>
            <w:vAlign w:val="bottom"/>
            <w:vMerge w:val="restart"/>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rPr>
              <w:t>Rights</w:t>
            </w:r>
            <w:r>
              <w:rPr>
                <w:rFonts w:ascii="Arial" w:cs="Arial" w:eastAsia="Arial" w:hAnsi="Arial"/>
                <w:sz w:val="11"/>
                <w:szCs w:val="11"/>
                <w:b w:val="1"/>
                <w:bCs w:val="1"/>
                <w:color w:val="auto"/>
              </w:rPr>
              <w:t>(1)</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60"/>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(2)</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Column (a)</w:t>
            </w:r>
            <w:r>
              <w:rPr>
                <w:rFonts w:ascii="Arial" w:cs="Arial" w:eastAsia="Arial" w:hAnsi="Arial"/>
                <w:sz w:val="11"/>
                <w:szCs w:val="11"/>
                <w:b w:val="1"/>
                <w:bCs w:val="1"/>
                <w:color w:val="auto"/>
                <w:w w:val="98"/>
              </w:rPr>
              <w:t>(3)</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5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(b)</w:t>
            </w:r>
          </w:p>
        </w:tc>
        <w:tc>
          <w:tcPr>
            <w:tcW w:w="102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6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w:t>
            </w:r>
          </w:p>
        </w:tc>
        <w:tc>
          <w:tcPr>
            <w:tcW w:w="18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130,840,365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25.49</w:t>
            </w:r>
          </w:p>
        </w:tc>
        <w:tc>
          <w:tcPr>
            <w:tcW w:w="102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100,417,859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Class A Special common stock</w:t>
            </w:r>
          </w:p>
        </w:tc>
        <w:tc>
          <w:tcPr>
            <w:tcW w:w="18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1,069,650</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188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131,910,015</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100,417,859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20" w:hanging="332"/>
        <w:spacing w:after="0" w:line="236"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the following plans: our 2003 Stock Option Plan, our 2002 Stock Option Plan, our 2002 Restricted Stock Plan (under which RSUs and performance-based RSUs have been granted), the Comcast Corporation 2002 Employee Stock Purchase Plan, the Comcast-NBCUniversal 2011 Employee Stock Purchase Plan and our 2002 Deferred Stock Option Plan. Also includes our 2002 Deferred Compensation Plan and 2005 Deferred Compensation Plan (under which shares of Class A and Class A Special common stock have been credited to participants’ accounts).</w:t>
      </w:r>
    </w:p>
    <w:p>
      <w:pPr>
        <w:spacing w:after="0" w:line="76" w:lineRule="exact"/>
        <w:rPr>
          <w:rFonts w:ascii="Arial" w:cs="Arial" w:eastAsia="Arial" w:hAnsi="Arial"/>
          <w:sz w:val="18"/>
          <w:szCs w:val="18"/>
          <w:color w:val="auto"/>
        </w:rPr>
      </w:pPr>
    </w:p>
    <w:p>
      <w:pPr>
        <w:ind w:left="340" w:right="140" w:hanging="332"/>
        <w:spacing w:after="0" w:line="239"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 and does not include any stock options that have been deferred.</w:t>
      </w:r>
    </w:p>
    <w:p>
      <w:pPr>
        <w:spacing w:after="0" w:line="73"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number of shares available for issuance includes the following number of shares of Class A common stock: 57,249,782 shares available for issuance under our 2003 Stock Option Plan; 31,760,987 shares available for issuance under our 2002 Restricted Stock Plan;</w:t>
      </w:r>
    </w:p>
    <w:p>
      <w:pPr>
        <w:ind w:left="340" w:right="160"/>
        <w:spacing w:after="0" w:line="236" w:lineRule="auto"/>
        <w:rPr>
          <w:rFonts w:ascii="Arial" w:cs="Arial" w:eastAsia="Arial" w:hAnsi="Arial"/>
          <w:sz w:val="16"/>
          <w:szCs w:val="16"/>
          <w:color w:val="auto"/>
        </w:rPr>
      </w:pPr>
      <w:r>
        <w:rPr>
          <w:rFonts w:ascii="Arial" w:cs="Arial" w:eastAsia="Arial" w:hAnsi="Arial"/>
          <w:sz w:val="18"/>
          <w:szCs w:val="18"/>
          <w:color w:val="auto"/>
        </w:rPr>
        <w:t>373,457 shares that were issued in connection with the fourth quarter 2013 purchase period under the Comcast Corporation 2002 Employee Stock Purchase Plan and 7,941,540 shares available for issuance under the Comcast Corporation 2002 Employee Stock Purchase Plan following the fourth quarter purchase; and 121,168 shares that were issued in connection with the fourth quarter 2013 purchase period under the Comcast-NBCUniversal 2011 Employee Stock Purchase Plan and 2,970,925 shares available for issuance under the Comcast-NBCUniversal 2011 Employee Stock Purchase Plan following the fourth quarter purchase.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2013</w:t>
      </w:r>
    </w:p>
    <w:p>
      <w:pPr>
        <w:spacing w:after="0" w:line="180"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following table sets forth specified information regarding the 2013 compensation of our nonemployee directors. Our employee directors, Messrs. Brian L. Roberts and Ralph J. Roberts, do not receive any compensation for their services as directors. Mr. Edward D. Breen was appointed as a director in February 2014, and therefore did not receive any compensation for 2013 and is not included in the table below. For a description of our nonemployee director compensation program, see “Proposal 1: Election of Directors — Director Compensation” above.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Change in Pension</w:t>
            </w:r>
          </w:p>
        </w:tc>
        <w:tc>
          <w:tcPr>
            <w:tcW w:w="760" w:type="dxa"/>
            <w:vAlign w:val="bottom"/>
          </w:tcPr>
          <w:p>
            <w:pPr>
              <w:spacing w:after="0"/>
              <w:rPr>
                <w:sz w:val="14"/>
                <w:szCs w:val="14"/>
                <w:color w:val="auto"/>
              </w:rPr>
            </w:pPr>
          </w:p>
        </w:tc>
      </w:tr>
      <w:tr>
        <w:trPr>
          <w:trHeight w:val="149"/>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Value and</w:t>
            </w:r>
          </w:p>
        </w:tc>
        <w:tc>
          <w:tcPr>
            <w:tcW w:w="76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76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Fees Earned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Deferred</w:t>
            </w:r>
          </w:p>
        </w:tc>
        <w:tc>
          <w:tcPr>
            <w:tcW w:w="760" w:type="dxa"/>
            <w:vAlign w:val="bottom"/>
          </w:tcPr>
          <w:p>
            <w:pPr>
              <w:spacing w:after="0"/>
              <w:rPr>
                <w:sz w:val="12"/>
                <w:szCs w:val="12"/>
                <w:color w:val="auto"/>
              </w:rPr>
            </w:pPr>
          </w:p>
        </w:tc>
      </w:tr>
      <w:tr>
        <w:trPr>
          <w:trHeight w:val="138"/>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or Paid in</w:t>
            </w: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760" w:type="dxa"/>
            <w:vAlign w:val="bottom"/>
          </w:tcPr>
          <w:p>
            <w:pPr>
              <w:spacing w:after="0"/>
              <w:rPr>
                <w:sz w:val="12"/>
                <w:szCs w:val="12"/>
                <w:color w:val="auto"/>
              </w:rPr>
            </w:pPr>
          </w:p>
        </w:tc>
      </w:tr>
      <w:tr>
        <w:trPr>
          <w:trHeight w:val="176"/>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9"/>
              </w:rPr>
              <w:t>Cash</w:t>
            </w:r>
            <w:r>
              <w:rPr>
                <w:rFonts w:ascii="Arial" w:cs="Arial" w:eastAsia="Arial" w:hAnsi="Arial"/>
                <w:sz w:val="20"/>
                <w:szCs w:val="20"/>
                <w:b w:val="1"/>
                <w:bCs w:val="1"/>
                <w:color w:val="auto"/>
                <w:w w:val="99"/>
                <w:vertAlign w:val="superscript"/>
              </w:rPr>
              <w:t>(1)</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86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(3)</w:t>
            </w:r>
          </w:p>
        </w:tc>
        <w:tc>
          <w:tcPr>
            <w:tcW w:w="13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(4)</w:t>
            </w: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142"/>
        </w:trPr>
        <w:tc>
          <w:tcPr>
            <w:tcW w:w="66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$116,369</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$170,019</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273"/>
              <w:spacing w:after="0" w:line="142" w:lineRule="exact"/>
              <w:rPr>
                <w:sz w:val="20"/>
                <w:szCs w:val="20"/>
                <w:color w:val="auto"/>
              </w:rPr>
            </w:pPr>
            <w:r>
              <w:rPr>
                <w:rFonts w:ascii="Arial" w:cs="Arial" w:eastAsia="Arial" w:hAnsi="Arial"/>
                <w:sz w:val="14"/>
                <w:szCs w:val="14"/>
                <w:color w:val="auto"/>
              </w:rPr>
              <w:t>$111,805</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$398,193</w:t>
            </w: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Sheldon M. Bonovitz</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101,000</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568,996</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840,015</w:t>
            </w: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172,619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73"/>
              <w:spacing w:after="0" w:line="149" w:lineRule="exact"/>
              <w:rPr>
                <w:sz w:val="20"/>
                <w:szCs w:val="20"/>
                <w:color w:val="auto"/>
              </w:rPr>
            </w:pPr>
            <w:r>
              <w:rPr>
                <w:rFonts w:ascii="Arial" w:cs="Arial" w:eastAsia="Arial" w:hAnsi="Arial"/>
                <w:sz w:val="14"/>
                <w:szCs w:val="14"/>
                <w:color w:val="auto"/>
              </w:rPr>
              <w:t>133,640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476,278</w:t>
            </w: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J. Michael Cook</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146,000</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247,976</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563,995</w:t>
            </w: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144,869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73"/>
              <w:spacing w:after="0" w:line="149" w:lineRule="exact"/>
              <w:rPr>
                <w:sz w:val="20"/>
                <w:szCs w:val="20"/>
                <w:color w:val="auto"/>
              </w:rPr>
            </w:pPr>
            <w:r>
              <w:rPr>
                <w:rFonts w:ascii="Arial" w:cs="Arial" w:eastAsia="Arial" w:hAnsi="Arial"/>
                <w:sz w:val="14"/>
                <w:szCs w:val="14"/>
                <w:color w:val="auto"/>
              </w:rPr>
              <w:t>50,894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365,782</w:t>
            </w: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Jeffrey A. Honickman</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143,869</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104,136</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418,024</w:t>
            </w: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Eduardo G. Mestre</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126,119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73"/>
              <w:spacing w:after="0" w:line="149" w:lineRule="exact"/>
              <w:rPr>
                <w:sz w:val="20"/>
                <w:szCs w:val="20"/>
                <w:color w:val="auto"/>
              </w:rPr>
            </w:pPr>
            <w:r>
              <w:rPr>
                <w:rFonts w:ascii="Arial" w:cs="Arial" w:eastAsia="Arial" w:hAnsi="Arial"/>
                <w:sz w:val="14"/>
                <w:szCs w:val="14"/>
                <w:color w:val="auto"/>
              </w:rPr>
              <w:t>15,452</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311,590</w:t>
            </w: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Johnathan A. Rodgers</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125,119</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5,219</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300,357</w:t>
            </w: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167,500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170,019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73"/>
              <w:spacing w:after="0" w:line="149" w:lineRule="exact"/>
              <w:rPr>
                <w:sz w:val="20"/>
                <w:szCs w:val="20"/>
                <w:color w:val="auto"/>
              </w:rPr>
            </w:pPr>
            <w:r>
              <w:rPr>
                <w:rFonts w:ascii="Arial" w:cs="Arial" w:eastAsia="Arial" w:hAnsi="Arial"/>
                <w:sz w:val="14"/>
                <w:szCs w:val="14"/>
                <w:color w:val="auto"/>
              </w:rPr>
              <w:t>192,788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530,307</w:t>
            </w:r>
          </w:p>
        </w:tc>
      </w:tr>
      <w:tr>
        <w:trPr>
          <w:trHeight w:val="108"/>
        </w:trPr>
        <w:tc>
          <w:tcPr>
            <w:tcW w:w="366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11" w:lineRule="exact"/>
        <w:rPr>
          <w:sz w:val="20"/>
          <w:szCs w:val="20"/>
          <w:color w:val="auto"/>
        </w:rPr>
      </w:pPr>
    </w:p>
    <w:p>
      <w:pPr>
        <w:ind w:left="340" w:right="80" w:hanging="332"/>
        <w:spacing w:after="0" w:line="23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with respect to their service in 2013, regardless of whether such fees were deferred as described below. Messrs. Bacon, Collins, Hassell, Honickman, Mestre and Rodgers elected to receive 50% of their annual retainer in the form of equity. In 2013, each earned (and, other than Mr. Bacon, deferred) 998 share units with respect to Class A common stock.</w:t>
      </w:r>
    </w:p>
    <w:p>
      <w:pPr>
        <w:spacing w:after="0" w:line="73" w:lineRule="exact"/>
        <w:rPr>
          <w:rFonts w:ascii="Arial" w:cs="Arial" w:eastAsia="Arial" w:hAnsi="Arial"/>
          <w:sz w:val="18"/>
          <w:szCs w:val="18"/>
          <w:color w:val="auto"/>
        </w:rPr>
      </w:pPr>
    </w:p>
    <w:p>
      <w:pPr>
        <w:ind w:left="340" w:right="140" w:hanging="332"/>
        <w:spacing w:after="0" w:line="273"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shares of Class A common stock granted in 2013, in accordance with FASB ASC Topic 718. The amounts in this column were calculated using the valuation assumptions discussed in the “Share-Based Compensation” footnote to the financial statements in our Annual Report on Form 10-K for the year ended December 31, 2013. The amounts were determined by multiplying the Class A common stock closing price on the date of grant by the number of shares subject to the grant. All nonemployee director annual equity awards were deferred, other than for Mr. Rodgers, who deferred 50% of his award, and Mr. Bacon.</w:t>
      </w:r>
    </w:p>
    <w:p>
      <w:pPr>
        <w:spacing w:after="0" w:line="47" w:lineRule="exact"/>
        <w:rPr>
          <w:rFonts w:ascii="Arial" w:cs="Arial" w:eastAsia="Arial" w:hAnsi="Arial"/>
          <w:sz w:val="16"/>
          <w:szCs w:val="16"/>
          <w:color w:val="auto"/>
        </w:rPr>
      </w:pPr>
    </w:p>
    <w:p>
      <w:pPr>
        <w:ind w:left="340" w:right="260"/>
        <w:spacing w:after="0" w:line="239" w:lineRule="auto"/>
        <w:rPr>
          <w:rFonts w:ascii="Arial" w:cs="Arial" w:eastAsia="Arial" w:hAnsi="Arial"/>
          <w:sz w:val="16"/>
          <w:szCs w:val="16"/>
          <w:color w:val="auto"/>
        </w:rPr>
      </w:pPr>
      <w:r>
        <w:rPr>
          <w:rFonts w:ascii="Arial" w:cs="Arial" w:eastAsia="Arial" w:hAnsi="Arial"/>
          <w:sz w:val="18"/>
          <w:szCs w:val="18"/>
          <w:color w:val="auto"/>
        </w:rPr>
        <w:t>As of December 31, 2013, the following share units were outstanding with respect to shares of Class A common stock resulting from annual equity awards and annual retainer fees, all of which were deferred: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4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Annual Equity Awards</w:t>
            </w:r>
          </w:p>
        </w:tc>
        <w:tc>
          <w:tcPr>
            <w:tcW w:w="15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Annual Retainers</w:t>
            </w:r>
          </w:p>
        </w:tc>
        <w:tc>
          <w:tcPr>
            <w:tcW w:w="20" w:type="dxa"/>
            <w:vAlign w:val="bottom"/>
          </w:tcPr>
          <w:p>
            <w:pPr>
              <w:spacing w:after="0"/>
              <w:rPr>
                <w:sz w:val="14"/>
                <w:szCs w:val="14"/>
                <w:color w:val="auto"/>
              </w:rPr>
            </w:pPr>
          </w:p>
        </w:tc>
      </w:tr>
      <w:tr>
        <w:trPr>
          <w:trHeight w:val="142"/>
        </w:trPr>
        <w:tc>
          <w:tcPr>
            <w:tcW w:w="4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15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19,280</w:t>
            </w:r>
          </w:p>
        </w:tc>
        <w:tc>
          <w:tcPr>
            <w:tcW w:w="15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700"/>
              <w:spacing w:after="0" w:line="142" w:lineRule="exact"/>
              <w:rPr>
                <w:sz w:val="20"/>
                <w:szCs w:val="20"/>
                <w:color w:val="auto"/>
              </w:rPr>
            </w:pPr>
            <w:r>
              <w:rPr>
                <w:rFonts w:ascii="Arial" w:cs="Arial" w:eastAsia="Arial" w:hAnsi="Arial"/>
                <w:sz w:val="14"/>
                <w:szCs w:val="14"/>
                <w:color w:val="auto"/>
              </w:rPr>
              <w:t>–</w:t>
            </w:r>
          </w:p>
        </w:tc>
      </w:tr>
      <w:tr>
        <w:trPr>
          <w:trHeight w:val="149"/>
        </w:trPr>
        <w:tc>
          <w:tcPr>
            <w:tcW w:w="4480" w:type="dxa"/>
            <w:vAlign w:val="bottom"/>
          </w:tcPr>
          <w:p>
            <w:pPr>
              <w:spacing w:after="0" w:line="149" w:lineRule="exact"/>
              <w:rPr>
                <w:sz w:val="20"/>
                <w:szCs w:val="20"/>
                <w:color w:val="auto"/>
              </w:rPr>
            </w:pPr>
            <w:r>
              <w:rPr>
                <w:rFonts w:ascii="Arial" w:cs="Arial" w:eastAsia="Arial" w:hAnsi="Arial"/>
                <w:sz w:val="14"/>
                <w:szCs w:val="14"/>
                <w:color w:val="auto"/>
              </w:rPr>
              <w:t>Sheldon M. Bonovitz</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7"/>
              </w:rPr>
              <w:t>15,777</w:t>
            </w:r>
          </w:p>
        </w:tc>
        <w:tc>
          <w:tcPr>
            <w:tcW w:w="1520" w:type="dxa"/>
            <w:vAlign w:val="bottom"/>
          </w:tcPr>
          <w:p>
            <w:pPr>
              <w:spacing w:after="0"/>
              <w:rPr>
                <w:sz w:val="12"/>
                <w:szCs w:val="12"/>
                <w:color w:val="auto"/>
              </w:rPr>
            </w:pP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r>
      <w:tr>
        <w:trPr>
          <w:trHeight w:val="149"/>
        </w:trPr>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53,519</w:t>
            </w:r>
          </w:p>
        </w:tc>
        <w:tc>
          <w:tcPr>
            <w:tcW w:w="26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12,651</w:t>
            </w:r>
          </w:p>
        </w:tc>
        <w:tc>
          <w:tcPr>
            <w:tcW w:w="20" w:type="dxa"/>
            <w:vAlign w:val="bottom"/>
            <w:shd w:val="clear" w:color="auto" w:fill="CCEEFF"/>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Arial" w:cs="Arial" w:eastAsia="Arial" w:hAnsi="Arial"/>
                <w:sz w:val="14"/>
                <w:szCs w:val="14"/>
                <w:color w:val="auto"/>
              </w:rPr>
              <w:t>J. Michael Cook</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7"/>
              </w:rPr>
              <w:t>35,119</w:t>
            </w:r>
          </w:p>
        </w:tc>
        <w:tc>
          <w:tcPr>
            <w:tcW w:w="268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5,718</w:t>
            </w:r>
          </w:p>
        </w:tc>
        <w:tc>
          <w:tcPr>
            <w:tcW w:w="20" w:type="dxa"/>
            <w:vAlign w:val="bottom"/>
          </w:tcPr>
          <w:p>
            <w:pPr>
              <w:spacing w:after="0"/>
              <w:rPr>
                <w:sz w:val="12"/>
                <w:szCs w:val="12"/>
                <w:color w:val="auto"/>
              </w:rPr>
            </w:pPr>
          </w:p>
        </w:tc>
      </w:tr>
      <w:tr>
        <w:trPr>
          <w:trHeight w:val="149"/>
        </w:trPr>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42,030</w:t>
            </w:r>
          </w:p>
        </w:tc>
        <w:tc>
          <w:tcPr>
            <w:tcW w:w="26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8,445</w:t>
            </w:r>
          </w:p>
        </w:tc>
        <w:tc>
          <w:tcPr>
            <w:tcW w:w="20" w:type="dxa"/>
            <w:vAlign w:val="bottom"/>
            <w:shd w:val="clear" w:color="auto" w:fill="CCEEFF"/>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Arial" w:cs="Arial" w:eastAsia="Arial" w:hAnsi="Arial"/>
                <w:sz w:val="14"/>
                <w:szCs w:val="14"/>
                <w:color w:val="auto"/>
              </w:rPr>
              <w:t>Jeffrey A. Honickman</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7"/>
              </w:rPr>
              <w:t>53,622</w:t>
            </w:r>
          </w:p>
        </w:tc>
        <w:tc>
          <w:tcPr>
            <w:tcW w:w="268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11,677</w:t>
            </w:r>
          </w:p>
        </w:tc>
        <w:tc>
          <w:tcPr>
            <w:tcW w:w="20" w:type="dxa"/>
            <w:vAlign w:val="bottom"/>
          </w:tcPr>
          <w:p>
            <w:pPr>
              <w:spacing w:after="0"/>
              <w:rPr>
                <w:sz w:val="12"/>
                <w:szCs w:val="12"/>
                <w:color w:val="auto"/>
              </w:rPr>
            </w:pPr>
          </w:p>
        </w:tc>
      </w:tr>
      <w:tr>
        <w:trPr>
          <w:trHeight w:val="149"/>
        </w:trPr>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Eduardo G. Mestre</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17,832</w:t>
            </w:r>
          </w:p>
        </w:tc>
        <w:tc>
          <w:tcPr>
            <w:tcW w:w="26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3,131</w:t>
            </w:r>
          </w:p>
        </w:tc>
        <w:tc>
          <w:tcPr>
            <w:tcW w:w="20" w:type="dxa"/>
            <w:vAlign w:val="bottom"/>
            <w:shd w:val="clear" w:color="auto" w:fill="CCEEFF"/>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Arial" w:cs="Arial" w:eastAsia="Arial" w:hAnsi="Arial"/>
                <w:sz w:val="14"/>
                <w:szCs w:val="14"/>
                <w:color w:val="auto"/>
              </w:rPr>
              <w:t>Johnathan A. Rodgers</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7"/>
              </w:rPr>
              <w:t>14,091</w:t>
            </w:r>
          </w:p>
        </w:tc>
        <w:tc>
          <w:tcPr>
            <w:tcW w:w="268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1,648</w:t>
            </w:r>
          </w:p>
        </w:tc>
        <w:tc>
          <w:tcPr>
            <w:tcW w:w="20" w:type="dxa"/>
            <w:vAlign w:val="bottom"/>
          </w:tcPr>
          <w:p>
            <w:pPr>
              <w:spacing w:after="0"/>
              <w:rPr>
                <w:sz w:val="12"/>
                <w:szCs w:val="12"/>
                <w:color w:val="auto"/>
              </w:rPr>
            </w:pPr>
          </w:p>
        </w:tc>
      </w:tr>
      <w:tr>
        <w:trPr>
          <w:trHeight w:val="149"/>
        </w:trPr>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53,516</w:t>
            </w:r>
          </w:p>
        </w:tc>
        <w:tc>
          <w:tcPr>
            <w:tcW w:w="26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7,409</w:t>
            </w:r>
          </w:p>
        </w:tc>
        <w:tc>
          <w:tcPr>
            <w:tcW w:w="20" w:type="dxa"/>
            <w:vAlign w:val="bottom"/>
            <w:shd w:val="clear" w:color="auto" w:fill="CCEEFF"/>
          </w:tcPr>
          <w:p>
            <w:pPr>
              <w:spacing w:after="0"/>
              <w:rPr>
                <w:sz w:val="12"/>
                <w:szCs w:val="12"/>
                <w:color w:val="auto"/>
              </w:rPr>
            </w:pPr>
          </w:p>
        </w:tc>
      </w:tr>
    </w:tbl>
    <w:p>
      <w:pPr>
        <w:spacing w:after="0" w:line="206" w:lineRule="exact"/>
        <w:rPr>
          <w:sz w:val="20"/>
          <w:szCs w:val="20"/>
          <w:color w:val="auto"/>
        </w:rPr>
      </w:pPr>
    </w:p>
    <w:p>
      <w:pPr>
        <w:ind w:left="340" w:right="420"/>
        <w:spacing w:after="0" w:line="239" w:lineRule="auto"/>
        <w:rPr>
          <w:sz w:val="20"/>
          <w:szCs w:val="20"/>
          <w:color w:val="auto"/>
        </w:rPr>
      </w:pPr>
      <w:r>
        <w:rPr>
          <w:rFonts w:ascii="Arial" w:cs="Arial" w:eastAsia="Arial" w:hAnsi="Arial"/>
          <w:sz w:val="18"/>
          <w:szCs w:val="18"/>
          <w:color w:val="auto"/>
        </w:rPr>
        <w:t>The number of share units reflected in the table above includes share units held by such nonemployee director arising from the accrual of dividend equivalents on deferred share units.</w:t>
      </w:r>
    </w:p>
    <w:p>
      <w:pPr>
        <w:spacing w:after="0" w:line="74" w:lineRule="exact"/>
        <w:rPr>
          <w:sz w:val="20"/>
          <w:szCs w:val="20"/>
          <w:color w:val="auto"/>
        </w:rPr>
      </w:pPr>
    </w:p>
    <w:p>
      <w:pPr>
        <w:ind w:left="340" w:right="40" w:hanging="332"/>
        <w:spacing w:after="0" w:line="239"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None of our nonemployee directors were granted stock option awards in 2013. As of December 31, 2013, the following nonemployee directors had outstanding option awards with respect to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40"/>
        <w:spacing w:after="0" w:line="239" w:lineRule="auto"/>
        <w:rPr>
          <w:sz w:val="20"/>
          <w:szCs w:val="20"/>
          <w:color w:val="auto"/>
        </w:rPr>
      </w:pPr>
      <w:r>
        <w:rPr>
          <w:rFonts w:ascii="Arial" w:cs="Arial" w:eastAsia="Arial" w:hAnsi="Arial"/>
          <w:sz w:val="18"/>
          <w:szCs w:val="18"/>
          <w:color w:val="auto"/>
        </w:rPr>
        <w:t>following number of shares of Class A common stock: Mr. Bonovitz, 11,250 shares; Mr. Collins, 14,062 shares; Mr. Cook, 11,250 shares; and Dr. Rodin, 11,250 shares.</w:t>
      </w:r>
    </w:p>
    <w:p>
      <w:pPr>
        <w:spacing w:after="0" w:line="74" w:lineRule="exact"/>
        <w:rPr>
          <w:sz w:val="20"/>
          <w:szCs w:val="20"/>
          <w:color w:val="auto"/>
        </w:rPr>
      </w:pPr>
    </w:p>
    <w:p>
      <w:pPr>
        <w:ind w:left="340" w:right="40" w:hanging="332"/>
        <w:spacing w:after="0" w:line="238"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interest crediting rate on deferred compensation in 2013 was 12%).</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8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We review all transactions, except for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75" w:lineRule="exact"/>
        <w:rPr>
          <w:sz w:val="20"/>
          <w:szCs w:val="20"/>
          <w:color w:val="auto"/>
        </w:rPr>
      </w:pPr>
    </w:p>
    <w:p>
      <w:pPr>
        <w:ind w:left="800" w:hanging="454"/>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7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 xml:space="preserve">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Ralph J. Roberts, one of our directors, is our Founder, Chairman Emeritus of the Board and an employee. He also is the father of Brian L. Roberts, our President, Chief Executive Officer and Chairman. From January 1, 2013 through December 31, 2013, Mr. Ralph J. Roberts only received $1 as a salary and did not receive any bonus or equity awards from us. However, he received approximately $50 million from us in 2013, primarily reflecting (i) the reimbursement of premiums on split-dollar life insurance policies and the aggregate amount of payments to cover certain tax liabilities, both of which were pursuant to contractual arrangements entered into over 15 years ago, and (ii) the dollar value of interest earned on amounts deferred under our deferred compensation plans before Mr. Roberts ceased being an executive officer in December 2008, calculated in the same manner as set forth in footnote 5 to the “Summary Compensation Table for 2013.” Under the terms of the split-dollar life insurance policies, we expect to receive approximately $79 million in the aggregate as repayment for prior premiums paid following the ultimate payout of the policies. Mr. Roberts also participates in our retirement, health and welfare benefit plans on the same basis as other similarly situated employees. In addition, if his employment terminates under specified circumstances, he will receive specified payments and benefits pursuant to his employment agreement.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shareholder proposals intended to be presented at our 2015 annual meeting of shareholders and considered for inclusion in our proxy materials must be received by December 12, 2014 and must comply with the procedures of Rule 14a-8 under the Exchange Act. Shareholder proposals failing to comply with the procedures of Rule 14a-8 under the Exchange Act will be excluded. If the date of our 2015 annual meeting is more than 30 days from May 21, 2015, we will publicly announce a different submission deadline from that set forth above, in compliance with SEC rules.</w:t>
      </w:r>
    </w:p>
    <w:p>
      <w:pPr>
        <w:spacing w:after="0" w:line="7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2015 but are not included in our proxy materials must comply with the advance notice provision in Section 2.09 of our by-laws. If we call the 2015 annual meeting of shareholders for a date between April 21, 2015 and June 20, 2015, we must receive notice of the proposal on or after February 20, 2015 and on or before March 22, 2015. If we call the 2015 annual meeting of shareholders for any other date, we must receive notice of the proposal by the close of business on the tenth day following the day we mailed notice of, or announced publicly, the date of the meeting, whichever occurs first. If notice is not received by March 22, 2015 (or the tenth day following the day we mail notice of, or announce publicly, the date of our 2015 annual meeting of shareholders, if such meeting is not called for a date between April 21, 2015 and June 20, 2015), the shareholder proposals will be deemed “untimely.”</w:t>
      </w:r>
    </w:p>
    <w:p>
      <w:pPr>
        <w:spacing w:after="0" w:line="7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“Proposal 1: Election of Directors — About our Board and its Committees — Director Nominations.”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SOLICITATION OF PROXIES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$31,500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Shareholders can access this proxy statement and our Annual Report on Form 10-K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7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73" w:lineRule="exact"/>
        <w:rPr>
          <w:sz w:val="20"/>
          <w:szCs w:val="20"/>
          <w:color w:val="auto"/>
        </w:rPr>
      </w:pPr>
    </w:p>
    <w:p>
      <w:pPr>
        <w:ind w:left="800" w:hanging="454"/>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58" w:lineRule="exact"/>
        <w:rPr>
          <w:sz w:val="20"/>
          <w:szCs w:val="20"/>
          <w:color w:val="auto"/>
        </w:rPr>
      </w:pPr>
    </w:p>
    <w:p>
      <w:pPr>
        <w:ind w:right="680"/>
        <w:spacing w:after="0" w:line="328"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If I am a registered shareholder, what do I need to do to receive just one set of annual disclosure materials?</w:t>
      </w:r>
    </w:p>
    <w:p>
      <w:pPr>
        <w:spacing w:after="0" w:line="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Notify our transfer agent, Wells Fargo, at 1-888-883-8903 or P.O. Box 64854, St. Paul, MN 55164-0854 to give your consent to householding. This consent is considered perpetual, which means you will continue to receive a single envelope containing each Notice for the household or a single proxy statement and annual report, as applicable, in the future unless you notify Wells Fargo otherwise.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in its own envelope or a separate proxy statement and annual report, as applicable, within 30 days of receipt of your instruction.</w:t>
      </w:r>
    </w:p>
    <w:p>
      <w:pPr>
        <w:spacing w:after="0" w:line="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5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DIRECTIONS TO THE KIMMEL CENTER FOR THE PERFORMING 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74930</wp:posOffset>
            </wp:positionV>
            <wp:extent cx="3070225" cy="2126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70225" cy="212661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 Jersey via the Ben Franklin Bridge</w:t>
      </w:r>
    </w:p>
    <w:p>
      <w:pPr>
        <w:spacing w:after="0" w:line="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Take NJ Turnpike (North or South) to Exit 4 (Philadelphia/Camden Exit). Take Rte. 73 North and follow it to Rte. 38 West. Take Rte. 38 West to the Benjamin Franklin Bridge, crossing into Philadelphia. Follow signs for I-676 West to the first exit, Broad Street/Rte. 611. This exit brings you to 15</w:t>
      </w:r>
      <w:r>
        <w:rPr>
          <w:rFonts w:ascii="Arial" w:cs="Arial" w:eastAsia="Arial" w:hAnsi="Arial"/>
          <w:sz w:val="10"/>
          <w:szCs w:val="10"/>
          <w:color w:val="auto"/>
        </w:rPr>
        <w:t>th</w:t>
      </w:r>
      <w:r>
        <w:rPr>
          <w:rFonts w:ascii="Arial" w:cs="Arial" w:eastAsia="Arial" w:hAnsi="Arial"/>
          <w:sz w:val="16"/>
          <w:szCs w:val="16"/>
          <w:color w:val="auto"/>
        </w:rPr>
        <w:t xml:space="preserve"> Street heading south. Follow 15</w:t>
      </w:r>
      <w:r>
        <w:rPr>
          <w:rFonts w:ascii="Arial" w:cs="Arial" w:eastAsia="Arial" w:hAnsi="Arial"/>
          <w:sz w:val="10"/>
          <w:szCs w:val="10"/>
          <w:color w:val="auto"/>
        </w:rPr>
        <w:t>th</w:t>
      </w:r>
      <w:r>
        <w:rPr>
          <w:rFonts w:ascii="Arial" w:cs="Arial" w:eastAsia="Arial" w:hAnsi="Arial"/>
          <w:sz w:val="16"/>
          <w:szCs w:val="16"/>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Take Rte. 76 (East or West) to Exit 344/I-676 East. Take I-676 East and exit at Broad Street/Rte. 611. This exit brings you to 15</w:t>
      </w:r>
      <w:r>
        <w:rPr>
          <w:rFonts w:ascii="Arial" w:cs="Arial" w:eastAsia="Arial" w:hAnsi="Arial"/>
          <w:sz w:val="11"/>
          <w:szCs w:val="11"/>
          <w:color w:val="auto"/>
        </w:rPr>
        <w:t>th</w:t>
      </w:r>
      <w:r>
        <w:rPr>
          <w:rFonts w:ascii="Arial" w:cs="Arial" w:eastAsia="Arial" w:hAnsi="Arial"/>
          <w:sz w:val="18"/>
          <w:szCs w:val="18"/>
          <w:color w:val="auto"/>
        </w:rPr>
        <w:t xml:space="preserve"> Street heading south. Follow 15</w:t>
      </w:r>
      <w:r>
        <w:rPr>
          <w:rFonts w:ascii="Arial" w:cs="Arial" w:eastAsia="Arial" w:hAnsi="Arial"/>
          <w:sz w:val="11"/>
          <w:szCs w:val="11"/>
          <w:color w:val="auto"/>
        </w:rPr>
        <w:t>th</w:t>
      </w:r>
      <w:r>
        <w:rPr>
          <w:rFonts w:ascii="Arial" w:cs="Arial" w:eastAsia="Arial" w:hAnsi="Arial"/>
          <w:sz w:val="18"/>
          <w:szCs w:val="18"/>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95 North and South</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Take I-95 (North or South) to Exit 22 (Central Philadelphia/I-676). Stay in the left lane of this exit. Follow signs for I-676 West and exit at Broad Street/Rte. 611. This exit brings you to 15</w:t>
      </w:r>
      <w:r>
        <w:rPr>
          <w:rFonts w:ascii="Arial" w:cs="Arial" w:eastAsia="Arial" w:hAnsi="Arial"/>
          <w:sz w:val="11"/>
          <w:szCs w:val="11"/>
          <w:color w:val="auto"/>
        </w:rPr>
        <w:t>th</w:t>
      </w:r>
      <w:r>
        <w:rPr>
          <w:rFonts w:ascii="Arial" w:cs="Arial" w:eastAsia="Arial" w:hAnsi="Arial"/>
          <w:sz w:val="18"/>
          <w:szCs w:val="18"/>
          <w:color w:val="auto"/>
        </w:rPr>
        <w:t xml:space="preserve"> Street heading south. Follow 15</w:t>
      </w:r>
      <w:r>
        <w:rPr>
          <w:rFonts w:ascii="Arial" w:cs="Arial" w:eastAsia="Arial" w:hAnsi="Arial"/>
          <w:sz w:val="11"/>
          <w:szCs w:val="11"/>
          <w:color w:val="auto"/>
        </w:rPr>
        <w:t>th</w:t>
      </w:r>
      <w:r>
        <w:rPr>
          <w:rFonts w:ascii="Arial" w:cs="Arial" w:eastAsia="Arial" w:hAnsi="Arial"/>
          <w:sz w:val="18"/>
          <w:szCs w:val="18"/>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Transportation</w:t>
      </w:r>
    </w:p>
    <w:p>
      <w:pPr>
        <w:spacing w:after="0" w:line="18"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i w:val="1"/>
          <w:iCs w:val="1"/>
          <w:color w:val="auto"/>
        </w:rPr>
        <w:t xml:space="preserve">SEPTA (Southeastern Pennsylvania Transportation Authority) Regional Rail Lines: </w:t>
      </w:r>
      <w:r>
        <w:rPr>
          <w:rFonts w:ascii="Arial" w:cs="Arial" w:eastAsia="Arial" w:hAnsi="Arial"/>
          <w:sz w:val="18"/>
          <w:szCs w:val="18"/>
          <w:color w:val="auto"/>
        </w:rPr>
        <w:t>Take any of the regional rail lines and exit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Suburban Station stop. Follow signs and transfer to the Broad Street Line heading south at City Hall (see directions below from the Broad Street Line).</w:t>
      </w:r>
    </w:p>
    <w:p>
      <w:pPr>
        <w:spacing w:after="0" w:line="58" w:lineRule="exact"/>
        <w:rPr>
          <w:sz w:val="20"/>
          <w:szCs w:val="20"/>
          <w:color w:val="auto"/>
        </w:rPr>
      </w:pPr>
    </w:p>
    <w:p>
      <w:pPr>
        <w:jc w:val="both"/>
        <w:ind w:left="200" w:right="280"/>
        <w:spacing w:after="0" w:line="247" w:lineRule="auto"/>
        <w:rPr>
          <w:sz w:val="20"/>
          <w:szCs w:val="20"/>
          <w:color w:val="auto"/>
        </w:rPr>
      </w:pPr>
      <w:r>
        <w:rPr>
          <w:rFonts w:ascii="Arial" w:cs="Arial" w:eastAsia="Arial" w:hAnsi="Arial"/>
          <w:sz w:val="18"/>
          <w:szCs w:val="18"/>
          <w:i w:val="1"/>
          <w:iCs w:val="1"/>
          <w:color w:val="auto"/>
        </w:rPr>
        <w:t xml:space="preserve">The Market-Frankford and Subway Surface Lines: </w:t>
      </w:r>
      <w:r>
        <w:rPr>
          <w:rFonts w:ascii="Arial" w:cs="Arial" w:eastAsia="Arial" w:hAnsi="Arial"/>
          <w:sz w:val="18"/>
          <w:szCs w:val="18"/>
          <w:color w:val="auto"/>
        </w:rPr>
        <w:t>Exit at the 15</w:t>
      </w:r>
      <w:r>
        <w:rPr>
          <w:rFonts w:ascii="Arial" w:cs="Arial" w:eastAsia="Arial" w:hAnsi="Arial"/>
          <w:sz w:val="11"/>
          <w:szCs w:val="11"/>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&amp;</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Station stop, and transfer to the Broad Street Line heading south (see directions below from the Broad Street Line).</w:t>
      </w:r>
    </w:p>
    <w:p>
      <w:pPr>
        <w:spacing w:after="0" w:line="50" w:lineRule="exact"/>
        <w:rPr>
          <w:sz w:val="20"/>
          <w:szCs w:val="20"/>
          <w:color w:val="auto"/>
        </w:rPr>
      </w:pPr>
    </w:p>
    <w:p>
      <w:pPr>
        <w:ind w:left="200"/>
        <w:spacing w:after="0" w:line="278" w:lineRule="auto"/>
        <w:rPr>
          <w:sz w:val="20"/>
          <w:szCs w:val="20"/>
          <w:color w:val="auto"/>
        </w:rPr>
      </w:pPr>
      <w:r>
        <w:rPr>
          <w:rFonts w:ascii="Arial" w:cs="Arial" w:eastAsia="Arial" w:hAnsi="Arial"/>
          <w:sz w:val="16"/>
          <w:szCs w:val="16"/>
          <w:i w:val="1"/>
          <w:iCs w:val="1"/>
          <w:color w:val="auto"/>
        </w:rPr>
        <w:t xml:space="preserve">The Broad Street Line: </w:t>
      </w:r>
      <w:r>
        <w:rPr>
          <w:rFonts w:ascii="Arial" w:cs="Arial" w:eastAsia="Arial" w:hAnsi="Arial"/>
          <w:sz w:val="16"/>
          <w:szCs w:val="16"/>
          <w:color w:val="auto"/>
        </w:rPr>
        <w:t>Exit at the Walnut-Locust Station stop. Upon</w:t>
      </w:r>
      <w:r>
        <w:rPr>
          <w:rFonts w:ascii="Arial" w:cs="Arial" w:eastAsia="Arial" w:hAnsi="Arial"/>
          <w:sz w:val="16"/>
          <w:szCs w:val="16"/>
          <w:i w:val="1"/>
          <w:iCs w:val="1"/>
          <w:color w:val="auto"/>
        </w:rPr>
        <w:t xml:space="preserve"> </w:t>
      </w:r>
      <w:r>
        <w:rPr>
          <w:rFonts w:ascii="Arial" w:cs="Arial" w:eastAsia="Arial" w:hAnsi="Arial"/>
          <w:sz w:val="16"/>
          <w:szCs w:val="16"/>
          <w:color w:val="auto"/>
        </w:rPr>
        <w:t>exiting the station, walk two blocks south on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8"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i w:val="1"/>
          <w:iCs w:val="1"/>
          <w:color w:val="auto"/>
        </w:rPr>
        <w:t xml:space="preserve">New Jersey PATCO High Speed Line: </w:t>
      </w:r>
      <w:r>
        <w:rPr>
          <w:rFonts w:ascii="Arial" w:cs="Arial" w:eastAsia="Arial" w:hAnsi="Arial"/>
          <w:sz w:val="18"/>
          <w:szCs w:val="18"/>
          <w:color w:val="auto"/>
        </w:rPr>
        <w:t>Take the High Speed Line</w:t>
      </w:r>
      <w:r>
        <w:rPr>
          <w:rFonts w:ascii="Arial" w:cs="Arial" w:eastAsia="Arial" w:hAnsi="Arial"/>
          <w:sz w:val="18"/>
          <w:szCs w:val="18"/>
          <w:i w:val="1"/>
          <w:iCs w:val="1"/>
          <w:color w:val="auto"/>
        </w:rPr>
        <w:t xml:space="preserve"> </w:t>
      </w:r>
      <w:r>
        <w:rPr>
          <w:rFonts w:ascii="Arial" w:cs="Arial" w:eastAsia="Arial" w:hAnsi="Arial"/>
          <w:sz w:val="18"/>
          <w:szCs w:val="18"/>
          <w:color w:val="auto"/>
        </w:rPr>
        <w:t>toward Philadelphia to the last, or 15</w:t>
      </w:r>
      <w:r>
        <w:rPr>
          <w:rFonts w:ascii="Arial" w:cs="Arial" w:eastAsia="Arial" w:hAnsi="Arial"/>
          <w:sz w:val="11"/>
          <w:szCs w:val="11"/>
          <w:color w:val="auto"/>
        </w:rPr>
        <w:t>th</w:t>
      </w:r>
      <w:r>
        <w:rPr>
          <w:rFonts w:ascii="Arial" w:cs="Arial" w:eastAsia="Arial" w:hAnsi="Arial"/>
          <w:sz w:val="18"/>
          <w:szCs w:val="18"/>
          <w:color w:val="auto"/>
        </w:rPr>
        <w:t xml:space="preserve"> Street, stop. Upon exiting the station at 15</w:t>
      </w:r>
      <w:r>
        <w:rPr>
          <w:rFonts w:ascii="Arial" w:cs="Arial" w:eastAsia="Arial" w:hAnsi="Arial"/>
          <w:sz w:val="11"/>
          <w:szCs w:val="11"/>
          <w:color w:val="auto"/>
        </w:rPr>
        <w:t>th</w:t>
      </w:r>
      <w:r>
        <w:rPr>
          <w:rFonts w:ascii="Arial" w:cs="Arial" w:eastAsia="Arial" w:hAnsi="Arial"/>
          <w:sz w:val="18"/>
          <w:szCs w:val="18"/>
          <w:color w:val="auto"/>
        </w:rPr>
        <w:t>&amp; Locust Streets, walk one block south on 15</w:t>
      </w:r>
      <w:r>
        <w:rPr>
          <w:rFonts w:ascii="Arial" w:cs="Arial" w:eastAsia="Arial" w:hAnsi="Arial"/>
          <w:sz w:val="11"/>
          <w:szCs w:val="11"/>
          <w:color w:val="auto"/>
        </w:rPr>
        <w:t>th</w:t>
      </w:r>
      <w:r>
        <w:rPr>
          <w:rFonts w:ascii="Arial" w:cs="Arial" w:eastAsia="Arial" w:hAnsi="Arial"/>
          <w:sz w:val="18"/>
          <w:szCs w:val="18"/>
          <w:color w:val="auto"/>
        </w:rPr>
        <w:t xml:space="preserve"> Street to Spruce Street. Turn left on Spruce Street. The entrance to the Kimmel Center is half a block ahead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Parking Information</w:t>
      </w:r>
    </w:p>
    <w:p>
      <w:pPr>
        <w:spacing w:after="0" w:line="18"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Several parking garages are available within blocks of the Kimmel Center. The entrance to the Kimmel Center Parking Garage is located just south of the Broad Street entrance to the building and can be accessed when traveling south on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ectPr>
          <w:pgSz w:w="11900" w:h="16838" w:orient="portrait"/>
          <w:cols w:equalWidth="0" w:num="2">
            <w:col w:w="5480" w:space="140"/>
            <w:col w:w="5680"/>
          </w:cols>
          <w:pgMar w:left="240" w:top="459" w:right="3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Reconciliations of Non-GAAP Financial Measures</w:t>
      </w:r>
    </w:p>
    <w:p>
      <w:pPr>
        <w:spacing w:after="0" w:line="18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For additional details regarding the reconciliation of GAAP and non-GAAP financial measures below, please see our Current Reports on Form 8-K filed with the SEC on January 28, 2014 and February 13, 2013. Please also refer to Exhibit 99.2 to the Current Report on Form 8-K filed with the SEC on January 28, 2014 for the reasons we believe that the presentation of financial measures not in accordance with generally accepted accounting principles in the United States (GAAP) provides useful information to investors regarding our financial condition and results of operations, and to the extent material, the additional purposes, if any, for which our management uses these non-GAAP financial measures.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Operating Cash Flow</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00" w:type="dxa"/>
            <w:vAlign w:val="bottom"/>
            <w:gridSpan w:val="9"/>
          </w:tcPr>
          <w:p>
            <w:pPr>
              <w:jc w:val="center"/>
              <w:ind w:left="872"/>
              <w:spacing w:after="0"/>
              <w:rPr>
                <w:sz w:val="20"/>
                <w:szCs w:val="20"/>
                <w:color w:val="auto"/>
              </w:rPr>
            </w:pPr>
            <w:r>
              <w:rPr>
                <w:rFonts w:ascii="Arial" w:cs="Arial" w:eastAsia="Arial" w:hAnsi="Arial"/>
                <w:sz w:val="18"/>
                <w:szCs w:val="18"/>
                <w:b w:val="1"/>
                <w:bCs w:val="1"/>
                <w:color w:val="auto"/>
                <w:w w:val="96"/>
              </w:rPr>
              <w:t>Year Ended December 31,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expense</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6,254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6,150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Consolidated Operating Cash Flow</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$21,434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$19,977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Consolidated Free Cash Flow</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1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7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gridSpan w:val="9"/>
          </w:tcPr>
          <w:p>
            <w:pPr>
              <w:jc w:val="center"/>
              <w:ind w:left="872"/>
              <w:spacing w:after="0"/>
              <w:rPr>
                <w:sz w:val="20"/>
                <w:szCs w:val="20"/>
                <w:color w:val="auto"/>
              </w:rPr>
            </w:pPr>
            <w:r>
              <w:rPr>
                <w:rFonts w:ascii="Arial" w:cs="Arial" w:eastAsia="Arial" w:hAnsi="Arial"/>
                <w:sz w:val="18"/>
                <w:szCs w:val="18"/>
                <w:b w:val="1"/>
                <w:bCs w:val="1"/>
                <w:color w:val="auto"/>
                <w:w w:val="96"/>
              </w:rPr>
              <w:t>Year Ended December 31,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03"/>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(6,596)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paid for capitalized software and other intangible assets</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6"/>
        </w:trPr>
        <w:tc>
          <w:tcPr>
            <w:tcW w:w="7120" w:type="dxa"/>
            <w:vAlign w:val="bottom"/>
            <w:gridSpan w:val="2"/>
          </w:tcPr>
          <w:p>
            <w:pPr>
              <w:spacing w:after="0" w:line="206" w:lineRule="exact"/>
              <w:rPr>
                <w:sz w:val="20"/>
                <w:szCs w:val="20"/>
                <w:color w:val="auto"/>
              </w:rPr>
            </w:pPr>
            <w:r>
              <w:rPr>
                <w:rFonts w:ascii="Arial" w:cs="Arial" w:eastAsia="Arial" w:hAnsi="Arial"/>
                <w:sz w:val="18"/>
                <w:szCs w:val="18"/>
                <w:color w:val="auto"/>
              </w:rPr>
              <w:t>Distributions to noncontrolling interests and dividends for redeemable subsidiary</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preferred stock</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(215)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spacing w:after="0" w:line="200" w:lineRule="exact"/>
              <w:rPr>
                <w:sz w:val="20"/>
                <w:szCs w:val="20"/>
                <w:color w:val="auto"/>
              </w:rPr>
            </w:pPr>
            <w:r>
              <w:rPr>
                <w:rFonts w:ascii="Arial" w:cs="Arial" w:eastAsia="Arial" w:hAnsi="Arial"/>
                <w:sz w:val="18"/>
                <w:szCs w:val="18"/>
                <w:color w:val="auto"/>
              </w:rPr>
              <w:t>(691)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of receivables monetization programs and other nonoperating items</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color w:val="auto"/>
              </w:rPr>
              <w:t>Free Cash Flow (including economic stimulus packages)</w:t>
            </w:r>
          </w:p>
        </w:tc>
        <w:tc>
          <w:tcPr>
            <w:tcW w:w="1180" w:type="dxa"/>
            <w:vAlign w:val="bottom"/>
          </w:tcPr>
          <w:p>
            <w:pPr>
              <w:jc w:val="right"/>
              <w:spacing w:after="0"/>
              <w:rPr>
                <w:sz w:val="20"/>
                <w:szCs w:val="20"/>
                <w:color w:val="auto"/>
              </w:rPr>
            </w:pPr>
            <w:r>
              <w:rPr>
                <w:rFonts w:ascii="Arial" w:cs="Arial" w:eastAsia="Arial" w:hAnsi="Arial"/>
                <w:sz w:val="18"/>
                <w:szCs w:val="18"/>
                <w:color w:val="auto"/>
              </w:rPr>
              <w:t>8,367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Economic stimulus packages</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Consolidated Free Cash Flow</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$ 8,489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$ 7,939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$ 7,009</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ind w:left="5580"/>
              <w:spacing w:after="0"/>
              <w:rPr>
                <w:sz w:val="20"/>
                <w:szCs w:val="20"/>
                <w:color w:val="auto"/>
              </w:rPr>
            </w:pPr>
            <w:r>
              <w:rPr>
                <w:rFonts w:ascii="Arial" w:cs="Arial" w:eastAsia="Arial" w:hAnsi="Arial"/>
                <w:sz w:val="18"/>
                <w:szCs w:val="18"/>
                <w:color w:val="auto"/>
              </w:rPr>
              <w:t>A-1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34795" cy="5403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3833495</wp:posOffset>
            </wp:positionV>
            <wp:extent cx="1457960" cy="668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CO-PS-2014-R</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205740</wp:posOffset>
            </wp:positionV>
            <wp:extent cx="1809750" cy="643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9750" cy="643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205740</wp:posOffset>
            </wp:positionV>
            <wp:extent cx="1929765" cy="4546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29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6620" w:type="dxa"/>
            <w:vAlign w:val="bottom"/>
          </w:tcPr>
          <w:p>
            <w:pPr>
              <w:ind w:left="3680"/>
              <w:spacing w:after="0"/>
              <w:rPr>
                <w:sz w:val="20"/>
                <w:szCs w:val="20"/>
                <w:color w:val="auto"/>
              </w:rPr>
            </w:pPr>
            <w:r>
              <w:rPr>
                <w:rFonts w:ascii="Arial" w:cs="Arial" w:eastAsia="Arial" w:hAnsi="Arial"/>
                <w:sz w:val="14"/>
                <w:szCs w:val="14"/>
                <w:b w:val="1"/>
                <w:bCs w:val="1"/>
                <w:color w:val="auto"/>
              </w:rPr>
              <w:t>Admission Ticket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4"/>
                <w:szCs w:val="14"/>
                <w:b w:val="1"/>
                <w:bCs w:val="1"/>
                <w:i w:val="1"/>
                <w:iCs w:val="1"/>
                <w:color w:val="auto"/>
              </w:rPr>
              <w:t>ONE COMCAST CENTER</w:t>
            </w:r>
          </w:p>
        </w:tc>
        <w:tc>
          <w:tcPr>
            <w:tcW w:w="6620" w:type="dxa"/>
            <w:vAlign w:val="bottom"/>
            <w:vMerge w:val="restart"/>
          </w:tcPr>
          <w:p>
            <w:pPr>
              <w:ind w:left="1760"/>
              <w:spacing w:after="0"/>
              <w:rPr>
                <w:sz w:val="20"/>
                <w:szCs w:val="20"/>
                <w:color w:val="auto"/>
              </w:rPr>
            </w:pPr>
            <w:r>
              <w:rPr>
                <w:rFonts w:ascii="Arial" w:cs="Arial" w:eastAsia="Arial" w:hAnsi="Arial"/>
                <w:sz w:val="14"/>
                <w:szCs w:val="14"/>
                <w:b w:val="1"/>
                <w:bCs w:val="1"/>
                <w:color w:val="auto"/>
                <w:w w:val="98"/>
              </w:rPr>
              <w:t>VOTE BY INTERNET - www.proxyvote.com or scan the QR Barcode above</w:t>
            </w:r>
          </w:p>
        </w:tc>
        <w:tc>
          <w:tcPr>
            <w:tcW w:w="0" w:type="dxa"/>
            <w:vAlign w:val="bottom"/>
          </w:tcPr>
          <w:p>
            <w:pPr>
              <w:spacing w:after="0"/>
              <w:rPr>
                <w:sz w:val="1"/>
                <w:szCs w:val="1"/>
                <w:color w:val="auto"/>
              </w:rPr>
            </w:pPr>
          </w:p>
        </w:tc>
      </w:tr>
      <w:tr>
        <w:trPr>
          <w:trHeight w:val="68"/>
        </w:trPr>
        <w:tc>
          <w:tcPr>
            <w:tcW w:w="3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PHILADELPHIA, PA 19103</w:t>
            </w:r>
          </w:p>
        </w:tc>
        <w:tc>
          <w:tcPr>
            <w:tcW w:w="6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480" w:type="dxa"/>
            <w:vAlign w:val="bottom"/>
            <w:vMerge w:val="continue"/>
          </w:tcPr>
          <w:p>
            <w:pPr>
              <w:spacing w:after="0"/>
              <w:rPr>
                <w:sz w:val="9"/>
                <w:szCs w:val="9"/>
                <w:color w:val="auto"/>
              </w:rPr>
            </w:pPr>
          </w:p>
        </w:tc>
        <w:tc>
          <w:tcPr>
            <w:tcW w:w="6620" w:type="dxa"/>
            <w:vAlign w:val="bottom"/>
            <w:vMerge w:val="restart"/>
          </w:tcPr>
          <w:p>
            <w:pPr>
              <w:ind w:left="1760"/>
              <w:spacing w:after="0" w:line="149" w:lineRule="exact"/>
              <w:rPr>
                <w:sz w:val="20"/>
                <w:szCs w:val="20"/>
                <w:color w:val="auto"/>
              </w:rPr>
            </w:pPr>
            <w:r>
              <w:rPr>
                <w:rFonts w:ascii="Arial" w:cs="Arial" w:eastAsia="Arial" w:hAnsi="Arial"/>
                <w:sz w:val="14"/>
                <w:szCs w:val="14"/>
                <w:color w:val="auto"/>
                <w:w w:val="99"/>
              </w:rPr>
              <w:t>Use the Internet to transmit your voting instructions up until 11:59 P.M. Eastern</w:t>
            </w:r>
          </w:p>
        </w:tc>
        <w:tc>
          <w:tcPr>
            <w:tcW w:w="0" w:type="dxa"/>
            <w:vAlign w:val="bottom"/>
          </w:tcPr>
          <w:p>
            <w:pPr>
              <w:spacing w:after="0"/>
              <w:rPr>
                <w:sz w:val="1"/>
                <w:szCs w:val="1"/>
                <w:color w:val="auto"/>
              </w:rPr>
            </w:pPr>
          </w:p>
        </w:tc>
      </w:tr>
      <w:tr>
        <w:trPr>
          <w:trHeight w:val="34"/>
        </w:trPr>
        <w:tc>
          <w:tcPr>
            <w:tcW w:w="3480" w:type="dxa"/>
            <w:vAlign w:val="bottom"/>
          </w:tcPr>
          <w:p>
            <w:pPr>
              <w:spacing w:after="0"/>
              <w:rPr>
                <w:sz w:val="2"/>
                <w:szCs w:val="2"/>
                <w:color w:val="auto"/>
              </w:rPr>
            </w:pPr>
          </w:p>
        </w:tc>
        <w:tc>
          <w:tcPr>
            <w:tcW w:w="6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5"/>
              </w:rPr>
              <w:t>Time on May 20, 2014. Please have your proxy card in hand when you access the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5"/>
              </w:rPr>
              <w:t>website and follow the instructions to obtain your records and create an electronic</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6620" w:type="dxa"/>
            <w:vAlign w:val="bottom"/>
          </w:tcPr>
          <w:p>
            <w:pPr>
              <w:ind w:left="1760"/>
              <w:spacing w:after="0"/>
              <w:rPr>
                <w:sz w:val="20"/>
                <w:szCs w:val="20"/>
                <w:color w:val="auto"/>
              </w:rPr>
            </w:pPr>
            <w:r>
              <w:rPr>
                <w:rFonts w:ascii="Arial" w:cs="Arial" w:eastAsia="Arial" w:hAnsi="Arial"/>
                <w:sz w:val="14"/>
                <w:szCs w:val="14"/>
                <w:color w:val="auto"/>
              </w:rPr>
              <w:t>voting instruction form.</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6620" w:type="dxa"/>
            <w:vAlign w:val="bottom"/>
          </w:tcPr>
          <w:p>
            <w:pPr>
              <w:ind w:left="176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8"/>
              </w:rPr>
              <w:t>Use any touch-tone telephone to transmit your voting instructions up until 11:59</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2"/>
              </w:rPr>
              <w:t>P.M. Eastern Time on May 20, 2014. Please have your proxy card in hand when you</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6620" w:type="dxa"/>
            <w:vAlign w:val="bottom"/>
          </w:tcPr>
          <w:p>
            <w:pPr>
              <w:ind w:left="1760"/>
              <w:spacing w:after="0"/>
              <w:rPr>
                <w:sz w:val="20"/>
                <w:szCs w:val="20"/>
                <w:color w:val="auto"/>
              </w:rPr>
            </w:pPr>
            <w:r>
              <w:rPr>
                <w:rFonts w:ascii="Arial" w:cs="Arial" w:eastAsia="Arial" w:hAnsi="Arial"/>
                <w:sz w:val="14"/>
                <w:szCs w:val="14"/>
                <w:color w:val="auto"/>
              </w:rPr>
              <w:t>call and then follow the instructions.</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6620" w:type="dxa"/>
            <w:vAlign w:val="bottom"/>
          </w:tcPr>
          <w:p>
            <w:pPr>
              <w:ind w:left="176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5"/>
              </w:rPr>
              <w:t>Mark, sign and date your proxy card and return it in the postage-paid envelope we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3"/>
              </w:rPr>
              <w:t>have provided or return it to Vote Processing, Comcast Corporation, c/o Broadridge</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6620" w:type="dxa"/>
            <w:vAlign w:val="bottom"/>
          </w:tcPr>
          <w:p>
            <w:pPr>
              <w:ind w:left="1760"/>
              <w:spacing w:after="0"/>
              <w:rPr>
                <w:sz w:val="20"/>
                <w:szCs w:val="20"/>
                <w:color w:val="auto"/>
              </w:rPr>
            </w:pPr>
            <w:r>
              <w:rPr>
                <w:rFonts w:ascii="Arial" w:cs="Arial" w:eastAsia="Arial" w:hAnsi="Arial"/>
                <w:sz w:val="14"/>
                <w:szCs w:val="14"/>
                <w:color w:val="auto"/>
              </w:rPr>
              <w:t>Financial Solutions, 51 Mercedes Way, Edgewood, NY 11717.</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6620" w:type="dxa"/>
            <w:vAlign w:val="bottom"/>
          </w:tcPr>
          <w:p>
            <w:pPr>
              <w:ind w:left="17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rPr>
              <w:t>If you would like to reduce the costs incurred by our company in mailing proxy</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6"/>
              </w:rPr>
              <w:t>materials, you can consent to receiving all future Notices of Internet Availability 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5"/>
              </w:rPr>
              <w:t>Proxy Materials, proxy statements, proxy cards and Annual Reports on Form 10-K</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5"/>
              </w:rPr>
              <w:t>follow the instructions above to vote by Internet and, when prompted, indicate that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4"/>
              </w:rPr>
              <w:t>you agree to receive or access shareholder communications electronically in future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9"/>
              </w:rPr>
              <w:t>years. For further details regarding electronic delivery, please see the “General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620" w:type="dxa"/>
            <w:vAlign w:val="bottom"/>
          </w:tcPr>
          <w:p>
            <w:pPr>
              <w:ind w:left="1760"/>
              <w:spacing w:after="0" w:line="149" w:lineRule="exact"/>
              <w:rPr>
                <w:sz w:val="20"/>
                <w:szCs w:val="20"/>
                <w:color w:val="auto"/>
              </w:rPr>
            </w:pPr>
            <w:r>
              <w:rPr>
                <w:rFonts w:ascii="Arial" w:cs="Arial" w:eastAsia="Arial" w:hAnsi="Arial"/>
                <w:sz w:val="14"/>
                <w:szCs w:val="14"/>
                <w:color w:val="auto"/>
                <w:w w:val="98"/>
              </w:rPr>
              <w:t>Information — Notice of Electronic Availability of Proxy Materials” section of our</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6620" w:type="dxa"/>
            <w:vAlign w:val="bottom"/>
          </w:tcPr>
          <w:p>
            <w:pPr>
              <w:ind w:left="1760"/>
              <w:spacing w:after="0"/>
              <w:rPr>
                <w:sz w:val="20"/>
                <w:szCs w:val="20"/>
                <w:color w:val="auto"/>
              </w:rPr>
            </w:pPr>
            <w:r>
              <w:rPr>
                <w:rFonts w:ascii="Arial" w:cs="Arial" w:eastAsia="Arial" w:hAnsi="Arial"/>
                <w:sz w:val="14"/>
                <w:szCs w:val="14"/>
                <w:color w:val="auto"/>
              </w:rPr>
              <w:t>proxy statement.</w:t>
            </w: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380" w:type="dxa"/>
            <w:vAlign w:val="bottom"/>
            <w:gridSpan w:val="8"/>
          </w:tcPr>
          <w:p>
            <w:pPr>
              <w:spacing w:after="0"/>
              <w:rPr>
                <w:sz w:val="20"/>
                <w:szCs w:val="20"/>
                <w:color w:val="auto"/>
              </w:rPr>
            </w:pPr>
            <w:r>
              <w:rPr>
                <w:rFonts w:ascii="Arial" w:cs="Arial" w:eastAsia="Arial" w:hAnsi="Arial"/>
                <w:sz w:val="14"/>
                <w:szCs w:val="14"/>
                <w:color w:val="auto"/>
              </w:rPr>
              <w:t>TO VOTE, MARK BLOCKS BELOW IN BLUE OR BLACK INK.</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gridSpan w:val="5"/>
            <w:vMerge w:val="restart"/>
          </w:tcPr>
          <w:p>
            <w:pPr>
              <w:ind w:left="240"/>
              <w:spacing w:after="0"/>
              <w:rPr>
                <w:sz w:val="20"/>
                <w:szCs w:val="20"/>
                <w:color w:val="auto"/>
              </w:rPr>
            </w:pPr>
            <w:r>
              <w:rPr>
                <w:rFonts w:ascii="Arial" w:cs="Arial" w:eastAsia="Arial" w:hAnsi="Arial"/>
                <w:sz w:val="14"/>
                <w:szCs w:val="14"/>
                <w:color w:val="auto"/>
              </w:rPr>
              <w:t>M67042-P46909-Z62353</w:t>
            </w:r>
          </w:p>
        </w:tc>
        <w:tc>
          <w:tcPr>
            <w:tcW w:w="80" w:type="dxa"/>
            <w:vAlign w:val="bottom"/>
            <w:vMerge w:val="restart"/>
          </w:tcPr>
          <w:p>
            <w:pPr>
              <w:spacing w:after="0"/>
              <w:rPr>
                <w:sz w:val="15"/>
                <w:szCs w:val="15"/>
                <w:color w:val="auto"/>
              </w:rPr>
            </w:pPr>
          </w:p>
        </w:tc>
        <w:tc>
          <w:tcPr>
            <w:tcW w:w="580" w:type="dxa"/>
            <w:vAlign w:val="bottom"/>
            <w:vMerge w:val="restart"/>
          </w:tcPr>
          <w:p>
            <w:pPr>
              <w:spacing w:after="0"/>
              <w:rPr>
                <w:sz w:val="15"/>
                <w:szCs w:val="15"/>
                <w:color w:val="auto"/>
              </w:rPr>
            </w:pPr>
          </w:p>
        </w:tc>
        <w:tc>
          <w:tcPr>
            <w:tcW w:w="3080" w:type="dxa"/>
            <w:vAlign w:val="bottom"/>
            <w:gridSpan w:val="7"/>
            <w:vMerge w:val="restart"/>
          </w:tcPr>
          <w:p>
            <w:pPr>
              <w:ind w:left="240"/>
              <w:spacing w:after="0"/>
              <w:rPr>
                <w:sz w:val="20"/>
                <w:szCs w:val="20"/>
                <w:color w:val="auto"/>
              </w:rPr>
            </w:pPr>
            <w:r>
              <w:rPr>
                <w:rFonts w:ascii="Arial" w:cs="Arial" w:eastAsia="Arial" w:hAnsi="Arial"/>
                <w:sz w:val="14"/>
                <w:szCs w:val="14"/>
                <w:color w:val="auto"/>
                <w:w w:val="95"/>
              </w:rPr>
              <w:t>KEEP THIS PORTION FOR YOUR RECORDS</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5"/>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gridSpan w:val="12"/>
            <w:vMerge w:val="restart"/>
          </w:tcPr>
          <w:p>
            <w:pPr>
              <w:ind w:left="4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80" w:type="dxa"/>
            <w:vAlign w:val="bottom"/>
            <w:gridSpan w:val="7"/>
          </w:tcPr>
          <w:p>
            <w:pPr>
              <w:jc w:val="center"/>
              <w:ind w:left="28"/>
              <w:spacing w:after="0"/>
              <w:rPr>
                <w:sz w:val="20"/>
                <w:szCs w:val="20"/>
                <w:color w:val="auto"/>
              </w:rPr>
            </w:pPr>
            <w:r>
              <w:rPr>
                <w:rFonts w:ascii="Arial" w:cs="Arial" w:eastAsia="Arial" w:hAnsi="Arial"/>
                <w:sz w:val="14"/>
                <w:szCs w:val="14"/>
                <w:color w:val="auto"/>
                <w:w w:val="98"/>
              </w:rPr>
              <w:t>DETACH AND RETURN THIS PORTION ONLY</w:t>
            </w: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80" w:type="dxa"/>
            <w:vAlign w:val="bottom"/>
            <w:gridSpan w:val="12"/>
            <w:vMerge w:val="continue"/>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gridSpan w:val="3"/>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gridSpan w:val="5"/>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360" w:type="dxa"/>
            <w:vAlign w:val="bottom"/>
            <w:tcBorders>
              <w:left w:val="single" w:sz="8" w:color="auto"/>
            </w:tcBorders>
            <w:gridSpan w:val="4"/>
          </w:tcPr>
          <w:p>
            <w:pPr>
              <w:ind w:left="160"/>
              <w:spacing w:after="0" w:line="126" w:lineRule="exact"/>
              <w:rPr>
                <w:sz w:val="20"/>
                <w:szCs w:val="20"/>
                <w:color w:val="auto"/>
              </w:rPr>
            </w:pPr>
            <w:r>
              <w:rPr>
                <w:rFonts w:ascii="Arial" w:cs="Arial" w:eastAsia="Arial" w:hAnsi="Arial"/>
                <w:sz w:val="14"/>
                <w:szCs w:val="14"/>
                <w:b w:val="1"/>
                <w:bCs w:val="1"/>
                <w:color w:val="auto"/>
              </w:rPr>
              <w:t>COMCAST CORPORATION</w:t>
            </w: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6"/>
              </w:rPr>
              <w:t>Withhold</w:t>
            </w:r>
          </w:p>
        </w:tc>
        <w:tc>
          <w:tcPr>
            <w:tcW w:w="5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9"/>
              </w:rPr>
              <w:t>For All</w:t>
            </w:r>
          </w:p>
        </w:tc>
        <w:tc>
          <w:tcPr>
            <w:tcW w:w="160" w:type="dxa"/>
            <w:vAlign w:val="bottom"/>
          </w:tcPr>
          <w:p>
            <w:pPr>
              <w:spacing w:after="0"/>
              <w:rPr>
                <w:sz w:val="10"/>
                <w:szCs w:val="10"/>
                <w:color w:val="auto"/>
              </w:rPr>
            </w:pPr>
          </w:p>
        </w:tc>
        <w:tc>
          <w:tcPr>
            <w:tcW w:w="3520" w:type="dxa"/>
            <w:vAlign w:val="bottom"/>
            <w:gridSpan w:val="7"/>
          </w:tcPr>
          <w:p>
            <w:pPr>
              <w:ind w:left="100"/>
              <w:spacing w:after="0" w:line="126" w:lineRule="exact"/>
              <w:rPr>
                <w:sz w:val="20"/>
                <w:szCs w:val="20"/>
                <w:color w:val="auto"/>
              </w:rPr>
            </w:pPr>
            <w:r>
              <w:rPr>
                <w:rFonts w:ascii="Arial" w:cs="Arial" w:eastAsia="Arial" w:hAnsi="Arial"/>
                <w:sz w:val="14"/>
                <w:szCs w:val="14"/>
                <w:color w:val="auto"/>
              </w:rPr>
              <w:t>To withhold authority to vote for any individual</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0" w:type="dxa"/>
            <w:vAlign w:val="bottom"/>
            <w:tcBorders>
              <w:lef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560" w:type="dxa"/>
            <w:vAlign w:val="bottom"/>
            <w:gridSpan w:val="2"/>
          </w:tcPr>
          <w:p>
            <w:pPr>
              <w:jc w:val="center"/>
              <w:ind w:left="19"/>
              <w:spacing w:after="0" w:line="153" w:lineRule="exact"/>
              <w:rPr>
                <w:sz w:val="20"/>
                <w:szCs w:val="20"/>
                <w:color w:val="auto"/>
              </w:rPr>
            </w:pPr>
            <w:r>
              <w:rPr>
                <w:rFonts w:ascii="Arial" w:cs="Arial" w:eastAsia="Arial" w:hAnsi="Arial"/>
                <w:sz w:val="14"/>
                <w:szCs w:val="14"/>
                <w:b w:val="1"/>
                <w:bCs w:val="1"/>
                <w:color w:val="auto"/>
                <w:w w:val="91"/>
              </w:rPr>
              <w:t>Except</w:t>
            </w:r>
          </w:p>
        </w:tc>
        <w:tc>
          <w:tcPr>
            <w:tcW w:w="160" w:type="dxa"/>
            <w:vAlign w:val="bottom"/>
          </w:tcPr>
          <w:p>
            <w:pPr>
              <w:spacing w:after="0"/>
              <w:rPr>
                <w:sz w:val="16"/>
                <w:szCs w:val="16"/>
                <w:color w:val="auto"/>
              </w:rPr>
            </w:pPr>
          </w:p>
        </w:tc>
        <w:tc>
          <w:tcPr>
            <w:tcW w:w="3520" w:type="dxa"/>
            <w:vAlign w:val="bottom"/>
            <w:gridSpan w:val="7"/>
          </w:tcPr>
          <w:p>
            <w:pPr>
              <w:ind w:left="100"/>
              <w:spacing w:after="0" w:line="153" w:lineRule="exact"/>
              <w:rPr>
                <w:sz w:val="20"/>
                <w:szCs w:val="20"/>
                <w:color w:val="auto"/>
              </w:rPr>
            </w:pPr>
            <w:r>
              <w:rPr>
                <w:rFonts w:ascii="Arial" w:cs="Arial" w:eastAsia="Arial" w:hAnsi="Arial"/>
                <w:sz w:val="14"/>
                <w:szCs w:val="14"/>
                <w:color w:val="auto"/>
              </w:rPr>
              <w:t>nominee(s), mark “For All Except” and write the</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right w:val="single" w:sz="8" w:color="auto"/>
            </w:tcBorders>
          </w:tcPr>
          <w:p>
            <w:pPr>
              <w:spacing w:after="0"/>
              <w:rPr>
                <w:sz w:val="10"/>
                <w:szCs w:val="10"/>
                <w:color w:val="auto"/>
              </w:rPr>
            </w:pPr>
          </w:p>
        </w:tc>
        <w:tc>
          <w:tcPr>
            <w:tcW w:w="240" w:type="dxa"/>
            <w:vAlign w:val="bottom"/>
            <w:shd w:val="clear" w:color="auto" w:fill="000000"/>
          </w:tcPr>
          <w:p>
            <w:pPr>
              <w:ind w:left="60"/>
              <w:spacing w:after="0" w:line="122" w:lineRule="exact"/>
              <w:rPr>
                <w:sz w:val="20"/>
                <w:szCs w:val="20"/>
                <w:color w:val="auto"/>
              </w:rPr>
            </w:pPr>
            <w:r>
              <w:rPr>
                <w:rFonts w:ascii="Arial" w:cs="Arial" w:eastAsia="Arial" w:hAnsi="Arial"/>
                <w:sz w:val="14"/>
                <w:szCs w:val="14"/>
                <w:b w:val="1"/>
                <w:bCs w:val="1"/>
                <w:color w:val="FFFFFF"/>
              </w:rPr>
              <w:t>A</w:t>
            </w:r>
          </w:p>
        </w:tc>
        <w:tc>
          <w:tcPr>
            <w:tcW w:w="3880" w:type="dxa"/>
            <w:vAlign w:val="bottom"/>
            <w:gridSpan w:val="6"/>
          </w:tcPr>
          <w:p>
            <w:pPr>
              <w:ind w:left="80"/>
              <w:spacing w:after="0" w:line="122" w:lineRule="exact"/>
              <w:rPr>
                <w:sz w:val="20"/>
                <w:szCs w:val="20"/>
                <w:color w:val="auto"/>
              </w:rPr>
            </w:pPr>
            <w:r>
              <w:rPr>
                <w:rFonts w:ascii="Arial" w:cs="Arial" w:eastAsia="Arial" w:hAnsi="Arial"/>
                <w:sz w:val="14"/>
                <w:szCs w:val="14"/>
                <w:b w:val="1"/>
                <w:bCs w:val="1"/>
                <w:color w:val="auto"/>
                <w:w w:val="94"/>
              </w:rPr>
              <w:t>Company Proposals — The Board of Directors recommends</w:t>
            </w: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520" w:type="dxa"/>
            <w:vAlign w:val="bottom"/>
            <w:gridSpan w:val="7"/>
          </w:tcPr>
          <w:p>
            <w:pPr>
              <w:ind w:left="100"/>
              <w:spacing w:after="0" w:line="122" w:lineRule="exact"/>
              <w:rPr>
                <w:sz w:val="20"/>
                <w:szCs w:val="20"/>
                <w:color w:val="auto"/>
              </w:rPr>
            </w:pPr>
            <w:r>
              <w:rPr>
                <w:rFonts w:ascii="Arial" w:cs="Arial" w:eastAsia="Arial" w:hAnsi="Arial"/>
                <w:sz w:val="14"/>
                <w:szCs w:val="14"/>
                <w:color w:val="auto"/>
              </w:rPr>
              <w:t>number(s) of the nominee(s) on the line below.</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0" w:type="dxa"/>
            <w:vAlign w:val="bottom"/>
            <w:tcBorders>
              <w:left w:val="single" w:sz="8" w:color="auto"/>
              <w:right w:val="single" w:sz="8" w:color="auto"/>
            </w:tcBorders>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38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a vote “FOR” all the nominees listed in Proposal 1:</w:t>
            </w:r>
          </w:p>
        </w:tc>
        <w:tc>
          <w:tcPr>
            <w:tcW w:w="4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gridSpan w:val="2"/>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80" w:type="dxa"/>
            <w:vAlign w:val="bottom"/>
            <w:gridSpan w:val="6"/>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50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color w:val="auto"/>
              </w:rPr>
              <w:t>1.</w:t>
            </w:r>
          </w:p>
        </w:tc>
        <w:tc>
          <w:tcPr>
            <w:tcW w:w="1860" w:type="dxa"/>
            <w:vAlign w:val="bottom"/>
            <w:gridSpan w:val="2"/>
          </w:tcPr>
          <w:p>
            <w:pPr>
              <w:ind w:left="80"/>
              <w:spacing w:after="0"/>
              <w:rPr>
                <w:sz w:val="20"/>
                <w:szCs w:val="20"/>
                <w:color w:val="auto"/>
              </w:rPr>
            </w:pPr>
            <w:r>
              <w:rPr>
                <w:rFonts w:ascii="Arial" w:cs="Arial" w:eastAsia="Arial" w:hAnsi="Arial"/>
                <w:sz w:val="14"/>
                <w:szCs w:val="14"/>
                <w:color w:val="auto"/>
              </w:rPr>
              <w:t>Election of Directors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rPr>
              <w:t>01 -</w:t>
            </w:r>
          </w:p>
        </w:tc>
        <w:tc>
          <w:tcPr>
            <w:tcW w:w="1480" w:type="dxa"/>
            <w:vAlign w:val="bottom"/>
          </w:tcPr>
          <w:p>
            <w:pPr>
              <w:ind w:left="40"/>
              <w:spacing w:after="0"/>
              <w:rPr>
                <w:sz w:val="20"/>
                <w:szCs w:val="20"/>
                <w:color w:val="auto"/>
              </w:rPr>
            </w:pPr>
            <w:r>
              <w:rPr>
                <w:rFonts w:ascii="Arial" w:cs="Arial" w:eastAsia="Arial" w:hAnsi="Arial"/>
                <w:sz w:val="14"/>
                <w:szCs w:val="14"/>
                <w:color w:val="auto"/>
              </w:rPr>
              <w:t>Kenneth J. Bacon</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07 -</w:t>
            </w:r>
          </w:p>
        </w:tc>
        <w:tc>
          <w:tcPr>
            <w:tcW w:w="1500" w:type="dxa"/>
            <w:vAlign w:val="bottom"/>
            <w:gridSpan w:val="3"/>
          </w:tcPr>
          <w:p>
            <w:pPr>
              <w:ind w:left="40"/>
              <w:spacing w:after="0"/>
              <w:rPr>
                <w:sz w:val="20"/>
                <w:szCs w:val="20"/>
                <w:color w:val="auto"/>
              </w:rPr>
            </w:pPr>
            <w:r>
              <w:rPr>
                <w:rFonts w:ascii="Arial" w:cs="Arial" w:eastAsia="Arial" w:hAnsi="Arial"/>
                <w:sz w:val="14"/>
                <w:szCs w:val="14"/>
                <w:color w:val="auto"/>
              </w:rPr>
              <w:t>Jeffrey A. Honickman</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02 -</w:t>
            </w:r>
          </w:p>
        </w:tc>
        <w:tc>
          <w:tcPr>
            <w:tcW w:w="1480" w:type="dxa"/>
            <w:vAlign w:val="bottom"/>
          </w:tcPr>
          <w:p>
            <w:pPr>
              <w:ind w:left="40"/>
              <w:spacing w:after="0" w:line="149" w:lineRule="exact"/>
              <w:rPr>
                <w:sz w:val="20"/>
                <w:szCs w:val="20"/>
                <w:color w:val="auto"/>
              </w:rPr>
            </w:pPr>
            <w:r>
              <w:rPr>
                <w:rFonts w:ascii="Arial" w:cs="Arial" w:eastAsia="Arial" w:hAnsi="Arial"/>
                <w:sz w:val="14"/>
                <w:szCs w:val="14"/>
                <w:color w:val="auto"/>
              </w:rPr>
              <w:t>Sheldon M. Bonovitz</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08 -</w:t>
            </w: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Eduardo G. Mestre</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03 -</w:t>
            </w:r>
          </w:p>
        </w:tc>
        <w:tc>
          <w:tcPr>
            <w:tcW w:w="1480" w:type="dxa"/>
            <w:vAlign w:val="bottom"/>
          </w:tcPr>
          <w:p>
            <w:pPr>
              <w:ind w:left="40"/>
              <w:spacing w:after="0" w:line="149" w:lineRule="exact"/>
              <w:rPr>
                <w:sz w:val="20"/>
                <w:szCs w:val="20"/>
                <w:color w:val="auto"/>
              </w:rPr>
            </w:pPr>
            <w:r>
              <w:rPr>
                <w:rFonts w:ascii="Arial" w:cs="Arial" w:eastAsia="Arial" w:hAnsi="Arial"/>
                <w:sz w:val="14"/>
                <w:szCs w:val="14"/>
                <w:color w:val="auto"/>
              </w:rPr>
              <w:t>Edward D. Breen</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09 -</w:t>
            </w: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Brian L. Roberts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04 -</w:t>
            </w:r>
          </w:p>
        </w:tc>
        <w:tc>
          <w:tcPr>
            <w:tcW w:w="1480" w:type="dxa"/>
            <w:vAlign w:val="bottom"/>
          </w:tcPr>
          <w:p>
            <w:pPr>
              <w:ind w:left="40"/>
              <w:spacing w:after="0" w:line="149" w:lineRule="exact"/>
              <w:rPr>
                <w:sz w:val="20"/>
                <w:szCs w:val="20"/>
                <w:color w:val="auto"/>
              </w:rPr>
            </w:pPr>
            <w:r>
              <w:rPr>
                <w:rFonts w:ascii="Arial" w:cs="Arial" w:eastAsia="Arial" w:hAnsi="Arial"/>
                <w:sz w:val="14"/>
                <w:szCs w:val="14"/>
                <w:color w:val="auto"/>
              </w:rPr>
              <w:t>Joseph J. Collins</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10 -</w:t>
            </w: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Ralph J. Roberts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05 -</w:t>
            </w:r>
          </w:p>
        </w:tc>
        <w:tc>
          <w:tcPr>
            <w:tcW w:w="1480" w:type="dxa"/>
            <w:vAlign w:val="bottom"/>
          </w:tcPr>
          <w:p>
            <w:pPr>
              <w:ind w:left="40"/>
              <w:spacing w:after="0" w:line="149" w:lineRule="exact"/>
              <w:rPr>
                <w:sz w:val="20"/>
                <w:szCs w:val="20"/>
                <w:color w:val="auto"/>
              </w:rPr>
            </w:pPr>
            <w:r>
              <w:rPr>
                <w:rFonts w:ascii="Arial" w:cs="Arial" w:eastAsia="Arial" w:hAnsi="Arial"/>
                <w:sz w:val="14"/>
                <w:szCs w:val="14"/>
                <w:color w:val="auto"/>
              </w:rPr>
              <w:t>J. Michael Cook</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11 -</w:t>
            </w: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Johnathan A. Rodgers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4"/>
                <w:szCs w:val="14"/>
                <w:color w:val="auto"/>
              </w:rPr>
              <w:t>06 -</w:t>
            </w:r>
          </w:p>
        </w:tc>
        <w:tc>
          <w:tcPr>
            <w:tcW w:w="1480" w:type="dxa"/>
            <w:vAlign w:val="bottom"/>
          </w:tcPr>
          <w:p>
            <w:pPr>
              <w:ind w:left="40"/>
              <w:spacing w:after="0"/>
              <w:rPr>
                <w:sz w:val="20"/>
                <w:szCs w:val="20"/>
                <w:color w:val="auto"/>
              </w:rPr>
            </w:pPr>
            <w:r>
              <w:rPr>
                <w:rFonts w:ascii="Arial" w:cs="Arial" w:eastAsia="Arial" w:hAnsi="Arial"/>
                <w:sz w:val="14"/>
                <w:szCs w:val="14"/>
                <w:color w:val="auto"/>
              </w:rPr>
              <w:t>Gerald L. Hassell</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12 -</w:t>
            </w:r>
          </w:p>
        </w:tc>
        <w:tc>
          <w:tcPr>
            <w:tcW w:w="1500" w:type="dxa"/>
            <w:vAlign w:val="bottom"/>
            <w:gridSpan w:val="3"/>
          </w:tcPr>
          <w:p>
            <w:pPr>
              <w:ind w:left="40"/>
              <w:spacing w:after="0"/>
              <w:rPr>
                <w:sz w:val="20"/>
                <w:szCs w:val="20"/>
                <w:color w:val="auto"/>
              </w:rPr>
            </w:pPr>
            <w:r>
              <w:rPr>
                <w:rFonts w:ascii="Arial" w:cs="Arial" w:eastAsia="Arial" w:hAnsi="Arial"/>
                <w:sz w:val="14"/>
                <w:szCs w:val="14"/>
                <w:color w:val="auto"/>
              </w:rPr>
              <w:t>Dr. Judith Rodin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w w:val="95"/>
              </w:rPr>
              <w:t>Shareholder Proposals — The Board of Directors</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auto"/>
            </w:tcBorders>
            <w:shd w:val="clear" w:color="auto" w:fill="000000"/>
          </w:tcPr>
          <w:p>
            <w:pPr>
              <w:ind w:left="100"/>
              <w:spacing w:after="0" w:line="126" w:lineRule="exact"/>
              <w:rPr>
                <w:sz w:val="20"/>
                <w:szCs w:val="20"/>
                <w:color w:val="auto"/>
              </w:rPr>
            </w:pPr>
            <w:r>
              <w:rPr>
                <w:rFonts w:ascii="Arial" w:cs="Arial" w:eastAsia="Arial" w:hAnsi="Arial"/>
                <w:sz w:val="14"/>
                <w:szCs w:val="14"/>
                <w:b w:val="1"/>
                <w:bCs w:val="1"/>
                <w:color w:val="FFFFFF"/>
              </w:rPr>
              <w:t>B</w:t>
            </w:r>
          </w:p>
        </w:tc>
        <w:tc>
          <w:tcPr>
            <w:tcW w:w="3240" w:type="dxa"/>
            <w:vAlign w:val="bottom"/>
            <w:gridSpan w:val="6"/>
            <w:vMerge w:val="continue"/>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120" w:type="dxa"/>
            <w:vAlign w:val="bottom"/>
            <w:gridSpan w:val="7"/>
          </w:tcPr>
          <w:p>
            <w:pPr>
              <w:ind w:left="40"/>
              <w:spacing w:after="0" w:line="126" w:lineRule="exact"/>
              <w:rPr>
                <w:sz w:val="20"/>
                <w:szCs w:val="20"/>
                <w:color w:val="auto"/>
              </w:rPr>
            </w:pPr>
            <w:r>
              <w:rPr>
                <w:rFonts w:ascii="Arial" w:cs="Arial" w:eastAsia="Arial" w:hAnsi="Arial"/>
                <w:sz w:val="14"/>
                <w:szCs w:val="14"/>
                <w:b w:val="1"/>
                <w:bCs w:val="1"/>
                <w:color w:val="auto"/>
                <w:w w:val="97"/>
              </w:rPr>
              <w:t>The Board of Directors recommends a vote “FOR” Proposals 2</w:t>
            </w:r>
          </w:p>
        </w:tc>
        <w:tc>
          <w:tcPr>
            <w:tcW w:w="4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9"/>
              </w:rPr>
              <w:t>Against</w:t>
            </w:r>
          </w:p>
        </w:tc>
        <w:tc>
          <w:tcPr>
            <w:tcW w:w="5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3"/>
              </w:rPr>
              <w:t>Abstain</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40" w:type="dxa"/>
            <w:vAlign w:val="bottom"/>
            <w:gridSpan w:val="6"/>
          </w:tcPr>
          <w:p>
            <w:pPr>
              <w:ind w:left="100"/>
              <w:spacing w:after="0" w:line="126" w:lineRule="exact"/>
              <w:rPr>
                <w:sz w:val="20"/>
                <w:szCs w:val="20"/>
                <w:color w:val="auto"/>
              </w:rPr>
            </w:pPr>
            <w:r>
              <w:rPr>
                <w:rFonts w:ascii="Arial" w:cs="Arial" w:eastAsia="Arial" w:hAnsi="Arial"/>
                <w:sz w:val="14"/>
                <w:szCs w:val="14"/>
                <w:b w:val="1"/>
                <w:bCs w:val="1"/>
                <w:color w:val="auto"/>
                <w:w w:val="96"/>
              </w:rPr>
              <w:t>recommends a vote “AGAINST” Proposals 4 and</w:t>
            </w:r>
          </w:p>
        </w:tc>
        <w:tc>
          <w:tcPr>
            <w:tcW w:w="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8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3:</w:t>
            </w: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6"/>
          </w:tcPr>
          <w:p>
            <w:pPr>
              <w:ind w:left="100"/>
              <w:spacing w:after="0"/>
              <w:rPr>
                <w:sz w:val="20"/>
                <w:szCs w:val="20"/>
                <w:color w:val="auto"/>
              </w:rPr>
            </w:pPr>
            <w:r>
              <w:rPr>
                <w:rFonts w:ascii="Arial" w:cs="Arial" w:eastAsia="Arial" w:hAnsi="Arial"/>
                <w:sz w:val="14"/>
                <w:szCs w:val="14"/>
                <w:b w:val="1"/>
                <w:bCs w:val="1"/>
                <w:color w:val="auto"/>
              </w:rPr>
              <w:t>5 if properly presented at the annual meeting:</w:t>
            </w:r>
          </w:p>
        </w:tc>
        <w:tc>
          <w:tcPr>
            <w:tcW w:w="3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7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260" w:type="dxa"/>
            <w:vAlign w:val="bottom"/>
            <w:tcBorders>
              <w:left w:val="single" w:sz="8" w:color="auto"/>
            </w:tcBorders>
          </w:tcPr>
          <w:p>
            <w:pPr>
              <w:spacing w:after="0"/>
              <w:rPr>
                <w:sz w:val="24"/>
                <w:szCs w:val="24"/>
                <w:color w:val="auto"/>
              </w:rPr>
            </w:pPr>
          </w:p>
        </w:tc>
        <w:tc>
          <w:tcPr>
            <w:tcW w:w="4120" w:type="dxa"/>
            <w:vAlign w:val="bottom"/>
            <w:gridSpan w:val="7"/>
          </w:tcPr>
          <w:p>
            <w:pPr>
              <w:ind w:left="40"/>
              <w:spacing w:after="0"/>
              <w:rPr>
                <w:sz w:val="20"/>
                <w:szCs w:val="20"/>
                <w:color w:val="auto"/>
              </w:rPr>
            </w:pPr>
            <w:r>
              <w:rPr>
                <w:rFonts w:ascii="Arial" w:cs="Arial" w:eastAsia="Arial" w:hAnsi="Arial"/>
                <w:sz w:val="14"/>
                <w:szCs w:val="14"/>
                <w:color w:val="auto"/>
              </w:rPr>
              <w:t>2.   Ratification of the appointment of our independent auditors</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4"/>
                <w:szCs w:val="24"/>
                <w:color w:val="auto"/>
              </w:rPr>
            </w:pPr>
          </w:p>
        </w:tc>
        <w:tc>
          <w:tcPr>
            <w:tcW w:w="3520" w:type="dxa"/>
            <w:vAlign w:val="bottom"/>
            <w:gridSpan w:val="7"/>
          </w:tcPr>
          <w:p>
            <w:pPr>
              <w:ind w:left="100"/>
              <w:spacing w:after="0"/>
              <w:rPr>
                <w:sz w:val="20"/>
                <w:szCs w:val="20"/>
                <w:color w:val="auto"/>
              </w:rPr>
            </w:pPr>
            <w:r>
              <w:rPr>
                <w:rFonts w:ascii="Arial" w:cs="Arial" w:eastAsia="Arial" w:hAnsi="Arial"/>
                <w:sz w:val="14"/>
                <w:szCs w:val="14"/>
                <w:color w:val="auto"/>
              </w:rPr>
              <w:t>4.   To prepare an annual report on lobbying activities</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2"/>
        </w:trPr>
        <w:tc>
          <w:tcPr>
            <w:tcW w:w="50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3"/>
                <w:szCs w:val="23"/>
                <w:color w:val="auto"/>
              </w:rPr>
            </w:pPr>
          </w:p>
        </w:tc>
        <w:tc>
          <w:tcPr>
            <w:tcW w:w="3520" w:type="dxa"/>
            <w:vAlign w:val="bottom"/>
            <w:gridSpan w:val="7"/>
          </w:tcPr>
          <w:p>
            <w:pPr>
              <w:ind w:left="100"/>
              <w:spacing w:after="0"/>
              <w:rPr>
                <w:sz w:val="20"/>
                <w:szCs w:val="20"/>
                <w:color w:val="auto"/>
              </w:rPr>
            </w:pPr>
            <w:r>
              <w:rPr>
                <w:rFonts w:ascii="Arial" w:cs="Arial" w:eastAsia="Arial" w:hAnsi="Arial"/>
                <w:sz w:val="14"/>
                <w:szCs w:val="14"/>
                <w:color w:val="auto"/>
              </w:rPr>
              <w:t>5.   To prohibit accelerated vesting upon a change in</w:t>
            </w:r>
          </w:p>
        </w:tc>
        <w:tc>
          <w:tcPr>
            <w:tcW w:w="3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vMerge w:val="restart"/>
          </w:tcPr>
          <w:p>
            <w:pPr>
              <w:jc w:val="center"/>
              <w:ind w:righ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6"/>
        </w:trPr>
        <w:tc>
          <w:tcPr>
            <w:tcW w:w="26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6"/>
          </w:tcPr>
          <w:p>
            <w:pPr>
              <w:ind w:left="80"/>
              <w:spacing w:after="0"/>
              <w:rPr>
                <w:sz w:val="20"/>
                <w:szCs w:val="20"/>
                <w:color w:val="auto"/>
              </w:rPr>
            </w:pPr>
            <w:r>
              <w:rPr>
                <w:rFonts w:ascii="Arial" w:cs="Arial" w:eastAsia="Arial" w:hAnsi="Arial"/>
                <w:sz w:val="14"/>
                <w:szCs w:val="14"/>
                <w:color w:val="auto"/>
                <w:w w:val="97"/>
              </w:rPr>
              <w:t>Approval, on an advisory basis, of our executive compensation</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color w:val="auto"/>
              </w:rPr>
              <w:t>control</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8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60" w:type="dxa"/>
            <w:vAlign w:val="bottom"/>
            <w:tcBorders>
              <w:left w:val="single" w:sz="8" w:color="auto"/>
            </w:tcBorders>
          </w:tcPr>
          <w:p>
            <w:pPr>
              <w:spacing w:after="0"/>
              <w:rPr>
                <w:sz w:val="21"/>
                <w:szCs w:val="21"/>
                <w:color w:val="auto"/>
              </w:rPr>
            </w:pPr>
          </w:p>
        </w:tc>
        <w:tc>
          <w:tcPr>
            <w:tcW w:w="5260" w:type="dxa"/>
            <w:vAlign w:val="bottom"/>
            <w:gridSpan w:val="9"/>
          </w:tcPr>
          <w:p>
            <w:pPr>
              <w:ind w:left="40"/>
              <w:spacing w:after="0"/>
              <w:rPr>
                <w:sz w:val="20"/>
                <w:szCs w:val="20"/>
                <w:color w:val="auto"/>
              </w:rPr>
            </w:pPr>
            <w:r>
              <w:rPr>
                <w:rFonts w:ascii="Arial" w:cs="Arial" w:eastAsia="Arial" w:hAnsi="Arial"/>
                <w:sz w:val="14"/>
                <w:szCs w:val="14"/>
                <w:color w:val="auto"/>
                <w:w w:val="93"/>
              </w:rPr>
              <w:t>For address changes and/or comments, please check this box and write them on the back</w:t>
            </w:r>
          </w:p>
        </w:tc>
        <w:tc>
          <w:tcPr>
            <w:tcW w:w="56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2100" w:type="dxa"/>
            <w:vAlign w:val="bottom"/>
            <w:gridSpan w:val="3"/>
          </w:tcPr>
          <w:p>
            <w:pPr>
              <w:ind w:left="40"/>
              <w:spacing w:after="0"/>
              <w:rPr>
                <w:sz w:val="20"/>
                <w:szCs w:val="20"/>
                <w:color w:val="auto"/>
              </w:rPr>
            </w:pPr>
            <w:r>
              <w:rPr>
                <w:rFonts w:ascii="Arial" w:cs="Arial" w:eastAsia="Arial" w:hAnsi="Arial"/>
                <w:sz w:val="14"/>
                <w:szCs w:val="14"/>
                <w:color w:val="auto"/>
              </w:rPr>
              <w:t>where indicated.</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60" w:type="dxa"/>
            <w:vAlign w:val="bottom"/>
            <w:tcBorders>
              <w:left w:val="single" w:sz="8" w:color="auto"/>
            </w:tcBorders>
          </w:tcPr>
          <w:p>
            <w:pPr>
              <w:spacing w:after="0"/>
              <w:rPr>
                <w:sz w:val="24"/>
                <w:szCs w:val="24"/>
                <w:color w:val="auto"/>
              </w:rPr>
            </w:pPr>
          </w:p>
        </w:tc>
        <w:tc>
          <w:tcPr>
            <w:tcW w:w="4120" w:type="dxa"/>
            <w:vAlign w:val="bottom"/>
            <w:gridSpan w:val="7"/>
          </w:tcPr>
          <w:p>
            <w:pPr>
              <w:ind w:left="40"/>
              <w:spacing w:after="0"/>
              <w:rPr>
                <w:sz w:val="20"/>
                <w:szCs w:val="20"/>
                <w:color w:val="auto"/>
              </w:rPr>
            </w:pPr>
            <w:r>
              <w:rPr>
                <w:rFonts w:ascii="Arial" w:cs="Arial" w:eastAsia="Arial" w:hAnsi="Arial"/>
                <w:sz w:val="14"/>
                <w:szCs w:val="14"/>
                <w:color w:val="auto"/>
              </w:rPr>
              <w:t>Please indicate if you plan to attend this meeting.</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6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8"/>
              </w:rPr>
              <w:t>Yes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No</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60" w:type="dxa"/>
            <w:vAlign w:val="bottom"/>
            <w:gridSpan w:val="15"/>
            <w:vMerge w:val="restart"/>
          </w:tcPr>
          <w:p>
            <w:pPr>
              <w:ind w:left="80"/>
              <w:spacing w:after="0"/>
              <w:rPr>
                <w:sz w:val="20"/>
                <w:szCs w:val="20"/>
                <w:color w:val="auto"/>
              </w:rPr>
            </w:pPr>
            <w:r>
              <w:rPr>
                <w:rFonts w:ascii="Arial" w:cs="Arial" w:eastAsia="Arial" w:hAnsi="Arial"/>
                <w:sz w:val="14"/>
                <w:szCs w:val="14"/>
                <w:b w:val="1"/>
                <w:bCs w:val="1"/>
                <w:color w:val="auto"/>
                <w:w w:val="93"/>
              </w:rPr>
              <w:t>Authorized Signatures — This section must be completed for your vote to be counted — Date and Sign Within the Box Below</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60" w:type="dxa"/>
            <w:vAlign w:val="bottom"/>
            <w:tcBorders>
              <w:left w:val="single" w:sz="8" w:color="auto"/>
              <w:right w:val="single" w:sz="8" w:color="auto"/>
            </w:tcBorders>
          </w:tcPr>
          <w:p>
            <w:pPr>
              <w:spacing w:after="0"/>
              <w:rPr>
                <w:sz w:val="17"/>
                <w:szCs w:val="17"/>
                <w:color w:val="auto"/>
              </w:rPr>
            </w:pPr>
          </w:p>
        </w:tc>
        <w:tc>
          <w:tcPr>
            <w:tcW w:w="24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C</w:t>
            </w:r>
          </w:p>
        </w:tc>
        <w:tc>
          <w:tcPr>
            <w:tcW w:w="7860" w:type="dxa"/>
            <w:vAlign w:val="bottom"/>
            <w:gridSpan w:val="15"/>
            <w:vMerge w:val="continue"/>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60" w:type="dxa"/>
            <w:vAlign w:val="bottom"/>
            <w:tcBorders>
              <w:left w:val="single" w:sz="8" w:color="auto"/>
            </w:tcBorders>
          </w:tcPr>
          <w:p>
            <w:pPr>
              <w:spacing w:after="0"/>
              <w:rPr>
                <w:sz w:val="11"/>
                <w:szCs w:val="11"/>
                <w:color w:val="auto"/>
              </w:rPr>
            </w:pPr>
          </w:p>
        </w:tc>
        <w:tc>
          <w:tcPr>
            <w:tcW w:w="9500" w:type="dxa"/>
            <w:vAlign w:val="bottom"/>
            <w:gridSpan w:val="19"/>
          </w:tcPr>
          <w:p>
            <w:pPr>
              <w:ind w:left="40"/>
              <w:spacing w:after="0" w:line="130" w:lineRule="exact"/>
              <w:rPr>
                <w:sz w:val="20"/>
                <w:szCs w:val="20"/>
                <w:color w:val="auto"/>
              </w:rPr>
            </w:pPr>
            <w:r>
              <w:rPr>
                <w:rFonts w:ascii="Arial" w:cs="Arial" w:eastAsia="Arial" w:hAnsi="Arial"/>
                <w:sz w:val="14"/>
                <w:szCs w:val="14"/>
                <w:color w:val="auto"/>
                <w:w w:val="95"/>
              </w:rPr>
              <w:t>Please sign as name(s) appear(s) hereon. Give full title if you are signing for a corporation, partnership or other entity, or as an attorney, administrator, executor,</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4120" w:type="dxa"/>
            <w:vAlign w:val="bottom"/>
            <w:gridSpan w:val="7"/>
          </w:tcPr>
          <w:p>
            <w:pPr>
              <w:ind w:left="40"/>
              <w:spacing w:after="0"/>
              <w:rPr>
                <w:sz w:val="20"/>
                <w:szCs w:val="20"/>
                <w:color w:val="auto"/>
              </w:rPr>
            </w:pPr>
            <w:r>
              <w:rPr>
                <w:rFonts w:ascii="Arial" w:cs="Arial" w:eastAsia="Arial" w:hAnsi="Arial"/>
                <w:sz w:val="14"/>
                <w:szCs w:val="14"/>
                <w:color w:val="auto"/>
              </w:rPr>
              <w:t>guardian, trustee or in any other representative capacity.</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60" w:type="dxa"/>
            <w:vAlign w:val="bottom"/>
            <w:tcBorders>
              <w:left w:val="single" w:sz="8" w:color="auto"/>
            </w:tcBorders>
          </w:tcPr>
          <w:p>
            <w:pPr>
              <w:spacing w:after="0"/>
              <w:rPr>
                <w:sz w:val="10"/>
                <w:szCs w:val="10"/>
                <w:color w:val="auto"/>
              </w:rPr>
            </w:pPr>
          </w:p>
        </w:tc>
        <w:tc>
          <w:tcPr>
            <w:tcW w:w="2620" w:type="dxa"/>
            <w:vAlign w:val="bottom"/>
            <w:gridSpan w:val="4"/>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80" w:type="dxa"/>
            <w:vAlign w:val="bottom"/>
            <w:gridSpan w:val="5"/>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2"/>
        </w:trPr>
        <w:tc>
          <w:tcPr>
            <w:tcW w:w="260" w:type="dxa"/>
            <w:vAlign w:val="bottom"/>
            <w:tcBorders>
              <w:left w:val="single" w:sz="8" w:color="auto"/>
              <w:right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right w:val="single" w:sz="8" w:color="auto"/>
            </w:tcBorders>
          </w:tcPr>
          <w:p>
            <w:pPr>
              <w:spacing w:after="0"/>
              <w:rPr>
                <w:sz w:val="24"/>
                <w:szCs w:val="24"/>
                <w:color w:val="auto"/>
              </w:rPr>
            </w:pPr>
          </w:p>
        </w:tc>
        <w:tc>
          <w:tcPr>
            <w:tcW w:w="580" w:type="dxa"/>
            <w:vAlign w:val="bottom"/>
            <w:tcBorders>
              <w:top w:val="single" w:sz="8" w:color="auto"/>
              <w:bottom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0" w:type="dxa"/>
            <w:vAlign w:val="bottom"/>
            <w:tcBorders>
              <w:left w:val="single" w:sz="8" w:color="auto"/>
              <w:bottom w:val="single" w:sz="8" w:color="auto"/>
            </w:tcBorders>
          </w:tcPr>
          <w:p>
            <w:pPr>
              <w:spacing w:after="0"/>
              <w:rPr>
                <w:sz w:val="13"/>
                <w:szCs w:val="13"/>
                <w:color w:val="auto"/>
              </w:rPr>
            </w:pPr>
          </w:p>
        </w:tc>
        <w:tc>
          <w:tcPr>
            <w:tcW w:w="2620" w:type="dxa"/>
            <w:vAlign w:val="bottom"/>
            <w:tcBorders>
              <w:bottom w:val="single" w:sz="8" w:color="auto"/>
            </w:tcBorders>
            <w:gridSpan w:val="4"/>
          </w:tcPr>
          <w:p>
            <w:pPr>
              <w:ind w:left="100"/>
              <w:spacing w:after="0" w:line="149" w:lineRule="exact"/>
              <w:rPr>
                <w:sz w:val="20"/>
                <w:szCs w:val="20"/>
                <w:color w:val="auto"/>
              </w:rPr>
            </w:pPr>
            <w:r>
              <w:rPr>
                <w:rFonts w:ascii="Arial" w:cs="Arial" w:eastAsia="Arial" w:hAnsi="Arial"/>
                <w:sz w:val="14"/>
                <w:szCs w:val="14"/>
                <w:color w:val="auto"/>
                <w:w w:val="99"/>
              </w:rPr>
              <w:t>Signature [PLEASE SIGN WITHIN BOX]</w:t>
            </w: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spacing w:after="0" w:line="149" w:lineRule="exact"/>
              <w:rPr>
                <w:sz w:val="20"/>
                <w:szCs w:val="20"/>
                <w:color w:val="auto"/>
              </w:rPr>
            </w:pPr>
            <w:r>
              <w:rPr>
                <w:rFonts w:ascii="Arial" w:cs="Arial" w:eastAsia="Arial" w:hAnsi="Arial"/>
                <w:sz w:val="14"/>
                <w:szCs w:val="14"/>
                <w:color w:val="auto"/>
              </w:rPr>
              <w:t>Signature (Joint Owners)</w:t>
            </w: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-3879850</wp:posOffset>
            </wp:positionV>
            <wp:extent cx="72720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2014 Annual Meeting of Shareholders</w:t>
      </w:r>
    </w:p>
    <w:p>
      <w:pPr>
        <w:jc w:val="center"/>
        <w:ind w:right="-19"/>
        <w:spacing w:after="0" w:line="226" w:lineRule="auto"/>
        <w:rPr>
          <w:sz w:val="20"/>
          <w:szCs w:val="20"/>
          <w:color w:val="auto"/>
        </w:rPr>
      </w:pPr>
      <w:r>
        <w:rPr>
          <w:rFonts w:ascii="Arial" w:cs="Arial" w:eastAsia="Arial" w:hAnsi="Arial"/>
          <w:sz w:val="14"/>
          <w:szCs w:val="14"/>
          <w:b w:val="1"/>
          <w:bCs w:val="1"/>
          <w:color w:val="auto"/>
        </w:rPr>
        <w:t>Wednesday, May 21, 2014, 9:00 a.m. Eastern Time</w:t>
      </w:r>
    </w:p>
    <w:p>
      <w:pPr>
        <w:jc w:val="center"/>
        <w:ind w:right="-19"/>
        <w:spacing w:after="0" w:line="222" w:lineRule="auto"/>
        <w:rPr>
          <w:sz w:val="20"/>
          <w:szCs w:val="20"/>
          <w:color w:val="auto"/>
        </w:rPr>
      </w:pPr>
      <w:r>
        <w:rPr>
          <w:rFonts w:ascii="Arial" w:cs="Arial" w:eastAsia="Arial" w:hAnsi="Arial"/>
          <w:sz w:val="14"/>
          <w:szCs w:val="14"/>
          <w:b w:val="1"/>
          <w:bCs w:val="1"/>
          <w:color w:val="auto"/>
        </w:rPr>
        <w:t>The Kimmel Center for the Performing Arts</w:t>
      </w:r>
    </w:p>
    <w:p>
      <w:pPr>
        <w:jc w:val="center"/>
        <w:ind w:right="-19"/>
        <w:spacing w:after="0" w:line="221" w:lineRule="auto"/>
        <w:rPr>
          <w:sz w:val="20"/>
          <w:szCs w:val="20"/>
          <w:color w:val="auto"/>
        </w:rPr>
      </w:pPr>
      <w:r>
        <w:rPr>
          <w:rFonts w:ascii="Arial" w:cs="Arial" w:eastAsia="Arial" w:hAnsi="Arial"/>
          <w:sz w:val="14"/>
          <w:szCs w:val="14"/>
          <w:b w:val="1"/>
          <w:bCs w:val="1"/>
          <w:color w:val="auto"/>
        </w:rPr>
        <w:t>Perelman Theater</w:t>
      </w:r>
    </w:p>
    <w:p>
      <w:pPr>
        <w:jc w:val="center"/>
        <w:ind w:right="-19"/>
        <w:spacing w:after="0" w:line="222" w:lineRule="auto"/>
        <w:rPr>
          <w:sz w:val="20"/>
          <w:szCs w:val="20"/>
          <w:color w:val="auto"/>
        </w:rPr>
      </w:pPr>
      <w:r>
        <w:rPr>
          <w:rFonts w:ascii="Arial" w:cs="Arial" w:eastAsia="Arial" w:hAnsi="Arial"/>
          <w:sz w:val="14"/>
          <w:szCs w:val="14"/>
          <w:b w:val="1"/>
          <w:bCs w:val="1"/>
          <w:color w:val="auto"/>
        </w:rPr>
        <w:t>300 S. Broad Street</w:t>
      </w:r>
    </w:p>
    <w:p>
      <w:pPr>
        <w:jc w:val="center"/>
        <w:ind w:right="-19"/>
        <w:spacing w:after="0"/>
        <w:rPr>
          <w:sz w:val="20"/>
          <w:szCs w:val="20"/>
          <w:color w:val="auto"/>
        </w:rPr>
      </w:pPr>
      <w:r>
        <w:rPr>
          <w:rFonts w:ascii="Arial" w:cs="Arial" w:eastAsia="Arial" w:hAnsi="Arial"/>
          <w:sz w:val="14"/>
          <w:szCs w:val="14"/>
          <w:b w:val="1"/>
          <w:bCs w:val="1"/>
          <w:color w:val="auto"/>
        </w:rPr>
        <w:t>Philadelphia, PA 19102</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Please present this ticket for admittance of shareholder(s) named on the front, together with one guest per shareholder.</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Annual Meeting Agenda</w:t>
      </w:r>
    </w:p>
    <w:p>
      <w:pPr>
        <w:ind w:left="920"/>
        <w:spacing w:after="0" w:line="226" w:lineRule="auto"/>
        <w:rPr>
          <w:sz w:val="20"/>
          <w:szCs w:val="20"/>
          <w:color w:val="auto"/>
        </w:rPr>
      </w:pPr>
      <w:r>
        <w:rPr>
          <w:rFonts w:ascii="Arial" w:cs="Arial" w:eastAsia="Arial" w:hAnsi="Arial"/>
          <w:sz w:val="14"/>
          <w:szCs w:val="14"/>
          <w:b w:val="1"/>
          <w:bCs w:val="1"/>
          <w:color w:val="auto"/>
        </w:rPr>
        <w:t>8:00 a.m. Doors Open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9:00 a.m. Welcome and Introduction; Matters for Shareholder Vote</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DIRECTIONS TO THE KIMMEL CENTER FOR THE PERFORMING ARTS</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From New Jersey via the Ben Franklin Bridge</w:t>
      </w:r>
    </w:p>
    <w:p>
      <w:pPr>
        <w:spacing w:after="0" w:line="100" w:lineRule="exact"/>
        <w:rPr>
          <w:sz w:val="20"/>
          <w:szCs w:val="20"/>
          <w:color w:val="auto"/>
        </w:rPr>
      </w:pPr>
    </w:p>
    <w:p>
      <w:pPr>
        <w:ind w:left="920" w:right="120"/>
        <w:spacing w:after="0" w:line="256" w:lineRule="auto"/>
        <w:rPr>
          <w:sz w:val="20"/>
          <w:szCs w:val="20"/>
          <w:color w:val="auto"/>
        </w:rPr>
      </w:pPr>
      <w:r>
        <w:rPr>
          <w:rFonts w:ascii="Arial" w:cs="Arial" w:eastAsia="Arial" w:hAnsi="Arial"/>
          <w:sz w:val="13"/>
          <w:szCs w:val="13"/>
          <w:color w:val="auto"/>
        </w:rPr>
        <w:t>Take NJ Turnpike (North or South) to Exit 4 (Philadelphia/Camden Exit). Take Rte. 73 North and follow it to Rte. 38 West. Take Rte. 38 West to the Benjamin Franklin Bridge, crossing into Philadelphia. Follow signs for I-676 West to the first exit,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From Interstate 76/Schuylkill Expressway</w:t>
      </w:r>
    </w:p>
    <w:p>
      <w:pPr>
        <w:spacing w:after="0" w:line="100" w:lineRule="exact"/>
        <w:rPr>
          <w:sz w:val="20"/>
          <w:szCs w:val="20"/>
          <w:color w:val="auto"/>
        </w:rPr>
      </w:pPr>
    </w:p>
    <w:p>
      <w:pPr>
        <w:ind w:left="920" w:right="100"/>
        <w:spacing w:after="0" w:line="264" w:lineRule="auto"/>
        <w:rPr>
          <w:sz w:val="20"/>
          <w:szCs w:val="20"/>
          <w:color w:val="auto"/>
        </w:rPr>
      </w:pPr>
      <w:r>
        <w:rPr>
          <w:rFonts w:ascii="Arial" w:cs="Arial" w:eastAsia="Arial" w:hAnsi="Arial"/>
          <w:sz w:val="13"/>
          <w:szCs w:val="13"/>
          <w:color w:val="auto"/>
        </w:rPr>
        <w:t>Take Rte. 76 (East or West) to Exit 344/I-676 East. Take I-676 East and exit at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From Interstate 95 North and South</w:t>
      </w:r>
    </w:p>
    <w:p>
      <w:pPr>
        <w:spacing w:after="0" w:line="100" w:lineRule="exact"/>
        <w:rPr>
          <w:sz w:val="20"/>
          <w:szCs w:val="20"/>
          <w:color w:val="auto"/>
        </w:rPr>
      </w:pPr>
    </w:p>
    <w:p>
      <w:pPr>
        <w:ind w:left="920"/>
        <w:spacing w:after="0" w:line="234" w:lineRule="auto"/>
        <w:rPr>
          <w:sz w:val="20"/>
          <w:szCs w:val="20"/>
          <w:color w:val="auto"/>
        </w:rPr>
      </w:pPr>
      <w:r>
        <w:rPr>
          <w:rFonts w:ascii="Arial" w:cs="Arial" w:eastAsia="Arial" w:hAnsi="Arial"/>
          <w:sz w:val="14"/>
          <w:szCs w:val="14"/>
          <w:color w:val="auto"/>
        </w:rPr>
        <w:t>Take I-95 (North or South) to Exit 22 (Central Philadelphia/I-676). Stay in the left lane of this exit. Follow signs for I-676 West and exit at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Public Transportation</w:t>
      </w:r>
    </w:p>
    <w:p>
      <w:pPr>
        <w:spacing w:after="0" w:line="100" w:lineRule="exact"/>
        <w:rPr>
          <w:sz w:val="20"/>
          <w:szCs w:val="20"/>
          <w:color w:val="auto"/>
        </w:rPr>
      </w:pPr>
    </w:p>
    <w:p>
      <w:pPr>
        <w:ind w:left="920" w:right="40"/>
        <w:spacing w:after="0" w:line="253" w:lineRule="auto"/>
        <w:rPr>
          <w:sz w:val="20"/>
          <w:szCs w:val="20"/>
          <w:color w:val="auto"/>
        </w:rPr>
      </w:pPr>
      <w:r>
        <w:rPr>
          <w:rFonts w:ascii="Arial" w:cs="Arial" w:eastAsia="Arial" w:hAnsi="Arial"/>
          <w:sz w:val="14"/>
          <w:szCs w:val="14"/>
          <w:i w:val="1"/>
          <w:iCs w:val="1"/>
          <w:color w:val="auto"/>
        </w:rPr>
        <w:t xml:space="preserve">SEPTA (Southeastern Pennsylvania Transportation Authority) Regional Rail Lines: </w:t>
      </w:r>
      <w:r>
        <w:rPr>
          <w:rFonts w:ascii="Arial" w:cs="Arial" w:eastAsia="Arial" w:hAnsi="Arial"/>
          <w:sz w:val="14"/>
          <w:szCs w:val="14"/>
          <w:color w:val="auto"/>
        </w:rPr>
        <w:t>Take any of the regional rail lines and exit at the Suburban Station stop. Follow signs and transfer</w:t>
      </w:r>
      <w:r>
        <w:rPr>
          <w:rFonts w:ascii="Arial" w:cs="Arial" w:eastAsia="Arial" w:hAnsi="Arial"/>
          <w:sz w:val="14"/>
          <w:szCs w:val="14"/>
          <w:i w:val="1"/>
          <w:iCs w:val="1"/>
          <w:color w:val="auto"/>
        </w:rPr>
        <w:t xml:space="preserve"> </w:t>
      </w:r>
      <w:r>
        <w:rPr>
          <w:rFonts w:ascii="Arial" w:cs="Arial" w:eastAsia="Arial" w:hAnsi="Arial"/>
          <w:sz w:val="14"/>
          <w:szCs w:val="14"/>
          <w:color w:val="auto"/>
        </w:rPr>
        <w:t>to the Broad Street Line heading South at City Hall (see directions below from the Broad Street Line).</w:t>
      </w:r>
    </w:p>
    <w:p>
      <w:pPr>
        <w:spacing w:after="0" w:line="66" w:lineRule="exact"/>
        <w:rPr>
          <w:sz w:val="20"/>
          <w:szCs w:val="20"/>
          <w:color w:val="auto"/>
        </w:rPr>
      </w:pPr>
    </w:p>
    <w:p>
      <w:pPr>
        <w:ind w:left="920" w:right="140"/>
        <w:spacing w:after="0" w:line="253" w:lineRule="auto"/>
        <w:rPr>
          <w:sz w:val="20"/>
          <w:szCs w:val="20"/>
          <w:color w:val="auto"/>
        </w:rPr>
      </w:pPr>
      <w:r>
        <w:rPr>
          <w:rFonts w:ascii="Arial" w:cs="Arial" w:eastAsia="Arial" w:hAnsi="Arial"/>
          <w:sz w:val="14"/>
          <w:szCs w:val="14"/>
          <w:i w:val="1"/>
          <w:iCs w:val="1"/>
          <w:color w:val="auto"/>
        </w:rPr>
        <w:t xml:space="preserve">The Market-Frankford and Subway Surface Lines: </w:t>
      </w:r>
      <w:r>
        <w:rPr>
          <w:rFonts w:ascii="Arial" w:cs="Arial" w:eastAsia="Arial" w:hAnsi="Arial"/>
          <w:sz w:val="14"/>
          <w:szCs w:val="14"/>
          <w:color w:val="auto"/>
        </w:rPr>
        <w:t>Exit at the 15th &amp; Market Station stop, and transfer to the Broad Street Line heading South (see directions below from the Broad</w:t>
      </w:r>
      <w:r>
        <w:rPr>
          <w:rFonts w:ascii="Arial" w:cs="Arial" w:eastAsia="Arial" w:hAnsi="Arial"/>
          <w:sz w:val="14"/>
          <w:szCs w:val="14"/>
          <w:i w:val="1"/>
          <w:iCs w:val="1"/>
          <w:color w:val="auto"/>
        </w:rPr>
        <w:t xml:space="preserve"> </w:t>
      </w:r>
      <w:r>
        <w:rPr>
          <w:rFonts w:ascii="Arial" w:cs="Arial" w:eastAsia="Arial" w:hAnsi="Arial"/>
          <w:sz w:val="14"/>
          <w:szCs w:val="14"/>
          <w:color w:val="auto"/>
        </w:rPr>
        <w:t>Street Line).</w:t>
      </w:r>
    </w:p>
    <w:p>
      <w:pPr>
        <w:spacing w:after="0" w:line="66" w:lineRule="exact"/>
        <w:rPr>
          <w:sz w:val="20"/>
          <w:szCs w:val="20"/>
          <w:color w:val="auto"/>
        </w:rPr>
      </w:pPr>
    </w:p>
    <w:p>
      <w:pPr>
        <w:ind w:left="920" w:right="500"/>
        <w:spacing w:after="0" w:line="291" w:lineRule="auto"/>
        <w:rPr>
          <w:sz w:val="20"/>
          <w:szCs w:val="20"/>
          <w:color w:val="auto"/>
        </w:rPr>
      </w:pPr>
      <w:r>
        <w:rPr>
          <w:rFonts w:ascii="Arial" w:cs="Arial" w:eastAsia="Arial" w:hAnsi="Arial"/>
          <w:sz w:val="13"/>
          <w:szCs w:val="13"/>
          <w:i w:val="1"/>
          <w:iCs w:val="1"/>
          <w:color w:val="auto"/>
        </w:rPr>
        <w:t xml:space="preserve">The Broad Street Line: </w:t>
      </w:r>
      <w:r>
        <w:rPr>
          <w:rFonts w:ascii="Arial" w:cs="Arial" w:eastAsia="Arial" w:hAnsi="Arial"/>
          <w:sz w:val="13"/>
          <w:szCs w:val="13"/>
          <w:color w:val="auto"/>
        </w:rPr>
        <w:t>Exit at the Walnut-Locust Station stop. Upon exiting the station, walk two blocks south on Broad Street. The Kimmel Center’s main entrance is on the</w:t>
      </w:r>
      <w:r>
        <w:rPr>
          <w:rFonts w:ascii="Arial" w:cs="Arial" w:eastAsia="Arial" w:hAnsi="Arial"/>
          <w:sz w:val="13"/>
          <w:szCs w:val="13"/>
          <w:i w:val="1"/>
          <w:iCs w:val="1"/>
          <w:color w:val="auto"/>
        </w:rPr>
        <w:t xml:space="preserve"> </w:t>
      </w:r>
      <w:r>
        <w:rPr>
          <w:rFonts w:ascii="Arial" w:cs="Arial" w:eastAsia="Arial" w:hAnsi="Arial"/>
          <w:sz w:val="13"/>
          <w:szCs w:val="13"/>
          <w:color w:val="auto"/>
        </w:rPr>
        <w:t>southwest corner of Broad &amp; Spruce Streets. Shareholders may also enter through the Spruce Street entrance located on Spruce Street between Broad and 15th Streets.</w:t>
      </w:r>
    </w:p>
    <w:p>
      <w:pPr>
        <w:spacing w:after="0" w:line="43" w:lineRule="exact"/>
        <w:rPr>
          <w:sz w:val="20"/>
          <w:szCs w:val="20"/>
          <w:color w:val="auto"/>
        </w:rPr>
      </w:pPr>
    </w:p>
    <w:p>
      <w:pPr>
        <w:jc w:val="both"/>
        <w:ind w:left="920" w:right="320"/>
        <w:spacing w:after="0" w:line="238" w:lineRule="auto"/>
        <w:rPr>
          <w:sz w:val="20"/>
          <w:szCs w:val="20"/>
          <w:color w:val="auto"/>
        </w:rPr>
      </w:pPr>
      <w:r>
        <w:rPr>
          <w:rFonts w:ascii="Arial" w:cs="Arial" w:eastAsia="Arial" w:hAnsi="Arial"/>
          <w:sz w:val="14"/>
          <w:szCs w:val="14"/>
          <w:i w:val="1"/>
          <w:iCs w:val="1"/>
          <w:color w:val="auto"/>
        </w:rPr>
        <w:t xml:space="preserve">New Jersey PATCO High Speed Line: </w:t>
      </w:r>
      <w:r>
        <w:rPr>
          <w:rFonts w:ascii="Arial" w:cs="Arial" w:eastAsia="Arial" w:hAnsi="Arial"/>
          <w:sz w:val="14"/>
          <w:szCs w:val="14"/>
          <w:color w:val="auto"/>
        </w:rPr>
        <w:t>Take the High Speed Line toward Philadelphia to the last, or 15th Street, stop. Upon exiting the station at 15th &amp; Locust Streets, walk one</w:t>
      </w:r>
      <w:r>
        <w:rPr>
          <w:rFonts w:ascii="Arial" w:cs="Arial" w:eastAsia="Arial" w:hAnsi="Arial"/>
          <w:sz w:val="14"/>
          <w:szCs w:val="14"/>
          <w:i w:val="1"/>
          <w:iCs w:val="1"/>
          <w:color w:val="auto"/>
        </w:rPr>
        <w:t xml:space="preserve"> </w:t>
      </w:r>
      <w:r>
        <w:rPr>
          <w:rFonts w:ascii="Arial" w:cs="Arial" w:eastAsia="Arial" w:hAnsi="Arial"/>
          <w:sz w:val="14"/>
          <w:szCs w:val="14"/>
          <w:color w:val="auto"/>
        </w:rPr>
        <w:t>block south on 15th Street to Spruce Street. Turn left on Spruce Street. The entrance to the Kimmel Center is half a block ahead the southwest corner of Broad &amp; Spruce Streets. Shareholders may also enter through the Spruce Street entrance located on Spruce Street between Broad and 15th Streets.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Parking Information</w:t>
      </w:r>
    </w:p>
    <w:p>
      <w:pPr>
        <w:spacing w:after="0" w:line="100" w:lineRule="exact"/>
        <w:rPr>
          <w:sz w:val="20"/>
          <w:szCs w:val="20"/>
          <w:color w:val="auto"/>
        </w:rPr>
      </w:pPr>
    </w:p>
    <w:p>
      <w:pPr>
        <w:jc w:val="both"/>
        <w:ind w:left="920"/>
        <w:spacing w:after="0" w:line="238" w:lineRule="auto"/>
        <w:rPr>
          <w:sz w:val="20"/>
          <w:szCs w:val="20"/>
          <w:color w:val="auto"/>
        </w:rPr>
      </w:pPr>
      <w:r>
        <w:rPr>
          <w:rFonts w:ascii="Arial" w:cs="Arial" w:eastAsia="Arial" w:hAnsi="Arial"/>
          <w:sz w:val="14"/>
          <w:szCs w:val="14"/>
          <w:color w:val="auto"/>
        </w:rPr>
        <w:t>Several parking garages are available within blocks of the Kimmel Center. The entrance to the Kimmel Center Parking Garage is located just south of the Broad Street entrance to the building and can be accessed when traveling south on Broad Street. The Kimmel Center’s main entrance is on the southwest corner of Broad &amp; Spruce Streets. Shareholders may also enter through the Spruce Street entrance located on Spruce Street between Broad and 15th Streets.</w:t>
      </w:r>
    </w:p>
    <w:p>
      <w:pPr>
        <w:spacing w:after="0" w:line="71" w:lineRule="exact"/>
        <w:rPr>
          <w:sz w:val="20"/>
          <w:szCs w:val="20"/>
          <w:color w:val="auto"/>
        </w:rPr>
      </w:pPr>
    </w:p>
    <w:p>
      <w:pPr>
        <w:ind w:left="920" w:right="400"/>
        <w:spacing w:after="0"/>
        <w:rPr>
          <w:sz w:val="20"/>
          <w:szCs w:val="20"/>
          <w:color w:val="auto"/>
        </w:rPr>
      </w:pPr>
      <w:r>
        <w:rPr>
          <w:rFonts w:ascii="Arial" w:cs="Arial" w:eastAsia="Arial" w:hAnsi="Arial"/>
          <w:sz w:val="14"/>
          <w:szCs w:val="14"/>
          <w:b w:val="1"/>
          <w:bCs w:val="1"/>
          <w:u w:val="single" w:color="auto"/>
          <w:color w:val="auto"/>
        </w:rPr>
        <w:t>IMPORTANT NOTICE</w:t>
      </w:r>
      <w:r>
        <w:rPr>
          <w:rFonts w:ascii="Arial" w:cs="Arial" w:eastAsia="Arial" w:hAnsi="Arial"/>
          <w:sz w:val="14"/>
          <w:szCs w:val="14"/>
          <w:b w:val="1"/>
          <w:bCs w:val="1"/>
          <w:color w:val="auto"/>
        </w:rPr>
        <w:t>: All annual meeting attendees may be asked to present a valid government-issued photo identification, such as a driver’s license or passport, before entering the meeting. In addition, video and audio recording devices will not be permitted at the annual meeting, and attendees will be subject to security inspections.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Important Notice Regarding the Availability of Proxy Materials for the Annual Meeting</w:t>
      </w:r>
      <w:r>
        <w:rPr>
          <w:rFonts w:ascii="Arial" w:cs="Arial" w:eastAsia="Arial" w:hAnsi="Arial"/>
          <w:sz w:val="14"/>
          <w:szCs w:val="14"/>
          <w:b w:val="1"/>
          <w:bCs w:val="1"/>
          <w:color w:val="auto"/>
        </w:rPr>
        <w: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Notice of Internet Availability of Proxy Materials, the proxy statement and the Annual Report are available at www.proxyvote.com.</w:t>
      </w:r>
    </w:p>
    <w:p>
      <w:pPr>
        <w:sectPr>
          <w:pgSz w:w="11900" w:h="16838" w:orient="portrait"/>
          <w:cols w:equalWidth="0" w:num="1">
            <w:col w:w="11420"/>
          </w:cols>
          <w:pgMar w:left="240" w:top="459" w:right="239" w:bottom="1440" w:gutter="0" w:footer="0" w:header="0"/>
        </w:sectPr>
      </w:pPr>
    </w:p>
    <w:bookmarkStart w:id="86" w:name="page87"/>
    <w:bookmarkEnd w:id="86"/>
    <w:p>
      <w:pPr>
        <w:jc w:val="center"/>
        <w:ind w:left="4742" w:hanging="4253"/>
        <w:spacing w:after="0" w:line="258" w:lineRule="auto"/>
        <w:tabs>
          <w:tab w:leader="none" w:pos="711" w:val="left"/>
        </w:tabs>
        <w:numPr>
          <w:ilvl w:val="0"/>
          <w:numId w:val="81"/>
        </w:numPr>
        <w:rPr>
          <w:rFonts w:ascii="Arial" w:cs="Arial" w:eastAsia="Arial" w:hAnsi="Arial"/>
          <w:sz w:val="14"/>
          <w:szCs w:val="14"/>
          <w:color w:val="auto"/>
        </w:rPr>
      </w:pPr>
      <w:r>
        <w:rPr>
          <w:rFonts w:ascii="Arial" w:cs="Arial" w:eastAsia="Arial" w:hAnsi="Arial"/>
          <w:sz w:val="14"/>
          <w:szCs w:val="14"/>
          <w:b w:val="1"/>
          <w:bCs w:val="1"/>
          <w:color w:val="auto"/>
        </w:rPr>
        <w:t xml:space="preserve">IF YOU HAVE NOT VOTED VIA THE INTERNET OR TELEPHONE, FOLD ALONG THE PERFORATION, DETACH AND RETURN THE BOTTOM PORTION IN THE ENCLOSED ENVELOPE.  </w:t>
      </w:r>
      <w:r>
        <w:rPr>
          <w:rFonts w:ascii="Arial" w:cs="Arial" w:eastAsia="Arial" w:hAnsi="Arial"/>
          <w:sz w:val="14"/>
          <w:szCs w:val="14"/>
          <w:color w:val="auto"/>
        </w:rPr>
        <w:t>q</w:t>
      </w:r>
    </w:p>
    <w:p>
      <w:pPr>
        <w:spacing w:after="0" w:line="22" w:lineRule="exact"/>
        <w:rPr>
          <w:sz w:val="20"/>
          <w:szCs w:val="20"/>
          <w:color w:val="auto"/>
        </w:rPr>
      </w:pPr>
    </w:p>
    <w:p>
      <w:pPr>
        <w:ind w:left="9462"/>
        <w:spacing w:after="0"/>
        <w:rPr>
          <w:sz w:val="20"/>
          <w:szCs w:val="20"/>
          <w:color w:val="auto"/>
        </w:rPr>
      </w:pPr>
      <w:r>
        <w:rPr>
          <w:rFonts w:ascii="Arial" w:cs="Arial" w:eastAsia="Arial" w:hAnsi="Arial"/>
          <w:sz w:val="14"/>
          <w:szCs w:val="14"/>
          <w:color w:val="auto"/>
        </w:rPr>
        <w:t>M67043-P46909-Z62353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165100</wp:posOffset>
            </wp:positionV>
            <wp:extent cx="7276465" cy="3811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38119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COMCAST CORPORATION</w:t>
      </w:r>
    </w:p>
    <w:p>
      <w:pPr>
        <w:jc w:val="center"/>
        <w:ind w:right="18"/>
        <w:spacing w:after="0" w:line="226" w:lineRule="auto"/>
        <w:rPr>
          <w:sz w:val="20"/>
          <w:szCs w:val="20"/>
          <w:color w:val="auto"/>
        </w:rPr>
      </w:pPr>
      <w:r>
        <w:rPr>
          <w:rFonts w:ascii="Arial" w:cs="Arial" w:eastAsia="Arial" w:hAnsi="Arial"/>
          <w:sz w:val="14"/>
          <w:szCs w:val="14"/>
          <w:b w:val="1"/>
          <w:bCs w:val="1"/>
          <w:color w:val="auto"/>
        </w:rPr>
        <w:t>THIS PROXY IS SOLICITED ON BEHALF OF THE BOARD OF DIRECTORS FOR</w:t>
      </w:r>
    </w:p>
    <w:p>
      <w:pPr>
        <w:spacing w:after="0" w:line="1"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THE ANNUAL MEETING OF SHAREHOLDERS ON MAY 21, 2014.</w:t>
      </w:r>
    </w:p>
    <w:p>
      <w:pPr>
        <w:spacing w:after="0" w:line="192" w:lineRule="exact"/>
        <w:rPr>
          <w:sz w:val="20"/>
          <w:szCs w:val="20"/>
          <w:color w:val="auto"/>
        </w:rPr>
      </w:pPr>
    </w:p>
    <w:p>
      <w:pPr>
        <w:ind w:left="2" w:right="60"/>
        <w:spacing w:after="0" w:line="229" w:lineRule="auto"/>
        <w:rPr>
          <w:sz w:val="20"/>
          <w:szCs w:val="20"/>
          <w:color w:val="auto"/>
        </w:rPr>
      </w:pPr>
      <w:r>
        <w:rPr>
          <w:rFonts w:ascii="Arial" w:cs="Arial" w:eastAsia="Arial" w:hAnsi="Arial"/>
          <w:sz w:val="14"/>
          <w:szCs w:val="14"/>
          <w:color w:val="auto"/>
        </w:rPr>
        <w:t>I hereby appoint Arthur R. Block and David L. Cohen and each of them acting individually, as proxies, with the powers I would possess if personally present, and with full power of substitution, to vote all shares in Comcast Corporation at the annual meeting of shareholders to be held at the The Kimmel Center at 9:00 a.m. Eastern Time on May 21, 2014,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4"/>
          <w:szCs w:val="14"/>
          <w:color w:val="auto"/>
        </w:rPr>
        <w:t>I acknowledge receipt of the notice of annual meeting of shareholders, the proxy statement and the Annual Report on Form 10-K of Comcast Corporation.</w:t>
      </w:r>
    </w:p>
    <w:p>
      <w:pPr>
        <w:spacing w:after="0" w:line="204" w:lineRule="exact"/>
        <w:rPr>
          <w:sz w:val="20"/>
          <w:szCs w:val="20"/>
          <w:color w:val="auto"/>
        </w:rPr>
      </w:pPr>
    </w:p>
    <w:p>
      <w:pPr>
        <w:ind w:left="2" w:right="20"/>
        <w:spacing w:after="0" w:line="263" w:lineRule="auto"/>
        <w:rPr>
          <w:sz w:val="20"/>
          <w:szCs w:val="20"/>
          <w:color w:val="auto"/>
        </w:rPr>
      </w:pPr>
      <w:r>
        <w:rPr>
          <w:rFonts w:ascii="Arial" w:cs="Arial" w:eastAsia="Arial" w:hAnsi="Arial"/>
          <w:sz w:val="12"/>
          <w:szCs w:val="12"/>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2"/>
          <w:szCs w:val="12"/>
          <w:b w:val="1"/>
          <w:bCs w:val="1"/>
          <w:color w:val="auto"/>
        </w:rPr>
        <w:t>Except in the case of shares held in the Comcast Corporation Retirement-Investment Plan or the Comcast Spectacor 401(k) Plan, if your card is signed and</w:t>
      </w:r>
      <w:r>
        <w:rPr>
          <w:rFonts w:ascii="Arial" w:cs="Arial" w:eastAsia="Arial" w:hAnsi="Arial"/>
          <w:sz w:val="12"/>
          <w:szCs w:val="12"/>
          <w:color w:val="auto"/>
        </w:rPr>
        <w:t xml:space="preserve"> </w:t>
      </w:r>
      <w:r>
        <w:rPr>
          <w:rFonts w:ascii="Arial" w:cs="Arial" w:eastAsia="Arial" w:hAnsi="Arial"/>
          <w:sz w:val="12"/>
          <w:szCs w:val="12"/>
          <w:b w:val="1"/>
          <w:bCs w:val="1"/>
          <w:color w:val="auto"/>
        </w:rPr>
        <w:t>returned without instructions, the shares will be voted in favor of all of the director nominees and any replacement nominee, in favor of Proposals 2 and 3 and against Proposals 4 and</w:t>
      </w:r>
    </w:p>
    <w:p>
      <w:pPr>
        <w:spacing w:after="0" w:line="1" w:lineRule="exact"/>
        <w:rPr>
          <w:sz w:val="20"/>
          <w:szCs w:val="20"/>
          <w:color w:val="auto"/>
        </w:rPr>
      </w:pPr>
    </w:p>
    <w:p>
      <w:pPr>
        <w:ind w:left="2" w:right="120" w:hanging="2"/>
        <w:spacing w:after="0" w:line="246" w:lineRule="auto"/>
        <w:tabs>
          <w:tab w:leader="none" w:pos="146" w:val="left"/>
        </w:tabs>
        <w:numPr>
          <w:ilvl w:val="0"/>
          <w:numId w:val="82"/>
        </w:numPr>
        <w:rPr>
          <w:rFonts w:ascii="Arial" w:cs="Arial" w:eastAsia="Arial" w:hAnsi="Arial"/>
          <w:sz w:val="13"/>
          <w:szCs w:val="13"/>
          <w:b w:val="1"/>
          <w:bCs w:val="1"/>
          <w:color w:val="auto"/>
        </w:rPr>
      </w:pPr>
      <w:r>
        <w:rPr>
          <w:rFonts w:ascii="Arial" w:cs="Arial" w:eastAsia="Arial" w:hAnsi="Arial"/>
          <w:sz w:val="13"/>
          <w:szCs w:val="13"/>
          <w:color w:val="auto"/>
        </w:rPr>
        <w:t>If you hold shares in the Comcast Corporation Retirement-Investment Plan or the Comcast Spectacor 401(k) Plan and do not vote, or 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the 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247" w:lineRule="exact"/>
        <w:rPr>
          <w:sz w:val="20"/>
          <w:szCs w:val="20"/>
          <w:color w:val="auto"/>
        </w:rPr>
      </w:pPr>
    </w:p>
    <w:p>
      <w:pPr>
        <w:ind w:left="1082"/>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8"/>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200"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1202"/>
      </w:cols>
      <w:pgMar w:left="398"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lvl w:ilvl="1">
      <w:lvlJc w:val="left"/>
      <w:lvlText w:val="(%2)"/>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2"/>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3"/>
    </w:lvl>
  </w:abstractNum>
  <w:abstractNum w:abstractNumId="13">
    <w:nsid w:val="7644A45C"/>
    <w:multiLevelType w:val="hybridMultilevel"/>
    <w:lvl w:ilvl="0">
      <w:lvlJc w:val="left"/>
      <w:lvlText w:val="(%1)"/>
      <w:numFmt w:val="decimal"/>
      <w:start w:val="15"/>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lvl w:ilvl="1">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lvl w:ilvl="1">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lvl w:ilvl="1">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lvl w:ilvl="1">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lvl w:ilvl="1">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bullet"/>
      <w:start w:val="1"/>
    </w:lvl>
  </w:abstractNum>
  <w:abstractNum w:abstractNumId="47">
    <w:nsid w:val="2F305DEF"/>
    <w:multiLevelType w:val="hybridMultilevel"/>
    <w:lvl w:ilvl="0">
      <w:lvlJc w:val="left"/>
      <w:lvlText w:val="2"/>
      <w:numFmt w:val="bullet"/>
      <w:start w:val="1"/>
    </w:lvl>
  </w:abstractNum>
  <w:abstractNum w:abstractNumId="48">
    <w:nsid w:val="25A70BF7"/>
    <w:multiLevelType w:val="hybridMultilevel"/>
    <w:lvl w:ilvl="0">
      <w:lvlJc w:val="left"/>
      <w:lvlText w:val="•"/>
      <w:numFmt w:val="bullet"/>
      <w:start w:val="1"/>
    </w:lvl>
    <w:lvl w:ilvl="1">
      <w:lvlJc w:val="left"/>
      <w:lvlText w:val="(%2)"/>
      <w:numFmt w:val="lowerRoman"/>
      <w:start w:val="2"/>
    </w:lvl>
    <w:lvl w:ilvl="2">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lvl w:ilvl="1">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lvl w:ilvl="1">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4"/>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4"/>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2"/>
    </w:lvl>
  </w:abstractNum>
  <w:abstractNum w:abstractNumId="70">
    <w:nsid w:val="BF72B14"/>
    <w:multiLevelType w:val="hybridMultilevel"/>
    <w:lvl w:ilvl="0">
      <w:lvlJc w:val="left"/>
      <w:lvlText w:val="(%1)"/>
      <w:numFmt w:val="decimal"/>
      <w:start w:val="4"/>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2"/>
    </w:lvl>
  </w:abstractNum>
  <w:abstractNum w:abstractNumId="73">
    <w:nsid w:val="A0382C5"/>
    <w:multiLevelType w:val="hybridMultilevel"/>
    <w:lvl w:ilvl="0">
      <w:lvlJc w:val="left"/>
      <w:lvlText w:val="(%1)"/>
      <w:numFmt w:val="decimal"/>
      <w:start w:val="7"/>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3"/>
    </w:lvl>
  </w:abstractNum>
  <w:abstractNum w:abstractNumId="77">
    <w:nsid w:val="68EB2F63"/>
    <w:multiLevelType w:val="hybridMultilevel"/>
    <w:lvl w:ilvl="0">
      <w:lvlJc w:val="left"/>
      <w:lvlText w:val="(%1)"/>
      <w:numFmt w:val="decimal"/>
      <w:start w:val="4"/>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q"/>
      <w:numFmt w:val="bullet"/>
      <w:start w:val="1"/>
    </w:lvl>
  </w:abstractNum>
  <w:abstractNum w:abstractNumId="81">
    <w:nsid w:val="1433062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2019-12-07T02:48:37Z</dcterms:created>
  <dcterms:modified xsi:type="dcterms:W3CDTF">2019-12-07T02:48:37Z</dcterms:modified>
</cp:coreProperties>
</file>