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FOR ANNUAL REPORTS OF EMPLOYEE STOCK</w:t>
      </w:r>
    </w:p>
    <w:p>
      <w:pPr>
        <w:spacing w:after="0" w:line="7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PURCHASE, SAVINGS AND SIMILAR PLANS</w:t>
      </w:r>
    </w:p>
    <w:p>
      <w:pPr>
        <w:spacing w:after="0" w:line="7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PURSUANT TO SECTION 15(d) OF THE</w:t>
      </w:r>
    </w:p>
    <w:p>
      <w:pPr>
        <w:spacing w:after="0" w:line="7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227965</wp:posOffset>
            </wp:positionV>
            <wp:extent cx="2538730"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3873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224790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7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2008.</w:t>
      </w:r>
    </w:p>
    <w:p>
      <w:pPr>
        <w:spacing w:after="0" w:line="75" w:lineRule="exact"/>
        <w:rPr>
          <w:sz w:val="24"/>
          <w:szCs w:val="24"/>
          <w:color w:val="auto"/>
        </w:rPr>
      </w:pPr>
    </w:p>
    <w:p>
      <w:pPr>
        <w:ind w:left="5560"/>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7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111" w:lineRule="exact"/>
        <w:rPr>
          <w:sz w:val="24"/>
          <w:szCs w:val="24"/>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-8890</wp:posOffset>
            </wp:positionV>
            <wp:extent cx="817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5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9" w:lineRule="exact"/>
        <w:rPr>
          <w:sz w:val="24"/>
          <w:szCs w:val="24"/>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Full title of the plan and the address of the plan, if different from that of the issuer named below:</w:t>
      </w:r>
    </w:p>
    <w:p>
      <w:pPr>
        <w:spacing w:after="0" w:line="59"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32"/>
          <w:szCs w:val="32"/>
          <w:b w:val="1"/>
          <w:bCs w:val="1"/>
          <w:color w:val="auto"/>
        </w:rPr>
        <w:t>COMCAST CORPORATION RETIREMENT-INVESTMENT PLAN</w:t>
      </w:r>
    </w:p>
    <w:p>
      <w:pPr>
        <w:spacing w:after="0" w:line="109" w:lineRule="exact"/>
        <w:rPr>
          <w:sz w:val="24"/>
          <w:szCs w:val="24"/>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issuer of the securities held pursuant to the plan and the address of its principal executive office:</w:t>
      </w:r>
    </w:p>
    <w:p>
      <w:pPr>
        <w:spacing w:after="0" w:line="90"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3"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Philadelphia, PA 19103-2838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226" w:right="79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COMCAST CORPORATION RETIREMENT-INVESTMENT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2008 and 2007 and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Ended December 31,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Schedule as of December 31,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Report of Independent Registered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Firm</w:t>
      </w:r>
    </w:p>
    <w:p>
      <w:pPr>
        <w:sectPr>
          <w:pgSz w:w="11900" w:h="16838" w:orient="portrait"/>
          <w:cols w:equalWidth="0" w:num="1">
            <w:col w:w="10219"/>
          </w:cols>
          <w:pgMar w:left="240" w:top="45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COMCAST CORPORATION RETIREMENT-INVESTMENT PLAN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060" w:type="dxa"/>
            <w:vAlign w:val="bottom"/>
            <w:gridSpan w:val="9"/>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REPORT OF INDEPENDENT REGISTERED PUBLIC ACCOUNTING FIRM</w:t>
              </w:r>
            </w:hyperlink>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060" w:type="dxa"/>
            <w:vAlign w:val="bottom"/>
            <w:gridSpan w:val="9"/>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56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40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20" w:type="dxa"/>
            <w:vAlign w:val="bottom"/>
            <w:gridSpan w:val="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Statements of Net Assets Available for Benefits as of December 31, 2008 and 2007</w:t>
              </w:r>
            </w:hyperlink>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20" w:type="dxa"/>
            <w:vAlign w:val="bottom"/>
            <w:gridSpan w:val="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Statement of Changes in Net Assets Available for Benefits for the Year Ended December 31, 2008</w:t>
              </w:r>
            </w:hyperlink>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690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Financial Statements</w:t>
              </w:r>
            </w:hyperlink>
          </w:p>
        </w:tc>
        <w:tc>
          <w:tcPr>
            <w:tcW w:w="37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20" w:type="dxa"/>
            <w:vAlign w:val="bottom"/>
            <w:gridSpan w:val="8"/>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Schedule H - Line 4i - Schedule of Assets (Held at End of Year) as of December 31, 2008</w:t>
              </w:r>
            </w:hyperlink>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4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14">
              <w:r>
                <w:rPr>
                  <w:rFonts w:ascii="Times New Roman" w:cs="Times New Roman" w:eastAsia="Times New Roman" w:hAnsi="Times New Roman"/>
                  <w:sz w:val="18"/>
                  <w:szCs w:val="18"/>
                  <w:color w:val="0000EE"/>
                  <w:w w:val="97"/>
                </w:rPr>
                <w:t>CONSENT OF INDEPENDENT REGISTERED PUBLIC ACCOUNTING FIRM</w:t>
              </w:r>
            </w:hyperlink>
          </w:p>
        </w:tc>
        <w:tc>
          <w:tcPr>
            <w:tcW w:w="5240" w:type="dxa"/>
            <w:vAlign w:val="bottom"/>
            <w:gridSpan w:val="4"/>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04"/>
        </w:trPr>
        <w:tc>
          <w:tcPr>
            <w:tcW w:w="11060" w:type="dxa"/>
            <w:vAlign w:val="bottom"/>
            <w:gridSpan w:val="9"/>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SIGNATURE</w:t>
              </w:r>
            </w:hyperlink>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159" w:lineRule="exact"/>
        <w:rPr>
          <w:sz w:val="20"/>
          <w:szCs w:val="20"/>
          <w:color w:val="auto"/>
        </w:rPr>
      </w:pPr>
    </w:p>
    <w:p>
      <w:pPr>
        <w:jc w:val="both"/>
        <w:ind w:right="360"/>
        <w:spacing w:after="0" w:line="310" w:lineRule="auto"/>
        <w:rPr>
          <w:sz w:val="20"/>
          <w:szCs w:val="20"/>
          <w:color w:val="auto"/>
        </w:rPr>
      </w:pPr>
      <w:r>
        <w:rPr>
          <w:rFonts w:ascii="Times New Roman" w:cs="Times New Roman" w:eastAsia="Times New Roman" w:hAnsi="Times New Roman"/>
          <w:sz w:val="16"/>
          <w:szCs w:val="16"/>
          <w:color w:val="auto"/>
        </w:rPr>
        <w:t>We have audited the accompanying statements of net assets available for benefits of the Comcast Corporation Retirement-Investment Plan (the “Plan”) as of December 31, 2008 and 2007, and the related statement of changes in net assets available for benefits for the year ended December 31, 2008. These financial statements are the responsibility of the Plan’s management. Our responsibility is to express an opinion on these financial statements based on our audits.</w:t>
      </w:r>
    </w:p>
    <w:p>
      <w:pPr>
        <w:spacing w:after="0" w:line="9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purposes of expressing an opinion on the effectiveness of the Plan’s internal control over financial reporting. Accordingly, we express no such opinion. An audit includes examining, on a test basis, evidence supporting the amounts and disclosures in the financial statements, assessing the accounting principles used and significant estimates made by management, and evaluating the overall financial statement presentation. We believe our audits provide a reasonable basis for our opinion.</w:t>
      </w:r>
    </w:p>
    <w:p>
      <w:pPr>
        <w:spacing w:after="0" w:line="14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net assets available for benefits of the Plan as of December 31, 2008 and 2007, and the changes in net assets available for benefits for the year ended December 31, 2008 in conformity with accounting principles generally accepted in the United States.</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audits were performed for the purpose of forming an opinion on the Plan’s financial statements taken as a whole. The accompanying supplemental schedule of assets (held at end of year) as of December 31, 2008 (Schedule H - Line 4i) is presented for the purpose of additional analysis and is not a required part of the financial statements but is supplementary information required by the Department of Labor’s Rules and Regulations for Reporting and Disclosure under the Employee Retirement Income Security Act of 1974. The supplemental schedule is the responsibility of the Plan’s management. The supplemental schedule has been subjected to the auditing procedures applied in the audits of the financial statements and, in our opinion, is fairly stated in all material respects, in relation to the financial statements taken as a whole.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MITCHELL &amp; TITUS,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2009</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COMCAST CORPORATION RETIREMENT-INVESTMENT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2008 AND 2007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1,995,491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2,413,551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Loans receivable from participants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AT FAIR VALUE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2,084,118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2,492,068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Adjustment from fair value to contract value for fully benefit-responsive investment contracts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2,093,736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2,491,090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COMCAST CORPORATION RETIREMENT-INVESTMENT PLAN</w:t>
      </w:r>
    </w:p>
    <w:p>
      <w:pPr>
        <w:spacing w:after="0" w:line="90" w:lineRule="exact"/>
        <w:rPr>
          <w:sz w:val="20"/>
          <w:szCs w:val="20"/>
          <w:color w:val="auto"/>
        </w:rPr>
      </w:pPr>
    </w:p>
    <w:p>
      <w:pPr>
        <w:ind w:right="3795"/>
        <w:spacing w:after="0" w:line="258" w:lineRule="auto"/>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 YEAR ENDED DECEMBER 31, 2008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 TO NET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Investment interest and dividends</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Participant</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Times New Roman" w:cs="Times New Roman" w:eastAsia="Times New Roman" w:hAnsi="Times New Roman"/>
          <w:sz w:val="18"/>
          <w:szCs w:val="18"/>
          <w:color w:val="auto"/>
        </w:rPr>
        <w:t>Rollover</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Merged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DEDUCTIONS FROM NET ASSETS ATTRIBUTED TO:</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depreciation in fair value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Benefits paid to participants or beneficiaries</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decrease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Beginning of year</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10"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06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82" w:lineRule="exact"/>
        <w:rPr>
          <w:sz w:val="20"/>
          <w:szCs w:val="20"/>
          <w:color w:val="auto"/>
        </w:rPr>
      </w:pPr>
    </w:p>
    <w:p>
      <w:pPr>
        <w:ind w:left="305" w:hanging="305"/>
        <w:spacing w:after="0"/>
        <w:tabs>
          <w:tab w:leader="none" w:pos="3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83,293</w:t>
      </w:r>
    </w:p>
    <w:p>
      <w:pPr>
        <w:spacing w:after="0" w:line="33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226,961</w:t>
      </w:r>
    </w:p>
    <w:p>
      <w:pPr>
        <w:spacing w:after="0" w:line="2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175,144</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23,108</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06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4" w:lineRule="exact"/>
        <w:rPr>
          <w:sz w:val="20"/>
          <w:szCs w:val="20"/>
          <w:color w:val="auto"/>
        </w:rPr>
      </w:pPr>
    </w:p>
    <w:p>
      <w:pPr>
        <w:ind w:left="225"/>
        <w:spacing w:after="0"/>
        <w:rPr>
          <w:sz w:val="20"/>
          <w:szCs w:val="20"/>
          <w:color w:val="auto"/>
        </w:rPr>
      </w:pPr>
      <w:r>
        <w:rPr>
          <w:rFonts w:ascii="Times New Roman" w:cs="Times New Roman" w:eastAsia="Times New Roman" w:hAnsi="Times New Roman"/>
          <w:sz w:val="18"/>
          <w:szCs w:val="18"/>
          <w:color w:val="auto"/>
        </w:rPr>
        <w:t>429,328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06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6" w:lineRule="exact"/>
        <w:rPr>
          <w:sz w:val="20"/>
          <w:szCs w:val="20"/>
          <w:color w:val="auto"/>
        </w:rPr>
      </w:pPr>
    </w:p>
    <w:p>
      <w:pPr>
        <w:ind w:left="225"/>
        <w:spacing w:after="0"/>
        <w:rPr>
          <w:sz w:val="20"/>
          <w:szCs w:val="20"/>
          <w:color w:val="auto"/>
        </w:rPr>
      </w:pPr>
      <w:r>
        <w:rPr>
          <w:rFonts w:ascii="Times New Roman" w:cs="Times New Roman" w:eastAsia="Times New Roman" w:hAnsi="Times New Roman"/>
          <w:sz w:val="18"/>
          <w:szCs w:val="18"/>
          <w:color w:val="auto"/>
        </w:rPr>
        <w:t>512,621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06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340" w:lineRule="exact"/>
        <w:rPr>
          <w:sz w:val="20"/>
          <w:szCs w:val="20"/>
          <w:color w:val="auto"/>
        </w:rPr>
      </w:pPr>
    </w:p>
    <w:p>
      <w:pPr>
        <w:ind w:left="225"/>
        <w:spacing w:after="0"/>
        <w:rPr>
          <w:sz w:val="20"/>
          <w:szCs w:val="20"/>
          <w:color w:val="auto"/>
        </w:rPr>
      </w:pPr>
      <w:r>
        <w:rPr>
          <w:rFonts w:ascii="Times New Roman" w:cs="Times New Roman" w:eastAsia="Times New Roman" w:hAnsi="Times New Roman"/>
          <w:sz w:val="18"/>
          <w:szCs w:val="18"/>
          <w:color w:val="auto"/>
        </w:rPr>
        <w:t>721,668</w:t>
      </w:r>
    </w:p>
    <w:p>
      <w:pPr>
        <w:spacing w:after="0" w:line="21" w:lineRule="exact"/>
        <w:rPr>
          <w:sz w:val="20"/>
          <w:szCs w:val="20"/>
          <w:color w:val="auto"/>
        </w:rPr>
      </w:pPr>
    </w:p>
    <w:p>
      <w:pPr>
        <w:ind w:left="225"/>
        <w:spacing w:after="0"/>
        <w:rPr>
          <w:sz w:val="20"/>
          <w:szCs w:val="20"/>
          <w:color w:val="auto"/>
        </w:rPr>
      </w:pPr>
      <w:r>
        <w:rPr>
          <w:rFonts w:ascii="Times New Roman" w:cs="Times New Roman" w:eastAsia="Times New Roman" w:hAnsi="Times New Roman"/>
          <w:sz w:val="18"/>
          <w:szCs w:val="18"/>
          <w:color w:val="auto"/>
        </w:rPr>
        <w:t>188,307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06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4" w:lineRule="exact"/>
        <w:rPr>
          <w:sz w:val="20"/>
          <w:szCs w:val="20"/>
          <w:color w:val="auto"/>
        </w:rPr>
      </w:pPr>
    </w:p>
    <w:p>
      <w:pPr>
        <w:ind w:left="225"/>
        <w:spacing w:after="0"/>
        <w:rPr>
          <w:sz w:val="20"/>
          <w:szCs w:val="20"/>
          <w:color w:val="auto"/>
        </w:rPr>
      </w:pPr>
      <w:r>
        <w:rPr>
          <w:rFonts w:ascii="Times New Roman" w:cs="Times New Roman" w:eastAsia="Times New Roman" w:hAnsi="Times New Roman"/>
          <w:sz w:val="18"/>
          <w:szCs w:val="18"/>
          <w:color w:val="auto"/>
        </w:rPr>
        <w:t>909,975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(397,354)</w:t>
      </w:r>
    </w:p>
    <w:p>
      <w:pPr>
        <w:spacing w:after="0" w:line="333" w:lineRule="exact"/>
        <w:rPr>
          <w:sz w:val="20"/>
          <w:szCs w:val="20"/>
          <w:color w:val="auto"/>
        </w:rPr>
      </w:pPr>
    </w:p>
    <w:p>
      <w:pPr>
        <w:ind w:left="85"/>
        <w:spacing w:after="0"/>
        <w:rPr>
          <w:sz w:val="20"/>
          <w:szCs w:val="20"/>
          <w:color w:val="auto"/>
        </w:rPr>
      </w:pPr>
      <w:r>
        <w:rPr>
          <w:rFonts w:ascii="Times New Roman" w:cs="Times New Roman" w:eastAsia="Times New Roman" w:hAnsi="Times New Roman"/>
          <w:sz w:val="18"/>
          <w:szCs w:val="18"/>
          <w:u w:val="single" w:color="auto"/>
          <w:color w:val="auto"/>
        </w:rPr>
        <w:t>2,491,090</w:t>
      </w:r>
    </w:p>
    <w:p>
      <w:pPr>
        <w:spacing w:after="0" w:line="14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u w:val="single" w:color="auto"/>
          <w:color w:val="auto"/>
        </w:rPr>
        <w:t>$2,093,736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506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2">
            <w:col w:w="9795" w:space="720"/>
            <w:col w:w="865"/>
          </w:cols>
          <w:pgMar w:left="240" w:top="455" w:right="2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COMCAST CORPORATION RETIREMENT-INVESTMENT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2008 and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3" w:lineRule="exact"/>
        <w:rPr>
          <w:sz w:val="20"/>
          <w:szCs w:val="20"/>
          <w:color w:val="auto"/>
        </w:rPr>
      </w:pPr>
    </w:p>
    <w:p>
      <w:pPr>
        <w:ind w:left="460" w:right="9220" w:hanging="452"/>
        <w:spacing w:after="0" w:line="388" w:lineRule="auto"/>
        <w:tabs>
          <w:tab w:leader="none" w:pos="449"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PLAN DESCRIPTION </w:t>
      </w:r>
      <w:r>
        <w:rPr>
          <w:rFonts w:ascii="Times New Roman" w:cs="Times New Roman" w:eastAsia="Times New Roman" w:hAnsi="Times New Roman"/>
          <w:sz w:val="16"/>
          <w:szCs w:val="16"/>
          <w:u w:val="single" w:color="auto"/>
          <w:color w:val="auto"/>
        </w:rPr>
        <w:t>General</w:t>
      </w:r>
    </w:p>
    <w:p>
      <w:pPr>
        <w:spacing w:after="0" w:line="1" w:lineRule="exact"/>
        <w:rPr>
          <w:rFonts w:ascii="Times New Roman" w:cs="Times New Roman" w:eastAsia="Times New Roman" w:hAnsi="Times New Roman"/>
          <w:sz w:val="16"/>
          <w:szCs w:val="16"/>
          <w:b w:val="1"/>
          <w:bCs w:val="1"/>
          <w:color w:val="auto"/>
        </w:rPr>
      </w:pPr>
    </w:p>
    <w:p>
      <w:pPr>
        <w:ind w:left="460" w:right="20"/>
        <w:spacing w:after="0" w:line="25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following description of the Comcast Corporation Retirement-Investment Plan (the “Plan”) provides only general information. Plan participants should refer to the Plan document and applicable amendments for a more complete description of the Plan’s provisions. Copies of these documents are available from the Plan Administrator, Comcast Corporation (“Comcast”, the “Company” or the “Plan Administrator”). Generally, all costs associated with administering the Plan are paid by the Plan Administrator.</w:t>
      </w:r>
    </w:p>
    <w:p>
      <w:pPr>
        <w:spacing w:after="0" w:line="55" w:lineRule="exact"/>
        <w:rPr>
          <w:rFonts w:ascii="Times New Roman" w:cs="Times New Roman" w:eastAsia="Times New Roman" w:hAnsi="Times New Roman"/>
          <w:sz w:val="16"/>
          <w:szCs w:val="16"/>
          <w:b w:val="1"/>
          <w:bCs w:val="1"/>
          <w:color w:val="auto"/>
        </w:rPr>
      </w:pPr>
    </w:p>
    <w:p>
      <w:pPr>
        <w:ind w:left="460" w:right="20"/>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Plan is a defined contribution plan qualified under Internal Revenue Code (the “Code”) Sections 401(a), 401(k) and 401(m). The original Plan has been amended and restated to reflect mergers of other plans with and into the Plan and to make certain other technical, compliance and design changes. The Plan is subject to the provisions of the Employee Retirement Income Security Act of 1974 (“ERISA”).</w:t>
      </w:r>
    </w:p>
    <w:p>
      <w:pPr>
        <w:spacing w:after="0" w:line="51" w:lineRule="exact"/>
        <w:rPr>
          <w:rFonts w:ascii="Times New Roman" w:cs="Times New Roman" w:eastAsia="Times New Roman" w:hAnsi="Times New Roman"/>
          <w:sz w:val="16"/>
          <w:szCs w:val="16"/>
          <w:b w:val="1"/>
          <w:bCs w:val="1"/>
          <w:color w:val="auto"/>
        </w:rPr>
      </w:pPr>
    </w:p>
    <w:p>
      <w:pPr>
        <w:ind w:left="460" w:right="100"/>
        <w:spacing w:after="0" w:line="29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Employees become eligible to participate in the Plan in the first month after completion of three months of service and shall be automatically enrolled in the Plan at a contribution rate equal to two percent of eligible compensation on a pre-tax basis unless they opt out of participation. Automatically-enrolled participants may thereafter increase or decrease their contribution. The maximum amount of eligible compensation that may be deferred is 50%, subject to certain limits imposed by the Code. The Company matches 100% of the participant’s contribution up to 6% of the participant’s eligible compensation for such payroll period. Rollover contributions represent participant assets transferred to the Plan from other qualified retirement plans. Contributions from merged plans represent assets from other qualified retirement plans that have been transferred to the Plan in their entirety.</w:t>
      </w:r>
    </w:p>
    <w:p>
      <w:pPr>
        <w:spacing w:after="0" w:line="29" w:lineRule="exact"/>
        <w:rPr>
          <w:rFonts w:ascii="Times New Roman" w:cs="Times New Roman" w:eastAsia="Times New Roman" w:hAnsi="Times New Roman"/>
          <w:sz w:val="16"/>
          <w:szCs w:val="16"/>
          <w:b w:val="1"/>
          <w:bCs w:val="1"/>
          <w:color w:val="auto"/>
        </w:rPr>
      </w:pPr>
    </w:p>
    <w:p>
      <w:pPr>
        <w:ind w:left="460" w:right="200"/>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Each participant has at all times a 100% nonforfeitable interest in the participant’s contributions and earnings attributable thereto. Company matching contributions for Plan years beginning after December 31, 2000 are fully and immediately vested. Company matching contributions for Plan years ended on or prior to December 31, 2000 vested according to years of service.</w:t>
      </w:r>
    </w:p>
    <w:p>
      <w:pPr>
        <w:spacing w:after="0" w:line="51" w:lineRule="exact"/>
        <w:rPr>
          <w:rFonts w:ascii="Times New Roman" w:cs="Times New Roman" w:eastAsia="Times New Roman" w:hAnsi="Times New Roman"/>
          <w:sz w:val="16"/>
          <w:szCs w:val="16"/>
          <w:b w:val="1"/>
          <w:bCs w:val="1"/>
          <w:color w:val="auto"/>
        </w:rPr>
      </w:pPr>
    </w:p>
    <w:p>
      <w:pPr>
        <w:ind w:left="460"/>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Each participant has the right, in accordance with the provisions of the Plan, to direct the investment by the Trustee of the Plan of all amounts allocated to the separate accounts of the participant under the Plan among any one or more of the investment fund options. The Trustee pays benefits and expenses upon the written direction of the Plan Administrator.</w:t>
      </w:r>
    </w:p>
    <w:p>
      <w:pPr>
        <w:spacing w:after="0" w:line="51" w:lineRule="exact"/>
        <w:rPr>
          <w:rFonts w:ascii="Times New Roman" w:cs="Times New Roman" w:eastAsia="Times New Roman" w:hAnsi="Times New Roman"/>
          <w:sz w:val="16"/>
          <w:szCs w:val="16"/>
          <w:b w:val="1"/>
          <w:bCs w:val="1"/>
          <w:color w:val="auto"/>
        </w:rPr>
      </w:pPr>
    </w:p>
    <w:p>
      <w:pPr>
        <w:ind w:left="460" w:right="20"/>
        <w:spacing w:after="0" w:line="25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Amounts contributed by the Company which are forfeited by participants as a result of the participants’ separation from service prior to becoming 100% vested shall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eligible compensation for that Plan year bears to the eligible compensation for all such participants for the Plan year. Forfeitures used for the years ended December 31, 2008 and 2007 amounted to $62,365 and $73,554, respectively. Outstanding forfeitures not yet applied against Company contributions at December 31, 2008 and 2007 were $477,203 and $101,100, respectively.</w:t>
      </w:r>
    </w:p>
    <w:p>
      <w:pPr>
        <w:spacing w:after="0" w:line="60" w:lineRule="exact"/>
        <w:rPr>
          <w:rFonts w:ascii="Times New Roman" w:cs="Times New Roman" w:eastAsia="Times New Roman" w:hAnsi="Times New Roman"/>
          <w:sz w:val="16"/>
          <w:szCs w:val="16"/>
          <w:b w:val="1"/>
          <w:bCs w:val="1"/>
          <w:color w:val="auto"/>
        </w:rPr>
      </w:pPr>
    </w:p>
    <w:p>
      <w:pPr>
        <w:ind w:left="460" w:right="160"/>
        <w:spacing w:after="0" w:line="25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Any participant who has a separation from service for any reason shall be entitled to receive his/her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annual or quarterly installments, a rollover into another qualified plan, or any combination of the foregoing.</w:t>
      </w:r>
    </w:p>
    <w:p>
      <w:pPr>
        <w:spacing w:after="0" w:line="57" w:lineRule="exact"/>
        <w:rPr>
          <w:rFonts w:ascii="Times New Roman" w:cs="Times New Roman" w:eastAsia="Times New Roman" w:hAnsi="Times New Roman"/>
          <w:sz w:val="16"/>
          <w:szCs w:val="16"/>
          <w:b w:val="1"/>
          <w:bCs w:val="1"/>
          <w:color w:val="auto"/>
        </w:rPr>
      </w:pPr>
    </w:p>
    <w:p>
      <w:pPr>
        <w:ind w:left="460" w:right="40"/>
        <w:spacing w:after="0" w:line="33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Although it has not expressed any intent to do so, the Company has the right under the Plan to discontinue its contributions at any time and to terminate the Plan subject to the provisions of ERISA. In the event of Plan termination, each affected participant’s account balance will become fully vested.</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Trustee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Fidelity Management Trust Company is the appointed Trustee of the Plan.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92" w:lineRule="exact"/>
        <w:rPr>
          <w:rFonts w:ascii="Times New Roman" w:cs="Times New Roman" w:eastAsia="Times New Roman" w:hAnsi="Times New Roman"/>
          <w:sz w:val="18"/>
          <w:szCs w:val="18"/>
          <w:b w:val="1"/>
          <w:bCs w:val="1"/>
          <w:color w:val="auto"/>
        </w:rPr>
      </w:pPr>
    </w:p>
    <w:p>
      <w:pPr>
        <w:ind w:left="460" w:right="1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of the Plan are presented using the accrual basis of accounting. Investments in mutual funds and the Comcast Corporation Stock Fund are carried at fair value. Fair value is determined by the last sale or closing price as of the last trading day of the Plan year for investments in securities traded on a securities exchange or the Nasdaq National Market. Investment contracts, which are included in the Comcast Stable Value Fund, are fully benefit-responsive and are carried at contract value.</w:t>
      </w:r>
    </w:p>
    <w:p>
      <w:pPr>
        <w:spacing w:after="0" w:line="53" w:lineRule="exact"/>
        <w:rPr>
          <w:rFonts w:ascii="Times New Roman" w:cs="Times New Roman" w:eastAsia="Times New Roman" w:hAnsi="Times New Roman"/>
          <w:sz w:val="18"/>
          <w:szCs w:val="18"/>
          <w:b w:val="1"/>
          <w:bCs w:val="1"/>
          <w:color w:val="auto"/>
        </w:rPr>
      </w:pPr>
    </w:p>
    <w:p>
      <w:pPr>
        <w:ind w:left="460" w:right="12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 described in Financial Accounting Standards Board (“FASB”) Staff Position FSP AAG INV-1 and SOP 94-4-1, </w:t>
      </w:r>
      <w:r>
        <w:rPr>
          <w:rFonts w:ascii="Times New Roman" w:cs="Times New Roman" w:eastAsia="Times New Roman" w:hAnsi="Times New Roman"/>
          <w:sz w:val="18"/>
          <w:szCs w:val="18"/>
          <w:i w:val="1"/>
          <w:iCs w:val="1"/>
          <w:color w:val="auto"/>
        </w:rPr>
        <w:t>Reporting of Fully Benefit-Responsive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 Contracts Held by Certain Investment Companies Subject to the AICPA Investment Company Guide and Defined-Contribution Health and Welfare and Pension Plans </w:t>
      </w:r>
      <w:r>
        <w:rPr>
          <w:rFonts w:ascii="Times New Roman" w:cs="Times New Roman" w:eastAsia="Times New Roman" w:hAnsi="Times New Roman"/>
          <w:sz w:val="18"/>
          <w:szCs w:val="18"/>
          <w:color w:val="auto"/>
        </w:rPr>
        <w:t>(the “FSP”), investment contracts, such as those included in the Comcast Stable Value Fund, are required to be reported at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However, contract value is the relevant measure of fully benefit-responsive investment contracts since that is the amount participants would receive if they were to initiate permitted transactions under the terms of the Plan. As required by the FSP, the Statements of Net Assets Available for Benefits present investments at fair value as well as an additional line item showing the adjustment of fully benefit-responsive investment contracts from fair value to contract value. The Statement of Changes in Net Assets Available for Benefits is presented on a contract value basis and is not affected by the FSP. Loans receivable from participants are valued at cost which approximates fair value.</w:t>
      </w:r>
    </w:p>
    <w:p>
      <w:pPr>
        <w:spacing w:after="0" w:line="50" w:lineRule="exact"/>
        <w:rPr>
          <w:rFonts w:ascii="Times New Roman" w:cs="Times New Roman" w:eastAsia="Times New Roman" w:hAnsi="Times New Roman"/>
          <w:sz w:val="18"/>
          <w:szCs w:val="18"/>
          <w:b w:val="1"/>
          <w:bCs w:val="1"/>
          <w:color w:val="auto"/>
        </w:rPr>
      </w:pPr>
    </w:p>
    <w:p>
      <w:pPr>
        <w:ind w:left="460" w:right="1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January 1, 2008, the Plan adopted the provisions of Statement of Financial Accounting Standards No. 157, “Fair Value Measurements,” (“SFAS No. 157”). See Note 4 for further details regarding the adoption of this standard.</w:t>
      </w:r>
    </w:p>
    <w:p>
      <w:pPr>
        <w:spacing w:after="0" w:line="38" w:lineRule="exact"/>
        <w:rPr>
          <w:rFonts w:ascii="Times New Roman" w:cs="Times New Roman" w:eastAsia="Times New Roman" w:hAnsi="Times New Roman"/>
          <w:sz w:val="18"/>
          <w:szCs w:val="18"/>
          <w:b w:val="1"/>
          <w:bCs w:val="1"/>
          <w:color w:val="auto"/>
        </w:rPr>
      </w:pPr>
    </w:p>
    <w:p>
      <w:pPr>
        <w:ind w:left="460" w:right="8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Benefits are recorded when paid.</w:t>
      </w:r>
    </w:p>
    <w:p>
      <w:pPr>
        <w:spacing w:after="0" w:line="51" w:lineRule="exact"/>
        <w:rPr>
          <w:rFonts w:ascii="Times New Roman" w:cs="Times New Roman" w:eastAsia="Times New Roman" w:hAnsi="Times New Roman"/>
          <w:sz w:val="18"/>
          <w:szCs w:val="18"/>
          <w:b w:val="1"/>
          <w:bCs w:val="1"/>
          <w:color w:val="auto"/>
        </w:rPr>
      </w:pPr>
    </w:p>
    <w:p>
      <w:pPr>
        <w:ind w:left="460" w:right="2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 securities are exposed to various risks, such as interest rate, market and credit risks. During the year ended December 31, 2008, a significant decline in the fair value of investments occurred due to a significant amount of market volatility that was, in part, a result of a general decline in global economic conditions. Due to the level of risk associated with certain investment securities, it is at least reasonably possible that changes in the values of investment securities will occur in the near term and that such changes could materially affect the amounts reported in the Statement of Net Assets Available for Benefits.</w:t>
      </w:r>
    </w:p>
    <w:p>
      <w:pPr>
        <w:spacing w:after="0" w:line="57" w:lineRule="exact"/>
        <w:rPr>
          <w:rFonts w:ascii="Times New Roman" w:cs="Times New Roman" w:eastAsia="Times New Roman" w:hAnsi="Times New Roman"/>
          <w:sz w:val="18"/>
          <w:szCs w:val="18"/>
          <w:b w:val="1"/>
          <w:bCs w:val="1"/>
          <w:color w:val="auto"/>
        </w:rPr>
      </w:pPr>
    </w:p>
    <w:p>
      <w:pPr>
        <w:ind w:left="460" w:right="12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and changes therein, and disclosure of contingent assets and liabilities. Actual results could differ from those estimates.</w:t>
      </w:r>
    </w:p>
    <w:p>
      <w:pPr>
        <w:spacing w:after="0" w:line="251"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9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market value of investments held by the Plan representing 5% or more of the Plan’s assets are identified below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4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5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Dodge and Cox Balanced Fund</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$ 126,358</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$ 189,914</w:t>
            </w:r>
          </w:p>
        </w:tc>
      </w:tr>
      <w:tr>
        <w:trPr>
          <w:trHeight w:val="216"/>
        </w:trPr>
        <w:tc>
          <w:tcPr>
            <w:tcW w:w="4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Fidelity Diversified International Fund</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125,127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227,040</w:t>
            </w:r>
          </w:p>
        </w:tc>
      </w:tr>
      <w:tr>
        <w:trPr>
          <w:trHeight w:val="216"/>
        </w:trPr>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Spartan US Equity Index Fund</w:t>
            </w:r>
          </w:p>
        </w:tc>
        <w:tc>
          <w:tcPr>
            <w:tcW w:w="6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113,454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181,235</w:t>
            </w:r>
          </w:p>
        </w:tc>
      </w:tr>
      <w:tr>
        <w:trPr>
          <w:trHeight w:val="216"/>
        </w:trPr>
        <w:tc>
          <w:tcPr>
            <w:tcW w:w="4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TRP Blue Chip Growth Fund</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122,964</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211,328</w:t>
            </w:r>
          </w:p>
        </w:tc>
      </w:tr>
      <w:tr>
        <w:trPr>
          <w:trHeight w:val="363"/>
        </w:trPr>
        <w:tc>
          <w:tcPr>
            <w:tcW w:w="4420" w:type="dxa"/>
            <w:vAlign w:val="bottom"/>
          </w:tcPr>
          <w:p>
            <w:pPr>
              <w:spacing w:after="0"/>
              <w:rPr>
                <w:sz w:val="24"/>
                <w:szCs w:val="24"/>
                <w:color w:val="auto"/>
              </w:rPr>
            </w:pPr>
          </w:p>
        </w:tc>
        <w:tc>
          <w:tcPr>
            <w:tcW w:w="5380" w:type="dxa"/>
            <w:vAlign w:val="bottom"/>
          </w:tcPr>
          <w:p>
            <w:pPr>
              <w:jc w:val="right"/>
              <w:ind w:right="3952"/>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90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900" w:type="dxa"/>
            <w:vAlign w:val="bottom"/>
          </w:tcPr>
          <w:p>
            <w:pPr>
              <w:spacing w:after="0"/>
              <w:rPr>
                <w:sz w:val="12"/>
                <w:szCs w:val="12"/>
                <w:color w:val="auto"/>
              </w:rPr>
            </w:pPr>
          </w:p>
        </w:tc>
        <w:tc>
          <w:tcPr>
            <w:tcW w:w="680" w:type="dxa"/>
            <w:vAlign w:val="bottom"/>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8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Comcast Corporation Stock Fund</w:t>
            </w: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Class A Common Stock</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152,709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149,700</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Comcast Stable Value Fund</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State Street Bank and Trust Company Boston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130,149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JP Morgan Chase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130,149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CDC Financial Products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130,135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AIG Financial Products Corp.</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right="380"/>
        <w:spacing w:after="0" w:line="275" w:lineRule="auto"/>
        <w:rPr>
          <w:sz w:val="20"/>
          <w:szCs w:val="20"/>
          <w:color w:val="auto"/>
        </w:rPr>
      </w:pPr>
      <w:r>
        <w:rPr>
          <w:rFonts w:ascii="Times New Roman" w:cs="Times New Roman" w:eastAsia="Times New Roman" w:hAnsi="Times New Roman"/>
          <w:sz w:val="18"/>
          <w:szCs w:val="18"/>
          <w:color w:val="auto"/>
        </w:rPr>
        <w:t>During 2008, the Plan’s investments, including investments purchased and sold, as well as held during the year, depreciated in fair value as follows (in thousands):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Net Realized</w:t>
            </w:r>
          </w:p>
        </w:tc>
      </w:tr>
      <w:tr>
        <w:trPr>
          <w:trHeight w:val="149"/>
        </w:trPr>
        <w:tc>
          <w:tcPr>
            <w:tcW w:w="948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And Unrealized</w:t>
            </w:r>
          </w:p>
        </w:tc>
      </w:tr>
      <w:tr>
        <w:trPr>
          <w:trHeight w:val="149"/>
        </w:trPr>
        <w:tc>
          <w:tcPr>
            <w:tcW w:w="948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Depreciation in</w:t>
            </w:r>
          </w:p>
        </w:tc>
      </w:tr>
      <w:tr>
        <w:trPr>
          <w:trHeight w:val="149"/>
        </w:trPr>
        <w:tc>
          <w:tcPr>
            <w:tcW w:w="948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 Value of</w:t>
            </w:r>
          </w:p>
        </w:tc>
      </w:tr>
      <w:tr>
        <w:trPr>
          <w:trHeight w:val="165"/>
        </w:trPr>
        <w:tc>
          <w:tcPr>
            <w:tcW w:w="9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Investments</w:t>
            </w:r>
          </w:p>
        </w:tc>
        <w:tc>
          <w:tcPr>
            <w:tcW w:w="100" w:type="dxa"/>
            <w:vAlign w:val="bottom"/>
          </w:tcPr>
          <w:p>
            <w:pPr>
              <w:spacing w:after="0"/>
              <w:rPr>
                <w:sz w:val="14"/>
                <w:szCs w:val="14"/>
                <w:color w:val="auto"/>
              </w:rPr>
            </w:pPr>
          </w:p>
        </w:tc>
      </w:tr>
      <w:tr>
        <w:trPr>
          <w:trHeight w:val="210"/>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(705,467)</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(16,201)</w:t>
            </w:r>
          </w:p>
        </w:tc>
      </w:tr>
      <w:tr>
        <w:trPr>
          <w:trHeight w:val="27"/>
        </w:trPr>
        <w:tc>
          <w:tcPr>
            <w:tcW w:w="9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(721,668)</w:t>
            </w:r>
          </w:p>
        </w:tc>
      </w:tr>
    </w:tbl>
    <w:p>
      <w:pPr>
        <w:spacing w:after="0" w:line="67" w:lineRule="exact"/>
        <w:rPr>
          <w:sz w:val="20"/>
          <w:szCs w:val="20"/>
          <w:color w:val="auto"/>
        </w:rPr>
      </w:pPr>
    </w:p>
    <w:p>
      <w:pPr>
        <w:jc w:val="both"/>
        <w:ind w:left="460" w:right="200"/>
        <w:spacing w:after="0" w:line="262" w:lineRule="auto"/>
        <w:rPr>
          <w:sz w:val="20"/>
          <w:szCs w:val="20"/>
          <w:color w:val="auto"/>
        </w:rPr>
      </w:pPr>
      <w:r>
        <w:rPr>
          <w:rFonts w:ascii="Times New Roman" w:cs="Times New Roman" w:eastAsia="Times New Roman" w:hAnsi="Times New Roman"/>
          <w:sz w:val="18"/>
          <w:szCs w:val="18"/>
          <w:color w:val="auto"/>
        </w:rPr>
        <w:t>As described in Note 2, included in the Comcast Stable Value Fund are fully benefit-responsive investment contracts, which are carried at contract value. The rate at which interest is credited to the Plan is that determined under the contract, consistent with reflecting participant balances at contract value as opposed to the market value of the underlying assets. Interest rates are reset quarterly by the issuers of the investment contracts.</w:t>
      </w:r>
    </w:p>
    <w:p>
      <w:pPr>
        <w:spacing w:after="0" w:line="51" w:lineRule="exact"/>
        <w:rPr>
          <w:sz w:val="20"/>
          <w:szCs w:val="20"/>
          <w:color w:val="auto"/>
        </w:rPr>
      </w:pPr>
    </w:p>
    <w:p>
      <w:pPr>
        <w:ind w:left="460" w:right="100"/>
        <w:spacing w:after="0" w:line="334" w:lineRule="auto"/>
        <w:rPr>
          <w:sz w:val="20"/>
          <w:szCs w:val="20"/>
          <w:color w:val="auto"/>
        </w:rPr>
      </w:pPr>
      <w:r>
        <w:rPr>
          <w:rFonts w:ascii="Times New Roman" w:cs="Times New Roman" w:eastAsia="Times New Roman" w:hAnsi="Times New Roman"/>
          <w:sz w:val="16"/>
          <w:szCs w:val="16"/>
          <w:color w:val="auto"/>
        </w:rPr>
        <w:t>The average yield of investment contracts held as of December 31, 2008 and 2007 was 3.75% and 4.98%, respectively. When adjusted to reflect the actual interest credited to the Plan, the average yield of investment contracts held as of December 31, 2008 and 2007 was 3.74% and 4.56%, respectively.</w:t>
      </w:r>
    </w:p>
    <w:p>
      <w:pPr>
        <w:spacing w:after="0" w:line="1" w:lineRule="exact"/>
        <w:rPr>
          <w:sz w:val="20"/>
          <w:szCs w:val="20"/>
          <w:color w:val="auto"/>
        </w:rPr>
      </w:pPr>
    </w:p>
    <w:p>
      <w:pPr>
        <w:ind w:left="460" w:right="24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adjustments from fair value to contract value related to the fully benefit-responsive investment contracts included in the Comcast Stable Value Fund:</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77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Credit Rating</w:t>
            </w:r>
          </w:p>
        </w:tc>
        <w:tc>
          <w:tcPr>
            <w:tcW w:w="480" w:type="dxa"/>
            <w:vAlign w:val="bottom"/>
          </w:tcPr>
          <w:p>
            <w:pPr>
              <w:spacing w:after="0"/>
              <w:rPr>
                <w:sz w:val="14"/>
                <w:szCs w:val="14"/>
                <w:color w:val="auto"/>
              </w:rPr>
            </w:pPr>
          </w:p>
        </w:tc>
        <w:tc>
          <w:tcPr>
            <w:tcW w:w="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2008</w:t>
            </w:r>
          </w:p>
        </w:tc>
        <w:tc>
          <w:tcPr>
            <w:tcW w:w="50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Street Bank and Trust Company Boston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JP Morgan Chase</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CDC Financial Products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AIG Financial Products Corp</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5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r>
      <w:tr>
        <w:trPr>
          <w:trHeight w:val="27"/>
        </w:trPr>
        <w:tc>
          <w:tcPr>
            <w:tcW w:w="7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9,618</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(978)</w:t>
            </w:r>
          </w:p>
        </w:tc>
      </w:tr>
      <w:tr>
        <w:trPr>
          <w:trHeight w:val="20"/>
        </w:trPr>
        <w:tc>
          <w:tcPr>
            <w:tcW w:w="7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right="280"/>
        <w:spacing w:after="0" w:line="275" w:lineRule="auto"/>
        <w:rPr>
          <w:sz w:val="20"/>
          <w:szCs w:val="20"/>
          <w:color w:val="auto"/>
        </w:rPr>
      </w:pPr>
      <w:r>
        <w:rPr>
          <w:rFonts w:ascii="Times New Roman" w:cs="Times New Roman" w:eastAsia="Times New Roman" w:hAnsi="Times New Roman"/>
          <w:sz w:val="18"/>
          <w:szCs w:val="18"/>
          <w:color w:val="auto"/>
        </w:rPr>
        <w:t>There are certain events, such as the Plan’s failure to qualify under Section 401(a) or 401(k) of the Code, which can limit the fund’s ability to transact at contract value. At this time, the occurrence of any such limiting event is not probable.</w:t>
      </w:r>
    </w:p>
    <w:p>
      <w:pPr>
        <w:spacing w:after="0" w:line="39" w:lineRule="exact"/>
        <w:rPr>
          <w:sz w:val="20"/>
          <w:szCs w:val="20"/>
          <w:color w:val="auto"/>
        </w:rPr>
      </w:pPr>
    </w:p>
    <w:p>
      <w:pPr>
        <w:ind w:left="460" w:right="140"/>
        <w:spacing w:after="0" w:line="275" w:lineRule="auto"/>
        <w:rPr>
          <w:sz w:val="20"/>
          <w:szCs w:val="20"/>
          <w:color w:val="auto"/>
        </w:rPr>
      </w:pPr>
      <w:r>
        <w:rPr>
          <w:rFonts w:ascii="Times New Roman" w:cs="Times New Roman" w:eastAsia="Times New Roman" w:hAnsi="Times New Roman"/>
          <w:sz w:val="18"/>
          <w:szCs w:val="18"/>
          <w:color w:val="auto"/>
        </w:rPr>
        <w:t>A contract issuer may terminate a contract at any time. Settlement upon termination will be at contract value unless the terms of the contract were not met or the Trustee’s authority over the Plan is limited or terminated.</w:t>
      </w:r>
    </w:p>
    <w:p>
      <w:pPr>
        <w:spacing w:after="0" w:line="239"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92" w:lineRule="exact"/>
        <w:rPr>
          <w:rFonts w:ascii="Times New Roman" w:cs="Times New Roman" w:eastAsia="Times New Roman" w:hAnsi="Times New Roman"/>
          <w:sz w:val="18"/>
          <w:szCs w:val="18"/>
          <w:b w:val="1"/>
          <w:bCs w:val="1"/>
          <w:color w:val="auto"/>
        </w:rPr>
      </w:pPr>
    </w:p>
    <w:p>
      <w:pPr>
        <w:ind w:left="460" w:right="1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January 1, 2008, the Plan adopted the provisions of SFAS No. 157. SFAS No. 157 defines fair value, establishes a framework for measuring fair value and expands disclosure about fair value measurements. SFAS No. 157 establishes a hierarchy that prioritizes fair value measurements based on the types of inputs used for the various valuation techniques. The levels of the hierarchy are described below:</w:t>
      </w:r>
    </w:p>
    <w:p>
      <w:pPr>
        <w:spacing w:after="0" w:line="5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Consists of financial instruments whose value is based on quoted market prices for identical financial instruments in an active market.</w:t>
      </w:r>
    </w:p>
    <w:p>
      <w:pPr>
        <w:spacing w:after="0" w:line="117" w:lineRule="exact"/>
        <w:rPr>
          <w:rFonts w:ascii="Times New Roman" w:cs="Times New Roman" w:eastAsia="Times New Roman" w:hAnsi="Times New Roman"/>
          <w:sz w:val="18"/>
          <w:szCs w:val="18"/>
          <w:b w:val="1"/>
          <w:bCs w:val="1"/>
          <w:color w:val="auto"/>
        </w:rPr>
      </w:pPr>
    </w:p>
    <w:p>
      <w:pPr>
        <w:ind w:left="1220" w:right="1100" w:hanging="743"/>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Consists of financial instruments that are valued using models or other valuation methodologies. These models use inputs that are observable either directly or indirectly and include:</w:t>
      </w:r>
    </w:p>
    <w:p>
      <w:pPr>
        <w:spacing w:after="0" w:line="38" w:lineRule="exact"/>
        <w:rPr>
          <w:rFonts w:ascii="Times New Roman" w:cs="Times New Roman" w:eastAsia="Times New Roman" w:hAnsi="Times New Roman"/>
          <w:sz w:val="18"/>
          <w:szCs w:val="18"/>
          <w:b w:val="1"/>
          <w:bCs w:val="1"/>
          <w:color w:val="auto"/>
        </w:rPr>
      </w:pPr>
    </w:p>
    <w:p>
      <w:pPr>
        <w:ind w:left="1920" w:hanging="318"/>
        <w:spacing w:after="0"/>
        <w:tabs>
          <w:tab w:leader="none" w:pos="19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90" w:lineRule="exact"/>
        <w:rPr>
          <w:rFonts w:ascii="Times New Roman" w:cs="Times New Roman" w:eastAsia="Times New Roman" w:hAnsi="Times New Roman"/>
          <w:sz w:val="18"/>
          <w:szCs w:val="18"/>
          <w:color w:val="auto"/>
        </w:rPr>
      </w:pPr>
    </w:p>
    <w:p>
      <w:pPr>
        <w:ind w:left="1920" w:hanging="318"/>
        <w:spacing w:after="0"/>
        <w:tabs>
          <w:tab w:leader="none" w:pos="19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markets that are not active;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920" w:hanging="318"/>
        <w:spacing w:after="0"/>
        <w:tabs>
          <w:tab w:leader="none" w:pos="1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models whose inputs are observable for substantially the full term of the financial instrument;</w:t>
      </w:r>
    </w:p>
    <w:p>
      <w:pPr>
        <w:spacing w:after="0" w:line="90" w:lineRule="exact"/>
        <w:rPr>
          <w:rFonts w:ascii="Times New Roman" w:cs="Times New Roman" w:eastAsia="Times New Roman" w:hAnsi="Times New Roman"/>
          <w:sz w:val="18"/>
          <w:szCs w:val="18"/>
          <w:color w:val="auto"/>
        </w:rPr>
      </w:pPr>
    </w:p>
    <w:p>
      <w:pPr>
        <w:ind w:left="1920" w:right="440" w:hanging="318"/>
        <w:spacing w:after="0" w:line="275" w:lineRule="auto"/>
        <w:tabs>
          <w:tab w:leader="none" w:pos="1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models whose inputs are derived principally from or corroborated by observable market data through correlation or other means for substantially the full term of the financial instrument.</w:t>
      </w:r>
    </w:p>
    <w:p>
      <w:pPr>
        <w:spacing w:after="0" w:line="39" w:lineRule="exact"/>
        <w:rPr>
          <w:sz w:val="20"/>
          <w:szCs w:val="20"/>
          <w:color w:val="auto"/>
        </w:rPr>
      </w:pPr>
    </w:p>
    <w:p>
      <w:pPr>
        <w:ind w:left="1220" w:right="1000" w:hanging="742"/>
        <w:spacing w:after="0" w:line="275" w:lineRule="auto"/>
        <w:tabs>
          <w:tab w:leader="none" w:pos="1200" w:val="left"/>
        </w:tabs>
        <w:rPr>
          <w:sz w:val="20"/>
          <w:szCs w:val="20"/>
          <w:color w:val="auto"/>
        </w:rPr>
      </w:pPr>
      <w:r>
        <w:rPr>
          <w:rFonts w:ascii="Times New Roman" w:cs="Times New Roman" w:eastAsia="Times New Roman" w:hAnsi="Times New Roman"/>
          <w:sz w:val="18"/>
          <w:szCs w:val="18"/>
          <w:color w:val="auto"/>
        </w:rPr>
        <w:t>Level 3</w:t>
        <w:tab/>
        <w:t>Consists of financial instruments whose values are determined using pricing models that utilize significant inputs that are primarily unobservable and significant to the fair value measurement.</w:t>
      </w:r>
    </w:p>
    <w:p>
      <w:pPr>
        <w:spacing w:after="0" w:line="12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any input that is significant to the fair value measurement.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valuation methodologies used for assets measured at fair value are as follows:</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Mutual funds: Valued at the net asset value of shares held by the Plan at year end.</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Common stocks: Valued at the closing price reported on the active market on which the individual securities are traded.</w:t>
      </w:r>
    </w:p>
    <w:p>
      <w:pPr>
        <w:spacing w:after="0" w:line="90" w:lineRule="exact"/>
        <w:rPr>
          <w:sz w:val="20"/>
          <w:szCs w:val="20"/>
          <w:color w:val="auto"/>
        </w:rPr>
      </w:pPr>
    </w:p>
    <w:p>
      <w:pPr>
        <w:ind w:left="920" w:right="480"/>
        <w:spacing w:after="0" w:line="275" w:lineRule="auto"/>
        <w:rPr>
          <w:sz w:val="20"/>
          <w:szCs w:val="20"/>
          <w:color w:val="auto"/>
        </w:rPr>
      </w:pPr>
      <w:r>
        <w:rPr>
          <w:rFonts w:ascii="Times New Roman" w:cs="Times New Roman" w:eastAsia="Times New Roman" w:hAnsi="Times New Roman"/>
          <w:sz w:val="18"/>
          <w:szCs w:val="18"/>
          <w:color w:val="auto"/>
        </w:rPr>
        <w:t>Guaranteed investment contracts: Valued at fair value by discounting the related cash flows based on current yields of similar instruments with comparable durations considering the credit-worthiness of the issuer.</w:t>
      </w:r>
    </w:p>
    <w:p>
      <w:pPr>
        <w:spacing w:after="0" w:line="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Participant loans: Valued at amortized cost, which approximates fair value.</w:t>
      </w:r>
    </w:p>
    <w:p>
      <w:pPr>
        <w:spacing w:after="0" w:line="171" w:lineRule="exact"/>
        <w:rPr>
          <w:sz w:val="20"/>
          <w:szCs w:val="20"/>
          <w:color w:val="auto"/>
        </w:rPr>
      </w:pPr>
    </w:p>
    <w:p>
      <w:pPr>
        <w:ind w:right="300"/>
        <w:spacing w:after="0" w:line="310" w:lineRule="auto"/>
        <w:rPr>
          <w:sz w:val="20"/>
          <w:szCs w:val="20"/>
          <w:color w:val="auto"/>
        </w:rPr>
      </w:pPr>
      <w:r>
        <w:rPr>
          <w:rFonts w:ascii="Times New Roman" w:cs="Times New Roman" w:eastAsia="Times New Roman" w:hAnsi="Times New Roman"/>
          <w:sz w:val="16"/>
          <w:szCs w:val="16"/>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by level, within the fair value hierarchy, the Plan’s assets at fair value as of December 31, 2008.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w w:val="98"/>
              </w:rPr>
              <w:t>Assets at Fair Value as of December 31, 2008 (in thousands)</w:t>
            </w:r>
          </w:p>
        </w:tc>
        <w:tc>
          <w:tcPr>
            <w:tcW w:w="320" w:type="dxa"/>
            <w:vAlign w:val="bottom"/>
          </w:tcPr>
          <w:p>
            <w:pPr>
              <w:spacing w:after="0"/>
              <w:rPr>
                <w:sz w:val="14"/>
                <w:szCs w:val="14"/>
                <w:color w:val="auto"/>
              </w:rPr>
            </w:pPr>
          </w:p>
        </w:tc>
        <w:tc>
          <w:tcPr>
            <w:tcW w:w="82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gridSpan w:val="2"/>
            <w:vMerge w:val="restart"/>
          </w:tcPr>
          <w:p>
            <w:pPr>
              <w:spacing w:after="0"/>
              <w:rPr>
                <w:sz w:val="14"/>
                <w:szCs w:val="14"/>
                <w:color w:val="auto"/>
              </w:rPr>
            </w:pPr>
          </w:p>
        </w:tc>
        <w:tc>
          <w:tcPr>
            <w:tcW w:w="82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1,289,807</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stocks</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185,812</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Guaranteed investment contracts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520,569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Participant loans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87,930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 xml:space="preserve"> 1,475,619</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520,569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$ 87,930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$ 2,084,118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table below sets forth a summary of changes in the fair value of the Plan’s Level 3 assets for the year ended December 31, 2008.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Level 3 Assets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tcBorders>
              <w:top w:val="single" w:sz="8" w:color="auto"/>
              <w:bottom w:val="single" w:sz="8" w:color="auto"/>
            </w:tcBorders>
            <w:gridSpan w:val="6"/>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Year Ended December 31, 2008</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gridSpan w:val="5"/>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Participant loans</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gains/(losses)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gains/(losses)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sales, issuances and settlements (net)</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87,930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PARTICIPANT LOANS AND HARDSHIP WITHDRAWALS</w:t>
      </w:r>
    </w:p>
    <w:p>
      <w:pPr>
        <w:spacing w:after="0" w:line="92" w:lineRule="exact"/>
        <w:rPr>
          <w:rFonts w:ascii="Times New Roman" w:cs="Times New Roman" w:eastAsia="Times New Roman" w:hAnsi="Times New Roman"/>
          <w:sz w:val="18"/>
          <w:szCs w:val="18"/>
          <w:b w:val="1"/>
          <w:bCs w:val="1"/>
          <w:color w:val="auto"/>
        </w:rPr>
      </w:pPr>
    </w:p>
    <w:p>
      <w:pPr>
        <w:ind w:left="4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may borrow from his/her Plan account subject to the approval of the Plan Administrator in accordance with applicable regulations issued by the Internal Revenue Service (“IRS”) and the Department of Labor. In general, a participant may borrow a minimum of $500 up to a maximum of the lesser of $50,000 or 50% of the participant’s nonforfeitable accrued benefit on the valuation date (as defined by the Plan) last preceding the date on which the loan request is processed by the Plan Administrator. The maximum term of a loan made pursuant to the Plan is five years (loans with terms of greater than five years exist under the Plan as a result of rollovers from merged plans). Interest accrues at the prime rate plus 1% of the month the loan application is approved. Principal and interest are paid through payroll deductions or participant initiated payments. Interest rates ranged from 4.75% to 10.5% for the year ended December 31, 2008. Maturities on active outstanding loans ranged from 2004 to 2018 for the year ended December 31, 2008. Loan transactions are treated as a transfer from (to) the investment fund to (from) the participant loan fund.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200"/>
        <w:spacing w:after="0" w:line="275" w:lineRule="auto"/>
        <w:rPr>
          <w:sz w:val="20"/>
          <w:szCs w:val="20"/>
          <w:color w:val="auto"/>
        </w:rPr>
      </w:pPr>
      <w:r>
        <w:rPr>
          <w:rFonts w:ascii="Times New Roman" w:cs="Times New Roman" w:eastAsia="Times New Roman" w:hAnsi="Times New Roman"/>
          <w:sz w:val="18"/>
          <w:szCs w:val="18"/>
          <w:color w:val="auto"/>
        </w:rPr>
        <w:t>Effective after a calendar quarter of non-repayment, a loan is considered to be in default. Defaulted loans are treated as distributions for tax purposes and become taxable income to the participant for the year in which the default occurs.</w:t>
      </w:r>
    </w:p>
    <w:p>
      <w:pPr>
        <w:spacing w:after="0" w:line="39"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color w:val="auto"/>
        </w:rPr>
        <w:t>A participant may withdraw all or a portion of his/her benefits derived from salary reduction, rollovers or the vested portion of employer contributions, and earnings thereon,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six calendar months.</w:t>
      </w:r>
    </w:p>
    <w:p>
      <w:pPr>
        <w:spacing w:after="0" w:line="256"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THE PLAN</w:t>
      </w:r>
    </w:p>
    <w:p>
      <w:pPr>
        <w:spacing w:after="0" w:line="92" w:lineRule="exact"/>
        <w:rPr>
          <w:rFonts w:ascii="Times New Roman" w:cs="Times New Roman" w:eastAsia="Times New Roman" w:hAnsi="Times New Roman"/>
          <w:sz w:val="18"/>
          <w:szCs w:val="18"/>
          <w:b w:val="1"/>
          <w:bCs w:val="1"/>
          <w:color w:val="auto"/>
        </w:rPr>
      </w:pPr>
    </w:p>
    <w:p>
      <w:pPr>
        <w:ind w:left="4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239"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FEDERAL TAX CONSIDERATIONS</w:t>
      </w:r>
    </w:p>
    <w:p>
      <w:pPr>
        <w:spacing w:after="0" w:line="88" w:lineRule="exact"/>
        <w:rPr>
          <w:rFonts w:ascii="Times New Roman" w:cs="Times New Roman" w:eastAsia="Times New Roman" w:hAnsi="Times New Roman"/>
          <w:sz w:val="18"/>
          <w:szCs w:val="18"/>
          <w:b w:val="1"/>
          <w:bCs w:val="1"/>
          <w:color w:val="auto"/>
        </w:rPr>
      </w:pPr>
    </w:p>
    <w:p>
      <w:pPr>
        <w:jc w:val="both"/>
        <w:ind w:left="1480" w:hanging="567"/>
        <w:spacing w:after="0" w:line="265" w:lineRule="auto"/>
        <w:tabs>
          <w:tab w:leader="none" w:pos="1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 Status of the Plan</w:t>
      </w:r>
      <w:r>
        <w:rPr>
          <w:rFonts w:ascii="Times New Roman" w:cs="Times New Roman" w:eastAsia="Times New Roman" w:hAnsi="Times New Roman"/>
          <w:sz w:val="18"/>
          <w:szCs w:val="18"/>
          <w:color w:val="auto"/>
        </w:rPr>
        <w:t>—On May 8, 2009, the Plan received an updated determination letter in which the IRS stated that the Plan,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and restated December 12, 2007, is qualified and that the trust established under the Plan is tax-exempt. Therefore, no provision for income taxes has been included in the Plan’s financial statements.</w:t>
      </w:r>
    </w:p>
    <w:p>
      <w:pPr>
        <w:spacing w:after="0" w:line="43" w:lineRule="exact"/>
        <w:rPr>
          <w:rFonts w:ascii="Times New Roman" w:cs="Times New Roman" w:eastAsia="Times New Roman" w:hAnsi="Times New Roman"/>
          <w:sz w:val="18"/>
          <w:szCs w:val="18"/>
          <w:color w:val="auto"/>
        </w:rPr>
      </w:pPr>
    </w:p>
    <w:p>
      <w:pPr>
        <w:ind w:left="1480" w:right="20" w:hanging="567"/>
        <w:spacing w:after="0" w:line="265" w:lineRule="auto"/>
        <w:tabs>
          <w:tab w:leader="none" w:pos="1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Impact on Plan Participants</w:t>
      </w:r>
      <w:r>
        <w:rPr>
          <w:rFonts w:ascii="Times New Roman" w:cs="Times New Roman" w:eastAsia="Times New Roman" w:hAnsi="Times New Roman"/>
          <w:sz w:val="18"/>
          <w:szCs w:val="18"/>
          <w:color w:val="auto"/>
        </w:rPr>
        <w:t>—Matching contributions and salary reduction contributions, as well as earnings on Plan assets, are generally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subject to federal income tax until distributed from a qualified plan that meets the requirements of Sections 401(a), 401(k) and 401(m) of the Code.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COMCAST CORPORATION RETIREMENT-INVESTMENT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H - LINE 4i - SCHEDULE OF ASSETS (HELD AT END OF YEAR)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FEIN #27-0000798</w:t>
            </w:r>
          </w:p>
        </w:tc>
      </w:tr>
      <w:tr>
        <w:trPr>
          <w:trHeight w:val="230"/>
        </w:trPr>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PLAN #001</w:t>
            </w:r>
          </w:p>
        </w:tc>
      </w:tr>
      <w:tr>
        <w:trPr>
          <w:trHeight w:val="336"/>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(c) Description of</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Investment,</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Including Maturity Date,</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9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Rate of Interest, Collateral,</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Par, or</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 Current</w:t>
            </w:r>
          </w:p>
        </w:tc>
      </w:tr>
      <w:tr>
        <w:trPr>
          <w:trHeight w:val="165"/>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30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 Identity of Issue, Borrower, Lessor, or Similar Party</w:t>
            </w:r>
          </w:p>
        </w:tc>
        <w:tc>
          <w:tcPr>
            <w:tcW w:w="3440" w:type="dxa"/>
            <w:vAlign w:val="bottom"/>
          </w:tcPr>
          <w:p>
            <w:pPr>
              <w:spacing w:after="0"/>
              <w:rPr>
                <w:sz w:val="14"/>
                <w:szCs w:val="14"/>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Maturity Value</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42"/>
        </w:trPr>
        <w:tc>
          <w:tcPr>
            <w:tcW w:w="1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20" w:type="dxa"/>
            <w:vAlign w:val="bottom"/>
          </w:tcPr>
          <w:p>
            <w:pPr>
              <w:spacing w:after="0"/>
              <w:rPr>
                <w:sz w:val="12"/>
                <w:szCs w:val="12"/>
                <w:color w:val="auto"/>
              </w:rPr>
            </w:pPr>
          </w:p>
        </w:tc>
      </w:tr>
      <w:tr>
        <w:trPr>
          <w:trHeight w:val="216"/>
        </w:trPr>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 (at fair value)</w:t>
            </w:r>
          </w:p>
        </w:tc>
        <w:tc>
          <w:tcPr>
            <w:tcW w:w="34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Dodge and Cox Balanced Fund</w:t>
            </w:r>
          </w:p>
        </w:tc>
        <w:tc>
          <w:tcPr>
            <w:tcW w:w="34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2,465,038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126,358</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Fidelity Diversified International Fund</w:t>
            </w:r>
          </w:p>
        </w:tc>
        <w:tc>
          <w:tcPr>
            <w:tcW w:w="3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5,817,142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125,127</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Fidelity Freedom 2010 Fund</w:t>
            </w:r>
          </w:p>
        </w:tc>
        <w:tc>
          <w:tcPr>
            <w:tcW w:w="34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3,074,990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31,857</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Fidelity Freedom 2020 Fund</w:t>
            </w:r>
          </w:p>
        </w:tc>
        <w:tc>
          <w:tcPr>
            <w:tcW w:w="3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8.041,752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80,820</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Fidelity Freedom 2030 Fund</w:t>
            </w:r>
          </w:p>
        </w:tc>
        <w:tc>
          <w:tcPr>
            <w:tcW w:w="34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8,387,883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81,866</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Fidelity Freedom 2040 Fund</w:t>
            </w:r>
          </w:p>
        </w:tc>
        <w:tc>
          <w:tcPr>
            <w:tcW w:w="3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8,983,295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50,217</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Fidelity Freedom 2050 Fund</w:t>
            </w:r>
          </w:p>
        </w:tc>
        <w:tc>
          <w:tcPr>
            <w:tcW w:w="34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2,087,826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13,487</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Fidelity Freedom Income Fund</w:t>
            </w:r>
          </w:p>
        </w:tc>
        <w:tc>
          <w:tcPr>
            <w:tcW w:w="3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1,065,181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Fidelity Growth Company</w:t>
            </w:r>
          </w:p>
        </w:tc>
        <w:tc>
          <w:tcPr>
            <w:tcW w:w="34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859,423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42,077</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Fidelity Ret Govt MM</w:t>
            </w:r>
          </w:p>
        </w:tc>
        <w:tc>
          <w:tcPr>
            <w:tcW w:w="3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49,273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Fidelity Small Cap Stock Fund</w:t>
            </w:r>
          </w:p>
        </w:tc>
        <w:tc>
          <w:tcPr>
            <w:tcW w:w="34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6,410,987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62,828</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Fidelity US Bond Index Fund</w:t>
            </w:r>
          </w:p>
        </w:tc>
        <w:tc>
          <w:tcPr>
            <w:tcW w:w="3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4,882,466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52,682</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Pimco Total Return Institutional Fund</w:t>
            </w:r>
          </w:p>
        </w:tc>
        <w:tc>
          <w:tcPr>
            <w:tcW w:w="34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9,700,275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98,361</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Spartan International Index Fund</w:t>
            </w:r>
          </w:p>
        </w:tc>
        <w:tc>
          <w:tcPr>
            <w:tcW w:w="3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1,048,293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28,031</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Spartan US Equity Index Fund</w:t>
            </w:r>
          </w:p>
        </w:tc>
        <w:tc>
          <w:tcPr>
            <w:tcW w:w="34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3,556,537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113,454</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Templeton World Fund, Class A</w:t>
            </w:r>
          </w:p>
        </w:tc>
        <w:tc>
          <w:tcPr>
            <w:tcW w:w="3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3,383,278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36,303</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TRP Blue Chip Growth Fund</w:t>
            </w:r>
          </w:p>
        </w:tc>
        <w:tc>
          <w:tcPr>
            <w:tcW w:w="34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5,343,922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122,964</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Vanguard Small Cap Index Fund</w:t>
            </w:r>
          </w:p>
        </w:tc>
        <w:tc>
          <w:tcPr>
            <w:tcW w:w="3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1,307,010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26,663</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Vanguard Total Stock Market Index Fund</w:t>
            </w:r>
          </w:p>
        </w:tc>
        <w:tc>
          <w:tcPr>
            <w:tcW w:w="34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1,019,830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22,242</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Vanguard Windsor II Fund</w:t>
            </w:r>
          </w:p>
        </w:tc>
        <w:tc>
          <w:tcPr>
            <w:tcW w:w="3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2,263,933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76,792</w:t>
            </w:r>
          </w:p>
        </w:tc>
        <w:tc>
          <w:tcPr>
            <w:tcW w:w="2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Wells Fargo Advantage Small Company Value Fund</w:t>
            </w:r>
          </w:p>
        </w:tc>
        <w:tc>
          <w:tcPr>
            <w:tcW w:w="344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5,527,645 units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39,964</w:t>
            </w:r>
          </w:p>
        </w:tc>
        <w:tc>
          <w:tcPr>
            <w:tcW w:w="20" w:type="dxa"/>
            <w:vAlign w:val="bottom"/>
          </w:tcPr>
          <w:p>
            <w:pPr>
              <w:spacing w:after="0"/>
              <w:rPr>
                <w:sz w:val="19"/>
                <w:szCs w:val="19"/>
                <w:color w:val="auto"/>
              </w:rPr>
            </w:pPr>
          </w:p>
        </w:tc>
      </w:tr>
      <w:tr>
        <w:trPr>
          <w:trHeight w:val="216"/>
        </w:trPr>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1,242,325</w:t>
            </w:r>
          </w:p>
        </w:tc>
        <w:tc>
          <w:tcPr>
            <w:tcW w:w="20" w:type="dxa"/>
            <w:vAlign w:val="bottom"/>
          </w:tcPr>
          <w:p>
            <w:pPr>
              <w:spacing w:after="0"/>
              <w:rPr>
                <w:sz w:val="18"/>
                <w:szCs w:val="18"/>
                <w:color w:val="auto"/>
              </w:rPr>
            </w:pPr>
          </w:p>
        </w:tc>
      </w:tr>
      <w:tr>
        <w:trPr>
          <w:trHeight w:val="221"/>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Corporation Stock Fund (at fair value)</w:t>
            </w:r>
          </w:p>
        </w:tc>
        <w:tc>
          <w:tcPr>
            <w:tcW w:w="3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Class A Common Stock</w:t>
            </w:r>
          </w:p>
        </w:tc>
        <w:tc>
          <w:tcPr>
            <w:tcW w:w="3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9,046,777 shares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152,709</w:t>
            </w:r>
          </w:p>
        </w:tc>
        <w:tc>
          <w:tcPr>
            <w:tcW w:w="2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Class A Special Common Stock</w:t>
            </w:r>
          </w:p>
        </w:tc>
        <w:tc>
          <w:tcPr>
            <w:tcW w:w="344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2,049,697 shares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33,103</w:t>
            </w:r>
          </w:p>
        </w:tc>
        <w:tc>
          <w:tcPr>
            <w:tcW w:w="20" w:type="dxa"/>
            <w:vAlign w:val="bottom"/>
          </w:tcPr>
          <w:p>
            <w:pPr>
              <w:spacing w:after="0"/>
              <w:rPr>
                <w:sz w:val="19"/>
                <w:szCs w:val="19"/>
                <w:color w:val="auto"/>
              </w:rPr>
            </w:pPr>
          </w:p>
        </w:tc>
      </w:tr>
      <w:tr>
        <w:trPr>
          <w:trHeight w:val="216"/>
        </w:trPr>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185,812</w:t>
            </w:r>
          </w:p>
        </w:tc>
        <w:tc>
          <w:tcPr>
            <w:tcW w:w="20" w:type="dxa"/>
            <w:vAlign w:val="bottom"/>
          </w:tcPr>
          <w:p>
            <w:pPr>
              <w:spacing w:after="0"/>
              <w:rPr>
                <w:sz w:val="18"/>
                <w:szCs w:val="18"/>
                <w:color w:val="auto"/>
              </w:rPr>
            </w:pPr>
          </w:p>
        </w:tc>
      </w:tr>
      <w:tr>
        <w:trPr>
          <w:trHeight w:val="221"/>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Stable Value Fund (at contract value)</w:t>
            </w:r>
          </w:p>
        </w:tc>
        <w:tc>
          <w:tcPr>
            <w:tcW w:w="3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Fidelity Short Term Investment Fund; 2.16%</w:t>
            </w:r>
          </w:p>
        </w:tc>
        <w:tc>
          <w:tcPr>
            <w:tcW w:w="3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46,784,896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46,785</w:t>
            </w:r>
          </w:p>
        </w:tc>
        <w:tc>
          <w:tcPr>
            <w:tcW w:w="20" w:type="dxa"/>
            <w:vAlign w:val="bottom"/>
          </w:tcPr>
          <w:p>
            <w:pPr>
              <w:spacing w:after="0"/>
              <w:rPr>
                <w:sz w:val="18"/>
                <w:szCs w:val="18"/>
                <w:color w:val="auto"/>
              </w:rPr>
            </w:pPr>
          </w:p>
        </w:tc>
      </w:tr>
      <w:tr>
        <w:trPr>
          <w:trHeight w:val="363"/>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40" w:type="dxa"/>
            <w:vAlign w:val="bottom"/>
          </w:tcPr>
          <w:p>
            <w:pPr>
              <w:jc w:val="right"/>
              <w:ind w:right="2732"/>
              <w:spacing w:after="0"/>
              <w:rPr>
                <w:sz w:val="20"/>
                <w:szCs w:val="20"/>
                <w:color w:val="auto"/>
              </w:rPr>
            </w:pPr>
            <w:r>
              <w:rPr>
                <w:rFonts w:ascii="Times New Roman" w:cs="Times New Roman" w:eastAsia="Times New Roman" w:hAnsi="Times New Roman"/>
                <w:sz w:val="18"/>
                <w:szCs w:val="18"/>
                <w:color w:val="auto"/>
              </w:rPr>
              <w:t>9</w:t>
            </w: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020" w:type="dxa"/>
            <w:vAlign w:val="bottom"/>
            <w:gridSpan w:val="3"/>
          </w:tcPr>
          <w:p>
            <w:pPr>
              <w:jc w:val="center"/>
              <w:ind w:right="392"/>
              <w:spacing w:after="0"/>
              <w:rPr>
                <w:sz w:val="20"/>
                <w:szCs w:val="20"/>
                <w:color w:val="auto"/>
              </w:rPr>
            </w:pPr>
            <w:r>
              <w:rPr>
                <w:rFonts w:ascii="Times New Roman" w:cs="Times New Roman" w:eastAsia="Times New Roman" w:hAnsi="Times New Roman"/>
                <w:sz w:val="14"/>
                <w:szCs w:val="14"/>
                <w:b w:val="1"/>
                <w:bCs w:val="1"/>
                <w:color w:val="auto"/>
                <w:w w:val="96"/>
              </w:rPr>
              <w:t>(c) Description of</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20" w:type="dxa"/>
            <w:vAlign w:val="bottom"/>
            <w:gridSpan w:val="3"/>
          </w:tcPr>
          <w:p>
            <w:pPr>
              <w:jc w:val="center"/>
              <w:ind w:right="3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Investment,</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20" w:type="dxa"/>
            <w:vAlign w:val="bottom"/>
            <w:gridSpan w:val="3"/>
          </w:tcPr>
          <w:p>
            <w:pPr>
              <w:jc w:val="center"/>
              <w:ind w:right="392"/>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Including Maturity Date,</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20" w:type="dxa"/>
            <w:vAlign w:val="bottom"/>
            <w:gridSpan w:val="3"/>
          </w:tcPr>
          <w:p>
            <w:pPr>
              <w:jc w:val="center"/>
              <w:ind w:right="392"/>
              <w:spacing w:after="0" w:line="149" w:lineRule="exact"/>
              <w:rPr>
                <w:sz w:val="20"/>
                <w:szCs w:val="20"/>
                <w:color w:val="auto"/>
              </w:rPr>
            </w:pPr>
            <w:r>
              <w:rPr>
                <w:rFonts w:ascii="Times New Roman" w:cs="Times New Roman" w:eastAsia="Times New Roman" w:hAnsi="Times New Roman"/>
                <w:sz w:val="14"/>
                <w:szCs w:val="14"/>
                <w:b w:val="1"/>
                <w:bCs w:val="1"/>
                <w:color w:val="auto"/>
                <w:w w:val="95"/>
              </w:rPr>
              <w:t>Rate of Interest, Collateral,</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20" w:type="dxa"/>
            <w:vAlign w:val="bottom"/>
            <w:gridSpan w:val="3"/>
          </w:tcPr>
          <w:p>
            <w:pPr>
              <w:jc w:val="center"/>
              <w:ind w:right="392"/>
              <w:spacing w:after="0" w:line="149" w:lineRule="exact"/>
              <w:rPr>
                <w:sz w:val="20"/>
                <w:szCs w:val="20"/>
                <w:color w:val="auto"/>
              </w:rPr>
            </w:pPr>
            <w:r>
              <w:rPr>
                <w:rFonts w:ascii="Times New Roman" w:cs="Times New Roman" w:eastAsia="Times New Roman" w:hAnsi="Times New Roman"/>
                <w:sz w:val="14"/>
                <w:szCs w:val="14"/>
                <w:b w:val="1"/>
                <w:bCs w:val="1"/>
                <w:color w:val="auto"/>
                <w:w w:val="95"/>
              </w:rPr>
              <w:t>Par, or</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 Current</w:t>
            </w:r>
          </w:p>
        </w:tc>
      </w:tr>
      <w:tr>
        <w:trPr>
          <w:trHeight w:val="165"/>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300" w:type="dxa"/>
            <w:vAlign w:val="bottom"/>
          </w:tcPr>
          <w:p>
            <w:pPr>
              <w:spacing w:after="0"/>
              <w:rPr>
                <w:sz w:val="14"/>
                <w:szCs w:val="14"/>
                <w:color w:val="auto"/>
              </w:rPr>
            </w:pPr>
          </w:p>
        </w:tc>
        <w:tc>
          <w:tcPr>
            <w:tcW w:w="8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 Identity of Issue, Borrower, Lessor, or Similar Party</w:t>
            </w:r>
          </w:p>
        </w:tc>
        <w:tc>
          <w:tcPr>
            <w:tcW w:w="2020" w:type="dxa"/>
            <w:vAlign w:val="bottom"/>
            <w:gridSpan w:val="3"/>
          </w:tcPr>
          <w:p>
            <w:pPr>
              <w:jc w:val="center"/>
              <w:ind w:right="392"/>
              <w:spacing w:after="0"/>
              <w:rPr>
                <w:sz w:val="20"/>
                <w:szCs w:val="20"/>
                <w:color w:val="auto"/>
              </w:rPr>
            </w:pPr>
            <w:r>
              <w:rPr>
                <w:rFonts w:ascii="Times New Roman" w:cs="Times New Roman" w:eastAsia="Times New Roman" w:hAnsi="Times New Roman"/>
                <w:sz w:val="14"/>
                <w:szCs w:val="14"/>
                <w:b w:val="1"/>
                <w:bCs w:val="1"/>
                <w:color w:val="auto"/>
                <w:w w:val="94"/>
              </w:rPr>
              <w:t>Maturity Value</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1"/>
              </w:rPr>
              <w:t>Value</w:t>
            </w:r>
          </w:p>
        </w:tc>
      </w:tr>
      <w:tr>
        <w:trPr>
          <w:trHeight w:val="142"/>
        </w:trPr>
        <w:tc>
          <w:tcPr>
            <w:tcW w:w="1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tcPr>
          <w:p>
            <w:pPr>
              <w:spacing w:after="0"/>
              <w:rPr>
                <w:sz w:val="12"/>
                <w:szCs w:val="12"/>
                <w:color w:val="auto"/>
              </w:rPr>
            </w:pPr>
          </w:p>
        </w:tc>
        <w:tc>
          <w:tcPr>
            <w:tcW w:w="468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20" w:type="dxa"/>
            <w:vAlign w:val="bottom"/>
          </w:tcPr>
          <w:p>
            <w:pPr>
              <w:spacing w:after="0"/>
              <w:rPr>
                <w:sz w:val="12"/>
                <w:szCs w:val="12"/>
                <w:color w:val="auto"/>
              </w:rPr>
            </w:pPr>
          </w:p>
        </w:tc>
      </w:tr>
      <w:tr>
        <w:trPr>
          <w:trHeight w:val="216"/>
        </w:trPr>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1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Security-Backed Investment Contracts: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CDC Financial Products; 4.00%</w:t>
            </w:r>
          </w:p>
        </w:tc>
        <w:tc>
          <w:tcPr>
            <w:tcW w:w="20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132,540,092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132,540</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1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JP Morgan Chase; 4.05%</w:t>
            </w:r>
          </w:p>
        </w:tc>
        <w:tc>
          <w:tcPr>
            <w:tcW w:w="20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132,553,288 units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132,553</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AIG Financial Products Corp; 4.05%</w:t>
            </w:r>
          </w:p>
        </w:tc>
        <w:tc>
          <w:tcPr>
            <w:tcW w:w="20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132,540,618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132,541</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1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State Street Bank and Trust Company Boston; 4.06%</w:t>
            </w:r>
          </w:p>
        </w:tc>
        <w:tc>
          <w:tcPr>
            <w:tcW w:w="20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132,553,276 units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132,553</w:t>
            </w:r>
          </w:p>
        </w:tc>
        <w:tc>
          <w:tcPr>
            <w:tcW w:w="2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530,187</w:t>
            </w:r>
          </w:p>
        </w:tc>
        <w:tc>
          <w:tcPr>
            <w:tcW w:w="20" w:type="dxa"/>
            <w:vAlign w:val="bottom"/>
          </w:tcPr>
          <w:p>
            <w:pPr>
              <w:spacing w:after="0"/>
              <w:rPr>
                <w:sz w:val="20"/>
                <w:szCs w:val="20"/>
                <w:color w:val="auto"/>
              </w:rPr>
            </w:pPr>
          </w:p>
        </w:tc>
      </w:tr>
      <w:tr>
        <w:trPr>
          <w:trHeight w:val="216"/>
        </w:trPr>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576,972</w:t>
            </w:r>
          </w:p>
        </w:tc>
        <w:tc>
          <w:tcPr>
            <w:tcW w:w="2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Participant Loan Fund (at cost, which approximates fair value) (interest rates from 4.75% to 10.5%; maturities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from 2004 to 2018)</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87,930</w:t>
            </w:r>
          </w:p>
        </w:tc>
        <w:tc>
          <w:tcPr>
            <w:tcW w:w="20" w:type="dxa"/>
            <w:vAlign w:val="bottom"/>
          </w:tcPr>
          <w:p>
            <w:pPr>
              <w:spacing w:after="0"/>
              <w:rPr>
                <w:sz w:val="20"/>
                <w:szCs w:val="20"/>
                <w:color w:val="auto"/>
              </w:rPr>
            </w:pPr>
          </w:p>
        </w:tc>
      </w:tr>
      <w:tr>
        <w:trPr>
          <w:trHeight w:val="216"/>
        </w:trPr>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2,093,039</w:t>
            </w:r>
          </w:p>
        </w:tc>
        <w:tc>
          <w:tcPr>
            <w:tcW w:w="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a party-in-interest to the Plan.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3"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 No. 333-101295 of Comcast Corporation on Form S-8 of our report dated June 26, 2009, relating to the statements of net assets available for benefits as of December 31, 2008 and 2007, the related statement of changes in net assets available for benefits for the year ended December 31, 2008 and the related supplemental information of Schedule H - Line 4i - schedule of assets (held at end of year) as of December 31, 2008, which report appears in the December 31, 2008 Annual Report on Form 11-K of the Comcast Corporation Retirement-Investment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Mitchell &amp; Titus,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2009</w:t>
      </w:r>
    </w:p>
    <w:p>
      <w:pPr>
        <w:spacing w:after="0" w:line="1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00"/>
          </w:cols>
          <w:pgMar w:left="240" w:top="455" w:right="3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RETIREMENT-INVESTMENT PLAN</w:t>
      </w:r>
    </w:p>
    <w:p>
      <w:pPr>
        <w:spacing w:after="0" w:line="2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Plan Administrator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2009</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6985</wp:posOffset>
            </wp:positionV>
            <wp:extent cx="34734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Lawrence J. Salva</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Chief Accounting Officer and Controller</w:t>
      </w:r>
    </w:p>
    <w:p>
      <w:pPr>
        <w:spacing w:after="0" w:line="1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240"/>
      </w:cols>
      <w:pgMar w:left="240" w:top="45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upperLetter"/>
      <w:start w:val="1"/>
    </w:lvl>
  </w:abstractNum>
  <w:abstractNum w:abstractNumId="3">
    <w:nsid w:val="79E2A9E3"/>
    <w:multiLevelType w:val="hybridMultilevel"/>
    <w:lvl w:ilvl="0">
      <w:lvlJc w:val="left"/>
      <w:lvlText w:val="%1."/>
      <w:numFmt w:val="upperLetter"/>
      <w:start w:val="2"/>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2"/>
    </w:lvl>
  </w:abstractNum>
  <w:abstractNum w:abstractNumId="7">
    <w:nsid w:val="12200854"/>
    <w:multiLevelType w:val="hybridMultilevel"/>
    <w:lvl w:ilvl="0">
      <w:lvlJc w:val="left"/>
      <w:lvlText w:val="%1."/>
      <w:numFmt w:val="decimal"/>
      <w:start w:val="4"/>
    </w:lvl>
    <w:lvl w:ilvl="1">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5"/>
    </w:lvl>
  </w:abstractNum>
  <w:abstractNum w:abstractNumId="10">
    <w:nsid w:val="1F16E9E8"/>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2019-12-15T05:12:25Z</dcterms:created>
  <dcterms:modified xsi:type="dcterms:W3CDTF">2019-12-15T05:12:25Z</dcterms:modified>
</cp:coreProperties>
</file>