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7"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line="238"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hours per response...14.90</w:t>
      </w:r>
    </w:p>
    <w:p>
      <w:pPr>
        <w:spacing w:after="0" w:line="16"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Class 'A'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200300101</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200300101</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587,500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3,037,500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3,037,500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7.8%</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720" w:val="left"/>
        </w:tabs>
        <w:rPr>
          <w:sz w:val="20"/>
          <w:szCs w:val="20"/>
          <w:color w:val="auto"/>
        </w:rPr>
      </w:pPr>
      <w:r>
        <w:rPr>
          <w:rFonts w:ascii="Courier New" w:cs="Courier New" w:eastAsia="Courier New" w:hAnsi="Courier New"/>
          <w:sz w:val="18"/>
          <w:szCs w:val="18"/>
          <w:color w:val="auto"/>
        </w:rPr>
        <w:t>CUSIP No. 200300101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2,450,000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2,450,000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6.3%</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1500 Market Street</w:t>
      </w:r>
    </w:p>
    <w:p>
      <w:pPr>
        <w:ind w:left="1060"/>
        <w:spacing w:after="0"/>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4" w:lineRule="exact"/>
        <w:rPr>
          <w:sz w:val="20"/>
          <w:szCs w:val="20"/>
          <w:color w:val="auto"/>
        </w:rPr>
      </w:pPr>
    </w:p>
    <w:p>
      <w:pPr>
        <w:ind w:right="2739" w:firstLine="1053"/>
        <w:spacing w:after="0" w:line="235" w:lineRule="auto"/>
        <w:rPr>
          <w:sz w:val="20"/>
          <w:szCs w:val="20"/>
          <w:color w:val="auto"/>
        </w:rPr>
      </w:pPr>
      <w:r>
        <w:rPr>
          <w:rFonts w:ascii="Courier New" w:cs="Courier New" w:eastAsia="Courier New" w:hAnsi="Courier New"/>
          <w:sz w:val="18"/>
          <w:szCs w:val="18"/>
          <w:color w:val="auto"/>
        </w:rPr>
        <w:t>The Capital Group Companies, Inc. and Capital Research and Management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of Securities:  Class 'A'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320" w:type="dxa"/>
            <w:vAlign w:val="bottom"/>
          </w:tcPr>
          <w:p>
            <w:pPr>
              <w:ind w:left="100"/>
              <w:spacing w:after="0"/>
              <w:rPr>
                <w:sz w:val="20"/>
                <w:szCs w:val="20"/>
                <w:color w:val="auto"/>
              </w:rPr>
            </w:pPr>
            <w:r>
              <w:rPr>
                <w:rFonts w:ascii="Courier New" w:cs="Courier New" w:eastAsia="Courier New" w:hAnsi="Courier New"/>
                <w:sz w:val="18"/>
                <w:szCs w:val="18"/>
                <w:color w:val="auto"/>
              </w:rPr>
              <w:t>200300101</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1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person(s)</w:t>
            </w:r>
          </w:p>
        </w:tc>
        <w:tc>
          <w:tcPr>
            <w:tcW w:w="4320" w:type="dxa"/>
            <w:vAlign w:val="bottom"/>
          </w:tcPr>
          <w:p>
            <w:pPr>
              <w:spacing w:after="0"/>
              <w:rPr>
                <w:sz w:val="20"/>
                <w:szCs w:val="20"/>
                <w:color w:val="auto"/>
              </w:rPr>
            </w:pPr>
            <w:r>
              <w:rPr>
                <w:rFonts w:ascii="Courier New" w:cs="Courier New" w:eastAsia="Courier New" w:hAnsi="Courier New"/>
                <w:sz w:val="18"/>
                <w:szCs w:val="18"/>
                <w:color w:val="auto"/>
              </w:rPr>
              <w:t>filing is(are):</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Bank</w:t>
            </w:r>
          </w:p>
        </w:tc>
        <w:tc>
          <w:tcPr>
            <w:tcW w:w="43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as defined in Section 3(a)(6) of the Act.</w:t>
            </w:r>
          </w:p>
        </w:tc>
      </w:tr>
    </w:tbl>
    <w:p>
      <w:pPr>
        <w:spacing w:after="0" w:line="4" w:lineRule="exact"/>
        <w:rPr>
          <w:sz w:val="20"/>
          <w:szCs w:val="20"/>
          <w:color w:val="auto"/>
        </w:rPr>
      </w:pPr>
    </w:p>
    <w:p>
      <w:pPr>
        <w:ind w:left="2000" w:right="2619" w:hanging="943"/>
        <w:spacing w:after="0" w:line="235" w:lineRule="auto"/>
        <w:tabs>
          <w:tab w:leader="none" w:pos="147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68"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 and 3</w:t>
      </w:r>
    </w:p>
    <w:p>
      <w:pPr>
        <w:ind w:left="1480" w:hanging="423"/>
        <w:spacing w:after="0" w:line="238"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 and 3</w:t>
      </w:r>
    </w:p>
    <w:p>
      <w:pPr>
        <w:spacing w:after="0" w:line="5" w:lineRule="exact"/>
        <w:rPr>
          <w:rFonts w:ascii="Courier New" w:cs="Courier New" w:eastAsia="Courier New" w:hAnsi="Courier New"/>
          <w:sz w:val="18"/>
          <w:szCs w:val="18"/>
          <w:color w:val="auto"/>
        </w:rPr>
      </w:pPr>
    </w:p>
    <w:p>
      <w:pPr>
        <w:ind w:left="2000" w:right="347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5"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 and 3</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4"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Solomon M. Kamm</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Name/Title: Solomon M. Kamm, Vice President, Secretary and General Counsel</w:t>
      </w: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Paul G. Haaga, Jr.</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9, 1996</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75" w:lineRule="auto"/>
        <w:rPr>
          <w:sz w:val="20"/>
          <w:szCs w:val="20"/>
          <w:color w:val="auto"/>
        </w:rPr>
      </w:pPr>
      <w:r>
        <w:rPr>
          <w:rFonts w:ascii="Courier New" w:cs="Courier New" w:eastAsia="Courier New" w:hAnsi="Courier New"/>
          <w:sz w:val="16"/>
          <w:szCs w:val="16"/>
          <w:color w:val="auto"/>
        </w:rPr>
        <w:t>Capital Research and Management Company ("CRMC") and The Capital Group Companies, Inc. ("CGC") hereby agree to file a joint statement on Schedule 13G under the Securities Exchange Act of 1934 (the "Act") in connection with their beneficial ownership of Class 'A' stock issued by</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CRMC and CGC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CRMC and CGC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Paul G. Haaga, Jr.</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Paul G. Haaga, Jr.</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Solomon M. Kamm</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Solomon M. Kamm</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Vice President, Secretary and General Counsel</w:t>
      </w:r>
    </w:p>
    <w:p>
      <w:pPr>
        <w:sectPr>
          <w:pgSz w:w="11900" w:h="16838" w:orient="portrait"/>
          <w:cols w:equalWidth="0" w:num="1">
            <w:col w:w="10219"/>
          </w:cols>
          <w:pgMar w:left="240" w:top="514"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2019-12-12T06:20:19Z</dcterms:created>
  <dcterms:modified xsi:type="dcterms:W3CDTF">2019-12-12T06:20:19Z</dcterms:modified>
</cp:coreProperties>
</file>