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United States Securities and Exchange Commission on March 10,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COMCAST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380"/>
        <w:spacing w:after="0"/>
        <w:rPr>
          <w:sz w:val="20"/>
          <w:szCs w:val="20"/>
          <w:color w:val="auto"/>
        </w:rPr>
      </w:pPr>
      <w:r>
        <w:rPr>
          <w:rFonts w:ascii="Arial" w:cs="Arial" w:eastAsia="Arial" w:hAnsi="Arial"/>
          <w:sz w:val="15"/>
          <w:szCs w:val="15"/>
          <w:b w:val="1"/>
          <w:bCs w:val="1"/>
          <w:color w:val="auto"/>
        </w:rPr>
        <w:t>Pennsylvania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27-0000798</w:t>
      </w:r>
    </w:p>
    <w:p>
      <w:pPr>
        <w:spacing w:after="0" w:line="31" w:lineRule="exact"/>
        <w:rPr>
          <w:sz w:val="24"/>
          <w:szCs w:val="24"/>
          <w:color w:val="auto"/>
        </w:rPr>
      </w:pPr>
    </w:p>
    <w:p>
      <w:pPr>
        <w:sectPr>
          <w:pgSz w:w="11900" w:h="16838" w:orient="portrait"/>
          <w:cols w:equalWidth="0" w:num="2">
            <w:col w:w="7500" w:space="720"/>
            <w:col w:w="3200"/>
          </w:cols>
          <w:pgMar w:left="240" w:top="229" w:right="239" w:bottom="1440" w:gutter="0" w:footer="0" w:header="0"/>
          <w:type w:val="continuous"/>
        </w:sectPr>
      </w:pPr>
    </w:p>
    <w:p>
      <w:pPr>
        <w:spacing w:after="0" w:line="12"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(State or other jurisdiction of</w:t>
      </w:r>
    </w:p>
    <w:p>
      <w:pPr>
        <w:ind w:left="19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360" w:space="720"/>
            <w:col w:w="3340"/>
          </w:cols>
          <w:pgMar w:left="240" w:top="229" w:right="239" w:bottom="1440" w:gutter="0" w:footer="0" w:header="0"/>
          <w:type w:val="continuous"/>
        </w:sectPr>
      </w:pPr>
    </w:p>
    <w:p>
      <w:pPr>
        <w:spacing w:after="0" w:line="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Comcast Center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Philadelphia, PA 19103-2838</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(Address of Principal Executive Offices)</w:t>
      </w:r>
    </w:p>
    <w:p>
      <w:pPr>
        <w:sectPr>
          <w:pgSz w:w="11900" w:h="16838" w:orient="portrait"/>
          <w:cols w:equalWidth="0" w:num="1">
            <w:col w:w="11420"/>
          </w:cols>
          <w:pgMar w:left="240" w:top="229" w:right="239" w:bottom="1440" w:gutter="0" w:footer="0" w:header="0"/>
          <w:type w:val="continuous"/>
        </w:sect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COMCAST CORPORATION 2005 DEFERRED COMPENSATION PLAN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Arthur R. Block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Executive Vice President, 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Comcast Center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Philadelphia, PA 19103-2838</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(215) 286-1700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27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380" w:type="dxa"/>
            <w:vAlign w:val="bottom"/>
          </w:tcPr>
          <w:p>
            <w:pPr>
              <w:spacing w:after="0"/>
              <w:rPr>
                <w:sz w:val="24"/>
                <w:szCs w:val="24"/>
                <w:color w:val="auto"/>
              </w:rPr>
            </w:pPr>
          </w:p>
        </w:tc>
        <w:tc>
          <w:tcPr>
            <w:tcW w:w="4140" w:type="dxa"/>
            <w:vAlign w:val="bottom"/>
          </w:tcPr>
          <w:p>
            <w:pPr>
              <w:ind w:left="19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27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380" w:type="dxa"/>
            <w:vAlign w:val="bottom"/>
          </w:tcPr>
          <w:p>
            <w:pPr>
              <w:spacing w:after="0"/>
              <w:rPr>
                <w:sz w:val="24"/>
                <w:szCs w:val="24"/>
                <w:color w:val="auto"/>
              </w:rPr>
            </w:pPr>
          </w:p>
        </w:tc>
        <w:tc>
          <w:tcPr>
            <w:tcW w:w="4140" w:type="dxa"/>
            <w:vAlign w:val="bottom"/>
          </w:tcPr>
          <w:p>
            <w:pPr>
              <w:ind w:left="19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45"/>
        </w:trPr>
        <w:tc>
          <w:tcPr>
            <w:tcW w:w="17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14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420"/>
          </w:cols>
          <w:pgMar w:left="240" w:top="22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0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0" w:type="dxa"/>
            <w:vAlign w:val="bottom"/>
            <w:tcBorders>
              <w:right w:val="single" w:sz="8" w:color="auto"/>
            </w:tcBorders>
          </w:tcPr>
          <w:p>
            <w:pPr>
              <w:jc w:val="center"/>
              <w:ind w:left="26"/>
              <w:spacing w:after="0" w:line="106" w:lineRule="exact"/>
              <w:rPr>
                <w:sz w:val="20"/>
                <w:szCs w:val="20"/>
                <w:color w:val="auto"/>
              </w:rPr>
            </w:pPr>
            <w:r>
              <w:rPr>
                <w:rFonts w:ascii="Arial" w:cs="Arial" w:eastAsia="Arial" w:hAnsi="Arial"/>
                <w:sz w:val="12"/>
                <w:szCs w:val="12"/>
                <w:b w:val="1"/>
                <w:bCs w:val="1"/>
                <w:color w:val="auto"/>
              </w:rPr>
              <w:t>Proposed</w:t>
            </w:r>
          </w:p>
        </w:tc>
        <w:tc>
          <w:tcPr>
            <w:tcW w:w="1600" w:type="dxa"/>
            <w:vAlign w:val="bottom"/>
            <w:tcBorders>
              <w:right w:val="single" w:sz="8" w:color="auto"/>
            </w:tcBorders>
          </w:tcPr>
          <w:p>
            <w:pPr>
              <w:jc w:val="center"/>
              <w:ind w:left="26"/>
              <w:spacing w:after="0" w:line="106" w:lineRule="exact"/>
              <w:rPr>
                <w:sz w:val="20"/>
                <w:szCs w:val="20"/>
                <w:color w:val="auto"/>
              </w:rPr>
            </w:pPr>
            <w:r>
              <w:rPr>
                <w:rFonts w:ascii="Arial" w:cs="Arial" w:eastAsia="Arial" w:hAnsi="Arial"/>
                <w:sz w:val="12"/>
                <w:szCs w:val="12"/>
                <w:b w:val="1"/>
                <w:bCs w:val="1"/>
                <w:color w:val="auto"/>
              </w:rPr>
              <w:t>Proposed</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Title of securities</w:t>
            </w:r>
          </w:p>
        </w:tc>
        <w:tc>
          <w:tcPr>
            <w:tcW w:w="16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26"/>
              <w:spacing w:after="0" w:line="149" w:lineRule="exact"/>
              <w:rPr>
                <w:sz w:val="20"/>
                <w:szCs w:val="20"/>
                <w:color w:val="auto"/>
              </w:rPr>
            </w:pPr>
            <w:r>
              <w:rPr>
                <w:rFonts w:ascii="Arial" w:cs="Arial" w:eastAsia="Arial" w:hAnsi="Arial"/>
                <w:sz w:val="14"/>
                <w:szCs w:val="14"/>
                <w:b w:val="1"/>
                <w:bCs w:val="1"/>
                <w:color w:val="auto"/>
                <w:w w:val="94"/>
              </w:rPr>
              <w:t>maximum</w:t>
            </w:r>
          </w:p>
        </w:tc>
        <w:tc>
          <w:tcPr>
            <w:tcW w:w="1600" w:type="dxa"/>
            <w:vAlign w:val="bottom"/>
            <w:tcBorders>
              <w:right w:val="single" w:sz="8" w:color="auto"/>
            </w:tcBorders>
          </w:tcPr>
          <w:p>
            <w:pPr>
              <w:jc w:val="center"/>
              <w:ind w:left="26"/>
              <w:spacing w:after="0" w:line="149" w:lineRule="exact"/>
              <w:rPr>
                <w:sz w:val="20"/>
                <w:szCs w:val="20"/>
                <w:color w:val="auto"/>
              </w:rPr>
            </w:pPr>
            <w:r>
              <w:rPr>
                <w:rFonts w:ascii="Arial" w:cs="Arial" w:eastAsia="Arial" w:hAnsi="Arial"/>
                <w:sz w:val="14"/>
                <w:szCs w:val="14"/>
                <w:b w:val="1"/>
                <w:bCs w:val="1"/>
                <w:color w:val="auto"/>
                <w:w w:val="94"/>
              </w:rPr>
              <w:t>maximum</w:t>
            </w:r>
          </w:p>
        </w:tc>
        <w:tc>
          <w:tcPr>
            <w:tcW w:w="1560" w:type="dxa"/>
            <w:vAlign w:val="bottom"/>
            <w:vMerge w:val="restart"/>
          </w:tcPr>
          <w:p>
            <w:pPr>
              <w:jc w:val="center"/>
              <w:ind w:left="22"/>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3"/>
              </w:rPr>
              <w:t>offering price</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89"/>
              </w:rPr>
              <w:t>aggregate</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to be registered</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4"/>
                <w:szCs w:val="14"/>
                <w:b w:val="1"/>
                <w:bCs w:val="1"/>
                <w:color w:val="auto"/>
                <w:w w:val="88"/>
              </w:rPr>
              <w:t>registered</w:t>
            </w:r>
          </w:p>
        </w:tc>
        <w:tc>
          <w:tcPr>
            <w:tcW w:w="1600" w:type="dxa"/>
            <w:vAlign w:val="bottom"/>
            <w:tcBorders>
              <w:bottom w:val="single" w:sz="8" w:color="auto"/>
              <w:right w:val="single" w:sz="8" w:color="auto"/>
            </w:tcBorders>
          </w:tcPr>
          <w:p>
            <w:pPr>
              <w:jc w:val="center"/>
              <w:ind w:left="26"/>
              <w:spacing w:after="0"/>
              <w:rPr>
                <w:sz w:val="20"/>
                <w:szCs w:val="20"/>
                <w:color w:val="auto"/>
              </w:rPr>
            </w:pPr>
            <w:r>
              <w:rPr>
                <w:rFonts w:ascii="Arial" w:cs="Arial" w:eastAsia="Arial" w:hAnsi="Arial"/>
                <w:sz w:val="14"/>
                <w:szCs w:val="14"/>
                <w:b w:val="1"/>
                <w:bCs w:val="1"/>
                <w:color w:val="auto"/>
                <w:w w:val="96"/>
              </w:rPr>
              <w:t>per unit (1)</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4"/>
              </w:rPr>
              <w:t>offering price (2)</w:t>
            </w:r>
          </w:p>
        </w:tc>
        <w:tc>
          <w:tcPr>
            <w:tcW w:w="156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w w:val="93"/>
              </w:rPr>
              <w:t>registration fee (2)</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Deferred Compensation Obligations</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8"/>
                <w:szCs w:val="18"/>
                <w:color w:val="auto"/>
                <w:w w:val="90"/>
              </w:rPr>
              <w:t>$500,000,000</w:t>
            </w:r>
          </w:p>
        </w:tc>
        <w:tc>
          <w:tcPr>
            <w:tcW w:w="1600" w:type="dxa"/>
            <w:vAlign w:val="bottom"/>
            <w:tcBorders>
              <w:bottom w:val="single" w:sz="8" w:color="auto"/>
              <w:right w:val="single" w:sz="8" w:color="auto"/>
            </w:tcBorders>
          </w:tcPr>
          <w:p>
            <w:pPr>
              <w:jc w:val="center"/>
              <w:ind w:left="26"/>
              <w:spacing w:after="0"/>
              <w:rPr>
                <w:sz w:val="20"/>
                <w:szCs w:val="20"/>
                <w:color w:val="auto"/>
              </w:rPr>
            </w:pPr>
            <w:r>
              <w:rPr>
                <w:rFonts w:ascii="Arial" w:cs="Arial" w:eastAsia="Arial" w:hAnsi="Arial"/>
                <w:sz w:val="18"/>
                <w:szCs w:val="18"/>
                <w:color w:val="auto"/>
                <w:w w:val="91"/>
              </w:rPr>
              <w:t>100%</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8"/>
                <w:szCs w:val="18"/>
                <w:color w:val="auto"/>
                <w:w w:val="90"/>
              </w:rPr>
              <w:t>$500,000,000</w:t>
            </w:r>
          </w:p>
        </w:tc>
        <w:tc>
          <w:tcPr>
            <w:tcW w:w="1560" w:type="dxa"/>
            <w:vAlign w:val="bottom"/>
            <w:tcBorders>
              <w:bottom w:val="single" w:sz="8" w:color="auto"/>
            </w:tcBorders>
          </w:tcPr>
          <w:p>
            <w:pPr>
              <w:jc w:val="center"/>
              <w:ind w:left="22"/>
              <w:spacing w:after="0"/>
              <w:rPr>
                <w:sz w:val="20"/>
                <w:szCs w:val="20"/>
                <w:color w:val="auto"/>
              </w:rPr>
            </w:pPr>
            <w:r>
              <w:rPr>
                <w:rFonts w:ascii="Arial" w:cs="Arial" w:eastAsia="Arial" w:hAnsi="Arial"/>
                <w:sz w:val="18"/>
                <w:szCs w:val="18"/>
                <w:color w:val="auto"/>
                <w:w w:val="89"/>
              </w:rPr>
              <w:t>$50,350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right="60" w:hanging="452"/>
        <w:spacing w:after="0" w:line="253"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deferred compensation obligations to which this Registration Statement relates (the “Deferred Compensation Obligations”) arise under the Comcast Corporation 2005 Deferred Compensation Plan (the “Deferred Compensation Plan”) and relate to obligations to pay deferred compensation in the future pursuant to compensation deferral elections made by participants in the Deferred Compensation Plan in accordance with the terms of the Deferred Compensation Plan. The Deferred Compensation Obligations incurred by Comcast Corporation (the “Registrant”) under the Deferred Compensation Plan will be unsecured general obligations of the Registrant.</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pursuant to rule 457(h) under the Securities Act of 1933, as amended, solely for the purpose of calculating the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Pursuant to General Instruction E of Form S-8, this registration statement on Form S-8 (the “Registration Statement”) is being filed in order to register an additional $500,000,000 of Deferred Compensation Obligations of the Registrant under the Deferred Compensation Plan, which are securities of the same class and relate to the same employee benefit plan as those shares registered on the Registrant’s registration statements on Form S-8 previously filed with the Commission on February 12, 2014 (Registration No. 333-193903), February 23, 2012 (Registration No. 333-179638), January 4, 2006 (Registration No. 333-130845) and December 8, 2004 (Registration No. 333-121082), all of which are hereby incorporated by reference.</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3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documents, as filed with the Commission by the Registrant are incorporated by reference in this Form S-8 Registration Statement and made a part hereof:</w:t>
      </w:r>
    </w:p>
    <w:p>
      <w:pPr>
        <w:spacing w:after="0" w:line="7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Current Report on Form 8-K filed with the Commission on February 23, 2016;</w:t>
      </w:r>
    </w:p>
    <w:p>
      <w:pPr>
        <w:spacing w:after="0" w:line="130" w:lineRule="exact"/>
        <w:rPr>
          <w:rFonts w:ascii="Arial" w:cs="Arial" w:eastAsia="Arial" w:hAnsi="Arial"/>
          <w:sz w:val="18"/>
          <w:szCs w:val="18"/>
          <w:color w:val="auto"/>
        </w:rPr>
      </w:pPr>
    </w:p>
    <w:p>
      <w:pPr>
        <w:ind w:left="900" w:right="560" w:hanging="446"/>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year ended December 31, 2015, as filed with the Commission on February 5, 2016 (excluding the financial statements of NBCUniversal Media, LLC, and the associated report of NBCUniversal Media, LLC’s independent registered public accounting firm included in such Annual Report); and</w:t>
      </w:r>
    </w:p>
    <w:p>
      <w:pPr>
        <w:spacing w:after="0" w:line="86" w:lineRule="exact"/>
        <w:rPr>
          <w:rFonts w:ascii="Arial" w:cs="Arial" w:eastAsia="Arial" w:hAnsi="Arial"/>
          <w:sz w:val="18"/>
          <w:szCs w:val="18"/>
          <w:color w:val="auto"/>
        </w:rPr>
      </w:pPr>
    </w:p>
    <w:p>
      <w:pPr>
        <w:ind w:left="900" w:right="460" w:hanging="446"/>
        <w:spacing w:after="0" w:line="308"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description of the Registrant’s common stock included under the caption “Amended and Restated Description of our Class A Common Stock” in Item 3.03 of Registrant’s Current Report on Form 8-K filed with the Commission on December 15, 2015.</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All documents filed by the Registrant pursuant to Sections 13(a), 13(c), 14 and 15(d) of the Exchange Act after the date hereof and prior to the filing of a post-effective amendment which indicates that all securities offered pursuant to this Registration Statement have been sold or which deregisters all securities then remaining unsold, but excluding any financial statements of NBCUniversal Media, LLC, and any associated report of NBCUniversal Media, LLC’s independent registered public accounting firm included in any such documents, shall be deemed to be incorporated by reference herein and to be a part hereof from the date of filing of such documents.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information disclosed in this Item 4 provides a summary of the deferral provisions of the Deferred Compensation Plan, as amended through the date of this Registration Statement.</w:t>
      </w:r>
    </w:p>
    <w:p>
      <w:pPr>
        <w:spacing w:after="0" w:line="170"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The following description of the Deferred Compensation Obligations of the Registrant under the Deferred Compensation Plan is qualified by reference to the Deferred Compensation Plan, which is included as an exhibit to this Registration Statement. Capitalized terms used and not otherwise defined in this Registration Statement shall have the respective meanings attributed to such terms in the Deferred Compensation Plan.</w:t>
      </w:r>
    </w:p>
    <w:p>
      <w:pPr>
        <w:spacing w:after="0" w:line="16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Deferred Compensation Obligations incurred by the Registrant under the Deferred Compensation Plan will be unsecured general obligations of the Registrant to pay the compensation deferred in accordance with the terms of the Deferred Compensation Plan and will rank equally with other unsecured and unsubordinated indebtedness of the Registrant. Because the Registrant has subsidiaries, the right of the Registrant, and hence the right of creditors of the Registrant (including Participants in the Deferred Compensation Plan), to participate in a distribution of the assets of a subsidiary upon its liquidation or reorganization or otherwise, necessarily is subject to the prior claims of creditors of the subsidiary, except to the extent that claims of the Registrant itself as a creditor may be recognized.</w:t>
      </w:r>
    </w:p>
    <w:p>
      <w:pPr>
        <w:spacing w:after="0" w:line="19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Under the Deferred Compensation Plan, the Registrant will provide Eligible Employees of the Registrant and each of the Registrant’s subsidiaries which is a Participating Company, and Outside Directors, with the opportunity to elect to defer all or a portion of the compensation to be received from the Registrant or another Participating Company, provided that sales commissions or similar payments or awards or Severance Pay shall not be included as compensation for purposes of the Deferred Compensation Plan.</w:t>
      </w:r>
    </w:p>
    <w:p>
      <w:pPr>
        <w:sectPr>
          <w:pgSz w:w="11900" w:h="16838" w:orient="portrait"/>
          <w:cols w:equalWidth="0" w:num="1">
            <w:col w:w="11380"/>
          </w:cols>
          <w:pgMar w:left="240" w:top="270" w:right="279" w:bottom="1440" w:gutter="0" w:footer="0" w:header="0"/>
        </w:sectPr>
      </w:pPr>
    </w:p>
    <w:bookmarkStart w:id="3" w:name="page4"/>
    <w:bookmarkEnd w:id="3"/>
    <w:p>
      <w:pPr>
        <w:ind w:right="4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for amounts credited to the Accounts of Participants who are Outside Directors who have elected to defer receipt of Compensation payable in the form of the Common Stock, all amounts credited to Participant’s Accounts will be credited with income, gains and losses as if it were invested in the Income Fund. Amounts credited to the Accounts of Outside Directors in the form of Common Stock will be credited with income, gains and losses as if it were invested in the Company Stock Fund. Distributions of amounts credited to the Company Stock Fund with respect to Outside Directors’ Accounts will be distributable in the form of Common Stock, rounded to the nearest whole share.</w:t>
      </w:r>
    </w:p>
    <w:p>
      <w:pPr>
        <w:spacing w:after="0" w:line="18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defined in the Deferred Compensation Plan, the Income Fund is a hypothetical investment fund pursuant to which income, gains and losses are credited to a Participant’s Account as if such Account, to the extent deemed invested in the Income Fund, were credited with interest at the Applicable Interest Rate. As defined in the Deferred Compensation Plan, effective beginning in 2013 for eligible employees of the Company’s subsidiary NBCUniversal LLC, and generally effective for deferred amounts credited beginning in 2014 for eligible employees of the Company, the Applicable Interest Rate means 9% per annum, compounded annually as of the last day of the calendar year (the “Standard Applicable Interest Rate”), except to the extent the Compensation Committee of the Board (the “Committee”), in its sole discretion, designated for the period extending from the date of a Participant’s termination of employment to the date of his or her Account’s distribution in full an Applicable Interest Rate equal to the lesser of (i) the Standard Applicable Interest Rate and (ii) the Prime Rate plus one percent, compounded annually as of the last day of the calendar year. The Applicable Interest Rate for eligible employees of the Company (other than NBCUniversal) for years before 2014 is 12% per annum, compounded annually.</w:t>
      </w:r>
    </w:p>
    <w:p>
      <w:pPr>
        <w:spacing w:after="0" w:line="167"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color w:val="auto"/>
        </w:rPr>
        <w:t>As defined in the Deferred Compensation Plan, the Company Stock Fund is a hypothetical investment fund pursuant to which income, gains and losses are credited to a Participant’s Account as if the Account, to the extent deemed invested in the Company’s Stock Fund, were invested in hypothetical shares of Common Stock and all dividends and other distributions paid with respect to Common Stock were temporarily credited to the Income Fund.</w:t>
      </w:r>
    </w:p>
    <w:p>
      <w:pPr>
        <w:spacing w:after="0" w:line="14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Except as otherwise provided in the case of a liquidation of the Registrant or a Change of Control, each Participant is permitted to specify by election the method of distribution of any amount credited to his or her Account. Under the terms of the Deferred Compensation Plan, a Participant may elect from among the following methods of distribution: (i) a lump sum payment; and (ii) substantially equal annual or monthly installments over a period of five, ten or 15 years.</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Notwithstanding the terms of an election, if, upon the written application of a Participant, the Committee determines that such Participant has a financial emergency of such a substantial nature and beyond the individual’s control that payment of amounts previously deferred under the Deferred Compensation Plan is warranted, the Committee, in its sole discretion, may authorize the immediate distribution to the Participant of all or a portion of his or her Account.</w:t>
      </w:r>
    </w:p>
    <w:p>
      <w:pPr>
        <w:spacing w:after="0" w:line="187"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The Deferred Compensation Plan provides that the Registrant shall give Participants at least 30 days’ notice (or, if not practicable, such shorter notice as may be reasonably practicable) prior to the anticipated date of the consummation of a liquidation of the Registrant or a Change of Control (each a “Terminating Event”). To the extent permitted by the AJCA, the Registrant may, in its discretion, provide in such notice that notwithstanding any other provision of the Deferred Compensation Plan or the terms of any election, upon the consummation of a Terminating Event, the Account balance of each Participant shall be distributed in full.</w:t>
      </w:r>
    </w:p>
    <w:p>
      <w:pPr>
        <w:spacing w:after="0" w:line="188"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Whether or not the Registrant is a Participant’s employer, all compensation deferred under the Deferred Compensation Plan will continue for all purposes to be a part of the general funds of the Registrant and the Participant’s Account will at all times represent the general obligation of the Registrant. Each Participant will be a general creditor of the Registrant with respect to all of the Registrant’s Deferred Compensation Obligations to the Participant under the Deferred Compensation Plan, and will not have a secured or preferred position with respect to his or her Account. Nothing contained in the Deferred Compensation Plan shall be deemed to create an escrow, trust, custodial account or fiduciary relationship of any kind or to eliminate any priority or preferred position of a Participant in a bankruptcy matter with respect to claims for wages. Under the terms of the Deferred Compensation Plan, the right of a Participant in or to an Account, benefit or payment under the Deferred Compensation Plan shall not be subject in any manner to attachment or other legal process for the debts of such Participant; and no such Account, benefit or payment shall be subject to anticipation, alienation, sale, transfer, attachment, execution, garnishment, assignment or encumbrance.</w:t>
      </w:r>
    </w:p>
    <w:p>
      <w:pPr>
        <w:spacing w:after="0" w:line="182"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The Registrant, by action of the Board or the Committee, without the consent of the Participants, may amend or modify the Deferred Compensation Plan at any time, except that no such action shall change the Applicable Interest Rate with respect to the portion of a Participant’s Account that is attributable to an election made with respect to compensation earned in a calendar year and filed with the Committee before the date of such action. The Registrant, by action of the Board, reserves the right at any time, or from time to time, to terminate the Deferred Compensation Plan.</w:t>
      </w:r>
    </w:p>
    <w:p>
      <w:pPr>
        <w:sectPr>
          <w:pgSz w:w="11900" w:h="16838" w:orient="portrait"/>
          <w:cols w:equalWidth="0" w:num="1">
            <w:col w:w="11420"/>
          </w:cols>
          <w:pgMar w:left="240" w:top="274" w:right="239" w:bottom="1440" w:gutter="0" w:footer="0" w:header="0"/>
        </w:sectPr>
      </w:pPr>
    </w:p>
    <w:bookmarkStart w:id="4" w:name="page5"/>
    <w:bookmarkEnd w:id="4"/>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ind w:left="1520" w:hanging="593"/>
        <w:spacing w:after="0" w:line="342" w:lineRule="auto"/>
        <w:tabs>
          <w:tab w:leader="none" w:pos="15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Comcast Corporation 2005 Deferred Compensation Plan, as amended and restated effective May 20, 2015 (incorporated by reference to Exhibit 10.5 to the Registrant’s Quarterly Report on Form 10-Q for the quarter ended June 30, 2015)</w:t>
      </w:r>
    </w:p>
    <w:p>
      <w:pPr>
        <w:spacing w:after="0" w:line="16" w:lineRule="exact"/>
        <w:rPr>
          <w:sz w:val="20"/>
          <w:szCs w:val="20"/>
          <w:color w:val="auto"/>
        </w:rPr>
      </w:pPr>
    </w:p>
    <w:p>
      <w:pPr>
        <w:ind w:left="920"/>
        <w:spacing w:after="0"/>
        <w:tabs>
          <w:tab w:leader="none" w:pos="15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Opinion of Pepper Hamilton LLP (re: validity)</w:t>
      </w:r>
    </w:p>
    <w:p>
      <w:pPr>
        <w:spacing w:after="0" w:line="117" w:lineRule="exact"/>
        <w:rPr>
          <w:sz w:val="20"/>
          <w:szCs w:val="20"/>
          <w:color w:val="auto"/>
        </w:rPr>
      </w:pPr>
    </w:p>
    <w:p>
      <w:pPr>
        <w:ind w:left="920"/>
        <w:spacing w:after="0"/>
        <w:tabs>
          <w:tab w:leader="none" w:pos="15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Opinion of Pepper Hamilton LLP (re: ERISA)</w:t>
      </w:r>
    </w:p>
    <w:p>
      <w:pPr>
        <w:spacing w:after="0" w:line="117" w:lineRule="exact"/>
        <w:rPr>
          <w:sz w:val="20"/>
          <w:szCs w:val="20"/>
          <w:color w:val="auto"/>
        </w:rPr>
      </w:pPr>
    </w:p>
    <w:p>
      <w:pPr>
        <w:ind w:left="920"/>
        <w:spacing w:after="0"/>
        <w:tabs>
          <w:tab w:leader="none" w:pos="15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Deloitte &amp; Touche LLP</w:t>
      </w:r>
    </w:p>
    <w:p>
      <w:pPr>
        <w:spacing w:after="0" w:line="117" w:lineRule="exact"/>
        <w:rPr>
          <w:sz w:val="20"/>
          <w:szCs w:val="20"/>
          <w:color w:val="auto"/>
        </w:rPr>
      </w:pPr>
    </w:p>
    <w:p>
      <w:pPr>
        <w:ind w:left="920"/>
        <w:spacing w:after="0"/>
        <w:tabs>
          <w:tab w:leader="none" w:pos="15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Pepper Hamilton LLP (contained in Exhibits 5.1 and 5.2)</w:t>
      </w:r>
    </w:p>
    <w:p>
      <w:pPr>
        <w:spacing w:after="0" w:line="117" w:lineRule="exact"/>
        <w:rPr>
          <w:sz w:val="20"/>
          <w:szCs w:val="20"/>
          <w:color w:val="auto"/>
        </w:rPr>
      </w:pPr>
    </w:p>
    <w:p>
      <w:pPr>
        <w:ind w:left="920"/>
        <w:spacing w:after="0"/>
        <w:tabs>
          <w:tab w:leader="none" w:pos="150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(contained in the signature pages hereto)</w:t>
      </w:r>
    </w:p>
    <w:p>
      <w:pPr>
        <w:sectPr>
          <w:pgSz w:w="11900" w:h="16838" w:orient="portrait"/>
          <w:cols w:equalWidth="0" w:num="1">
            <w:col w:w="10400"/>
          </w:cols>
          <w:pgMar w:left="240" w:top="270" w:right="12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jc w:val="both"/>
        <w:ind w:right="60" w:firstLine="913"/>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Philadelphia, Commonwealth of Pennsylvania, on March 10, 2016.</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J. Salva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Lawrence J. Salva</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Executive Vice President and Chief Accounting</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Officer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20" w:firstLine="913"/>
        <w:spacing w:after="0" w:line="254" w:lineRule="auto"/>
        <w:rPr>
          <w:sz w:val="20"/>
          <w:szCs w:val="20"/>
          <w:color w:val="auto"/>
        </w:rPr>
      </w:pPr>
      <w:r>
        <w:rPr>
          <w:rFonts w:ascii="Arial" w:cs="Arial" w:eastAsia="Arial" w:hAnsi="Arial"/>
          <w:sz w:val="18"/>
          <w:szCs w:val="18"/>
          <w:color w:val="auto"/>
        </w:rPr>
        <w:t>KNOW ALL MEN BY THESE PRESENTS, that each person whose signature appears below hereby constitutes and appoints each of Brian L. Roberts, Michael J. Cavanagh, David L. Cohen, Arthur R. Block and Lawrence J. Salva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either of them, or their substitute or substitutes, may lawfully do or cause to be done by virtue hereof.</w:t>
      </w:r>
    </w:p>
    <w:p>
      <w:pPr>
        <w:spacing w:after="0" w:line="192"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60" w:type="dxa"/>
            <w:vAlign w:val="bottom"/>
          </w:tcPr>
          <w:p>
            <w:pPr>
              <w:spacing w:after="0"/>
              <w:rPr>
                <w:sz w:val="16"/>
                <w:szCs w:val="16"/>
                <w:color w:val="auto"/>
              </w:rPr>
            </w:pPr>
          </w:p>
        </w:tc>
        <w:tc>
          <w:tcPr>
            <w:tcW w:w="2920" w:type="dxa"/>
            <w:vAlign w:val="bottom"/>
          </w:tcPr>
          <w:p>
            <w:pPr>
              <w:jc w:val="center"/>
              <w:ind w:right="1271"/>
              <w:spacing w:after="0"/>
              <w:rPr>
                <w:sz w:val="20"/>
                <w:szCs w:val="20"/>
                <w:color w:val="auto"/>
              </w:rPr>
            </w:pPr>
            <w:r>
              <w:rPr>
                <w:rFonts w:ascii="Arial" w:cs="Arial" w:eastAsia="Arial" w:hAnsi="Arial"/>
                <w:sz w:val="14"/>
                <w:szCs w:val="14"/>
                <w:b w:val="1"/>
                <w:bCs w:val="1"/>
                <w:color w:val="auto"/>
                <w:w w:val="92"/>
              </w:rPr>
              <w:t>Signature</w:t>
            </w:r>
          </w:p>
        </w:tc>
        <w:tc>
          <w:tcPr>
            <w:tcW w:w="5180" w:type="dxa"/>
            <w:vAlign w:val="bottom"/>
          </w:tcPr>
          <w:p>
            <w:pPr>
              <w:jc w:val="center"/>
              <w:ind w:left="11"/>
              <w:spacing w:after="0"/>
              <w:rPr>
                <w:sz w:val="20"/>
                <w:szCs w:val="20"/>
                <w:color w:val="auto"/>
              </w:rPr>
            </w:pPr>
            <w:r>
              <w:rPr>
                <w:rFonts w:ascii="Arial" w:cs="Arial" w:eastAsia="Arial" w:hAnsi="Arial"/>
                <w:sz w:val="14"/>
                <w:szCs w:val="14"/>
                <w:b w:val="1"/>
                <w:bCs w:val="1"/>
                <w:color w:val="auto"/>
                <w:w w:val="97"/>
              </w:rPr>
              <w:t>Title</w:t>
            </w:r>
          </w:p>
        </w:tc>
        <w:tc>
          <w:tcPr>
            <w:tcW w:w="1660" w:type="dxa"/>
            <w:vAlign w:val="bottom"/>
          </w:tcPr>
          <w:p>
            <w:pPr>
              <w:jc w:val="center"/>
              <w:ind w:left="432"/>
              <w:spacing w:after="0"/>
              <w:rPr>
                <w:sz w:val="20"/>
                <w:szCs w:val="20"/>
                <w:color w:val="auto"/>
              </w:rPr>
            </w:pPr>
            <w:r>
              <w:rPr>
                <w:rFonts w:ascii="Arial" w:cs="Arial" w:eastAsia="Arial" w:hAnsi="Arial"/>
                <w:sz w:val="14"/>
                <w:szCs w:val="14"/>
                <w:b w:val="1"/>
                <w:bCs w:val="1"/>
                <w:color w:val="auto"/>
                <w:w w:val="98"/>
              </w:rPr>
              <w:t>Date</w:t>
            </w:r>
          </w:p>
        </w:tc>
      </w:tr>
      <w:tr>
        <w:trPr>
          <w:trHeight w:val="417"/>
        </w:trPr>
        <w:tc>
          <w:tcPr>
            <w:tcW w:w="136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w w:val="83"/>
              </w:rPr>
              <w:t>/s/</w:t>
            </w:r>
          </w:p>
        </w:tc>
        <w:tc>
          <w:tcPr>
            <w:tcW w:w="2920" w:type="dxa"/>
            <w:vAlign w:val="bottom"/>
            <w:tcBorders>
              <w:bottom w:val="single" w:sz="8" w:color="auto"/>
            </w:tcBorders>
          </w:tcPr>
          <w:p>
            <w:pPr>
              <w:jc w:val="center"/>
              <w:ind w:right="1271"/>
              <w:spacing w:after="0"/>
              <w:rPr>
                <w:sz w:val="20"/>
                <w:szCs w:val="20"/>
                <w:color w:val="auto"/>
              </w:rPr>
            </w:pPr>
            <w:r>
              <w:rPr>
                <w:rFonts w:ascii="Arial" w:cs="Arial" w:eastAsia="Arial" w:hAnsi="Arial"/>
                <w:sz w:val="18"/>
                <w:szCs w:val="18"/>
                <w:color w:val="auto"/>
                <w:w w:val="92"/>
              </w:rPr>
              <w:t>Brian L. Roberts</w:t>
            </w:r>
          </w:p>
        </w:tc>
        <w:tc>
          <w:tcPr>
            <w:tcW w:w="5180" w:type="dxa"/>
            <w:vAlign w:val="bottom"/>
          </w:tcPr>
          <w:p>
            <w:pPr>
              <w:jc w:val="center"/>
              <w:ind w:left="11"/>
              <w:spacing w:after="0"/>
              <w:rPr>
                <w:sz w:val="20"/>
                <w:szCs w:val="20"/>
                <w:color w:val="auto"/>
              </w:rPr>
            </w:pPr>
            <w:r>
              <w:rPr>
                <w:rFonts w:ascii="Arial" w:cs="Arial" w:eastAsia="Arial" w:hAnsi="Arial"/>
                <w:sz w:val="18"/>
                <w:szCs w:val="18"/>
                <w:color w:val="auto"/>
                <w:w w:val="92"/>
              </w:rPr>
              <w:t>Chairman and CEO; Director</w:t>
            </w:r>
          </w:p>
        </w:tc>
        <w:tc>
          <w:tcPr>
            <w:tcW w:w="1660" w:type="dxa"/>
            <w:vAlign w:val="bottom"/>
          </w:tcPr>
          <w:p>
            <w:pPr>
              <w:jc w:val="center"/>
              <w:ind w:left="432"/>
              <w:spacing w:after="0"/>
              <w:rPr>
                <w:sz w:val="20"/>
                <w:szCs w:val="20"/>
                <w:color w:val="auto"/>
              </w:rPr>
            </w:pPr>
            <w:r>
              <w:rPr>
                <w:rFonts w:ascii="Arial" w:cs="Arial" w:eastAsia="Arial" w:hAnsi="Arial"/>
                <w:sz w:val="18"/>
                <w:szCs w:val="18"/>
                <w:color w:val="auto"/>
                <w:w w:val="91"/>
              </w:rPr>
              <w:t>March 10, 2016</w:t>
            </w:r>
          </w:p>
        </w:tc>
      </w:tr>
      <w:tr>
        <w:trPr>
          <w:trHeight w:val="224"/>
        </w:trPr>
        <w:tc>
          <w:tcPr>
            <w:tcW w:w="1360" w:type="dxa"/>
            <w:vAlign w:val="bottom"/>
          </w:tcPr>
          <w:p>
            <w:pPr>
              <w:spacing w:after="0"/>
              <w:rPr>
                <w:sz w:val="19"/>
                <w:szCs w:val="19"/>
                <w:color w:val="auto"/>
              </w:rPr>
            </w:pPr>
          </w:p>
        </w:tc>
        <w:tc>
          <w:tcPr>
            <w:tcW w:w="2920" w:type="dxa"/>
            <w:vAlign w:val="bottom"/>
          </w:tcPr>
          <w:p>
            <w:pPr>
              <w:jc w:val="center"/>
              <w:ind w:right="1271"/>
              <w:spacing w:after="0"/>
              <w:rPr>
                <w:sz w:val="20"/>
                <w:szCs w:val="20"/>
                <w:color w:val="auto"/>
              </w:rPr>
            </w:pPr>
            <w:r>
              <w:rPr>
                <w:rFonts w:ascii="Arial" w:cs="Arial" w:eastAsia="Arial" w:hAnsi="Arial"/>
                <w:sz w:val="18"/>
                <w:szCs w:val="18"/>
                <w:color w:val="auto"/>
                <w:w w:val="92"/>
              </w:rPr>
              <w:t>Brian L. Roberts</w:t>
            </w:r>
          </w:p>
        </w:tc>
        <w:tc>
          <w:tcPr>
            <w:tcW w:w="5180" w:type="dxa"/>
            <w:vAlign w:val="bottom"/>
          </w:tcPr>
          <w:p>
            <w:pPr>
              <w:jc w:val="center"/>
              <w:ind w:left="31"/>
              <w:spacing w:after="0"/>
              <w:rPr>
                <w:sz w:val="20"/>
                <w:szCs w:val="20"/>
                <w:color w:val="auto"/>
              </w:rPr>
            </w:pPr>
            <w:r>
              <w:rPr>
                <w:rFonts w:ascii="Arial" w:cs="Arial" w:eastAsia="Arial" w:hAnsi="Arial"/>
                <w:sz w:val="18"/>
                <w:szCs w:val="18"/>
                <w:color w:val="auto"/>
                <w:w w:val="94"/>
              </w:rPr>
              <w:t>(Principal Executive Officer)</w:t>
            </w:r>
          </w:p>
        </w:tc>
        <w:tc>
          <w:tcPr>
            <w:tcW w:w="1660" w:type="dxa"/>
            <w:vAlign w:val="bottom"/>
          </w:tcPr>
          <w:p>
            <w:pPr>
              <w:spacing w:after="0"/>
              <w:rPr>
                <w:sz w:val="19"/>
                <w:szCs w:val="19"/>
                <w:color w:val="auto"/>
              </w:rPr>
            </w:pPr>
          </w:p>
        </w:tc>
      </w:tr>
      <w:tr>
        <w:trPr>
          <w:trHeight w:val="431"/>
        </w:trPr>
        <w:tc>
          <w:tcPr>
            <w:tcW w:w="136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tcPr>
          <w:p>
            <w:pPr>
              <w:jc w:val="center"/>
              <w:ind w:right="1271"/>
              <w:spacing w:after="0"/>
              <w:rPr>
                <w:sz w:val="20"/>
                <w:szCs w:val="20"/>
                <w:color w:val="auto"/>
              </w:rPr>
            </w:pPr>
            <w:r>
              <w:rPr>
                <w:rFonts w:ascii="Arial" w:cs="Arial" w:eastAsia="Arial" w:hAnsi="Arial"/>
                <w:sz w:val="18"/>
                <w:szCs w:val="18"/>
                <w:color w:val="auto"/>
                <w:w w:val="90"/>
              </w:rPr>
              <w:t>Michael J. Cavanagh</w:t>
            </w:r>
          </w:p>
        </w:tc>
        <w:tc>
          <w:tcPr>
            <w:tcW w:w="5180" w:type="dxa"/>
            <w:vAlign w:val="bottom"/>
          </w:tcPr>
          <w:p>
            <w:pPr>
              <w:jc w:val="center"/>
              <w:ind w:left="31"/>
              <w:spacing w:after="0"/>
              <w:rPr>
                <w:sz w:val="20"/>
                <w:szCs w:val="20"/>
                <w:color w:val="auto"/>
              </w:rPr>
            </w:pPr>
            <w:r>
              <w:rPr>
                <w:rFonts w:ascii="Arial" w:cs="Arial" w:eastAsia="Arial" w:hAnsi="Arial"/>
                <w:sz w:val="18"/>
                <w:szCs w:val="18"/>
                <w:color w:val="auto"/>
                <w:w w:val="90"/>
              </w:rPr>
              <w:t>Senior Executive Vice President and CFO</w:t>
            </w:r>
          </w:p>
        </w:tc>
        <w:tc>
          <w:tcPr>
            <w:tcW w:w="1660" w:type="dxa"/>
            <w:vAlign w:val="bottom"/>
          </w:tcPr>
          <w:p>
            <w:pPr>
              <w:jc w:val="center"/>
              <w:ind w:left="432"/>
              <w:spacing w:after="0"/>
              <w:rPr>
                <w:sz w:val="20"/>
                <w:szCs w:val="20"/>
                <w:color w:val="auto"/>
              </w:rPr>
            </w:pPr>
            <w:r>
              <w:rPr>
                <w:rFonts w:ascii="Arial" w:cs="Arial" w:eastAsia="Arial" w:hAnsi="Arial"/>
                <w:sz w:val="18"/>
                <w:szCs w:val="18"/>
                <w:color w:val="auto"/>
                <w:w w:val="91"/>
              </w:rPr>
              <w:t>March 10, 2016</w:t>
            </w:r>
          </w:p>
        </w:tc>
      </w:tr>
      <w:tr>
        <w:trPr>
          <w:trHeight w:val="224"/>
        </w:trPr>
        <w:tc>
          <w:tcPr>
            <w:tcW w:w="1360" w:type="dxa"/>
            <w:vAlign w:val="bottom"/>
          </w:tcPr>
          <w:p>
            <w:pPr>
              <w:spacing w:after="0"/>
              <w:rPr>
                <w:sz w:val="19"/>
                <w:szCs w:val="19"/>
                <w:color w:val="auto"/>
              </w:rPr>
            </w:pPr>
          </w:p>
        </w:tc>
        <w:tc>
          <w:tcPr>
            <w:tcW w:w="2920" w:type="dxa"/>
            <w:vAlign w:val="bottom"/>
          </w:tcPr>
          <w:p>
            <w:pPr>
              <w:jc w:val="center"/>
              <w:ind w:right="1271"/>
              <w:spacing w:after="0"/>
              <w:rPr>
                <w:sz w:val="20"/>
                <w:szCs w:val="20"/>
                <w:color w:val="auto"/>
              </w:rPr>
            </w:pPr>
            <w:r>
              <w:rPr>
                <w:rFonts w:ascii="Arial" w:cs="Arial" w:eastAsia="Arial" w:hAnsi="Arial"/>
                <w:sz w:val="18"/>
                <w:szCs w:val="18"/>
                <w:color w:val="auto"/>
                <w:w w:val="90"/>
              </w:rPr>
              <w:t>Michael J. Cavanagh</w:t>
            </w:r>
          </w:p>
        </w:tc>
        <w:tc>
          <w:tcPr>
            <w:tcW w:w="5180" w:type="dxa"/>
            <w:vAlign w:val="bottom"/>
          </w:tcPr>
          <w:p>
            <w:pPr>
              <w:jc w:val="center"/>
              <w:ind w:left="11"/>
              <w:spacing w:after="0"/>
              <w:rPr>
                <w:sz w:val="20"/>
                <w:szCs w:val="20"/>
                <w:color w:val="auto"/>
              </w:rPr>
            </w:pPr>
            <w:r>
              <w:rPr>
                <w:rFonts w:ascii="Arial" w:cs="Arial" w:eastAsia="Arial" w:hAnsi="Arial"/>
                <w:sz w:val="18"/>
                <w:szCs w:val="18"/>
                <w:color w:val="auto"/>
                <w:w w:val="94"/>
              </w:rPr>
              <w:t>(Principal Financial Officer)</w:t>
            </w:r>
          </w:p>
        </w:tc>
        <w:tc>
          <w:tcPr>
            <w:tcW w:w="1660" w:type="dxa"/>
            <w:vAlign w:val="bottom"/>
          </w:tcPr>
          <w:p>
            <w:pPr>
              <w:spacing w:after="0"/>
              <w:rPr>
                <w:sz w:val="19"/>
                <w:szCs w:val="19"/>
                <w:color w:val="auto"/>
              </w:rPr>
            </w:pPr>
          </w:p>
        </w:tc>
      </w:tr>
      <w:tr>
        <w:trPr>
          <w:trHeight w:val="431"/>
        </w:trPr>
        <w:tc>
          <w:tcPr>
            <w:tcW w:w="136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tcPr>
          <w:p>
            <w:pPr>
              <w:jc w:val="center"/>
              <w:ind w:right="1271"/>
              <w:spacing w:after="0"/>
              <w:rPr>
                <w:sz w:val="20"/>
                <w:szCs w:val="20"/>
                <w:color w:val="auto"/>
              </w:rPr>
            </w:pPr>
            <w:r>
              <w:rPr>
                <w:rFonts w:ascii="Arial" w:cs="Arial" w:eastAsia="Arial" w:hAnsi="Arial"/>
                <w:sz w:val="18"/>
                <w:szCs w:val="18"/>
                <w:color w:val="auto"/>
                <w:w w:val="89"/>
              </w:rPr>
              <w:t>Lawrence J. Salva</w:t>
            </w:r>
          </w:p>
        </w:tc>
        <w:tc>
          <w:tcPr>
            <w:tcW w:w="5180" w:type="dxa"/>
            <w:vAlign w:val="bottom"/>
          </w:tcPr>
          <w:p>
            <w:pPr>
              <w:jc w:val="center"/>
              <w:ind w:left="11"/>
              <w:spacing w:after="0"/>
              <w:rPr>
                <w:sz w:val="20"/>
                <w:szCs w:val="20"/>
                <w:color w:val="auto"/>
              </w:rPr>
            </w:pPr>
            <w:r>
              <w:rPr>
                <w:rFonts w:ascii="Arial" w:cs="Arial" w:eastAsia="Arial" w:hAnsi="Arial"/>
                <w:sz w:val="18"/>
                <w:szCs w:val="18"/>
                <w:color w:val="auto"/>
                <w:w w:val="92"/>
              </w:rPr>
              <w:t>Executive Vice President and Chief Accounting Officer</w:t>
            </w:r>
          </w:p>
        </w:tc>
        <w:tc>
          <w:tcPr>
            <w:tcW w:w="1660" w:type="dxa"/>
            <w:vAlign w:val="bottom"/>
          </w:tcPr>
          <w:p>
            <w:pPr>
              <w:jc w:val="center"/>
              <w:ind w:left="432"/>
              <w:spacing w:after="0"/>
              <w:rPr>
                <w:sz w:val="20"/>
                <w:szCs w:val="20"/>
                <w:color w:val="auto"/>
              </w:rPr>
            </w:pPr>
            <w:r>
              <w:rPr>
                <w:rFonts w:ascii="Arial" w:cs="Arial" w:eastAsia="Arial" w:hAnsi="Arial"/>
                <w:sz w:val="18"/>
                <w:szCs w:val="18"/>
                <w:color w:val="auto"/>
                <w:w w:val="91"/>
              </w:rPr>
              <w:t>March 10, 2016</w:t>
            </w:r>
          </w:p>
        </w:tc>
      </w:tr>
      <w:tr>
        <w:trPr>
          <w:trHeight w:val="224"/>
        </w:trPr>
        <w:tc>
          <w:tcPr>
            <w:tcW w:w="1360" w:type="dxa"/>
            <w:vAlign w:val="bottom"/>
          </w:tcPr>
          <w:p>
            <w:pPr>
              <w:spacing w:after="0"/>
              <w:rPr>
                <w:sz w:val="19"/>
                <w:szCs w:val="19"/>
                <w:color w:val="auto"/>
              </w:rPr>
            </w:pPr>
          </w:p>
        </w:tc>
        <w:tc>
          <w:tcPr>
            <w:tcW w:w="2920" w:type="dxa"/>
            <w:vAlign w:val="bottom"/>
          </w:tcPr>
          <w:p>
            <w:pPr>
              <w:jc w:val="center"/>
              <w:ind w:right="1271"/>
              <w:spacing w:after="0"/>
              <w:rPr>
                <w:sz w:val="20"/>
                <w:szCs w:val="20"/>
                <w:color w:val="auto"/>
              </w:rPr>
            </w:pPr>
            <w:r>
              <w:rPr>
                <w:rFonts w:ascii="Arial" w:cs="Arial" w:eastAsia="Arial" w:hAnsi="Arial"/>
                <w:sz w:val="18"/>
                <w:szCs w:val="18"/>
                <w:color w:val="auto"/>
                <w:w w:val="89"/>
              </w:rPr>
              <w:t>Lawrence J. Salva</w:t>
            </w:r>
          </w:p>
        </w:tc>
        <w:tc>
          <w:tcPr>
            <w:tcW w:w="5180" w:type="dxa"/>
            <w:vAlign w:val="bottom"/>
          </w:tcPr>
          <w:p>
            <w:pPr>
              <w:jc w:val="center"/>
              <w:ind w:left="31"/>
              <w:spacing w:after="0"/>
              <w:rPr>
                <w:sz w:val="20"/>
                <w:szCs w:val="20"/>
                <w:color w:val="auto"/>
              </w:rPr>
            </w:pPr>
            <w:r>
              <w:rPr>
                <w:rFonts w:ascii="Arial" w:cs="Arial" w:eastAsia="Arial" w:hAnsi="Arial"/>
                <w:sz w:val="18"/>
                <w:szCs w:val="18"/>
                <w:color w:val="auto"/>
                <w:w w:val="95"/>
              </w:rPr>
              <w:t>(Principal Accounting Officer)</w:t>
            </w:r>
          </w:p>
        </w:tc>
        <w:tc>
          <w:tcPr>
            <w:tcW w:w="1660" w:type="dxa"/>
            <w:vAlign w:val="bottom"/>
          </w:tcPr>
          <w:p>
            <w:pPr>
              <w:spacing w:after="0"/>
              <w:rPr>
                <w:sz w:val="19"/>
                <w:szCs w:val="19"/>
                <w:color w:val="auto"/>
              </w:rPr>
            </w:pPr>
          </w:p>
        </w:tc>
      </w:tr>
      <w:tr>
        <w:trPr>
          <w:trHeight w:val="431"/>
        </w:trPr>
        <w:tc>
          <w:tcPr>
            <w:tcW w:w="136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tcPr>
          <w:p>
            <w:pPr>
              <w:jc w:val="center"/>
              <w:ind w:right="1271"/>
              <w:spacing w:after="0"/>
              <w:rPr>
                <w:sz w:val="20"/>
                <w:szCs w:val="20"/>
                <w:color w:val="auto"/>
              </w:rPr>
            </w:pPr>
            <w:r>
              <w:rPr>
                <w:rFonts w:ascii="Arial" w:cs="Arial" w:eastAsia="Arial" w:hAnsi="Arial"/>
                <w:sz w:val="18"/>
                <w:szCs w:val="18"/>
                <w:color w:val="auto"/>
                <w:w w:val="90"/>
              </w:rPr>
              <w:t>Kenneth J. Bacon</w:t>
            </w:r>
          </w:p>
        </w:tc>
        <w:tc>
          <w:tcPr>
            <w:tcW w:w="5180" w:type="dxa"/>
            <w:vAlign w:val="bottom"/>
          </w:tcPr>
          <w:p>
            <w:pPr>
              <w:jc w:val="center"/>
              <w:ind w:left="11"/>
              <w:spacing w:after="0"/>
              <w:rPr>
                <w:sz w:val="20"/>
                <w:szCs w:val="20"/>
                <w:color w:val="auto"/>
              </w:rPr>
            </w:pPr>
            <w:r>
              <w:rPr>
                <w:rFonts w:ascii="Arial" w:cs="Arial" w:eastAsia="Arial" w:hAnsi="Arial"/>
                <w:sz w:val="18"/>
                <w:szCs w:val="18"/>
                <w:color w:val="auto"/>
                <w:w w:val="95"/>
              </w:rPr>
              <w:t>Director</w:t>
            </w:r>
          </w:p>
        </w:tc>
        <w:tc>
          <w:tcPr>
            <w:tcW w:w="1660" w:type="dxa"/>
            <w:vAlign w:val="bottom"/>
          </w:tcPr>
          <w:p>
            <w:pPr>
              <w:jc w:val="center"/>
              <w:ind w:left="432"/>
              <w:spacing w:after="0"/>
              <w:rPr>
                <w:sz w:val="20"/>
                <w:szCs w:val="20"/>
                <w:color w:val="auto"/>
              </w:rPr>
            </w:pPr>
            <w:r>
              <w:rPr>
                <w:rFonts w:ascii="Arial" w:cs="Arial" w:eastAsia="Arial" w:hAnsi="Arial"/>
                <w:sz w:val="18"/>
                <w:szCs w:val="18"/>
                <w:color w:val="auto"/>
                <w:w w:val="91"/>
              </w:rPr>
              <w:t>March 10, 2016</w:t>
            </w:r>
          </w:p>
        </w:tc>
      </w:tr>
      <w:tr>
        <w:trPr>
          <w:trHeight w:val="224"/>
        </w:trPr>
        <w:tc>
          <w:tcPr>
            <w:tcW w:w="1360" w:type="dxa"/>
            <w:vAlign w:val="bottom"/>
          </w:tcPr>
          <w:p>
            <w:pPr>
              <w:spacing w:after="0"/>
              <w:rPr>
                <w:sz w:val="19"/>
                <w:szCs w:val="19"/>
                <w:color w:val="auto"/>
              </w:rPr>
            </w:pPr>
          </w:p>
        </w:tc>
        <w:tc>
          <w:tcPr>
            <w:tcW w:w="2920" w:type="dxa"/>
            <w:vAlign w:val="bottom"/>
          </w:tcPr>
          <w:p>
            <w:pPr>
              <w:jc w:val="center"/>
              <w:ind w:right="1271"/>
              <w:spacing w:after="0"/>
              <w:rPr>
                <w:sz w:val="20"/>
                <w:szCs w:val="20"/>
                <w:color w:val="auto"/>
              </w:rPr>
            </w:pPr>
            <w:r>
              <w:rPr>
                <w:rFonts w:ascii="Arial" w:cs="Arial" w:eastAsia="Arial" w:hAnsi="Arial"/>
                <w:sz w:val="18"/>
                <w:szCs w:val="18"/>
                <w:color w:val="auto"/>
                <w:w w:val="90"/>
              </w:rPr>
              <w:t>Kenneth J. Bacon</w:t>
            </w:r>
          </w:p>
        </w:tc>
        <w:tc>
          <w:tcPr>
            <w:tcW w:w="51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431"/>
        </w:trPr>
        <w:tc>
          <w:tcPr>
            <w:tcW w:w="136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w w:val="83"/>
              </w:rPr>
              <w:t>/s/</w:t>
            </w:r>
          </w:p>
        </w:tc>
        <w:tc>
          <w:tcPr>
            <w:tcW w:w="2920" w:type="dxa"/>
            <w:vAlign w:val="bottom"/>
            <w:tcBorders>
              <w:bottom w:val="single" w:sz="8" w:color="auto"/>
            </w:tcBorders>
          </w:tcPr>
          <w:p>
            <w:pPr>
              <w:jc w:val="center"/>
              <w:ind w:right="1291"/>
              <w:spacing w:after="0"/>
              <w:rPr>
                <w:sz w:val="20"/>
                <w:szCs w:val="20"/>
                <w:color w:val="auto"/>
              </w:rPr>
            </w:pPr>
            <w:r>
              <w:rPr>
                <w:rFonts w:ascii="Arial" w:cs="Arial" w:eastAsia="Arial" w:hAnsi="Arial"/>
                <w:sz w:val="18"/>
                <w:szCs w:val="18"/>
                <w:color w:val="auto"/>
                <w:w w:val="93"/>
              </w:rPr>
              <w:t>Madeline S. Bell</w:t>
            </w:r>
          </w:p>
        </w:tc>
        <w:tc>
          <w:tcPr>
            <w:tcW w:w="5180" w:type="dxa"/>
            <w:vAlign w:val="bottom"/>
          </w:tcPr>
          <w:p>
            <w:pPr>
              <w:jc w:val="center"/>
              <w:ind w:left="11"/>
              <w:spacing w:after="0"/>
              <w:rPr>
                <w:sz w:val="20"/>
                <w:szCs w:val="20"/>
                <w:color w:val="auto"/>
              </w:rPr>
            </w:pPr>
            <w:r>
              <w:rPr>
                <w:rFonts w:ascii="Arial" w:cs="Arial" w:eastAsia="Arial" w:hAnsi="Arial"/>
                <w:sz w:val="18"/>
                <w:szCs w:val="18"/>
                <w:color w:val="auto"/>
                <w:w w:val="95"/>
              </w:rPr>
              <w:t>Director</w:t>
            </w:r>
          </w:p>
        </w:tc>
        <w:tc>
          <w:tcPr>
            <w:tcW w:w="1660" w:type="dxa"/>
            <w:vAlign w:val="bottom"/>
          </w:tcPr>
          <w:p>
            <w:pPr>
              <w:jc w:val="center"/>
              <w:ind w:left="432"/>
              <w:spacing w:after="0"/>
              <w:rPr>
                <w:sz w:val="20"/>
                <w:szCs w:val="20"/>
                <w:color w:val="auto"/>
              </w:rPr>
            </w:pPr>
            <w:r>
              <w:rPr>
                <w:rFonts w:ascii="Arial" w:cs="Arial" w:eastAsia="Arial" w:hAnsi="Arial"/>
                <w:sz w:val="18"/>
                <w:szCs w:val="18"/>
                <w:color w:val="auto"/>
                <w:w w:val="91"/>
              </w:rPr>
              <w:t>March 10, 2016</w:t>
            </w:r>
          </w:p>
        </w:tc>
      </w:tr>
      <w:tr>
        <w:trPr>
          <w:trHeight w:val="224"/>
        </w:trPr>
        <w:tc>
          <w:tcPr>
            <w:tcW w:w="1360" w:type="dxa"/>
            <w:vAlign w:val="bottom"/>
          </w:tcPr>
          <w:p>
            <w:pPr>
              <w:spacing w:after="0"/>
              <w:rPr>
                <w:sz w:val="19"/>
                <w:szCs w:val="19"/>
                <w:color w:val="auto"/>
              </w:rPr>
            </w:pPr>
          </w:p>
        </w:tc>
        <w:tc>
          <w:tcPr>
            <w:tcW w:w="2920" w:type="dxa"/>
            <w:vAlign w:val="bottom"/>
          </w:tcPr>
          <w:p>
            <w:pPr>
              <w:jc w:val="center"/>
              <w:ind w:right="1271"/>
              <w:spacing w:after="0"/>
              <w:rPr>
                <w:sz w:val="20"/>
                <w:szCs w:val="20"/>
                <w:color w:val="auto"/>
              </w:rPr>
            </w:pPr>
            <w:r>
              <w:rPr>
                <w:rFonts w:ascii="Arial" w:cs="Arial" w:eastAsia="Arial" w:hAnsi="Arial"/>
                <w:sz w:val="18"/>
                <w:szCs w:val="18"/>
                <w:color w:val="auto"/>
                <w:w w:val="92"/>
              </w:rPr>
              <w:t>Madeline S. Bell</w:t>
            </w:r>
          </w:p>
        </w:tc>
        <w:tc>
          <w:tcPr>
            <w:tcW w:w="51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431"/>
        </w:trPr>
        <w:tc>
          <w:tcPr>
            <w:tcW w:w="136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tcPr>
          <w:p>
            <w:pPr>
              <w:jc w:val="center"/>
              <w:ind w:right="1291"/>
              <w:spacing w:after="0"/>
              <w:rPr>
                <w:sz w:val="20"/>
                <w:szCs w:val="20"/>
                <w:color w:val="auto"/>
              </w:rPr>
            </w:pPr>
            <w:r>
              <w:rPr>
                <w:rFonts w:ascii="Arial" w:cs="Arial" w:eastAsia="Arial" w:hAnsi="Arial"/>
                <w:sz w:val="18"/>
                <w:szCs w:val="18"/>
                <w:color w:val="auto"/>
                <w:w w:val="93"/>
              </w:rPr>
              <w:t>Sheldon M. Bonovitz</w:t>
            </w:r>
          </w:p>
        </w:tc>
        <w:tc>
          <w:tcPr>
            <w:tcW w:w="5180" w:type="dxa"/>
            <w:vAlign w:val="bottom"/>
          </w:tcPr>
          <w:p>
            <w:pPr>
              <w:jc w:val="center"/>
              <w:ind w:left="11"/>
              <w:spacing w:after="0"/>
              <w:rPr>
                <w:sz w:val="20"/>
                <w:szCs w:val="20"/>
                <w:color w:val="auto"/>
              </w:rPr>
            </w:pPr>
            <w:r>
              <w:rPr>
                <w:rFonts w:ascii="Arial" w:cs="Arial" w:eastAsia="Arial" w:hAnsi="Arial"/>
                <w:sz w:val="18"/>
                <w:szCs w:val="18"/>
                <w:color w:val="auto"/>
                <w:w w:val="95"/>
              </w:rPr>
              <w:t>Director</w:t>
            </w:r>
          </w:p>
        </w:tc>
        <w:tc>
          <w:tcPr>
            <w:tcW w:w="1660" w:type="dxa"/>
            <w:vAlign w:val="bottom"/>
          </w:tcPr>
          <w:p>
            <w:pPr>
              <w:jc w:val="center"/>
              <w:ind w:left="432"/>
              <w:spacing w:after="0"/>
              <w:rPr>
                <w:sz w:val="20"/>
                <w:szCs w:val="20"/>
                <w:color w:val="auto"/>
              </w:rPr>
            </w:pPr>
            <w:r>
              <w:rPr>
                <w:rFonts w:ascii="Arial" w:cs="Arial" w:eastAsia="Arial" w:hAnsi="Arial"/>
                <w:sz w:val="18"/>
                <w:szCs w:val="18"/>
                <w:color w:val="auto"/>
                <w:w w:val="91"/>
              </w:rPr>
              <w:t>March 10, 2016</w:t>
            </w:r>
          </w:p>
        </w:tc>
      </w:tr>
      <w:tr>
        <w:trPr>
          <w:trHeight w:val="224"/>
        </w:trPr>
        <w:tc>
          <w:tcPr>
            <w:tcW w:w="1360" w:type="dxa"/>
            <w:vAlign w:val="bottom"/>
          </w:tcPr>
          <w:p>
            <w:pPr>
              <w:spacing w:after="0"/>
              <w:rPr>
                <w:sz w:val="19"/>
                <w:szCs w:val="19"/>
                <w:color w:val="auto"/>
              </w:rPr>
            </w:pPr>
          </w:p>
        </w:tc>
        <w:tc>
          <w:tcPr>
            <w:tcW w:w="2920" w:type="dxa"/>
            <w:vAlign w:val="bottom"/>
          </w:tcPr>
          <w:p>
            <w:pPr>
              <w:jc w:val="center"/>
              <w:ind w:right="1271"/>
              <w:spacing w:after="0"/>
              <w:rPr>
                <w:sz w:val="20"/>
                <w:szCs w:val="20"/>
                <w:color w:val="auto"/>
              </w:rPr>
            </w:pPr>
            <w:r>
              <w:rPr>
                <w:rFonts w:ascii="Arial" w:cs="Arial" w:eastAsia="Arial" w:hAnsi="Arial"/>
                <w:sz w:val="18"/>
                <w:szCs w:val="18"/>
                <w:color w:val="auto"/>
                <w:w w:val="94"/>
              </w:rPr>
              <w:t>Sheldon M. Bonovitz</w:t>
            </w:r>
          </w:p>
        </w:tc>
        <w:tc>
          <w:tcPr>
            <w:tcW w:w="51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431"/>
        </w:trPr>
        <w:tc>
          <w:tcPr>
            <w:tcW w:w="136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w w:val="94"/>
              </w:rPr>
              <w:t>/s/</w:t>
            </w:r>
          </w:p>
        </w:tc>
        <w:tc>
          <w:tcPr>
            <w:tcW w:w="2920" w:type="dxa"/>
            <w:vAlign w:val="bottom"/>
            <w:tcBorders>
              <w:bottom w:val="single" w:sz="8" w:color="auto"/>
            </w:tcBorders>
          </w:tcPr>
          <w:p>
            <w:pPr>
              <w:jc w:val="center"/>
              <w:ind w:right="1291"/>
              <w:spacing w:after="0"/>
              <w:rPr>
                <w:sz w:val="20"/>
                <w:szCs w:val="20"/>
                <w:color w:val="auto"/>
              </w:rPr>
            </w:pPr>
            <w:r>
              <w:rPr>
                <w:rFonts w:ascii="Arial" w:cs="Arial" w:eastAsia="Arial" w:hAnsi="Arial"/>
                <w:sz w:val="18"/>
                <w:szCs w:val="18"/>
                <w:color w:val="auto"/>
                <w:w w:val="91"/>
              </w:rPr>
              <w:t>Edward D. Breen</w:t>
            </w:r>
          </w:p>
        </w:tc>
        <w:tc>
          <w:tcPr>
            <w:tcW w:w="5180" w:type="dxa"/>
            <w:vAlign w:val="bottom"/>
          </w:tcPr>
          <w:p>
            <w:pPr>
              <w:jc w:val="center"/>
              <w:ind w:left="11"/>
              <w:spacing w:after="0"/>
              <w:rPr>
                <w:sz w:val="20"/>
                <w:szCs w:val="20"/>
                <w:color w:val="auto"/>
              </w:rPr>
            </w:pPr>
            <w:r>
              <w:rPr>
                <w:rFonts w:ascii="Arial" w:cs="Arial" w:eastAsia="Arial" w:hAnsi="Arial"/>
                <w:sz w:val="18"/>
                <w:szCs w:val="18"/>
                <w:color w:val="auto"/>
                <w:w w:val="95"/>
              </w:rPr>
              <w:t>Director</w:t>
            </w:r>
          </w:p>
        </w:tc>
        <w:tc>
          <w:tcPr>
            <w:tcW w:w="1660" w:type="dxa"/>
            <w:vAlign w:val="bottom"/>
          </w:tcPr>
          <w:p>
            <w:pPr>
              <w:jc w:val="center"/>
              <w:ind w:left="432"/>
              <w:spacing w:after="0"/>
              <w:rPr>
                <w:sz w:val="20"/>
                <w:szCs w:val="20"/>
                <w:color w:val="auto"/>
              </w:rPr>
            </w:pPr>
            <w:r>
              <w:rPr>
                <w:rFonts w:ascii="Arial" w:cs="Arial" w:eastAsia="Arial" w:hAnsi="Arial"/>
                <w:sz w:val="18"/>
                <w:szCs w:val="18"/>
                <w:color w:val="auto"/>
                <w:w w:val="91"/>
              </w:rPr>
              <w:t>March 10, 2016</w:t>
            </w:r>
          </w:p>
        </w:tc>
      </w:tr>
      <w:tr>
        <w:trPr>
          <w:trHeight w:val="224"/>
        </w:trPr>
        <w:tc>
          <w:tcPr>
            <w:tcW w:w="1360" w:type="dxa"/>
            <w:vAlign w:val="bottom"/>
          </w:tcPr>
          <w:p>
            <w:pPr>
              <w:spacing w:after="0"/>
              <w:rPr>
                <w:sz w:val="19"/>
                <w:szCs w:val="19"/>
                <w:color w:val="auto"/>
              </w:rPr>
            </w:pPr>
          </w:p>
        </w:tc>
        <w:tc>
          <w:tcPr>
            <w:tcW w:w="2920" w:type="dxa"/>
            <w:vAlign w:val="bottom"/>
          </w:tcPr>
          <w:p>
            <w:pPr>
              <w:jc w:val="center"/>
              <w:ind w:right="1271"/>
              <w:spacing w:after="0"/>
              <w:rPr>
                <w:sz w:val="20"/>
                <w:szCs w:val="20"/>
                <w:color w:val="auto"/>
              </w:rPr>
            </w:pPr>
            <w:r>
              <w:rPr>
                <w:rFonts w:ascii="Arial" w:cs="Arial" w:eastAsia="Arial" w:hAnsi="Arial"/>
                <w:sz w:val="18"/>
                <w:szCs w:val="18"/>
                <w:color w:val="auto"/>
                <w:w w:val="90"/>
              </w:rPr>
              <w:t>Edward D. Breen</w:t>
            </w:r>
          </w:p>
        </w:tc>
        <w:tc>
          <w:tcPr>
            <w:tcW w:w="51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431"/>
        </w:trPr>
        <w:tc>
          <w:tcPr>
            <w:tcW w:w="136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w w:val="94"/>
              </w:rPr>
              <w:t>/s/</w:t>
            </w:r>
          </w:p>
        </w:tc>
        <w:tc>
          <w:tcPr>
            <w:tcW w:w="2920" w:type="dxa"/>
            <w:vAlign w:val="bottom"/>
            <w:tcBorders>
              <w:bottom w:val="single" w:sz="8" w:color="auto"/>
            </w:tcBorders>
          </w:tcPr>
          <w:p>
            <w:pPr>
              <w:jc w:val="center"/>
              <w:ind w:right="1231"/>
              <w:spacing w:after="0"/>
              <w:rPr>
                <w:sz w:val="20"/>
                <w:szCs w:val="20"/>
                <w:color w:val="auto"/>
              </w:rPr>
            </w:pPr>
            <w:r>
              <w:rPr>
                <w:rFonts w:ascii="Arial" w:cs="Arial" w:eastAsia="Arial" w:hAnsi="Arial"/>
                <w:sz w:val="18"/>
                <w:szCs w:val="18"/>
                <w:color w:val="auto"/>
                <w:w w:val="88"/>
              </w:rPr>
              <w:t>Joseph J. Collins</w:t>
            </w:r>
          </w:p>
        </w:tc>
        <w:tc>
          <w:tcPr>
            <w:tcW w:w="5180" w:type="dxa"/>
            <w:vAlign w:val="bottom"/>
          </w:tcPr>
          <w:p>
            <w:pPr>
              <w:jc w:val="center"/>
              <w:ind w:left="11"/>
              <w:spacing w:after="0"/>
              <w:rPr>
                <w:sz w:val="20"/>
                <w:szCs w:val="20"/>
                <w:color w:val="auto"/>
              </w:rPr>
            </w:pPr>
            <w:r>
              <w:rPr>
                <w:rFonts w:ascii="Arial" w:cs="Arial" w:eastAsia="Arial" w:hAnsi="Arial"/>
                <w:sz w:val="18"/>
                <w:szCs w:val="18"/>
                <w:color w:val="auto"/>
                <w:w w:val="95"/>
              </w:rPr>
              <w:t>Director</w:t>
            </w:r>
          </w:p>
        </w:tc>
        <w:tc>
          <w:tcPr>
            <w:tcW w:w="1660" w:type="dxa"/>
            <w:vAlign w:val="bottom"/>
          </w:tcPr>
          <w:p>
            <w:pPr>
              <w:jc w:val="center"/>
              <w:ind w:left="432"/>
              <w:spacing w:after="0"/>
              <w:rPr>
                <w:sz w:val="20"/>
                <w:szCs w:val="20"/>
                <w:color w:val="auto"/>
              </w:rPr>
            </w:pPr>
            <w:r>
              <w:rPr>
                <w:rFonts w:ascii="Arial" w:cs="Arial" w:eastAsia="Arial" w:hAnsi="Arial"/>
                <w:sz w:val="18"/>
                <w:szCs w:val="18"/>
                <w:color w:val="auto"/>
                <w:w w:val="91"/>
              </w:rPr>
              <w:t>March 10, 2016</w:t>
            </w:r>
          </w:p>
        </w:tc>
      </w:tr>
      <w:tr>
        <w:trPr>
          <w:trHeight w:val="224"/>
        </w:trPr>
        <w:tc>
          <w:tcPr>
            <w:tcW w:w="1360" w:type="dxa"/>
            <w:vAlign w:val="bottom"/>
          </w:tcPr>
          <w:p>
            <w:pPr>
              <w:spacing w:after="0"/>
              <w:rPr>
                <w:sz w:val="19"/>
                <w:szCs w:val="19"/>
                <w:color w:val="auto"/>
              </w:rPr>
            </w:pPr>
          </w:p>
        </w:tc>
        <w:tc>
          <w:tcPr>
            <w:tcW w:w="2920" w:type="dxa"/>
            <w:vAlign w:val="bottom"/>
          </w:tcPr>
          <w:p>
            <w:pPr>
              <w:jc w:val="center"/>
              <w:ind w:right="1271"/>
              <w:spacing w:after="0"/>
              <w:rPr>
                <w:sz w:val="20"/>
                <w:szCs w:val="20"/>
                <w:color w:val="auto"/>
              </w:rPr>
            </w:pPr>
            <w:r>
              <w:rPr>
                <w:rFonts w:ascii="Arial" w:cs="Arial" w:eastAsia="Arial" w:hAnsi="Arial"/>
                <w:sz w:val="18"/>
                <w:szCs w:val="18"/>
                <w:color w:val="auto"/>
                <w:w w:val="88"/>
              </w:rPr>
              <w:t>Joseph J. Collins</w:t>
            </w:r>
          </w:p>
        </w:tc>
        <w:tc>
          <w:tcPr>
            <w:tcW w:w="5180" w:type="dxa"/>
            <w:vAlign w:val="bottom"/>
          </w:tcPr>
          <w:p>
            <w:pPr>
              <w:spacing w:after="0"/>
              <w:rPr>
                <w:sz w:val="19"/>
                <w:szCs w:val="19"/>
                <w:color w:val="auto"/>
              </w:rPr>
            </w:pPr>
          </w:p>
        </w:tc>
        <w:tc>
          <w:tcPr>
            <w:tcW w:w="1660" w:type="dxa"/>
            <w:vAlign w:val="bottom"/>
          </w:tcPr>
          <w:p>
            <w:pPr>
              <w:spacing w:after="0"/>
              <w:rPr>
                <w:sz w:val="19"/>
                <w:szCs w:val="19"/>
                <w:color w:val="auto"/>
              </w:rPr>
            </w:pPr>
          </w:p>
        </w:tc>
      </w:tr>
    </w:tbl>
    <w:p>
      <w:pPr>
        <w:sectPr>
          <w:pgSz w:w="11900" w:h="16838" w:orient="portrait"/>
          <w:cols w:equalWidth="0" w:num="1">
            <w:col w:w="11420"/>
          </w:cols>
          <w:pgMar w:left="240" w:top="270" w:right="2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6"/>
        </w:trPr>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80" w:type="dxa"/>
            <w:vAlign w:val="bottom"/>
          </w:tcPr>
          <w:p>
            <w:pPr>
              <w:jc w:val="center"/>
              <w:ind w:right="1312"/>
              <w:spacing w:after="0"/>
              <w:rPr>
                <w:sz w:val="20"/>
                <w:szCs w:val="20"/>
                <w:color w:val="auto"/>
              </w:rPr>
            </w:pPr>
            <w:r>
              <w:rPr>
                <w:rFonts w:ascii="Arial" w:cs="Arial" w:eastAsia="Arial" w:hAnsi="Arial"/>
                <w:sz w:val="14"/>
                <w:szCs w:val="14"/>
                <w:b w:val="1"/>
                <w:bCs w:val="1"/>
                <w:color w:val="auto"/>
                <w:w w:val="92"/>
              </w:rPr>
              <w:t>Signature</w:t>
            </w:r>
          </w:p>
        </w:tc>
        <w:tc>
          <w:tcPr>
            <w:tcW w:w="4320" w:type="dxa"/>
            <w:vAlign w:val="bottom"/>
          </w:tcPr>
          <w:p>
            <w:pPr>
              <w:jc w:val="center"/>
              <w:ind w:left="873"/>
              <w:spacing w:after="0"/>
              <w:rPr>
                <w:sz w:val="20"/>
                <w:szCs w:val="20"/>
                <w:color w:val="auto"/>
              </w:rPr>
            </w:pPr>
            <w:r>
              <w:rPr>
                <w:rFonts w:ascii="Arial" w:cs="Arial" w:eastAsia="Arial" w:hAnsi="Arial"/>
                <w:sz w:val="14"/>
                <w:szCs w:val="14"/>
                <w:b w:val="1"/>
                <w:bCs w:val="1"/>
                <w:color w:val="auto"/>
                <w:w w:val="97"/>
              </w:rPr>
              <w:t>Title</w:t>
            </w:r>
          </w:p>
        </w:tc>
        <w:tc>
          <w:tcPr>
            <w:tcW w:w="2520" w:type="dxa"/>
            <w:vAlign w:val="bottom"/>
          </w:tcPr>
          <w:p>
            <w:pPr>
              <w:jc w:val="center"/>
              <w:ind w:left="1293"/>
              <w:spacing w:after="0"/>
              <w:rPr>
                <w:sz w:val="20"/>
                <w:szCs w:val="20"/>
                <w:color w:val="auto"/>
              </w:rPr>
            </w:pPr>
            <w:r>
              <w:rPr>
                <w:rFonts w:ascii="Arial" w:cs="Arial" w:eastAsia="Arial" w:hAnsi="Arial"/>
                <w:sz w:val="14"/>
                <w:szCs w:val="14"/>
                <w:b w:val="1"/>
                <w:bCs w:val="1"/>
                <w:color w:val="auto"/>
                <w:w w:val="98"/>
              </w:rPr>
              <w:t>Date</w:t>
            </w:r>
          </w:p>
        </w:tc>
      </w:tr>
      <w:tr>
        <w:trPr>
          <w:trHeight w:val="417"/>
        </w:trPr>
        <w:tc>
          <w:tcPr>
            <w:tcW w:w="1400" w:type="dxa"/>
            <w:vAlign w:val="bottom"/>
            <w:tcBorders>
              <w:bottom w:val="single" w:sz="8" w:color="auto"/>
            </w:tcBorders>
            <w:gridSpan w:val="2"/>
          </w:tcPr>
          <w:p>
            <w:pPr>
              <w:ind w:left="1200"/>
              <w:spacing w:after="0"/>
              <w:rPr>
                <w:sz w:val="20"/>
                <w:szCs w:val="20"/>
                <w:color w:val="auto"/>
              </w:rPr>
            </w:pPr>
            <w:r>
              <w:rPr>
                <w:rFonts w:ascii="Arial" w:cs="Arial" w:eastAsia="Arial" w:hAnsi="Arial"/>
                <w:sz w:val="18"/>
                <w:szCs w:val="18"/>
                <w:color w:val="auto"/>
                <w:w w:val="94"/>
              </w:rPr>
              <w:t>/s/</w:t>
            </w:r>
          </w:p>
        </w:tc>
        <w:tc>
          <w:tcPr>
            <w:tcW w:w="2880" w:type="dxa"/>
            <w:vAlign w:val="bottom"/>
            <w:tcBorders>
              <w:bottom w:val="single" w:sz="8" w:color="auto"/>
            </w:tcBorders>
          </w:tcPr>
          <w:p>
            <w:pPr>
              <w:jc w:val="center"/>
              <w:ind w:right="1332"/>
              <w:spacing w:after="0"/>
              <w:rPr>
                <w:sz w:val="20"/>
                <w:szCs w:val="20"/>
                <w:color w:val="auto"/>
              </w:rPr>
            </w:pPr>
            <w:r>
              <w:rPr>
                <w:rFonts w:ascii="Arial" w:cs="Arial" w:eastAsia="Arial" w:hAnsi="Arial"/>
                <w:sz w:val="18"/>
                <w:szCs w:val="18"/>
                <w:color w:val="auto"/>
                <w:w w:val="92"/>
              </w:rPr>
              <w:t>J. Michael Cook</w:t>
            </w:r>
          </w:p>
        </w:tc>
        <w:tc>
          <w:tcPr>
            <w:tcW w:w="4320" w:type="dxa"/>
            <w:vAlign w:val="bottom"/>
          </w:tcPr>
          <w:p>
            <w:pPr>
              <w:jc w:val="center"/>
              <w:ind w:left="873"/>
              <w:spacing w:after="0"/>
              <w:rPr>
                <w:sz w:val="20"/>
                <w:szCs w:val="20"/>
                <w:color w:val="auto"/>
              </w:rPr>
            </w:pPr>
            <w:r>
              <w:rPr>
                <w:rFonts w:ascii="Arial" w:cs="Arial" w:eastAsia="Arial" w:hAnsi="Arial"/>
                <w:sz w:val="18"/>
                <w:szCs w:val="18"/>
                <w:color w:val="auto"/>
                <w:w w:val="95"/>
              </w:rPr>
              <w:t>Director</w:t>
            </w:r>
          </w:p>
        </w:tc>
        <w:tc>
          <w:tcPr>
            <w:tcW w:w="2520" w:type="dxa"/>
            <w:vAlign w:val="bottom"/>
          </w:tcPr>
          <w:p>
            <w:pPr>
              <w:jc w:val="center"/>
              <w:ind w:left="1293"/>
              <w:spacing w:after="0"/>
              <w:rPr>
                <w:sz w:val="20"/>
                <w:szCs w:val="20"/>
                <w:color w:val="auto"/>
              </w:rPr>
            </w:pPr>
            <w:r>
              <w:rPr>
                <w:rFonts w:ascii="Arial" w:cs="Arial" w:eastAsia="Arial" w:hAnsi="Arial"/>
                <w:sz w:val="18"/>
                <w:szCs w:val="18"/>
                <w:color w:val="auto"/>
                <w:w w:val="91"/>
              </w:rPr>
              <w:t>March 10, 2016</w:t>
            </w:r>
          </w:p>
        </w:tc>
      </w:tr>
      <w:tr>
        <w:trPr>
          <w:trHeight w:val="224"/>
        </w:trPr>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80" w:type="dxa"/>
            <w:vAlign w:val="bottom"/>
          </w:tcPr>
          <w:p>
            <w:pPr>
              <w:jc w:val="center"/>
              <w:ind w:right="1312"/>
              <w:spacing w:after="0"/>
              <w:rPr>
                <w:sz w:val="20"/>
                <w:szCs w:val="20"/>
                <w:color w:val="auto"/>
              </w:rPr>
            </w:pPr>
            <w:r>
              <w:rPr>
                <w:rFonts w:ascii="Arial" w:cs="Arial" w:eastAsia="Arial" w:hAnsi="Arial"/>
                <w:sz w:val="18"/>
                <w:szCs w:val="18"/>
                <w:color w:val="auto"/>
                <w:w w:val="93"/>
              </w:rPr>
              <w:t>J. Michael Cook</w:t>
            </w:r>
          </w:p>
        </w:tc>
        <w:tc>
          <w:tcPr>
            <w:tcW w:w="432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431"/>
        </w:trPr>
        <w:tc>
          <w:tcPr>
            <w:tcW w:w="134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w w:val="83"/>
              </w:rPr>
              <w:t>/s/</w:t>
            </w:r>
          </w:p>
        </w:tc>
        <w:tc>
          <w:tcPr>
            <w:tcW w:w="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jc w:val="center"/>
              <w:ind w:right="1332"/>
              <w:spacing w:after="0"/>
              <w:rPr>
                <w:sz w:val="20"/>
                <w:szCs w:val="20"/>
                <w:color w:val="auto"/>
              </w:rPr>
            </w:pPr>
            <w:r>
              <w:rPr>
                <w:rFonts w:ascii="Arial" w:cs="Arial" w:eastAsia="Arial" w:hAnsi="Arial"/>
                <w:sz w:val="18"/>
                <w:szCs w:val="18"/>
                <w:color w:val="auto"/>
                <w:w w:val="91"/>
              </w:rPr>
              <w:t>Gerald L. Hassell</w:t>
            </w:r>
          </w:p>
        </w:tc>
        <w:tc>
          <w:tcPr>
            <w:tcW w:w="4320" w:type="dxa"/>
            <w:vAlign w:val="bottom"/>
          </w:tcPr>
          <w:p>
            <w:pPr>
              <w:jc w:val="center"/>
              <w:ind w:left="873"/>
              <w:spacing w:after="0"/>
              <w:rPr>
                <w:sz w:val="20"/>
                <w:szCs w:val="20"/>
                <w:color w:val="auto"/>
              </w:rPr>
            </w:pPr>
            <w:r>
              <w:rPr>
                <w:rFonts w:ascii="Arial" w:cs="Arial" w:eastAsia="Arial" w:hAnsi="Arial"/>
                <w:sz w:val="18"/>
                <w:szCs w:val="18"/>
                <w:color w:val="auto"/>
                <w:w w:val="95"/>
              </w:rPr>
              <w:t>Director</w:t>
            </w:r>
          </w:p>
        </w:tc>
        <w:tc>
          <w:tcPr>
            <w:tcW w:w="2520" w:type="dxa"/>
            <w:vAlign w:val="bottom"/>
          </w:tcPr>
          <w:p>
            <w:pPr>
              <w:jc w:val="center"/>
              <w:ind w:left="1293"/>
              <w:spacing w:after="0"/>
              <w:rPr>
                <w:sz w:val="20"/>
                <w:szCs w:val="20"/>
                <w:color w:val="auto"/>
              </w:rPr>
            </w:pPr>
            <w:r>
              <w:rPr>
                <w:rFonts w:ascii="Arial" w:cs="Arial" w:eastAsia="Arial" w:hAnsi="Arial"/>
                <w:sz w:val="18"/>
                <w:szCs w:val="18"/>
                <w:color w:val="auto"/>
                <w:w w:val="91"/>
              </w:rPr>
              <w:t>March 10, 2016</w:t>
            </w:r>
          </w:p>
        </w:tc>
      </w:tr>
      <w:tr>
        <w:trPr>
          <w:trHeight w:val="224"/>
        </w:trPr>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80" w:type="dxa"/>
            <w:vAlign w:val="bottom"/>
          </w:tcPr>
          <w:p>
            <w:pPr>
              <w:jc w:val="center"/>
              <w:ind w:right="1312"/>
              <w:spacing w:after="0"/>
              <w:rPr>
                <w:sz w:val="20"/>
                <w:szCs w:val="20"/>
                <w:color w:val="auto"/>
              </w:rPr>
            </w:pPr>
            <w:r>
              <w:rPr>
                <w:rFonts w:ascii="Arial" w:cs="Arial" w:eastAsia="Arial" w:hAnsi="Arial"/>
                <w:sz w:val="18"/>
                <w:szCs w:val="18"/>
                <w:color w:val="auto"/>
                <w:w w:val="92"/>
              </w:rPr>
              <w:t>Gerald L. Hassell</w:t>
            </w:r>
          </w:p>
        </w:tc>
        <w:tc>
          <w:tcPr>
            <w:tcW w:w="432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431"/>
        </w:trPr>
        <w:tc>
          <w:tcPr>
            <w:tcW w:w="134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/s/</w:t>
            </w:r>
          </w:p>
        </w:tc>
        <w:tc>
          <w:tcPr>
            <w:tcW w:w="2940" w:type="dxa"/>
            <w:vAlign w:val="bottom"/>
            <w:tcBorders>
              <w:bottom w:val="single" w:sz="8" w:color="auto"/>
            </w:tcBorders>
            <w:gridSpan w:val="2"/>
          </w:tcPr>
          <w:p>
            <w:pPr>
              <w:jc w:val="center"/>
              <w:ind w:right="1252"/>
              <w:spacing w:after="0"/>
              <w:rPr>
                <w:sz w:val="20"/>
                <w:szCs w:val="20"/>
                <w:color w:val="auto"/>
              </w:rPr>
            </w:pPr>
            <w:r>
              <w:rPr>
                <w:rFonts w:ascii="Arial" w:cs="Arial" w:eastAsia="Arial" w:hAnsi="Arial"/>
                <w:sz w:val="18"/>
                <w:szCs w:val="18"/>
                <w:color w:val="auto"/>
                <w:w w:val="93"/>
              </w:rPr>
              <w:t>Jeffrey A. Honickman</w:t>
            </w:r>
          </w:p>
        </w:tc>
        <w:tc>
          <w:tcPr>
            <w:tcW w:w="4320" w:type="dxa"/>
            <w:vAlign w:val="bottom"/>
          </w:tcPr>
          <w:p>
            <w:pPr>
              <w:jc w:val="center"/>
              <w:ind w:left="873"/>
              <w:spacing w:after="0"/>
              <w:rPr>
                <w:sz w:val="20"/>
                <w:szCs w:val="20"/>
                <w:color w:val="auto"/>
              </w:rPr>
            </w:pPr>
            <w:r>
              <w:rPr>
                <w:rFonts w:ascii="Arial" w:cs="Arial" w:eastAsia="Arial" w:hAnsi="Arial"/>
                <w:sz w:val="18"/>
                <w:szCs w:val="18"/>
                <w:color w:val="auto"/>
                <w:w w:val="95"/>
              </w:rPr>
              <w:t>Director</w:t>
            </w:r>
          </w:p>
        </w:tc>
        <w:tc>
          <w:tcPr>
            <w:tcW w:w="2520" w:type="dxa"/>
            <w:vAlign w:val="bottom"/>
          </w:tcPr>
          <w:p>
            <w:pPr>
              <w:jc w:val="center"/>
              <w:ind w:left="1293"/>
              <w:spacing w:after="0"/>
              <w:rPr>
                <w:sz w:val="20"/>
                <w:szCs w:val="20"/>
                <w:color w:val="auto"/>
              </w:rPr>
            </w:pPr>
            <w:r>
              <w:rPr>
                <w:rFonts w:ascii="Arial" w:cs="Arial" w:eastAsia="Arial" w:hAnsi="Arial"/>
                <w:sz w:val="18"/>
                <w:szCs w:val="18"/>
                <w:color w:val="auto"/>
                <w:w w:val="91"/>
              </w:rPr>
              <w:t>March 10, 2016</w:t>
            </w:r>
          </w:p>
        </w:tc>
      </w:tr>
      <w:tr>
        <w:trPr>
          <w:trHeight w:val="224"/>
        </w:trPr>
        <w:tc>
          <w:tcPr>
            <w:tcW w:w="1340" w:type="dxa"/>
            <w:vAlign w:val="bottom"/>
          </w:tcPr>
          <w:p>
            <w:pPr>
              <w:spacing w:after="0"/>
              <w:rPr>
                <w:sz w:val="19"/>
                <w:szCs w:val="19"/>
                <w:color w:val="auto"/>
              </w:rPr>
            </w:pPr>
          </w:p>
        </w:tc>
        <w:tc>
          <w:tcPr>
            <w:tcW w:w="2940" w:type="dxa"/>
            <w:vAlign w:val="bottom"/>
            <w:gridSpan w:val="2"/>
          </w:tcPr>
          <w:p>
            <w:pPr>
              <w:jc w:val="center"/>
              <w:ind w:right="1252"/>
              <w:spacing w:after="0"/>
              <w:rPr>
                <w:sz w:val="20"/>
                <w:szCs w:val="20"/>
                <w:color w:val="auto"/>
              </w:rPr>
            </w:pPr>
            <w:r>
              <w:rPr>
                <w:rFonts w:ascii="Arial" w:cs="Arial" w:eastAsia="Arial" w:hAnsi="Arial"/>
                <w:sz w:val="18"/>
                <w:szCs w:val="18"/>
                <w:color w:val="auto"/>
                <w:w w:val="93"/>
              </w:rPr>
              <w:t>Jeffrey A. Honickman</w:t>
            </w:r>
          </w:p>
        </w:tc>
        <w:tc>
          <w:tcPr>
            <w:tcW w:w="432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431"/>
        </w:trPr>
        <w:tc>
          <w:tcPr>
            <w:tcW w:w="134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/s/</w:t>
            </w:r>
          </w:p>
        </w:tc>
        <w:tc>
          <w:tcPr>
            <w:tcW w:w="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jc w:val="center"/>
              <w:ind w:right="1332"/>
              <w:spacing w:after="0"/>
              <w:rPr>
                <w:sz w:val="20"/>
                <w:szCs w:val="20"/>
                <w:color w:val="auto"/>
              </w:rPr>
            </w:pPr>
            <w:r>
              <w:rPr>
                <w:rFonts w:ascii="Arial" w:cs="Arial" w:eastAsia="Arial" w:hAnsi="Arial"/>
                <w:sz w:val="18"/>
                <w:szCs w:val="18"/>
                <w:color w:val="auto"/>
                <w:w w:val="90"/>
              </w:rPr>
              <w:t>Eduardo G. Mestre</w:t>
            </w:r>
          </w:p>
        </w:tc>
        <w:tc>
          <w:tcPr>
            <w:tcW w:w="4320" w:type="dxa"/>
            <w:vAlign w:val="bottom"/>
          </w:tcPr>
          <w:p>
            <w:pPr>
              <w:jc w:val="center"/>
              <w:ind w:left="873"/>
              <w:spacing w:after="0"/>
              <w:rPr>
                <w:sz w:val="20"/>
                <w:szCs w:val="20"/>
                <w:color w:val="auto"/>
              </w:rPr>
            </w:pPr>
            <w:r>
              <w:rPr>
                <w:rFonts w:ascii="Arial" w:cs="Arial" w:eastAsia="Arial" w:hAnsi="Arial"/>
                <w:sz w:val="18"/>
                <w:szCs w:val="18"/>
                <w:color w:val="auto"/>
                <w:w w:val="95"/>
              </w:rPr>
              <w:t>Director</w:t>
            </w:r>
          </w:p>
        </w:tc>
        <w:tc>
          <w:tcPr>
            <w:tcW w:w="2520" w:type="dxa"/>
            <w:vAlign w:val="bottom"/>
          </w:tcPr>
          <w:p>
            <w:pPr>
              <w:jc w:val="center"/>
              <w:ind w:left="1293"/>
              <w:spacing w:after="0"/>
              <w:rPr>
                <w:sz w:val="20"/>
                <w:szCs w:val="20"/>
                <w:color w:val="auto"/>
              </w:rPr>
            </w:pPr>
            <w:r>
              <w:rPr>
                <w:rFonts w:ascii="Arial" w:cs="Arial" w:eastAsia="Arial" w:hAnsi="Arial"/>
                <w:sz w:val="18"/>
                <w:szCs w:val="18"/>
                <w:color w:val="auto"/>
                <w:w w:val="91"/>
              </w:rPr>
              <w:t>March 10, 2016</w:t>
            </w:r>
          </w:p>
        </w:tc>
      </w:tr>
      <w:tr>
        <w:trPr>
          <w:trHeight w:val="224"/>
        </w:trPr>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80" w:type="dxa"/>
            <w:vAlign w:val="bottom"/>
          </w:tcPr>
          <w:p>
            <w:pPr>
              <w:jc w:val="center"/>
              <w:ind w:right="1312"/>
              <w:spacing w:after="0"/>
              <w:rPr>
                <w:sz w:val="20"/>
                <w:szCs w:val="20"/>
                <w:color w:val="auto"/>
              </w:rPr>
            </w:pPr>
            <w:r>
              <w:rPr>
                <w:rFonts w:ascii="Arial" w:cs="Arial" w:eastAsia="Arial" w:hAnsi="Arial"/>
                <w:sz w:val="18"/>
                <w:szCs w:val="18"/>
                <w:color w:val="auto"/>
                <w:w w:val="89"/>
              </w:rPr>
              <w:t>Eduardo G. Mestre</w:t>
            </w:r>
          </w:p>
        </w:tc>
        <w:tc>
          <w:tcPr>
            <w:tcW w:w="432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431"/>
        </w:trPr>
        <w:tc>
          <w:tcPr>
            <w:tcW w:w="134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/s/</w:t>
            </w:r>
          </w:p>
        </w:tc>
        <w:tc>
          <w:tcPr>
            <w:tcW w:w="2940" w:type="dxa"/>
            <w:vAlign w:val="bottom"/>
            <w:tcBorders>
              <w:bottom w:val="single" w:sz="8" w:color="auto"/>
            </w:tcBorders>
            <w:gridSpan w:val="2"/>
          </w:tcPr>
          <w:p>
            <w:pPr>
              <w:jc w:val="center"/>
              <w:ind w:right="1252"/>
              <w:spacing w:after="0"/>
              <w:rPr>
                <w:sz w:val="20"/>
                <w:szCs w:val="20"/>
                <w:color w:val="auto"/>
              </w:rPr>
            </w:pPr>
            <w:r>
              <w:rPr>
                <w:rFonts w:ascii="Arial" w:cs="Arial" w:eastAsia="Arial" w:hAnsi="Arial"/>
                <w:sz w:val="18"/>
                <w:szCs w:val="18"/>
                <w:color w:val="auto"/>
                <w:w w:val="89"/>
              </w:rPr>
              <w:t>Johnathan A. Rodgers</w:t>
            </w:r>
          </w:p>
        </w:tc>
        <w:tc>
          <w:tcPr>
            <w:tcW w:w="4320" w:type="dxa"/>
            <w:vAlign w:val="bottom"/>
          </w:tcPr>
          <w:p>
            <w:pPr>
              <w:jc w:val="center"/>
              <w:ind w:left="873"/>
              <w:spacing w:after="0"/>
              <w:rPr>
                <w:sz w:val="20"/>
                <w:szCs w:val="20"/>
                <w:color w:val="auto"/>
              </w:rPr>
            </w:pPr>
            <w:r>
              <w:rPr>
                <w:rFonts w:ascii="Arial" w:cs="Arial" w:eastAsia="Arial" w:hAnsi="Arial"/>
                <w:sz w:val="18"/>
                <w:szCs w:val="18"/>
                <w:color w:val="auto"/>
                <w:w w:val="95"/>
              </w:rPr>
              <w:t>Director</w:t>
            </w:r>
          </w:p>
        </w:tc>
        <w:tc>
          <w:tcPr>
            <w:tcW w:w="2520" w:type="dxa"/>
            <w:vAlign w:val="bottom"/>
          </w:tcPr>
          <w:p>
            <w:pPr>
              <w:jc w:val="center"/>
              <w:ind w:left="1293"/>
              <w:spacing w:after="0"/>
              <w:rPr>
                <w:sz w:val="20"/>
                <w:szCs w:val="20"/>
                <w:color w:val="auto"/>
              </w:rPr>
            </w:pPr>
            <w:r>
              <w:rPr>
                <w:rFonts w:ascii="Arial" w:cs="Arial" w:eastAsia="Arial" w:hAnsi="Arial"/>
                <w:sz w:val="18"/>
                <w:szCs w:val="18"/>
                <w:color w:val="auto"/>
                <w:w w:val="91"/>
              </w:rPr>
              <w:t>March 10, 2016</w:t>
            </w:r>
          </w:p>
        </w:tc>
      </w:tr>
      <w:tr>
        <w:trPr>
          <w:trHeight w:val="224"/>
        </w:trPr>
        <w:tc>
          <w:tcPr>
            <w:tcW w:w="1340" w:type="dxa"/>
            <w:vAlign w:val="bottom"/>
          </w:tcPr>
          <w:p>
            <w:pPr>
              <w:spacing w:after="0"/>
              <w:rPr>
                <w:sz w:val="19"/>
                <w:szCs w:val="19"/>
                <w:color w:val="auto"/>
              </w:rPr>
            </w:pPr>
          </w:p>
        </w:tc>
        <w:tc>
          <w:tcPr>
            <w:tcW w:w="2940" w:type="dxa"/>
            <w:vAlign w:val="bottom"/>
            <w:gridSpan w:val="2"/>
          </w:tcPr>
          <w:p>
            <w:pPr>
              <w:jc w:val="center"/>
              <w:ind w:right="1252"/>
              <w:spacing w:after="0"/>
              <w:rPr>
                <w:sz w:val="20"/>
                <w:szCs w:val="20"/>
                <w:color w:val="auto"/>
              </w:rPr>
            </w:pPr>
            <w:r>
              <w:rPr>
                <w:rFonts w:ascii="Arial" w:cs="Arial" w:eastAsia="Arial" w:hAnsi="Arial"/>
                <w:sz w:val="18"/>
                <w:szCs w:val="18"/>
                <w:color w:val="auto"/>
                <w:w w:val="89"/>
              </w:rPr>
              <w:t>Johnathan A. Rodgers</w:t>
            </w:r>
          </w:p>
        </w:tc>
        <w:tc>
          <w:tcPr>
            <w:tcW w:w="432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431"/>
        </w:trPr>
        <w:tc>
          <w:tcPr>
            <w:tcW w:w="1400" w:type="dxa"/>
            <w:vAlign w:val="bottom"/>
            <w:tcBorders>
              <w:bottom w:val="single" w:sz="8" w:color="auto"/>
            </w:tcBorders>
            <w:gridSpan w:val="2"/>
          </w:tcPr>
          <w:p>
            <w:pPr>
              <w:ind w:left="1180"/>
              <w:spacing w:after="0"/>
              <w:rPr>
                <w:sz w:val="20"/>
                <w:szCs w:val="20"/>
                <w:color w:val="auto"/>
              </w:rPr>
            </w:pPr>
            <w:r>
              <w:rPr>
                <w:rFonts w:ascii="Arial" w:cs="Arial" w:eastAsia="Arial" w:hAnsi="Arial"/>
                <w:sz w:val="18"/>
                <w:szCs w:val="18"/>
                <w:color w:val="auto"/>
              </w:rPr>
              <w:t>/s/</w:t>
            </w:r>
          </w:p>
        </w:tc>
        <w:tc>
          <w:tcPr>
            <w:tcW w:w="2880" w:type="dxa"/>
            <w:vAlign w:val="bottom"/>
            <w:tcBorders>
              <w:bottom w:val="single" w:sz="8" w:color="auto"/>
            </w:tcBorders>
          </w:tcPr>
          <w:p>
            <w:pPr>
              <w:jc w:val="center"/>
              <w:ind w:right="1312"/>
              <w:spacing w:after="0"/>
              <w:rPr>
                <w:sz w:val="20"/>
                <w:szCs w:val="20"/>
                <w:color w:val="auto"/>
              </w:rPr>
            </w:pPr>
            <w:r>
              <w:rPr>
                <w:rFonts w:ascii="Arial" w:cs="Arial" w:eastAsia="Arial" w:hAnsi="Arial"/>
                <w:sz w:val="18"/>
                <w:szCs w:val="18"/>
                <w:color w:val="auto"/>
                <w:w w:val="92"/>
              </w:rPr>
              <w:t>Dr. Judith Rodin</w:t>
            </w:r>
          </w:p>
        </w:tc>
        <w:tc>
          <w:tcPr>
            <w:tcW w:w="4320" w:type="dxa"/>
            <w:vAlign w:val="bottom"/>
          </w:tcPr>
          <w:p>
            <w:pPr>
              <w:jc w:val="center"/>
              <w:ind w:left="873"/>
              <w:spacing w:after="0"/>
              <w:rPr>
                <w:sz w:val="20"/>
                <w:szCs w:val="20"/>
                <w:color w:val="auto"/>
              </w:rPr>
            </w:pPr>
            <w:r>
              <w:rPr>
                <w:rFonts w:ascii="Arial" w:cs="Arial" w:eastAsia="Arial" w:hAnsi="Arial"/>
                <w:sz w:val="18"/>
                <w:szCs w:val="18"/>
                <w:color w:val="auto"/>
                <w:w w:val="95"/>
              </w:rPr>
              <w:t>Director</w:t>
            </w:r>
          </w:p>
        </w:tc>
        <w:tc>
          <w:tcPr>
            <w:tcW w:w="2520" w:type="dxa"/>
            <w:vAlign w:val="bottom"/>
          </w:tcPr>
          <w:p>
            <w:pPr>
              <w:jc w:val="center"/>
              <w:ind w:left="1293"/>
              <w:spacing w:after="0"/>
              <w:rPr>
                <w:sz w:val="20"/>
                <w:szCs w:val="20"/>
                <w:color w:val="auto"/>
              </w:rPr>
            </w:pPr>
            <w:r>
              <w:rPr>
                <w:rFonts w:ascii="Arial" w:cs="Arial" w:eastAsia="Arial" w:hAnsi="Arial"/>
                <w:sz w:val="18"/>
                <w:szCs w:val="18"/>
                <w:color w:val="auto"/>
                <w:w w:val="91"/>
              </w:rPr>
              <w:t>March 10, 2016</w:t>
            </w:r>
          </w:p>
        </w:tc>
      </w:tr>
      <w:tr>
        <w:trPr>
          <w:trHeight w:val="224"/>
        </w:trPr>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80" w:type="dxa"/>
            <w:vAlign w:val="bottom"/>
          </w:tcPr>
          <w:p>
            <w:pPr>
              <w:jc w:val="center"/>
              <w:ind w:right="1312"/>
              <w:spacing w:after="0"/>
              <w:rPr>
                <w:sz w:val="20"/>
                <w:szCs w:val="20"/>
                <w:color w:val="auto"/>
              </w:rPr>
            </w:pPr>
            <w:r>
              <w:rPr>
                <w:rFonts w:ascii="Arial" w:cs="Arial" w:eastAsia="Arial" w:hAnsi="Arial"/>
                <w:sz w:val="18"/>
                <w:szCs w:val="18"/>
                <w:color w:val="auto"/>
                <w:w w:val="92"/>
              </w:rPr>
              <w:t>Dr. Judith Rodin</w:t>
            </w:r>
          </w:p>
        </w:tc>
        <w:tc>
          <w:tcPr>
            <w:tcW w:w="4320" w:type="dxa"/>
            <w:vAlign w:val="bottom"/>
          </w:tcPr>
          <w:p>
            <w:pPr>
              <w:spacing w:after="0"/>
              <w:rPr>
                <w:sz w:val="19"/>
                <w:szCs w:val="19"/>
                <w:color w:val="auto"/>
              </w:rPr>
            </w:pPr>
          </w:p>
        </w:tc>
        <w:tc>
          <w:tcPr>
            <w:tcW w:w="2520" w:type="dxa"/>
            <w:vAlign w:val="bottom"/>
          </w:tcPr>
          <w:p>
            <w:pPr>
              <w:spacing w:after="0"/>
              <w:rPr>
                <w:sz w:val="19"/>
                <w:szCs w:val="19"/>
                <w:color w:val="auto"/>
              </w:rPr>
            </w:pPr>
          </w:p>
        </w:tc>
      </w:tr>
    </w:tbl>
    <w:p>
      <w:pPr>
        <w:sectPr>
          <w:pgSz w:w="11900" w:h="16838" w:orient="portrait"/>
          <w:cols w:equalWidth="0" w:num="1">
            <w:col w:w="11120"/>
          </w:cols>
          <w:pgMar w:left="240" w:top="265" w:right="5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0920" w:type="dxa"/>
            <w:vAlign w:val="bottom"/>
            <w:gridSpan w:val="3"/>
          </w:tcPr>
          <w:p>
            <w:pPr>
              <w:ind w:left="4580"/>
              <w:spacing w:after="0"/>
              <w:rPr>
                <w:sz w:val="20"/>
                <w:szCs w:val="20"/>
                <w:color w:val="auto"/>
              </w:rPr>
            </w:pPr>
            <w:r>
              <w:rPr>
                <w:rFonts w:ascii="Arial" w:cs="Arial" w:eastAsia="Arial" w:hAnsi="Arial"/>
                <w:sz w:val="18"/>
                <w:szCs w:val="18"/>
                <w:b w:val="1"/>
                <w:bCs w:val="1"/>
                <w:color w:val="auto"/>
              </w:rPr>
              <w:t>EXHIBIT INDEX</w:t>
            </w:r>
          </w:p>
        </w:tc>
      </w:tr>
      <w:tr>
        <w:trPr>
          <w:trHeight w:val="373"/>
        </w:trPr>
        <w:tc>
          <w:tcPr>
            <w:tcW w:w="440" w:type="dxa"/>
            <w:vAlign w:val="bottom"/>
          </w:tcPr>
          <w:p>
            <w:pPr>
              <w:jc w:val="right"/>
              <w:spacing w:after="0"/>
              <w:rPr>
                <w:sz w:val="20"/>
                <w:szCs w:val="20"/>
                <w:color w:val="auto"/>
              </w:rPr>
            </w:pPr>
            <w:r>
              <w:rPr>
                <w:rFonts w:ascii="Arial" w:cs="Arial" w:eastAsia="Arial" w:hAnsi="Arial"/>
                <w:sz w:val="14"/>
                <w:szCs w:val="14"/>
                <w:color w:val="auto"/>
                <w:w w:val="99"/>
              </w:rPr>
              <w:t>Exhibit</w:t>
            </w:r>
          </w:p>
        </w:tc>
        <w:tc>
          <w:tcPr>
            <w:tcW w:w="5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167"/>
        </w:trPr>
        <w:tc>
          <w:tcPr>
            <w:tcW w:w="4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No.</w:t>
            </w:r>
          </w:p>
        </w:tc>
        <w:tc>
          <w:tcPr>
            <w:tcW w:w="5200" w:type="dxa"/>
            <w:vAlign w:val="bottom"/>
          </w:tcPr>
          <w:p>
            <w:pPr>
              <w:spacing w:after="0"/>
              <w:rPr>
                <w:sz w:val="14"/>
                <w:szCs w:val="14"/>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6"/>
              </w:rPr>
              <w:t>Exhibit Description</w:t>
            </w:r>
          </w:p>
        </w:tc>
        <w:tc>
          <w:tcPr>
            <w:tcW w:w="4580" w:type="dxa"/>
            <w:vAlign w:val="bottom"/>
          </w:tcPr>
          <w:p>
            <w:pPr>
              <w:spacing w:after="0"/>
              <w:rPr>
                <w:sz w:val="14"/>
                <w:szCs w:val="14"/>
                <w:color w:val="auto"/>
              </w:rPr>
            </w:pPr>
          </w:p>
        </w:tc>
      </w:tr>
      <w:tr>
        <w:trPr>
          <w:trHeight w:val="303"/>
        </w:trPr>
        <w:tc>
          <w:tcPr>
            <w:tcW w:w="440" w:type="dxa"/>
            <w:vAlign w:val="bottom"/>
          </w:tcPr>
          <w:p>
            <w:pPr>
              <w:jc w:val="right"/>
              <w:ind w:right="34"/>
              <w:spacing w:after="0"/>
              <w:rPr>
                <w:sz w:val="20"/>
                <w:szCs w:val="20"/>
                <w:color w:val="auto"/>
              </w:rPr>
            </w:pPr>
            <w:r>
              <w:rPr>
                <w:rFonts w:ascii="Arial" w:cs="Arial" w:eastAsia="Arial" w:hAnsi="Arial"/>
                <w:sz w:val="18"/>
                <w:szCs w:val="18"/>
                <w:color w:val="auto"/>
              </w:rPr>
              <w:t>4.1</w:t>
            </w: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w w:val="90"/>
              </w:rPr>
              <w:t>Comcast Corporation 2005 Deferred Compensation Plan, as amended and restated effective May 20, 2015 (incorporated by reference to Exhibit</w:t>
            </w:r>
          </w:p>
        </w:tc>
      </w:tr>
      <w:tr>
        <w:trPr>
          <w:trHeight w:val="230"/>
        </w:trPr>
        <w:tc>
          <w:tcPr>
            <w:tcW w:w="440" w:type="dxa"/>
            <w:vAlign w:val="bottom"/>
          </w:tcPr>
          <w:p>
            <w:pPr>
              <w:spacing w:after="0"/>
              <w:rPr>
                <w:sz w:val="20"/>
                <w:szCs w:val="20"/>
                <w:color w:val="auto"/>
              </w:rPr>
            </w:pP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rPr>
              <w:t>10.5 to the Registrant’s Quarterly Report on Form 10-Q for the quarter ended June 30, 2015)</w:t>
            </w:r>
          </w:p>
        </w:tc>
      </w:tr>
      <w:tr>
        <w:trPr>
          <w:trHeight w:val="324"/>
        </w:trPr>
        <w:tc>
          <w:tcPr>
            <w:tcW w:w="440" w:type="dxa"/>
            <w:vAlign w:val="bottom"/>
          </w:tcPr>
          <w:p>
            <w:pPr>
              <w:jc w:val="right"/>
              <w:ind w:right="34"/>
              <w:spacing w:after="0"/>
              <w:rPr>
                <w:sz w:val="20"/>
                <w:szCs w:val="20"/>
                <w:color w:val="auto"/>
              </w:rPr>
            </w:pPr>
            <w:r>
              <w:rPr>
                <w:rFonts w:ascii="Arial" w:cs="Arial" w:eastAsia="Arial" w:hAnsi="Arial"/>
                <w:sz w:val="18"/>
                <w:szCs w:val="18"/>
                <w:color w:val="auto"/>
              </w:rPr>
              <w:t>5.1</w:t>
            </w: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rPr>
              <w:t>Opinion of Pepper Hamilton LLP (re: validity)</w:t>
            </w:r>
          </w:p>
        </w:tc>
      </w:tr>
      <w:tr>
        <w:trPr>
          <w:trHeight w:val="324"/>
        </w:trPr>
        <w:tc>
          <w:tcPr>
            <w:tcW w:w="440" w:type="dxa"/>
            <w:vAlign w:val="bottom"/>
          </w:tcPr>
          <w:p>
            <w:pPr>
              <w:jc w:val="right"/>
              <w:ind w:right="34"/>
              <w:spacing w:after="0"/>
              <w:rPr>
                <w:sz w:val="20"/>
                <w:szCs w:val="20"/>
                <w:color w:val="auto"/>
              </w:rPr>
            </w:pPr>
            <w:r>
              <w:rPr>
                <w:rFonts w:ascii="Arial" w:cs="Arial" w:eastAsia="Arial" w:hAnsi="Arial"/>
                <w:sz w:val="18"/>
                <w:szCs w:val="18"/>
                <w:color w:val="auto"/>
              </w:rPr>
              <w:t>5.2</w:t>
            </w: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rPr>
              <w:t>Opinion of Pepper Hamilton LLP (re: ERISA)</w:t>
            </w:r>
          </w:p>
        </w:tc>
      </w:tr>
      <w:tr>
        <w:trPr>
          <w:trHeight w:val="324"/>
        </w:trPr>
        <w:tc>
          <w:tcPr>
            <w:tcW w:w="440" w:type="dxa"/>
            <w:vAlign w:val="bottom"/>
          </w:tcPr>
          <w:p>
            <w:pPr>
              <w:jc w:val="right"/>
              <w:ind w:right="34"/>
              <w:spacing w:after="0"/>
              <w:rPr>
                <w:sz w:val="20"/>
                <w:szCs w:val="20"/>
                <w:color w:val="auto"/>
              </w:rPr>
            </w:pPr>
            <w:r>
              <w:rPr>
                <w:rFonts w:ascii="Arial" w:cs="Arial" w:eastAsia="Arial" w:hAnsi="Arial"/>
                <w:sz w:val="18"/>
                <w:szCs w:val="18"/>
                <w:color w:val="auto"/>
                <w:w w:val="85"/>
              </w:rPr>
              <w:t>23.1</w:t>
            </w: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rPr>
              <w:t>Consent of Deloitte &amp; Touche LLP</w:t>
            </w:r>
          </w:p>
        </w:tc>
      </w:tr>
      <w:tr>
        <w:trPr>
          <w:trHeight w:val="324"/>
        </w:trPr>
        <w:tc>
          <w:tcPr>
            <w:tcW w:w="440" w:type="dxa"/>
            <w:vAlign w:val="bottom"/>
          </w:tcPr>
          <w:p>
            <w:pPr>
              <w:jc w:val="right"/>
              <w:ind w:right="34"/>
              <w:spacing w:after="0"/>
              <w:rPr>
                <w:sz w:val="20"/>
                <w:szCs w:val="20"/>
                <w:color w:val="auto"/>
              </w:rPr>
            </w:pPr>
            <w:r>
              <w:rPr>
                <w:rFonts w:ascii="Arial" w:cs="Arial" w:eastAsia="Arial" w:hAnsi="Arial"/>
                <w:sz w:val="18"/>
                <w:szCs w:val="18"/>
                <w:color w:val="auto"/>
                <w:w w:val="85"/>
              </w:rPr>
              <w:t>23.2</w:t>
            </w: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rPr>
              <w:t>Consent of Pepper Hamilton LLP (contained in Exhibits 5.1 and 5.2)</w:t>
            </w:r>
          </w:p>
        </w:tc>
      </w:tr>
      <w:tr>
        <w:trPr>
          <w:trHeight w:val="324"/>
        </w:trPr>
        <w:tc>
          <w:tcPr>
            <w:tcW w:w="440" w:type="dxa"/>
            <w:vAlign w:val="bottom"/>
          </w:tcPr>
          <w:p>
            <w:pPr>
              <w:jc w:val="right"/>
              <w:ind w:right="34"/>
              <w:spacing w:after="0"/>
              <w:rPr>
                <w:sz w:val="20"/>
                <w:szCs w:val="20"/>
                <w:color w:val="auto"/>
              </w:rPr>
            </w:pPr>
            <w:r>
              <w:rPr>
                <w:rFonts w:ascii="Arial" w:cs="Arial" w:eastAsia="Arial" w:hAnsi="Arial"/>
                <w:sz w:val="18"/>
                <w:szCs w:val="18"/>
                <w:color w:val="auto"/>
                <w:w w:val="85"/>
              </w:rPr>
              <w:t>24.1</w:t>
            </w: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rPr>
              <w:t>Power of Attorney (contained in the signature pages hereto)</w:t>
            </w:r>
          </w:p>
        </w:tc>
      </w:tr>
    </w:tbl>
    <w:p>
      <w:pPr>
        <w:sectPr>
          <w:pgSz w:w="11900" w:h="16838" w:orient="portrait"/>
          <w:cols w:equalWidth="0" w:num="1">
            <w:col w:w="11360"/>
          </w:cols>
          <w:pgMar w:left="240" w:top="270" w:right="29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u w:val="single" w:color="auto"/>
          <w:color w:val="auto"/>
        </w:rPr>
        <w:t>EXHIBIT 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Pepper Hamilton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Attorneys at Law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3000 Two Logan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Eighteenth and Arch Streets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19103-2799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215.981.4000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215.981.4750</w:t>
      </w:r>
    </w:p>
    <w:p>
      <w:pPr>
        <w:spacing w:after="0" w:line="21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March 10,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19103-2838</w:t>
      </w:r>
    </w:p>
    <w:p>
      <w:pPr>
        <w:spacing w:after="0" w:line="11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right="520" w:firstLine="456"/>
        <w:spacing w:after="0" w:line="264" w:lineRule="auto"/>
        <w:rPr>
          <w:sz w:val="20"/>
          <w:szCs w:val="20"/>
          <w:color w:val="auto"/>
        </w:rPr>
      </w:pPr>
      <w:r>
        <w:rPr>
          <w:rFonts w:ascii="Arial" w:cs="Arial" w:eastAsia="Arial" w:hAnsi="Arial"/>
          <w:sz w:val="18"/>
          <w:szCs w:val="18"/>
          <w:color w:val="auto"/>
        </w:rPr>
        <w:t>Reference is made to a registration statement on Form S-8 of Comcast Corporation (the “Company”) which is being filed with the Securities and Exchange Commission (the “Registration Statement”). Capitalized terms not otherwise defined herein shall have the meanings ascribed to them in the Registration Statement.</w:t>
      </w:r>
    </w:p>
    <w:p>
      <w:pPr>
        <w:spacing w:after="0" w:line="181"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The Registration Statement relates to $500,000,000 of obligations (“Deferred Compensation Obligations”) which may be incurred by the Company pursuant to the Comcast Corporation 2005 Deferred Compensation Plan, as amended and restated (the “Deferred Compensation Plan”).</w:t>
      </w:r>
    </w:p>
    <w:p>
      <w:pPr>
        <w:spacing w:after="0" w:line="14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connection with our representation of the Company, as a basis for our opinion set forth below, we have examined the Registration Statement, including the exhibits thereto, the Company’s Articles of Incorporation, as amended, the Company’s By-laws, the Deferred Compensation Plan, certified resolutions of the Company’s board of directors, and such other documents as we have deemed appropriate in rendering this opinion. As to matters of fact, we have relied on representations of officers of the Company. In our examination, we have assumed the genuineness of all signatures, the authenticity of all documents submitted to us as originals and the authenticity of all documents submitted to us as copies of originals.</w:t>
      </w:r>
    </w:p>
    <w:p>
      <w:pPr>
        <w:spacing w:after="0" w:line="17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Based on the foregoing, it is our opinion that the Deferred Compensation Obligations incurred by the Company in accordance with the Deferred Compensation Plan will be valid and binding obligations of the Company enforceable against the Company in accordance with the terms of the Deferred Compensation Plan, except to the extent that enforcement thereof may be limited by (a) bankruptcy, insolvency, reorganization, fraudulent transfer, moratorium or other similar laws relating to or affecting creditors’ rights generally and (b) general principles of equity, regardless of whether enforceability is considered in a proceeding at law or in equity. This opinion is being furnished to you solely for submission to the Securities and Exchange Commission as an exhibit to the Registration Statement and, accordingly, may not be relied upon, quoted in any manner to, or delivered to any other person or entity, without in each instance our prior written consent.</w:t>
      </w:r>
    </w:p>
    <w:p>
      <w:pPr>
        <w:spacing w:after="0" w:line="189"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Our opinion is limited to the Business Corporation Law of the Commonwealth of Pennsylvania, as amended, including the statutory provisions and all applicable provisions of the Constitution of the Commonwealth of Pennsylvania and reported judicial decisions interpreting these laws, and the federal securities laws, each as in effect on the date hereof. We assume no obligation to supplement this opinion if any applicable law changes after the date hereof or if we become aware of any fact that might change the opinion expressed herein after the date hereof.</w:t>
      </w:r>
    </w:p>
    <w:p>
      <w:pPr>
        <w:spacing w:after="0" w:line="17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hereby consent to the filing of this opinion as an exhibit to the Registration Statement. In giving such consent, we do not thereby admit that we come within the category of persons whose consent is required under Section 7 of the Securities Act of 1933 or the rules or regulations of the Securities and Exchange Commission thereunder.</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Pepper Hamilton LLP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Pepper Hamilton LLP</w:t>
      </w:r>
    </w:p>
    <w:p>
      <w:pPr>
        <w:sectPr>
          <w:pgSz w:w="11900" w:h="16838" w:orient="portrait"/>
          <w:cols w:equalWidth="0" w:num="1">
            <w:col w:w="11420"/>
          </w:cols>
          <w:pgMar w:left="240" w:top="121"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u w:val="single" w:color="auto"/>
          <w:color w:val="auto"/>
        </w:rPr>
        <w:t>EXHIBIT 5.2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Pepper Hamilton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Attorneys at Law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3000 Two Logan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Eighteenth and Arch Streets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19103-2799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215.981.4000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215.981.4750</w:t>
      </w:r>
    </w:p>
    <w:p>
      <w:pPr>
        <w:spacing w:after="0" w:line="21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March 10,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19103-2838</w:t>
      </w:r>
    </w:p>
    <w:p>
      <w:pPr>
        <w:spacing w:after="0" w:line="11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Comcast Corporation 2005 Deferred Compensation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have served as counsel to Comcast Corporation, a Pennsylvania Corporation (the “Company”), in connection with the registration by the Company of obligations (“Deferred Compensation Obligations”) which may be incurred by the Company pursuant to the Company’s 2005 Deferred Compensation Plan (the “Plan”) and the filing of a registration statement on Form S-8 relating to the Deferred Compensation Obligations (the “Registration Statement”). Unless otherwise defined herein, capitalized terms used herein shall have the meanings assigned to them in the Registration Statement.</w:t>
      </w:r>
    </w:p>
    <w:p>
      <w:pPr>
        <w:spacing w:after="0" w:line="154"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As such counsel, we have made such legal and factual examination and inquiries as we have deemed necessary or appropriate for purposes of this opinion and have made such additional assumptions as are set forth below.</w:t>
      </w:r>
    </w:p>
    <w:p>
      <w:pPr>
        <w:spacing w:after="0" w:line="170"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Plan document states that the Plan was established to permit eligible employees and non-employee directors to defer the receipt of compensation otherwise payable to such outside directors and eligible employees in accordance with the terms of the Plan. The Plan is unfunded and states that it is maintained primarily for the purpose of providing deferred compensation to outside directors and to a select group of management or highly compensated employees. For the purpose of this opinion, we have assumed that (1) the Plan has been duly adopted by the Company, and (2) the Plan is, and at all times since it was adopted by the Company has been, maintained primarily for the purpose of providing the opportunity to defer the receipt of compensation to non-employee directors and a select group of management or highly compensated employees.</w:t>
      </w:r>
    </w:p>
    <w:p>
      <w:pPr>
        <w:spacing w:after="0" w:line="17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By its express terms, the Plan potentially results in a deferral of income by employees for periods extending to the termination of covered employment or beyond. Accordingly, the Plan is an “employee pension benefit plan” described in section 3(3) of the Employee Retirement Income Security Act of 1974, as amended (“ERISA”). However, as a Plan that is unfunded and maintained primarily for the purpose of providing deferred compensation to outside directors and to a select group of management or highly compensated employees, the Plan is subject to parts 1 and 5 of Title I of ERISA, but not to any other provisions of ERISA.</w:t>
      </w:r>
    </w:p>
    <w:p>
      <w:pPr>
        <w:spacing w:after="0" w:line="188"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Plan is not designed or operated with the purpose of satisfying the requirements for qualification under section 401(a) of the Internal Revenue Code of 1986, as amended.</w:t>
      </w:r>
    </w:p>
    <w:p>
      <w:pPr>
        <w:spacing w:after="0" w:line="170"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Parts 1 and 5 of Title 1 of ERISA do not impose any specific written requirements on non-qualified deferred compensation arrangements such as the Plan as a condition to compliance with the applicable provisions of ERISA. Further, the operation of the Plan pursuant to the written provisions of the Plan will not cause the Plan to fail to comply with parts 1 or 5 of Title 5 of ERISA.</w:t>
      </w:r>
    </w:p>
    <w:p>
      <w:pPr>
        <w:sectPr>
          <w:pgSz w:w="11900" w:h="16838" w:orient="portrait"/>
          <w:cols w:equalWidth="0" w:num="1">
            <w:col w:w="11420"/>
          </w:cols>
          <w:pgMar w:left="240" w:top="121" w:right="239" w:bottom="1440" w:gutter="0" w:footer="0" w:header="0"/>
        </w:sectPr>
      </w:pPr>
    </w:p>
    <w:bookmarkStart w:id="10" w:name="page11"/>
    <w:bookmarkEnd w:id="10"/>
    <w:p>
      <w:pPr>
        <w:ind w:right="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the basis of the foregoing, we are of the opinion that the provisions of the written document constituting the Plan comply with the requirements of ERISA pertaining to such provisions.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This opinion letter is issued as of the date hereof and is limited to the laws now in effect and in all respects is subject to and may be limited by future legislation, as well as by future case law. We assume no responsibility to keep this opinion current or to supplement it to reflect facts or circumstances which may hereafter come to our attention or any changes in laws which may hereafter occur.</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hereby consent to the filing of this opinion as an exhibit to the Registration Statement. In giving such consent, we do not thereby admit that we come within the category of persons whose consent is required under Section 7 of the Securities Act of 1933 or the rules or regulations of the Securities and Exchange Commission thereunder.</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Pepper Hamilton LLP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Pepper Hamilton LLP</w:t>
      </w:r>
    </w:p>
    <w:p>
      <w:pPr>
        <w:sectPr>
          <w:pgSz w:w="11900" w:h="16838" w:orient="portrait"/>
          <w:cols w:equalWidth="0" w:num="1">
            <w:col w:w="11280"/>
          </w:cols>
          <w:pgMar w:left="240" w:top="274" w:right="37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u w:val="single" w:color="auto"/>
          <w:color w:val="auto"/>
        </w:rPr>
        <w:t>EXHIBIT 23.1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17"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We consent to the incorporation by reference in this Registration Statement on Form S-8 of our reports dated February 5, 2016, relating to the consolidated financial statements and consolidated financial statement schedule of Comcast Corporation, and the effectiveness of Comcast Corporation’s internal control over financial reporting, appearing in the Annual Report on Form 10-K of Comcast Corporation for the year ended December 31, 2015.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10, 2016</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2019-12-07T15:40:33Z</dcterms:created>
  <dcterms:modified xsi:type="dcterms:W3CDTF">2019-12-07T15:40:33Z</dcterms:modified>
</cp:coreProperties>
</file>