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60"/>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182"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FORM 10-Q</w:t>
      </w:r>
    </w:p>
    <w:p>
      <w:pPr>
        <w:spacing w:after="0" w:line="212" w:lineRule="exact"/>
        <w:rPr>
          <w:sz w:val="24"/>
          <w:szCs w:val="24"/>
          <w:color w:val="auto"/>
        </w:rPr>
      </w:pPr>
    </w:p>
    <w:p>
      <w:pPr>
        <w:spacing w:after="0"/>
        <w:rPr>
          <w:sz w:val="20"/>
          <w:szCs w:val="20"/>
          <w:color w:val="auto"/>
        </w:rPr>
      </w:pPr>
      <w:r>
        <w:rPr>
          <w:rFonts w:ascii="Arial" w:cs="Arial" w:eastAsia="Arial" w:hAnsi="Arial"/>
          <w:sz w:val="22"/>
          <w:szCs w:val="22"/>
          <w:color w:val="auto"/>
        </w:rPr>
        <w:t>(Mark One)</w:t>
      </w:r>
    </w:p>
    <w:p>
      <w:pPr>
        <w:spacing w:after="0" w:line="8" w:lineRule="exact"/>
        <w:rPr>
          <w:sz w:val="24"/>
          <w:szCs w:val="24"/>
          <w:color w:val="auto"/>
        </w:rPr>
      </w:pPr>
    </w:p>
    <w:p>
      <w:pPr>
        <w:spacing w:after="0"/>
        <w:rPr>
          <w:sz w:val="20"/>
          <w:szCs w:val="20"/>
          <w:color w:val="auto"/>
        </w:rPr>
      </w:pPr>
      <w:r>
        <w:rPr>
          <w:rFonts w:ascii="Arial" w:cs="Arial" w:eastAsia="Arial" w:hAnsi="Arial"/>
          <w:sz w:val="19"/>
          <w:szCs w:val="19"/>
          <w:color w:val="auto"/>
        </w:rPr>
        <w:t>(X)  Quarterly Report pursuant to Section 13 or 15(d) of the Securities Exchange Act of 1934 for the Quarterly Period Ended:</w:t>
      </w:r>
    </w:p>
    <w:p>
      <w:pPr>
        <w:spacing w:after="0" w:line="200" w:lineRule="exact"/>
        <w:rPr>
          <w:sz w:val="24"/>
          <w:szCs w:val="24"/>
          <w:color w:val="auto"/>
        </w:rPr>
      </w:pPr>
    </w:p>
    <w:p>
      <w:pPr>
        <w:spacing w:after="0" w:line="259" w:lineRule="exact"/>
        <w:rPr>
          <w:sz w:val="24"/>
          <w:szCs w:val="24"/>
          <w:color w:val="auto"/>
        </w:rPr>
      </w:pPr>
    </w:p>
    <w:p>
      <w:pPr>
        <w:jc w:val="center"/>
        <w:ind w:right="80"/>
        <w:spacing w:after="0"/>
        <w:rPr>
          <w:sz w:val="20"/>
          <w:szCs w:val="20"/>
          <w:color w:val="auto"/>
        </w:rPr>
      </w:pPr>
      <w:r>
        <w:rPr>
          <w:rFonts w:ascii="Arial" w:cs="Arial" w:eastAsia="Arial" w:hAnsi="Arial"/>
          <w:sz w:val="24"/>
          <w:szCs w:val="24"/>
          <w:b w:val="1"/>
          <w:bCs w:val="1"/>
          <w:color w:val="auto"/>
        </w:rPr>
        <w:t>JUNE 30, 2004</w:t>
      </w:r>
    </w:p>
    <w:p>
      <w:pPr>
        <w:spacing w:after="0" w:line="33" w:lineRule="exact"/>
        <w:rPr>
          <w:sz w:val="24"/>
          <w:szCs w:val="24"/>
          <w:color w:val="auto"/>
        </w:rPr>
      </w:pPr>
    </w:p>
    <w:p>
      <w:pPr>
        <w:jc w:val="center"/>
        <w:ind w:right="20"/>
        <w:spacing w:after="0"/>
        <w:rPr>
          <w:sz w:val="20"/>
          <w:szCs w:val="20"/>
          <w:color w:val="auto"/>
        </w:rPr>
      </w:pPr>
      <w:r>
        <w:rPr>
          <w:rFonts w:ascii="Arial" w:cs="Arial" w:eastAsia="Arial" w:hAnsi="Arial"/>
          <w:sz w:val="22"/>
          <w:szCs w:val="22"/>
          <w:color w:val="auto"/>
        </w:rPr>
        <w:t>OR</w:t>
      </w:r>
    </w:p>
    <w:p>
      <w:pPr>
        <w:spacing w:after="0" w:line="188" w:lineRule="exact"/>
        <w:rPr>
          <w:sz w:val="24"/>
          <w:szCs w:val="24"/>
          <w:color w:val="auto"/>
        </w:rPr>
      </w:pPr>
    </w:p>
    <w:p>
      <w:pPr>
        <w:ind w:left="180" w:hanging="172"/>
        <w:spacing w:after="0"/>
        <w:tabs>
          <w:tab w:leader="none" w:pos="180" w:val="left"/>
        </w:tabs>
        <w:numPr>
          <w:ilvl w:val="0"/>
          <w:numId w:val="1"/>
        </w:numPr>
        <w:rPr>
          <w:rFonts w:ascii="Arial" w:cs="Arial" w:eastAsia="Arial" w:hAnsi="Arial"/>
          <w:sz w:val="21"/>
          <w:szCs w:val="21"/>
          <w:color w:val="auto"/>
        </w:rPr>
      </w:pPr>
      <w:r>
        <w:rPr>
          <w:rFonts w:ascii="Arial" w:cs="Arial" w:eastAsia="Arial" w:hAnsi="Arial"/>
          <w:sz w:val="21"/>
          <w:szCs w:val="21"/>
          <w:color w:val="auto"/>
        </w:rPr>
        <w:t>)  Transition Report pursuant to Section 13 or 15(d) of the Securities Exchange Act of 1934 for the Transition Period from</w:t>
      </w:r>
    </w:p>
    <w:p>
      <w:pPr>
        <w:spacing w:after="0" w:line="19" w:lineRule="exact"/>
        <w:rPr>
          <w:rFonts w:ascii="Arial" w:cs="Arial" w:eastAsia="Arial" w:hAnsi="Arial"/>
          <w:sz w:val="21"/>
          <w:szCs w:val="21"/>
          <w:color w:val="auto"/>
        </w:rPr>
      </w:pPr>
    </w:p>
    <w:p>
      <w:pPr>
        <w:ind w:left="460"/>
        <w:spacing w:after="0"/>
        <w:rPr>
          <w:rFonts w:ascii="Arial" w:cs="Arial" w:eastAsia="Arial" w:hAnsi="Arial"/>
          <w:sz w:val="21"/>
          <w:szCs w:val="21"/>
          <w:color w:val="auto"/>
        </w:rPr>
      </w:pPr>
      <w:r>
        <w:rPr>
          <w:rFonts w:ascii="Arial" w:cs="Arial" w:eastAsia="Arial" w:hAnsi="Arial"/>
          <w:sz w:val="22"/>
          <w:szCs w:val="22"/>
          <w:color w:val="auto"/>
        </w:rPr>
        <w:t>________ to ________.</w:t>
      </w:r>
    </w:p>
    <w:p>
      <w:pPr>
        <w:spacing w:after="0" w:line="200" w:lineRule="exact"/>
        <w:rPr>
          <w:sz w:val="24"/>
          <w:szCs w:val="24"/>
          <w:color w:val="auto"/>
        </w:rPr>
      </w:pPr>
    </w:p>
    <w:p>
      <w:pPr>
        <w:spacing w:after="0" w:line="231" w:lineRule="exact"/>
        <w:rPr>
          <w:sz w:val="24"/>
          <w:szCs w:val="24"/>
          <w:color w:val="auto"/>
        </w:rPr>
      </w:pPr>
    </w:p>
    <w:tbl>
      <w:tblPr>
        <w:tblLayout w:type="fixed"/>
        <w:tblInd w:w="0" w:type="dxa"/>
        <w:tblCellMar>
          <w:top w:w="0" w:type="dxa"/>
          <w:left w:w="0" w:type="dxa"/>
          <w:bottom w:w="0" w:type="dxa"/>
          <w:right w:w="0" w:type="dxa"/>
        </w:tblCellMar>
      </w:tblPr>
      <w:tr>
        <w:trPr>
          <w:trHeight w:val="275"/>
        </w:trPr>
        <w:tc>
          <w:tcPr>
            <w:tcW w:w="3340" w:type="dxa"/>
            <w:vAlign w:val="bottom"/>
          </w:tcPr>
          <w:p>
            <w:pPr>
              <w:spacing w:after="0"/>
              <w:rPr>
                <w:sz w:val="23"/>
                <w:szCs w:val="23"/>
                <w:color w:val="auto"/>
              </w:rPr>
            </w:pPr>
          </w:p>
        </w:tc>
        <w:tc>
          <w:tcPr>
            <w:tcW w:w="8100" w:type="dxa"/>
            <w:vAlign w:val="bottom"/>
          </w:tcPr>
          <w:p>
            <w:pPr>
              <w:jc w:val="center"/>
              <w:ind w:right="3232"/>
              <w:spacing w:after="0"/>
              <w:rPr>
                <w:sz w:val="20"/>
                <w:szCs w:val="20"/>
                <w:color w:val="auto"/>
              </w:rPr>
            </w:pPr>
            <w:r>
              <w:rPr>
                <w:rFonts w:ascii="Arial" w:cs="Arial" w:eastAsia="Arial" w:hAnsi="Arial"/>
                <w:sz w:val="22"/>
                <w:szCs w:val="22"/>
                <w:color w:val="auto"/>
                <w:w w:val="90"/>
              </w:rPr>
              <w:t>Commission File Number 000-50093</w:t>
            </w:r>
          </w:p>
        </w:tc>
      </w:tr>
      <w:tr>
        <w:trPr>
          <w:trHeight w:val="428"/>
        </w:trPr>
        <w:tc>
          <w:tcPr>
            <w:tcW w:w="3340" w:type="dxa"/>
            <w:vAlign w:val="bottom"/>
          </w:tcPr>
          <w:p>
            <w:pPr>
              <w:spacing w:after="0"/>
              <w:rPr>
                <w:sz w:val="24"/>
                <w:szCs w:val="24"/>
                <w:color w:val="auto"/>
              </w:rPr>
            </w:pPr>
          </w:p>
        </w:tc>
        <w:tc>
          <w:tcPr>
            <w:tcW w:w="8100" w:type="dxa"/>
            <w:vAlign w:val="bottom"/>
          </w:tcPr>
          <w:p>
            <w:pPr>
              <w:jc w:val="center"/>
              <w:ind w:right="3252"/>
              <w:spacing w:after="0"/>
              <w:rPr>
                <w:sz w:val="20"/>
                <w:szCs w:val="20"/>
                <w:color w:val="auto"/>
              </w:rPr>
            </w:pPr>
            <w:r>
              <w:rPr>
                <w:rFonts w:ascii="Arial" w:cs="Arial" w:eastAsia="Arial" w:hAnsi="Arial"/>
                <w:sz w:val="22"/>
                <w:szCs w:val="22"/>
                <w:color w:val="auto"/>
                <w:w w:val="93"/>
              </w:rPr>
              <w:t>COMCAST CORPORATION</w:t>
            </w:r>
          </w:p>
        </w:tc>
      </w:tr>
      <w:tr>
        <w:trPr>
          <w:trHeight w:val="275"/>
        </w:trPr>
        <w:tc>
          <w:tcPr>
            <w:tcW w:w="3340" w:type="dxa"/>
            <w:vAlign w:val="bottom"/>
          </w:tcPr>
          <w:p>
            <w:pPr>
              <w:spacing w:after="0"/>
              <w:rPr>
                <w:sz w:val="23"/>
                <w:szCs w:val="23"/>
                <w:color w:val="auto"/>
              </w:rPr>
            </w:pPr>
          </w:p>
        </w:tc>
        <w:tc>
          <w:tcPr>
            <w:tcW w:w="8100" w:type="dxa"/>
            <w:vAlign w:val="bottom"/>
          </w:tcPr>
          <w:p>
            <w:pPr>
              <w:jc w:val="center"/>
              <w:ind w:right="3252"/>
              <w:spacing w:after="0"/>
              <w:rPr>
                <w:sz w:val="20"/>
                <w:szCs w:val="20"/>
                <w:color w:val="auto"/>
              </w:rPr>
            </w:pPr>
            <w:r>
              <w:rPr>
                <w:rFonts w:ascii="Arial" w:cs="Arial" w:eastAsia="Arial" w:hAnsi="Arial"/>
                <w:sz w:val="22"/>
                <w:szCs w:val="22"/>
                <w:color w:val="auto"/>
                <w:w w:val="88"/>
              </w:rPr>
              <w:t>(Exact name of registrant as specified in its charter)</w:t>
            </w:r>
          </w:p>
        </w:tc>
      </w:tr>
      <w:tr>
        <w:trPr>
          <w:trHeight w:val="459"/>
        </w:trPr>
        <w:tc>
          <w:tcPr>
            <w:tcW w:w="3340" w:type="dxa"/>
            <w:vAlign w:val="bottom"/>
          </w:tcPr>
          <w:p>
            <w:pPr>
              <w:jc w:val="center"/>
              <w:ind w:left="332"/>
              <w:spacing w:after="0"/>
              <w:rPr>
                <w:sz w:val="20"/>
                <w:szCs w:val="20"/>
                <w:color w:val="auto"/>
              </w:rPr>
            </w:pPr>
            <w:r>
              <w:rPr>
                <w:rFonts w:ascii="Arial" w:cs="Arial" w:eastAsia="Arial" w:hAnsi="Arial"/>
                <w:sz w:val="22"/>
                <w:szCs w:val="22"/>
                <w:color w:val="auto"/>
                <w:w w:val="95"/>
              </w:rPr>
              <w:t>PENNSYLVANIA</w:t>
            </w:r>
          </w:p>
        </w:tc>
        <w:tc>
          <w:tcPr>
            <w:tcW w:w="8100" w:type="dxa"/>
            <w:vAlign w:val="bottom"/>
          </w:tcPr>
          <w:p>
            <w:pPr>
              <w:jc w:val="center"/>
              <w:ind w:left="4192"/>
              <w:spacing w:after="0"/>
              <w:rPr>
                <w:sz w:val="20"/>
                <w:szCs w:val="20"/>
                <w:color w:val="auto"/>
              </w:rPr>
            </w:pPr>
            <w:r>
              <w:rPr>
                <w:rFonts w:ascii="Arial" w:cs="Arial" w:eastAsia="Arial" w:hAnsi="Arial"/>
                <w:sz w:val="22"/>
                <w:szCs w:val="22"/>
                <w:color w:val="auto"/>
                <w:w w:val="88"/>
              </w:rPr>
              <w:t>27-0000798</w:t>
            </w:r>
          </w:p>
        </w:tc>
      </w:tr>
      <w:tr>
        <w:trPr>
          <w:trHeight w:val="98"/>
        </w:trPr>
        <w:tc>
          <w:tcPr>
            <w:tcW w:w="3340" w:type="dxa"/>
            <w:vAlign w:val="bottom"/>
            <w:tcBorders>
              <w:bottom w:val="single" w:sz="8" w:color="808080"/>
            </w:tcBorders>
          </w:tcPr>
          <w:p>
            <w:pPr>
              <w:spacing w:after="0"/>
              <w:rPr>
                <w:sz w:val="8"/>
                <w:szCs w:val="8"/>
                <w:color w:val="auto"/>
              </w:rPr>
            </w:pPr>
          </w:p>
        </w:tc>
        <w:tc>
          <w:tcPr>
            <w:tcW w:w="8100" w:type="dxa"/>
            <w:vAlign w:val="bottom"/>
            <w:tcBorders>
              <w:bottom w:val="single" w:sz="8" w:color="808080"/>
            </w:tcBorders>
          </w:tcPr>
          <w:p>
            <w:pPr>
              <w:spacing w:after="0"/>
              <w:rPr>
                <w:sz w:val="8"/>
                <w:szCs w:val="8"/>
                <w:color w:val="auto"/>
              </w:rPr>
            </w:pPr>
          </w:p>
        </w:tc>
      </w:tr>
      <w:tr>
        <w:trPr>
          <w:trHeight w:val="323"/>
        </w:trPr>
        <w:tc>
          <w:tcPr>
            <w:tcW w:w="3340" w:type="dxa"/>
            <w:vAlign w:val="bottom"/>
          </w:tcPr>
          <w:p>
            <w:pPr>
              <w:jc w:val="center"/>
              <w:ind w:left="332"/>
              <w:spacing w:after="0"/>
              <w:rPr>
                <w:sz w:val="20"/>
                <w:szCs w:val="20"/>
                <w:color w:val="auto"/>
              </w:rPr>
            </w:pPr>
            <w:r>
              <w:rPr>
                <w:rFonts w:ascii="Arial" w:cs="Arial" w:eastAsia="Arial" w:hAnsi="Arial"/>
                <w:sz w:val="22"/>
                <w:szCs w:val="22"/>
                <w:color w:val="auto"/>
                <w:w w:val="90"/>
              </w:rPr>
              <w:t>(State or other jurisdiction of</w:t>
            </w:r>
          </w:p>
        </w:tc>
        <w:tc>
          <w:tcPr>
            <w:tcW w:w="8100" w:type="dxa"/>
            <w:vAlign w:val="bottom"/>
          </w:tcPr>
          <w:p>
            <w:pPr>
              <w:jc w:val="center"/>
              <w:ind w:left="4192"/>
              <w:spacing w:after="0"/>
              <w:rPr>
                <w:sz w:val="20"/>
                <w:szCs w:val="20"/>
                <w:color w:val="auto"/>
              </w:rPr>
            </w:pPr>
            <w:r>
              <w:rPr>
                <w:rFonts w:ascii="Arial" w:cs="Arial" w:eastAsia="Arial" w:hAnsi="Arial"/>
                <w:sz w:val="22"/>
                <w:szCs w:val="22"/>
                <w:color w:val="auto"/>
                <w:w w:val="91"/>
              </w:rPr>
              <w:t>(I.R.S. Employer</w:t>
            </w:r>
          </w:p>
        </w:tc>
      </w:tr>
      <w:tr>
        <w:trPr>
          <w:trHeight w:val="275"/>
        </w:trPr>
        <w:tc>
          <w:tcPr>
            <w:tcW w:w="3340" w:type="dxa"/>
            <w:vAlign w:val="bottom"/>
          </w:tcPr>
          <w:p>
            <w:pPr>
              <w:jc w:val="center"/>
              <w:ind w:left="352"/>
              <w:spacing w:after="0"/>
              <w:rPr>
                <w:sz w:val="20"/>
                <w:szCs w:val="20"/>
                <w:color w:val="auto"/>
              </w:rPr>
            </w:pPr>
            <w:r>
              <w:rPr>
                <w:rFonts w:ascii="Arial" w:cs="Arial" w:eastAsia="Arial" w:hAnsi="Arial"/>
                <w:sz w:val="22"/>
                <w:szCs w:val="22"/>
                <w:color w:val="auto"/>
                <w:w w:val="90"/>
              </w:rPr>
              <w:t>incorporation or organization)</w:t>
            </w:r>
          </w:p>
        </w:tc>
        <w:tc>
          <w:tcPr>
            <w:tcW w:w="8100" w:type="dxa"/>
            <w:vAlign w:val="bottom"/>
          </w:tcPr>
          <w:p>
            <w:pPr>
              <w:jc w:val="center"/>
              <w:ind w:left="4192"/>
              <w:spacing w:after="0"/>
              <w:rPr>
                <w:sz w:val="20"/>
                <w:szCs w:val="20"/>
                <w:color w:val="auto"/>
              </w:rPr>
            </w:pPr>
            <w:r>
              <w:rPr>
                <w:rFonts w:ascii="Arial" w:cs="Arial" w:eastAsia="Arial" w:hAnsi="Arial"/>
                <w:sz w:val="22"/>
                <w:szCs w:val="22"/>
                <w:color w:val="auto"/>
                <w:w w:val="93"/>
              </w:rPr>
              <w:t>Identification No.)</w:t>
            </w:r>
          </w:p>
        </w:tc>
      </w:tr>
      <w:tr>
        <w:trPr>
          <w:trHeight w:val="486"/>
        </w:trPr>
        <w:tc>
          <w:tcPr>
            <w:tcW w:w="3340" w:type="dxa"/>
            <w:vAlign w:val="bottom"/>
          </w:tcPr>
          <w:p>
            <w:pPr>
              <w:spacing w:after="0"/>
              <w:rPr>
                <w:sz w:val="24"/>
                <w:szCs w:val="24"/>
                <w:color w:val="auto"/>
              </w:rPr>
            </w:pPr>
          </w:p>
        </w:tc>
        <w:tc>
          <w:tcPr>
            <w:tcW w:w="8100" w:type="dxa"/>
            <w:vAlign w:val="bottom"/>
          </w:tcPr>
          <w:p>
            <w:pPr>
              <w:jc w:val="center"/>
              <w:ind w:right="3232"/>
              <w:spacing w:after="0"/>
              <w:rPr>
                <w:sz w:val="20"/>
                <w:szCs w:val="20"/>
                <w:color w:val="auto"/>
              </w:rPr>
            </w:pPr>
            <w:r>
              <w:rPr>
                <w:rFonts w:ascii="Arial" w:cs="Arial" w:eastAsia="Arial" w:hAnsi="Arial"/>
                <w:sz w:val="22"/>
                <w:szCs w:val="22"/>
                <w:color w:val="auto"/>
                <w:w w:val="89"/>
              </w:rPr>
              <w:t>1500 Market Street, Philadelphia, PA 19102-2148</w:t>
            </w:r>
          </w:p>
        </w:tc>
      </w:tr>
      <w:tr>
        <w:trPr>
          <w:trHeight w:val="98"/>
        </w:trPr>
        <w:tc>
          <w:tcPr>
            <w:tcW w:w="3340" w:type="dxa"/>
            <w:vAlign w:val="bottom"/>
            <w:tcBorders>
              <w:bottom w:val="single" w:sz="8" w:color="808080"/>
            </w:tcBorders>
          </w:tcPr>
          <w:p>
            <w:pPr>
              <w:spacing w:after="0"/>
              <w:rPr>
                <w:sz w:val="8"/>
                <w:szCs w:val="8"/>
                <w:color w:val="auto"/>
              </w:rPr>
            </w:pPr>
          </w:p>
        </w:tc>
        <w:tc>
          <w:tcPr>
            <w:tcW w:w="8100" w:type="dxa"/>
            <w:vAlign w:val="bottom"/>
            <w:tcBorders>
              <w:bottom w:val="single" w:sz="8" w:color="808080"/>
            </w:tcBorders>
          </w:tcPr>
          <w:p>
            <w:pPr>
              <w:spacing w:after="0"/>
              <w:rPr>
                <w:sz w:val="8"/>
                <w:szCs w:val="8"/>
                <w:color w:val="auto"/>
              </w:rPr>
            </w:pPr>
          </w:p>
        </w:tc>
      </w:tr>
      <w:tr>
        <w:trPr>
          <w:trHeight w:val="323"/>
        </w:trPr>
        <w:tc>
          <w:tcPr>
            <w:tcW w:w="3340" w:type="dxa"/>
            <w:vAlign w:val="bottom"/>
          </w:tcPr>
          <w:p>
            <w:pPr>
              <w:spacing w:after="0"/>
              <w:rPr>
                <w:sz w:val="24"/>
                <w:szCs w:val="24"/>
                <w:color w:val="auto"/>
              </w:rPr>
            </w:pPr>
          </w:p>
        </w:tc>
        <w:tc>
          <w:tcPr>
            <w:tcW w:w="8100" w:type="dxa"/>
            <w:vAlign w:val="bottom"/>
          </w:tcPr>
          <w:p>
            <w:pPr>
              <w:jc w:val="center"/>
              <w:ind w:right="3252"/>
              <w:spacing w:after="0"/>
              <w:rPr>
                <w:sz w:val="20"/>
                <w:szCs w:val="20"/>
                <w:color w:val="auto"/>
              </w:rPr>
            </w:pPr>
            <w:r>
              <w:rPr>
                <w:rFonts w:ascii="Arial" w:cs="Arial" w:eastAsia="Arial" w:hAnsi="Arial"/>
                <w:sz w:val="22"/>
                <w:szCs w:val="22"/>
                <w:color w:val="auto"/>
                <w:w w:val="90"/>
              </w:rPr>
              <w:t>(Address of principal executive offices)</w:t>
            </w:r>
          </w:p>
        </w:tc>
      </w:tr>
      <w:tr>
        <w:trPr>
          <w:trHeight w:val="275"/>
        </w:trPr>
        <w:tc>
          <w:tcPr>
            <w:tcW w:w="3340" w:type="dxa"/>
            <w:vAlign w:val="bottom"/>
          </w:tcPr>
          <w:p>
            <w:pPr>
              <w:spacing w:after="0"/>
              <w:rPr>
                <w:sz w:val="23"/>
                <w:szCs w:val="23"/>
                <w:color w:val="auto"/>
              </w:rPr>
            </w:pPr>
          </w:p>
        </w:tc>
        <w:tc>
          <w:tcPr>
            <w:tcW w:w="8100" w:type="dxa"/>
            <w:vAlign w:val="bottom"/>
          </w:tcPr>
          <w:p>
            <w:pPr>
              <w:jc w:val="center"/>
              <w:ind w:right="3232"/>
              <w:spacing w:after="0"/>
              <w:rPr>
                <w:sz w:val="20"/>
                <w:szCs w:val="20"/>
                <w:color w:val="auto"/>
              </w:rPr>
            </w:pPr>
            <w:r>
              <w:rPr>
                <w:rFonts w:ascii="Arial" w:cs="Arial" w:eastAsia="Arial" w:hAnsi="Arial"/>
                <w:sz w:val="22"/>
                <w:szCs w:val="22"/>
                <w:color w:val="auto"/>
                <w:w w:val="92"/>
              </w:rPr>
              <w:t>(Zip Code)</w:t>
            </w:r>
          </w:p>
        </w:tc>
      </w:tr>
    </w:tbl>
    <w:p>
      <w:pPr>
        <w:spacing w:after="0" w:line="185" w:lineRule="exact"/>
        <w:rPr>
          <w:sz w:val="24"/>
          <w:szCs w:val="24"/>
          <w:color w:val="auto"/>
        </w:rPr>
      </w:pPr>
    </w:p>
    <w:p>
      <w:pPr>
        <w:spacing w:after="0"/>
        <w:rPr>
          <w:sz w:val="20"/>
          <w:szCs w:val="20"/>
          <w:color w:val="auto"/>
        </w:rPr>
      </w:pPr>
      <w:r>
        <w:rPr>
          <w:rFonts w:ascii="Arial" w:cs="Arial" w:eastAsia="Arial" w:hAnsi="Arial"/>
          <w:sz w:val="22"/>
          <w:szCs w:val="22"/>
          <w:color w:val="auto"/>
        </w:rPr>
        <w:t>Registrant's telephone number, including area code: (215) 665-1700</w:t>
      </w:r>
    </w:p>
    <w:p>
      <w:pPr>
        <w:spacing w:after="0" w:line="206" w:lineRule="exact"/>
        <w:rPr>
          <w:sz w:val="24"/>
          <w:szCs w:val="24"/>
          <w:color w:val="auto"/>
        </w:rPr>
      </w:pPr>
    </w:p>
    <w:p>
      <w:pPr>
        <w:ind w:left="4800"/>
        <w:spacing w:after="0"/>
        <w:rPr>
          <w:sz w:val="20"/>
          <w:szCs w:val="20"/>
          <w:color w:val="auto"/>
        </w:rPr>
      </w:pPr>
      <w:r>
        <w:rPr>
          <w:rFonts w:ascii="Arial" w:cs="Arial" w:eastAsia="Arial" w:hAnsi="Arial"/>
          <w:sz w:val="22"/>
          <w:szCs w:val="22"/>
          <w:color w:val="auto"/>
        </w:rPr>
        <w:t>_________________</w:t>
      </w:r>
    </w:p>
    <w:p>
      <w:pPr>
        <w:spacing w:after="0" w:line="206" w:lineRule="exact"/>
        <w:rPr>
          <w:sz w:val="24"/>
          <w:szCs w:val="24"/>
          <w:color w:val="auto"/>
        </w:rPr>
      </w:pPr>
    </w:p>
    <w:p>
      <w:pPr>
        <w:jc w:val="both"/>
        <w:ind w:right="260"/>
        <w:spacing w:after="0"/>
        <w:rPr>
          <w:sz w:val="20"/>
          <w:szCs w:val="20"/>
          <w:color w:val="auto"/>
        </w:rPr>
      </w:pPr>
      <w:r>
        <w:rPr>
          <w:rFonts w:ascii="Arial" w:cs="Arial" w:eastAsia="Arial" w:hAnsi="Arial"/>
          <w:sz w:val="22"/>
          <w:szCs w:val="22"/>
          <w:color w:val="auto"/>
        </w:rPr>
        <w:t>Indicate by check mark whether the registrant (1) has filed all reports required to be filed by Section 13 or 15(d) of the Securities Exchange Act of 1934 during the preceding twelve months (or for such shorter period that the registrant was required to file such reports), and (2) has been subject to such requirements for the past 90 days.</w:t>
      </w:r>
    </w:p>
    <w:p>
      <w:pPr>
        <w:spacing w:after="0" w:line="158" w:lineRule="exact"/>
        <w:rPr>
          <w:sz w:val="24"/>
          <w:szCs w:val="24"/>
          <w:color w:val="auto"/>
        </w:rPr>
      </w:pPr>
    </w:p>
    <w:tbl>
      <w:tblPr>
        <w:tblLayout w:type="fixed"/>
        <w:tblInd w:w="0" w:type="dxa"/>
        <w:tblCellMar>
          <w:top w:w="0" w:type="dxa"/>
          <w:left w:w="0" w:type="dxa"/>
          <w:bottom w:w="0" w:type="dxa"/>
          <w:right w:w="0" w:type="dxa"/>
        </w:tblCellMar>
      </w:tblPr>
      <w:tr>
        <w:trPr>
          <w:trHeight w:val="253"/>
        </w:trPr>
        <w:tc>
          <w:tcPr>
            <w:tcW w:w="220" w:type="dxa"/>
            <w:vAlign w:val="bottom"/>
          </w:tcPr>
          <w:p>
            <w:pPr>
              <w:spacing w:after="0"/>
              <w:rPr>
                <w:sz w:val="21"/>
                <w:szCs w:val="21"/>
                <w:color w:val="auto"/>
              </w:rPr>
            </w:pPr>
          </w:p>
        </w:tc>
        <w:tc>
          <w:tcPr>
            <w:tcW w:w="2040" w:type="dxa"/>
            <w:vAlign w:val="bottom"/>
            <w:gridSpan w:val="2"/>
          </w:tcPr>
          <w:p>
            <w:pPr>
              <w:ind w:left="1300"/>
              <w:spacing w:after="0"/>
              <w:rPr>
                <w:sz w:val="20"/>
                <w:szCs w:val="20"/>
                <w:color w:val="auto"/>
              </w:rPr>
            </w:pPr>
            <w:r>
              <w:rPr>
                <w:rFonts w:ascii="Arial" w:cs="Arial" w:eastAsia="Arial" w:hAnsi="Arial"/>
                <w:sz w:val="22"/>
                <w:szCs w:val="22"/>
                <w:color w:val="auto"/>
              </w:rPr>
              <w:t>Yes  X</w:t>
            </w:r>
          </w:p>
        </w:tc>
        <w:tc>
          <w:tcPr>
            <w:tcW w:w="8600" w:type="dxa"/>
            <w:vAlign w:val="bottom"/>
            <w:gridSpan w:val="4"/>
          </w:tcPr>
          <w:p>
            <w:pPr>
              <w:ind w:left="7020"/>
              <w:spacing w:after="0"/>
              <w:rPr>
                <w:sz w:val="20"/>
                <w:szCs w:val="20"/>
                <w:color w:val="auto"/>
              </w:rPr>
            </w:pPr>
            <w:r>
              <w:rPr>
                <w:rFonts w:ascii="Arial" w:cs="Arial" w:eastAsia="Arial" w:hAnsi="Arial"/>
                <w:sz w:val="22"/>
                <w:szCs w:val="22"/>
                <w:color w:val="auto"/>
              </w:rPr>
              <w:t>No</w:t>
            </w:r>
          </w:p>
        </w:tc>
        <w:tc>
          <w:tcPr>
            <w:tcW w:w="540" w:type="dxa"/>
            <w:vAlign w:val="bottom"/>
          </w:tcPr>
          <w:p>
            <w:pPr>
              <w:spacing w:after="0"/>
              <w:rPr>
                <w:sz w:val="21"/>
                <w:szCs w:val="21"/>
                <w:color w:val="auto"/>
              </w:rPr>
            </w:pPr>
          </w:p>
        </w:tc>
      </w:tr>
      <w:tr>
        <w:trPr>
          <w:trHeight w:val="490"/>
        </w:trPr>
        <w:tc>
          <w:tcPr>
            <w:tcW w:w="2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7340" w:type="dxa"/>
            <w:vAlign w:val="bottom"/>
          </w:tcPr>
          <w:p>
            <w:pPr>
              <w:jc w:val="right"/>
              <w:ind w:right="2852"/>
              <w:spacing w:after="0"/>
              <w:rPr>
                <w:sz w:val="20"/>
                <w:szCs w:val="20"/>
                <w:color w:val="auto"/>
              </w:rPr>
            </w:pPr>
            <w:r>
              <w:rPr>
                <w:rFonts w:ascii="Arial" w:cs="Arial" w:eastAsia="Arial" w:hAnsi="Arial"/>
                <w:sz w:val="22"/>
                <w:szCs w:val="22"/>
                <w:color w:val="auto"/>
              </w:rPr>
              <w:t>_________________</w:t>
            </w:r>
          </w:p>
        </w:tc>
        <w:tc>
          <w:tcPr>
            <w:tcW w:w="200" w:type="dxa"/>
            <w:vAlign w:val="bottom"/>
            <w:tcBorders>
              <w:top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409"/>
        </w:trPr>
        <w:tc>
          <w:tcPr>
            <w:tcW w:w="10860" w:type="dxa"/>
            <w:vAlign w:val="bottom"/>
            <w:gridSpan w:val="7"/>
          </w:tcPr>
          <w:p>
            <w:pPr>
              <w:spacing w:after="0"/>
              <w:rPr>
                <w:sz w:val="20"/>
                <w:szCs w:val="20"/>
                <w:color w:val="auto"/>
              </w:rPr>
            </w:pPr>
            <w:r>
              <w:rPr>
                <w:rFonts w:ascii="Arial" w:cs="Arial" w:eastAsia="Arial" w:hAnsi="Arial"/>
                <w:sz w:val="22"/>
                <w:szCs w:val="22"/>
                <w:color w:val="auto"/>
                <w:w w:val="90"/>
              </w:rPr>
              <w:t>Indicate by check mark whether the registrant is an accelerated filer (as defined in Rule 12-b2 of the Exchange Act). Yes  X</w:t>
            </w:r>
          </w:p>
        </w:tc>
        <w:tc>
          <w:tcPr>
            <w:tcW w:w="540" w:type="dxa"/>
            <w:vAlign w:val="bottom"/>
          </w:tcPr>
          <w:p>
            <w:pPr>
              <w:ind w:left="260"/>
              <w:spacing w:after="0"/>
              <w:rPr>
                <w:sz w:val="20"/>
                <w:szCs w:val="20"/>
                <w:color w:val="auto"/>
              </w:rPr>
            </w:pPr>
            <w:r>
              <w:rPr>
                <w:rFonts w:ascii="Arial" w:cs="Arial" w:eastAsia="Arial" w:hAnsi="Arial"/>
                <w:sz w:val="22"/>
                <w:szCs w:val="22"/>
                <w:color w:val="auto"/>
                <w:w w:val="92"/>
              </w:rPr>
              <w:t>No</w:t>
            </w:r>
          </w:p>
        </w:tc>
      </w:tr>
      <w:tr>
        <w:trPr>
          <w:trHeight w:val="223"/>
        </w:trPr>
        <w:tc>
          <w:tcPr>
            <w:tcW w:w="220" w:type="dxa"/>
            <w:vAlign w:val="bottom"/>
            <w:tcBorders>
              <w:bottom w:val="single" w:sz="8" w:color="auto"/>
            </w:tcBorders>
          </w:tcPr>
          <w:p>
            <w:pPr>
              <w:spacing w:after="0"/>
              <w:rPr>
                <w:sz w:val="19"/>
                <w:szCs w:val="19"/>
                <w:color w:val="auto"/>
              </w:rPr>
            </w:pPr>
          </w:p>
        </w:tc>
        <w:tc>
          <w:tcPr>
            <w:tcW w:w="1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r>
    </w:tbl>
    <w:p>
      <w:pPr>
        <w:spacing w:after="0" w:line="222" w:lineRule="exact"/>
        <w:rPr>
          <w:sz w:val="24"/>
          <w:szCs w:val="24"/>
          <w:color w:val="auto"/>
        </w:rPr>
      </w:pPr>
    </w:p>
    <w:p>
      <w:pPr>
        <w:ind w:right="300"/>
        <w:spacing w:after="0" w:line="251" w:lineRule="auto"/>
        <w:rPr>
          <w:sz w:val="20"/>
          <w:szCs w:val="20"/>
          <w:color w:val="auto"/>
        </w:rPr>
      </w:pPr>
      <w:r>
        <w:rPr>
          <w:rFonts w:ascii="Arial" w:cs="Arial" w:eastAsia="Arial" w:hAnsi="Arial"/>
          <w:sz w:val="22"/>
          <w:szCs w:val="22"/>
          <w:color w:val="auto"/>
        </w:rPr>
        <w:t>As of June 30, 2004, there were 1,358,616,278 shares of our Class A Common Stock, 866,778,108 shares of our Class A Special Common Stock and 9,444,375 shares of our Class B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123825</wp:posOffset>
            </wp:positionV>
            <wp:extent cx="72637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73" w:lineRule="exact"/>
        <w:rPr>
          <w:sz w:val="24"/>
          <w:szCs w:val="24"/>
          <w:color w:val="auto"/>
        </w:rPr>
      </w:pPr>
    </w:p>
    <w:tbl>
      <w:tblPr>
        <w:tblLayout w:type="fixed"/>
        <w:tblInd w:w="0" w:type="dxa"/>
        <w:tblCellMar>
          <w:top w:w="0" w:type="dxa"/>
          <w:left w:w="0" w:type="dxa"/>
          <w:bottom w:w="0" w:type="dxa"/>
          <w:right w:w="0" w:type="dxa"/>
        </w:tblCellMar>
      </w:tblPr>
      <w:tr>
        <w:trPr>
          <w:trHeight w:val="253"/>
        </w:trPr>
        <w:tc>
          <w:tcPr>
            <w:tcW w:w="7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000" w:type="dxa"/>
            <w:vAlign w:val="bottom"/>
            <w:gridSpan w:val="12"/>
          </w:tcPr>
          <w:p>
            <w:pPr>
              <w:jc w:val="center"/>
              <w:ind w:left="712"/>
              <w:spacing w:after="0"/>
              <w:rPr>
                <w:sz w:val="20"/>
                <w:szCs w:val="20"/>
                <w:color w:val="auto"/>
              </w:rPr>
            </w:pPr>
            <w:r>
              <w:rPr>
                <w:rFonts w:ascii="Arial" w:cs="Arial" w:eastAsia="Arial" w:hAnsi="Arial"/>
                <w:sz w:val="22"/>
                <w:szCs w:val="22"/>
                <w:color w:val="auto"/>
                <w:w w:val="94"/>
              </w:rPr>
              <w:t>COMCAST CORPORATION AND SUBSIDIARIES</w:t>
            </w: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200" w:type="dxa"/>
            <w:vAlign w:val="bottom"/>
            <w:gridSpan w:val="8"/>
          </w:tcPr>
          <w:p>
            <w:pPr>
              <w:jc w:val="center"/>
              <w:ind w:right="1980"/>
              <w:spacing w:after="0" w:line="243" w:lineRule="exact"/>
              <w:rPr>
                <w:sz w:val="20"/>
                <w:szCs w:val="20"/>
                <w:color w:val="auto"/>
              </w:rPr>
            </w:pPr>
            <w:r>
              <w:rPr>
                <w:rFonts w:ascii="Arial" w:cs="Arial" w:eastAsia="Arial" w:hAnsi="Arial"/>
                <w:sz w:val="22"/>
                <w:szCs w:val="22"/>
                <w:color w:val="auto"/>
                <w:w w:val="91"/>
              </w:rPr>
              <w:t>FORM 10-Q</w:t>
            </w: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200" w:type="dxa"/>
            <w:vAlign w:val="bottom"/>
            <w:gridSpan w:val="10"/>
          </w:tcPr>
          <w:p>
            <w:pPr>
              <w:jc w:val="center"/>
              <w:ind w:right="980"/>
              <w:spacing w:after="0" w:line="243" w:lineRule="exact"/>
              <w:rPr>
                <w:sz w:val="20"/>
                <w:szCs w:val="20"/>
                <w:color w:val="auto"/>
              </w:rPr>
            </w:pPr>
            <w:r>
              <w:rPr>
                <w:rFonts w:ascii="Arial" w:cs="Arial" w:eastAsia="Arial" w:hAnsi="Arial"/>
                <w:sz w:val="22"/>
                <w:szCs w:val="22"/>
                <w:color w:val="auto"/>
                <w:w w:val="91"/>
              </w:rPr>
              <w:t>QUARTER ENDED JUNE 30, 2004</w:t>
            </w: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7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140" w:type="dxa"/>
            <w:vAlign w:val="bottom"/>
            <w:gridSpan w:val="9"/>
          </w:tcPr>
          <w:p>
            <w:pPr>
              <w:jc w:val="center"/>
              <w:ind w:right="1000"/>
              <w:spacing w:after="0"/>
              <w:rPr>
                <w:sz w:val="20"/>
                <w:szCs w:val="20"/>
                <w:color w:val="auto"/>
              </w:rPr>
            </w:pPr>
            <w:r>
              <w:rPr>
                <w:rFonts w:ascii="Arial" w:cs="Arial" w:eastAsia="Arial" w:hAnsi="Arial"/>
                <w:sz w:val="22"/>
                <w:szCs w:val="22"/>
                <w:color w:val="auto"/>
                <w:w w:val="93"/>
              </w:rPr>
              <w:t>TABLE OF CONTENTS</w:t>
            </w:r>
          </w:p>
        </w:tc>
        <w:tc>
          <w:tcPr>
            <w:tcW w:w="2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09"/>
        </w:trPr>
        <w:tc>
          <w:tcPr>
            <w:tcW w:w="1140" w:type="dxa"/>
            <w:vAlign w:val="bottom"/>
            <w:gridSpan w:val="2"/>
            <w:vMerge w:val="restart"/>
          </w:tcPr>
          <w:p>
            <w:pPr>
              <w:spacing w:after="0"/>
              <w:rPr>
                <w:rFonts w:ascii="Arial" w:cs="Arial" w:eastAsia="Arial" w:hAnsi="Arial"/>
                <w:sz w:val="22"/>
                <w:szCs w:val="22"/>
                <w:color w:val="0000EE"/>
              </w:rPr>
            </w:pPr>
            <w:hyperlink w:anchor="page2">
              <w:r>
                <w:rPr>
                  <w:rFonts w:ascii="Arial" w:cs="Arial" w:eastAsia="Arial" w:hAnsi="Arial"/>
                  <w:sz w:val="22"/>
                  <w:szCs w:val="22"/>
                  <w:color w:val="0000EE"/>
                </w:rPr>
                <w:t>PART I.</w:t>
              </w:r>
            </w:hyperlink>
          </w:p>
        </w:tc>
        <w:tc>
          <w:tcPr>
            <w:tcW w:w="7140" w:type="dxa"/>
            <w:vAlign w:val="bottom"/>
            <w:gridSpan w:val="14"/>
            <w:vMerge w:val="restart"/>
          </w:tcPr>
          <w:p>
            <w:pPr>
              <w:spacing w:after="0"/>
              <w:rPr>
                <w:rFonts w:ascii="Arial" w:cs="Arial" w:eastAsia="Arial" w:hAnsi="Arial"/>
                <w:sz w:val="22"/>
                <w:szCs w:val="22"/>
                <w:color w:val="0000EE"/>
              </w:rPr>
            </w:pPr>
            <w:hyperlink w:anchor="page2">
              <w:r>
                <w:rPr>
                  <w:rFonts w:ascii="Arial" w:cs="Arial" w:eastAsia="Arial" w:hAnsi="Arial"/>
                  <w:sz w:val="22"/>
                  <w:szCs w:val="22"/>
                  <w:color w:val="0000EE"/>
                </w:rPr>
                <w:t>FINANCIAL INFORMATION</w:t>
              </w:r>
            </w:hyperlink>
          </w:p>
        </w:tc>
        <w:tc>
          <w:tcPr>
            <w:tcW w:w="1180" w:type="dxa"/>
            <w:vAlign w:val="bottom"/>
            <w:tcBorders>
              <w:bottom w:val="single" w:sz="8" w:color="auto"/>
            </w:tcBorders>
            <w:gridSpan w:val="2"/>
          </w:tcPr>
          <w:p>
            <w:pPr>
              <w:jc w:val="right"/>
              <w:spacing w:after="0"/>
              <w:rPr>
                <w:sz w:val="20"/>
                <w:szCs w:val="20"/>
                <w:color w:val="auto"/>
              </w:rPr>
            </w:pPr>
            <w:r>
              <w:rPr>
                <w:rFonts w:ascii="Arial" w:cs="Arial" w:eastAsia="Arial" w:hAnsi="Arial"/>
                <w:sz w:val="22"/>
                <w:szCs w:val="22"/>
                <w:color w:val="auto"/>
                <w:w w:val="85"/>
              </w:rPr>
              <w:t>Page Number</w:t>
            </w:r>
          </w:p>
        </w:tc>
        <w:tc>
          <w:tcPr>
            <w:tcW w:w="0" w:type="dxa"/>
            <w:vAlign w:val="bottom"/>
          </w:tcPr>
          <w:p>
            <w:pPr>
              <w:spacing w:after="0"/>
              <w:rPr>
                <w:sz w:val="1"/>
                <w:szCs w:val="1"/>
                <w:color w:val="auto"/>
              </w:rPr>
            </w:pPr>
          </w:p>
        </w:tc>
      </w:tr>
      <w:tr>
        <w:trPr>
          <w:trHeight w:val="223"/>
        </w:trPr>
        <w:tc>
          <w:tcPr>
            <w:tcW w:w="1140" w:type="dxa"/>
            <w:vAlign w:val="bottom"/>
            <w:gridSpan w:val="2"/>
            <w:vMerge w:val="continue"/>
          </w:tcPr>
          <w:p>
            <w:pPr>
              <w:spacing w:after="0"/>
              <w:rPr>
                <w:sz w:val="19"/>
                <w:szCs w:val="19"/>
                <w:color w:val="auto"/>
              </w:rPr>
            </w:pPr>
          </w:p>
        </w:tc>
        <w:tc>
          <w:tcPr>
            <w:tcW w:w="7140" w:type="dxa"/>
            <w:vAlign w:val="bottom"/>
            <w:gridSpan w:val="14"/>
            <w:vMerge w:val="continue"/>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140" w:type="dxa"/>
            <w:vAlign w:val="bottom"/>
            <w:gridSpan w:val="14"/>
          </w:tcPr>
          <w:p>
            <w:pPr>
              <w:spacing w:after="0" w:line="223" w:lineRule="exact"/>
              <w:rPr>
                <w:rFonts w:ascii="Arial" w:cs="Arial" w:eastAsia="Arial" w:hAnsi="Arial"/>
                <w:sz w:val="22"/>
                <w:szCs w:val="22"/>
                <w:color w:val="0000EE"/>
                <w:w w:val="87"/>
              </w:rPr>
            </w:pPr>
            <w:hyperlink w:anchor="page2">
              <w:r>
                <w:rPr>
                  <w:rFonts w:ascii="Arial" w:cs="Arial" w:eastAsia="Arial" w:hAnsi="Arial"/>
                  <w:sz w:val="22"/>
                  <w:szCs w:val="22"/>
                  <w:color w:val="0000EE"/>
                  <w:w w:val="87"/>
                </w:rPr>
                <w:t>ITEM 1.</w:t>
              </w:r>
            </w:hyperlink>
            <w:hyperlink w:anchor="page2">
              <w:r>
                <w:rPr>
                  <w:rFonts w:ascii="Arial" w:cs="Arial" w:eastAsia="Arial" w:hAnsi="Arial"/>
                  <w:sz w:val="22"/>
                  <w:szCs w:val="22"/>
                  <w:color w:val="0000EE"/>
                  <w:w w:val="87"/>
                </w:rPr>
                <w:t>Financial Statements</w:t>
              </w:r>
            </w:hyperlink>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00" w:type="dxa"/>
            <w:vAlign w:val="bottom"/>
            <w:gridSpan w:val="12"/>
          </w:tcPr>
          <w:p>
            <w:pPr>
              <w:spacing w:after="0" w:line="223" w:lineRule="exact"/>
              <w:rPr>
                <w:rFonts w:ascii="Arial" w:cs="Arial" w:eastAsia="Arial" w:hAnsi="Arial"/>
                <w:sz w:val="22"/>
                <w:szCs w:val="22"/>
                <w:color w:val="0000EE"/>
                <w:w w:val="93"/>
              </w:rPr>
            </w:pPr>
            <w:hyperlink w:anchor="page2">
              <w:r>
                <w:rPr>
                  <w:rFonts w:ascii="Arial" w:cs="Arial" w:eastAsia="Arial" w:hAnsi="Arial"/>
                  <w:sz w:val="22"/>
                  <w:szCs w:val="22"/>
                  <w:color w:val="0000EE"/>
                  <w:w w:val="93"/>
                </w:rPr>
                <w:t>Condensed Consolidated Balance Sheet as of June 30, 2004 and</w:t>
              </w:r>
            </w:hyperlink>
          </w:p>
        </w:tc>
        <w:tc>
          <w:tcPr>
            <w:tcW w:w="1180" w:type="dxa"/>
            <w:vAlign w:val="bottom"/>
            <w:gridSpan w:val="2"/>
            <w:vMerge w:val="restart"/>
          </w:tcPr>
          <w:p>
            <w:pPr>
              <w:jc w:val="right"/>
              <w:spacing w:after="0"/>
              <w:rPr>
                <w:sz w:val="20"/>
                <w:szCs w:val="20"/>
                <w:color w:val="auto"/>
              </w:rPr>
            </w:pPr>
            <w:r>
              <w:rPr>
                <w:rFonts w:ascii="Arial" w:cs="Arial" w:eastAsia="Arial" w:hAnsi="Arial"/>
                <w:sz w:val="22"/>
                <w:szCs w:val="22"/>
                <w:color w:val="auto"/>
              </w:rPr>
              <w:t>2</w:t>
            </w:r>
          </w:p>
        </w:tc>
        <w:tc>
          <w:tcPr>
            <w:tcW w:w="0" w:type="dxa"/>
            <w:vAlign w:val="bottom"/>
          </w:tcPr>
          <w:p>
            <w:pPr>
              <w:spacing w:after="0"/>
              <w:rPr>
                <w:sz w:val="1"/>
                <w:szCs w:val="1"/>
                <w:color w:val="auto"/>
              </w:rPr>
            </w:pPr>
          </w:p>
        </w:tc>
      </w:tr>
      <w:tr>
        <w:trPr>
          <w:trHeight w:val="223"/>
        </w:trPr>
        <w:tc>
          <w:tcPr>
            <w:tcW w:w="7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800" w:type="dxa"/>
            <w:vAlign w:val="bottom"/>
            <w:tcBorders>
              <w:top w:val="single" w:sz="8" w:color="0000EE"/>
              <w:bottom w:val="single" w:sz="8" w:color="0000EE"/>
            </w:tcBorders>
            <w:gridSpan w:val="4"/>
          </w:tcPr>
          <w:p>
            <w:pPr>
              <w:spacing w:after="0" w:line="223" w:lineRule="exact"/>
              <w:rPr>
                <w:rFonts w:ascii="Arial" w:cs="Arial" w:eastAsia="Arial" w:hAnsi="Arial"/>
                <w:sz w:val="22"/>
                <w:szCs w:val="22"/>
                <w:color w:val="0000EE"/>
                <w:w w:val="88"/>
              </w:rPr>
            </w:pPr>
            <w:hyperlink w:anchor="page2">
              <w:r>
                <w:rPr>
                  <w:rFonts w:ascii="Arial" w:cs="Arial" w:eastAsia="Arial" w:hAnsi="Arial"/>
                  <w:sz w:val="22"/>
                  <w:szCs w:val="22"/>
                  <w:color w:val="0000EE"/>
                  <w:w w:val="88"/>
                </w:rPr>
                <w:t>December 31, 2003 (Unaudited)</w:t>
              </w:r>
            </w:hyperlink>
          </w:p>
        </w:tc>
        <w:tc>
          <w:tcPr>
            <w:tcW w:w="2720" w:type="dxa"/>
            <w:vAlign w:val="bottom"/>
            <w:tcBorders>
              <w:top w:val="single" w:sz="8" w:color="0000EE"/>
            </w:tcBorders>
            <w:gridSpan w:val="4"/>
          </w:tcPr>
          <w:p>
            <w:pPr>
              <w:spacing w:after="0"/>
              <w:rPr>
                <w:sz w:val="19"/>
                <w:szCs w:val="19"/>
                <w:color w:val="auto"/>
              </w:rPr>
            </w:pPr>
          </w:p>
        </w:tc>
        <w:tc>
          <w:tcPr>
            <w:tcW w:w="480" w:type="dxa"/>
            <w:vAlign w:val="bottom"/>
            <w:gridSpan w:val="4"/>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200" w:type="dxa"/>
            <w:vAlign w:val="bottom"/>
            <w:tcBorders>
              <w:bottom w:val="single" w:sz="8" w:color="0000EE"/>
            </w:tcBorders>
            <w:gridSpan w:val="13"/>
          </w:tcPr>
          <w:p>
            <w:pPr>
              <w:spacing w:after="0" w:line="223" w:lineRule="exact"/>
              <w:rPr>
                <w:rFonts w:ascii="Arial" w:cs="Arial" w:eastAsia="Arial" w:hAnsi="Arial"/>
                <w:sz w:val="22"/>
                <w:szCs w:val="22"/>
                <w:color w:val="0000EE"/>
                <w:w w:val="87"/>
              </w:rPr>
            </w:pPr>
            <w:hyperlink w:anchor="page3">
              <w:r>
                <w:rPr>
                  <w:rFonts w:ascii="Arial" w:cs="Arial" w:eastAsia="Arial" w:hAnsi="Arial"/>
                  <w:sz w:val="22"/>
                  <w:szCs w:val="22"/>
                  <w:color w:val="0000EE"/>
                  <w:w w:val="87"/>
                </w:rPr>
                <w:t>Condensed Consolidated Statement of Operations for the Three and Six</w:t>
              </w:r>
            </w:hyperlink>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80" w:type="dxa"/>
            <w:vAlign w:val="bottom"/>
            <w:tcBorders>
              <w:bottom w:val="single" w:sz="8" w:color="0000EE"/>
            </w:tcBorders>
            <w:gridSpan w:val="5"/>
          </w:tcPr>
          <w:p>
            <w:pPr>
              <w:spacing w:after="0" w:line="223" w:lineRule="exact"/>
              <w:rPr>
                <w:rFonts w:ascii="Arial" w:cs="Arial" w:eastAsia="Arial" w:hAnsi="Arial"/>
                <w:sz w:val="22"/>
                <w:szCs w:val="22"/>
                <w:color w:val="0000EE"/>
                <w:w w:val="88"/>
              </w:rPr>
            </w:pPr>
            <w:hyperlink w:anchor="page3">
              <w:r>
                <w:rPr>
                  <w:rFonts w:ascii="Arial" w:cs="Arial" w:eastAsia="Arial" w:hAnsi="Arial"/>
                  <w:sz w:val="22"/>
                  <w:szCs w:val="22"/>
                  <w:color w:val="0000EE"/>
                  <w:w w:val="88"/>
                </w:rPr>
                <w:t>Months Ended June 30, 2004 and 2003 (Unaudited)</w:t>
              </w:r>
            </w:hyperlink>
          </w:p>
        </w:tc>
        <w:tc>
          <w:tcPr>
            <w:tcW w:w="1520" w:type="dxa"/>
            <w:vAlign w:val="bottom"/>
            <w:gridSpan w:val="7"/>
          </w:tcPr>
          <w:p>
            <w:pPr>
              <w:spacing w:after="0"/>
              <w:rPr>
                <w:sz w:val="19"/>
                <w:szCs w:val="19"/>
                <w:color w:val="auto"/>
              </w:rPr>
            </w:pPr>
          </w:p>
        </w:tc>
        <w:tc>
          <w:tcPr>
            <w:tcW w:w="1180" w:type="dxa"/>
            <w:vAlign w:val="bottom"/>
            <w:gridSpan w:val="2"/>
          </w:tcPr>
          <w:p>
            <w:pPr>
              <w:jc w:val="right"/>
              <w:spacing w:after="0" w:line="223" w:lineRule="exact"/>
              <w:rPr>
                <w:sz w:val="20"/>
                <w:szCs w:val="20"/>
                <w:color w:val="auto"/>
              </w:rPr>
            </w:pPr>
            <w:r>
              <w:rPr>
                <w:rFonts w:ascii="Arial" w:cs="Arial" w:eastAsia="Arial" w:hAnsi="Arial"/>
                <w:sz w:val="22"/>
                <w:szCs w:val="22"/>
                <w:color w:val="auto"/>
              </w:rPr>
              <w:t>3</w:t>
            </w:r>
          </w:p>
        </w:tc>
        <w:tc>
          <w:tcPr>
            <w:tcW w:w="0" w:type="dxa"/>
            <w:vAlign w:val="bottom"/>
          </w:tcPr>
          <w:p>
            <w:pPr>
              <w:spacing w:after="0"/>
              <w:rPr>
                <w:sz w:val="1"/>
                <w:szCs w:val="1"/>
                <w:color w:val="auto"/>
              </w:rPr>
            </w:pPr>
          </w:p>
        </w:tc>
      </w:tr>
      <w:tr>
        <w:trPr>
          <w:trHeight w:val="223"/>
        </w:trPr>
        <w:tc>
          <w:tcPr>
            <w:tcW w:w="7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920" w:type="dxa"/>
            <w:vAlign w:val="bottom"/>
            <w:tcBorders>
              <w:bottom w:val="single" w:sz="8" w:color="0000EE"/>
            </w:tcBorders>
            <w:gridSpan w:val="11"/>
          </w:tcPr>
          <w:p>
            <w:pPr>
              <w:spacing w:after="0" w:line="223" w:lineRule="exact"/>
              <w:rPr>
                <w:rFonts w:ascii="Arial" w:cs="Arial" w:eastAsia="Arial" w:hAnsi="Arial"/>
                <w:sz w:val="22"/>
                <w:szCs w:val="22"/>
                <w:color w:val="0000EE"/>
                <w:w w:val="87"/>
              </w:rPr>
            </w:pPr>
            <w:hyperlink w:anchor="page4">
              <w:r>
                <w:rPr>
                  <w:rFonts w:ascii="Arial" w:cs="Arial" w:eastAsia="Arial" w:hAnsi="Arial"/>
                  <w:sz w:val="22"/>
                  <w:szCs w:val="22"/>
                  <w:color w:val="0000EE"/>
                  <w:w w:val="87"/>
                </w:rPr>
                <w:t>Condensed Consolidated Statement of Cash Flows for the Three and</w:t>
              </w:r>
            </w:hyperlink>
          </w:p>
        </w:tc>
        <w:tc>
          <w:tcPr>
            <w:tcW w:w="80" w:type="dxa"/>
            <w:vAlign w:val="bottom"/>
          </w:tcPr>
          <w:p>
            <w:pPr>
              <w:spacing w:after="0"/>
              <w:rPr>
                <w:sz w:val="19"/>
                <w:szCs w:val="19"/>
                <w:color w:val="auto"/>
              </w:rPr>
            </w:pPr>
          </w:p>
        </w:tc>
        <w:tc>
          <w:tcPr>
            <w:tcW w:w="1180" w:type="dxa"/>
            <w:vAlign w:val="bottom"/>
            <w:gridSpan w:val="2"/>
            <w:vMerge w:val="restart"/>
          </w:tcPr>
          <w:p>
            <w:pPr>
              <w:jc w:val="right"/>
              <w:spacing w:after="0"/>
              <w:rPr>
                <w:sz w:val="20"/>
                <w:szCs w:val="20"/>
                <w:color w:val="auto"/>
              </w:rPr>
            </w:pPr>
            <w:r>
              <w:rPr>
                <w:rFonts w:ascii="Arial" w:cs="Arial" w:eastAsia="Arial" w:hAnsi="Arial"/>
                <w:sz w:val="22"/>
                <w:szCs w:val="22"/>
                <w:color w:val="auto"/>
              </w:rPr>
              <w:t>4</w:t>
            </w:r>
          </w:p>
        </w:tc>
        <w:tc>
          <w:tcPr>
            <w:tcW w:w="0" w:type="dxa"/>
            <w:vAlign w:val="bottom"/>
          </w:tcPr>
          <w:p>
            <w:pPr>
              <w:spacing w:after="0"/>
              <w:rPr>
                <w:sz w:val="1"/>
                <w:szCs w:val="1"/>
                <w:color w:val="auto"/>
              </w:rPr>
            </w:pPr>
          </w:p>
        </w:tc>
      </w:tr>
      <w:tr>
        <w:trPr>
          <w:trHeight w:val="223"/>
        </w:trPr>
        <w:tc>
          <w:tcPr>
            <w:tcW w:w="7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820" w:type="dxa"/>
            <w:vAlign w:val="bottom"/>
            <w:tcBorders>
              <w:bottom w:val="single" w:sz="8" w:color="0000EE"/>
            </w:tcBorders>
            <w:gridSpan w:val="6"/>
          </w:tcPr>
          <w:p>
            <w:pPr>
              <w:spacing w:after="0" w:line="223" w:lineRule="exact"/>
              <w:rPr>
                <w:rFonts w:ascii="Arial" w:cs="Arial" w:eastAsia="Arial" w:hAnsi="Arial"/>
                <w:sz w:val="22"/>
                <w:szCs w:val="22"/>
                <w:color w:val="0000EE"/>
                <w:w w:val="88"/>
              </w:rPr>
            </w:pPr>
            <w:hyperlink w:anchor="page4">
              <w:r>
                <w:rPr>
                  <w:rFonts w:ascii="Arial" w:cs="Arial" w:eastAsia="Arial" w:hAnsi="Arial"/>
                  <w:sz w:val="22"/>
                  <w:szCs w:val="22"/>
                  <w:color w:val="0000EE"/>
                  <w:w w:val="88"/>
                </w:rPr>
                <w:t>Six Months Ended June 30, 2004 and 2003 (Unaudited)</w:t>
              </w:r>
            </w:hyperlink>
          </w:p>
        </w:tc>
        <w:tc>
          <w:tcPr>
            <w:tcW w:w="1180" w:type="dxa"/>
            <w:vAlign w:val="bottom"/>
            <w:gridSpan w:val="6"/>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900" w:type="dxa"/>
            <w:vAlign w:val="bottom"/>
            <w:tcBorders>
              <w:bottom w:val="single" w:sz="8" w:color="0000EE"/>
            </w:tcBorders>
            <w:gridSpan w:val="10"/>
          </w:tcPr>
          <w:p>
            <w:pPr>
              <w:spacing w:after="0" w:line="223" w:lineRule="exact"/>
              <w:rPr>
                <w:rFonts w:ascii="Arial" w:cs="Arial" w:eastAsia="Arial" w:hAnsi="Arial"/>
                <w:sz w:val="22"/>
                <w:szCs w:val="22"/>
                <w:color w:val="0000EE"/>
                <w:w w:val="88"/>
              </w:rPr>
            </w:pPr>
            <w:hyperlink w:anchor="page5">
              <w:r>
                <w:rPr>
                  <w:rFonts w:ascii="Arial" w:cs="Arial" w:eastAsia="Arial" w:hAnsi="Arial"/>
                  <w:sz w:val="22"/>
                  <w:szCs w:val="22"/>
                  <w:color w:val="0000EE"/>
                  <w:w w:val="88"/>
                </w:rPr>
                <w:t>Notes to Condensed Consolidated Financial Statements (Unaudited)</w:t>
              </w:r>
            </w:hyperlink>
          </w:p>
        </w:tc>
        <w:tc>
          <w:tcPr>
            <w:tcW w:w="100" w:type="dxa"/>
            <w:vAlign w:val="bottom"/>
            <w:gridSpan w:val="2"/>
          </w:tcPr>
          <w:p>
            <w:pPr>
              <w:spacing w:after="0"/>
              <w:rPr>
                <w:sz w:val="19"/>
                <w:szCs w:val="19"/>
                <w:color w:val="auto"/>
              </w:rPr>
            </w:pPr>
          </w:p>
        </w:tc>
        <w:tc>
          <w:tcPr>
            <w:tcW w:w="1180" w:type="dxa"/>
            <w:vAlign w:val="bottom"/>
            <w:gridSpan w:val="2"/>
          </w:tcPr>
          <w:p>
            <w:pPr>
              <w:jc w:val="right"/>
              <w:spacing w:after="0" w:line="223" w:lineRule="exact"/>
              <w:rPr>
                <w:sz w:val="20"/>
                <w:szCs w:val="20"/>
                <w:color w:val="auto"/>
              </w:rPr>
            </w:pPr>
            <w:r>
              <w:rPr>
                <w:rFonts w:ascii="Arial" w:cs="Arial" w:eastAsia="Arial" w:hAnsi="Arial"/>
                <w:sz w:val="22"/>
                <w:szCs w:val="22"/>
                <w:color w:val="auto"/>
              </w:rPr>
              <w:t>5</w:t>
            </w:r>
          </w:p>
        </w:tc>
        <w:tc>
          <w:tcPr>
            <w:tcW w:w="0" w:type="dxa"/>
            <w:vAlign w:val="bottom"/>
          </w:tcPr>
          <w:p>
            <w:pPr>
              <w:spacing w:after="0"/>
              <w:rPr>
                <w:sz w:val="1"/>
                <w:szCs w:val="1"/>
                <w:color w:val="auto"/>
              </w:rPr>
            </w:pPr>
          </w:p>
        </w:tc>
      </w:tr>
      <w:tr>
        <w:trPr>
          <w:trHeight w:val="223"/>
        </w:trPr>
        <w:tc>
          <w:tcPr>
            <w:tcW w:w="7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140" w:type="dxa"/>
            <w:vAlign w:val="bottom"/>
            <w:gridSpan w:val="14"/>
          </w:tcPr>
          <w:p>
            <w:pPr>
              <w:spacing w:after="0" w:line="223" w:lineRule="exact"/>
              <w:rPr>
                <w:rFonts w:ascii="Arial" w:cs="Arial" w:eastAsia="Arial" w:hAnsi="Arial"/>
                <w:sz w:val="22"/>
                <w:szCs w:val="22"/>
                <w:color w:val="0000EE"/>
                <w:w w:val="89"/>
              </w:rPr>
            </w:pPr>
            <w:hyperlink w:anchor="page27">
              <w:r>
                <w:rPr>
                  <w:rFonts w:ascii="Arial" w:cs="Arial" w:eastAsia="Arial" w:hAnsi="Arial"/>
                  <w:sz w:val="22"/>
                  <w:szCs w:val="22"/>
                  <w:color w:val="0000EE"/>
                  <w:w w:val="89"/>
                </w:rPr>
                <w:t>ITEM 2.</w:t>
              </w:r>
            </w:hyperlink>
            <w:hyperlink w:anchor="page27">
              <w:r>
                <w:rPr>
                  <w:rFonts w:ascii="Arial" w:cs="Arial" w:eastAsia="Arial" w:hAnsi="Arial"/>
                  <w:sz w:val="22"/>
                  <w:szCs w:val="22"/>
                  <w:color w:val="0000EE"/>
                  <w:w w:val="89"/>
                </w:rPr>
                <w:t>Management's Discussion and Analysis of Financial Condition and</w:t>
              </w:r>
            </w:hyperlink>
          </w:p>
        </w:tc>
        <w:tc>
          <w:tcPr>
            <w:tcW w:w="1180" w:type="dxa"/>
            <w:vAlign w:val="bottom"/>
            <w:gridSpan w:val="2"/>
          </w:tcPr>
          <w:p>
            <w:pPr>
              <w:jc w:val="right"/>
              <w:spacing w:after="0" w:line="223" w:lineRule="exact"/>
              <w:rPr>
                <w:sz w:val="20"/>
                <w:szCs w:val="20"/>
                <w:color w:val="auto"/>
              </w:rPr>
            </w:pPr>
            <w:r>
              <w:rPr>
                <w:rFonts w:ascii="Arial" w:cs="Arial" w:eastAsia="Arial" w:hAnsi="Arial"/>
                <w:sz w:val="22"/>
                <w:szCs w:val="22"/>
                <w:color w:val="auto"/>
              </w:rPr>
              <w:t>28</w:t>
            </w:r>
          </w:p>
        </w:tc>
        <w:tc>
          <w:tcPr>
            <w:tcW w:w="0" w:type="dxa"/>
            <w:vAlign w:val="bottom"/>
          </w:tcPr>
          <w:p>
            <w:pPr>
              <w:spacing w:after="0"/>
              <w:rPr>
                <w:sz w:val="1"/>
                <w:szCs w:val="1"/>
                <w:color w:val="auto"/>
              </w:rPr>
            </w:pPr>
          </w:p>
        </w:tc>
      </w:tr>
      <w:tr>
        <w:trPr>
          <w:trHeight w:val="223"/>
        </w:trPr>
        <w:tc>
          <w:tcPr>
            <w:tcW w:w="7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tcBorders>
              <w:top w:val="single" w:sz="8" w:color="0000EE"/>
            </w:tcBorders>
          </w:tcPr>
          <w:p>
            <w:pPr>
              <w:spacing w:after="0"/>
              <w:rPr>
                <w:sz w:val="19"/>
                <w:szCs w:val="19"/>
                <w:color w:val="auto"/>
              </w:rPr>
            </w:pPr>
          </w:p>
        </w:tc>
        <w:tc>
          <w:tcPr>
            <w:tcW w:w="400" w:type="dxa"/>
            <w:vAlign w:val="bottom"/>
          </w:tcPr>
          <w:p>
            <w:pPr>
              <w:spacing w:after="0"/>
              <w:rPr>
                <w:sz w:val="19"/>
                <w:szCs w:val="19"/>
                <w:color w:val="auto"/>
              </w:rPr>
            </w:pPr>
          </w:p>
        </w:tc>
        <w:tc>
          <w:tcPr>
            <w:tcW w:w="5800" w:type="dxa"/>
            <w:vAlign w:val="bottom"/>
            <w:tcBorders>
              <w:top w:val="single" w:sz="8" w:color="0000EE"/>
            </w:tcBorders>
            <w:gridSpan w:val="9"/>
          </w:tcPr>
          <w:p>
            <w:pPr>
              <w:spacing w:after="0" w:line="223" w:lineRule="exact"/>
              <w:rPr>
                <w:rFonts w:ascii="Arial" w:cs="Arial" w:eastAsia="Arial" w:hAnsi="Arial"/>
                <w:sz w:val="22"/>
                <w:szCs w:val="22"/>
                <w:color w:val="0000EE"/>
              </w:rPr>
            </w:pPr>
            <w:hyperlink w:anchor="page27">
              <w:r>
                <w:rPr>
                  <w:rFonts w:ascii="Arial" w:cs="Arial" w:eastAsia="Arial" w:hAnsi="Arial"/>
                  <w:sz w:val="22"/>
                  <w:szCs w:val="22"/>
                  <w:color w:val="0000EE"/>
                </w:rPr>
                <w:t>Results of Operations</w:t>
              </w:r>
            </w:hyperlink>
          </w:p>
        </w:tc>
        <w:tc>
          <w:tcPr>
            <w:tcW w:w="200" w:type="dxa"/>
            <w:vAlign w:val="bottom"/>
            <w:gridSpan w:val="3"/>
          </w:tcPr>
          <w:p>
            <w:pPr>
              <w:spacing w:after="0"/>
              <w:rPr>
                <w:sz w:val="19"/>
                <w:szCs w:val="19"/>
                <w:color w:val="auto"/>
              </w:rPr>
            </w:pPr>
          </w:p>
        </w:tc>
        <w:tc>
          <w:tcPr>
            <w:tcW w:w="1180" w:type="dxa"/>
            <w:vAlign w:val="bottom"/>
            <w:gridSpan w:val="2"/>
            <w:vMerge w:val="restart"/>
          </w:tcPr>
          <w:p>
            <w:pPr>
              <w:jc w:val="right"/>
              <w:spacing w:after="0"/>
              <w:rPr>
                <w:sz w:val="20"/>
                <w:szCs w:val="20"/>
                <w:color w:val="auto"/>
              </w:rPr>
            </w:pPr>
            <w:r>
              <w:rPr>
                <w:rFonts w:ascii="Arial" w:cs="Arial" w:eastAsia="Arial" w:hAnsi="Arial"/>
                <w:sz w:val="22"/>
                <w:szCs w:val="22"/>
                <w:color w:val="auto"/>
              </w:rPr>
              <w:t>35</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60" w:type="dxa"/>
            <w:vAlign w:val="bottom"/>
            <w:gridSpan w:val="3"/>
            <w:shd w:val="clear" w:color="auto" w:fill="0000EE"/>
          </w:tcPr>
          <w:p>
            <w:pPr>
              <w:spacing w:after="0" w:line="20" w:lineRule="exact"/>
              <w:rPr>
                <w:sz w:val="1"/>
                <w:szCs w:val="1"/>
                <w:color w:val="auto"/>
              </w:rPr>
            </w:pPr>
          </w:p>
        </w:tc>
        <w:tc>
          <w:tcPr>
            <w:tcW w:w="3360" w:type="dxa"/>
            <w:vAlign w:val="bottom"/>
            <w:gridSpan w:val="4"/>
          </w:tcPr>
          <w:p>
            <w:pPr>
              <w:spacing w:after="0" w:line="20" w:lineRule="exact"/>
              <w:rPr>
                <w:sz w:val="1"/>
                <w:szCs w:val="1"/>
                <w:color w:val="auto"/>
              </w:rPr>
            </w:pPr>
          </w:p>
        </w:tc>
        <w:tc>
          <w:tcPr>
            <w:tcW w:w="780" w:type="dxa"/>
            <w:vAlign w:val="bottom"/>
            <w:gridSpan w:val="5"/>
          </w:tcPr>
          <w:p>
            <w:pPr>
              <w:spacing w:after="0" w:line="20" w:lineRule="exact"/>
              <w:rPr>
                <w:sz w:val="1"/>
                <w:szCs w:val="1"/>
                <w:color w:val="auto"/>
              </w:rPr>
            </w:pPr>
          </w:p>
        </w:tc>
        <w:tc>
          <w:tcPr>
            <w:tcW w:w="118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140" w:type="dxa"/>
            <w:vAlign w:val="bottom"/>
            <w:gridSpan w:val="14"/>
          </w:tcPr>
          <w:p>
            <w:pPr>
              <w:spacing w:after="0" w:line="223" w:lineRule="exact"/>
              <w:rPr>
                <w:rFonts w:ascii="Arial" w:cs="Arial" w:eastAsia="Arial" w:hAnsi="Arial"/>
                <w:sz w:val="22"/>
                <w:szCs w:val="22"/>
                <w:color w:val="0000EE"/>
                <w:w w:val="90"/>
              </w:rPr>
            </w:pPr>
            <w:hyperlink w:anchor="page33">
              <w:r>
                <w:rPr>
                  <w:rFonts w:ascii="Arial" w:cs="Arial" w:eastAsia="Arial" w:hAnsi="Arial"/>
                  <w:sz w:val="22"/>
                  <w:szCs w:val="22"/>
                  <w:color w:val="0000EE"/>
                  <w:w w:val="90"/>
                </w:rPr>
                <w:t>ITEM 3.</w:t>
              </w:r>
            </w:hyperlink>
            <w:hyperlink w:anchor="page33">
              <w:r>
                <w:rPr>
                  <w:rFonts w:ascii="Arial" w:cs="Arial" w:eastAsia="Arial" w:hAnsi="Arial"/>
                  <w:sz w:val="22"/>
                  <w:szCs w:val="22"/>
                  <w:color w:val="0000EE"/>
                  <w:w w:val="90"/>
                </w:rPr>
                <w:t>Quantitative and Qualitative Disclosures About Market Risk</w:t>
              </w:r>
            </w:hyperlink>
          </w:p>
        </w:tc>
        <w:tc>
          <w:tcPr>
            <w:tcW w:w="11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40"/>
          </w:cols>
          <w:pgMar w:left="240" w:top="220" w:right="219"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7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80" w:type="dxa"/>
            <w:vAlign w:val="bottom"/>
            <w:gridSpan w:val="11"/>
          </w:tcPr>
          <w:p>
            <w:pPr>
              <w:spacing w:after="0"/>
              <w:rPr>
                <w:rFonts w:ascii="Arial" w:cs="Arial" w:eastAsia="Arial" w:hAnsi="Arial"/>
                <w:sz w:val="22"/>
                <w:szCs w:val="22"/>
                <w:color w:val="0000EE"/>
                <w:w w:val="87"/>
              </w:rPr>
            </w:pPr>
            <w:hyperlink w:anchor="page33">
              <w:r>
                <w:rPr>
                  <w:rFonts w:ascii="Arial" w:cs="Arial" w:eastAsia="Arial" w:hAnsi="Arial"/>
                  <w:sz w:val="22"/>
                  <w:szCs w:val="22"/>
                  <w:color w:val="0000EE"/>
                  <w:w w:val="87"/>
                </w:rPr>
                <w:t>ITEM 4.</w:t>
              </w:r>
            </w:hyperlink>
            <w:hyperlink w:anchor="page33">
              <w:r>
                <w:rPr>
                  <w:rFonts w:ascii="Arial" w:cs="Arial" w:eastAsia="Arial" w:hAnsi="Arial"/>
                  <w:sz w:val="22"/>
                  <w:szCs w:val="22"/>
                  <w:color w:val="0000EE"/>
                  <w:w w:val="87"/>
                </w:rPr>
                <w:t>Controls and Procedures</w:t>
              </w:r>
            </w:hyperlink>
          </w:p>
        </w:tc>
        <w:tc>
          <w:tcPr>
            <w:tcW w:w="640" w:type="dxa"/>
            <w:vAlign w:val="bottom"/>
          </w:tcPr>
          <w:p>
            <w:pPr>
              <w:jc w:val="right"/>
              <w:spacing w:after="0"/>
              <w:rPr>
                <w:sz w:val="20"/>
                <w:szCs w:val="20"/>
                <w:color w:val="auto"/>
              </w:rPr>
            </w:pPr>
            <w:r>
              <w:rPr>
                <w:rFonts w:ascii="Arial" w:cs="Arial" w:eastAsia="Arial" w:hAnsi="Arial"/>
                <w:sz w:val="22"/>
                <w:szCs w:val="22"/>
                <w:color w:val="auto"/>
              </w:rPr>
              <w:t>35</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820" w:type="dxa"/>
            <w:vAlign w:val="bottom"/>
            <w:gridSpan w:val="13"/>
          </w:tcPr>
          <w:p>
            <w:pPr>
              <w:spacing w:after="0" w:line="223" w:lineRule="exact"/>
              <w:rPr>
                <w:rFonts w:ascii="Arial" w:cs="Arial" w:eastAsia="Arial" w:hAnsi="Arial"/>
                <w:sz w:val="22"/>
                <w:szCs w:val="22"/>
                <w:color w:val="0000EE"/>
              </w:rPr>
            </w:pPr>
            <w:hyperlink w:anchor="page33">
              <w:r>
                <w:rPr>
                  <w:rFonts w:ascii="Arial" w:cs="Arial" w:eastAsia="Arial" w:hAnsi="Arial"/>
                  <w:sz w:val="22"/>
                  <w:szCs w:val="22"/>
                  <w:color w:val="0000EE"/>
                </w:rPr>
                <w:t>PART II.    OTHER INFORMATION</w:t>
              </w:r>
            </w:hyperlink>
          </w:p>
        </w:tc>
        <w:tc>
          <w:tcPr>
            <w:tcW w:w="640" w:type="dxa"/>
            <w:vAlign w:val="bottom"/>
            <w:vMerge w:val="restart"/>
          </w:tcPr>
          <w:p>
            <w:pPr>
              <w:jc w:val="right"/>
              <w:spacing w:after="0"/>
              <w:rPr>
                <w:sz w:val="20"/>
                <w:szCs w:val="20"/>
                <w:color w:val="auto"/>
              </w:rPr>
            </w:pPr>
            <w:r>
              <w:rPr>
                <w:rFonts w:ascii="Arial" w:cs="Arial" w:eastAsia="Arial" w:hAnsi="Arial"/>
                <w:sz w:val="22"/>
                <w:szCs w:val="22"/>
                <w:color w:val="auto"/>
              </w:rPr>
              <w:t>35</w:t>
            </w:r>
          </w:p>
        </w:tc>
        <w:tc>
          <w:tcPr>
            <w:tcW w:w="0" w:type="dxa"/>
            <w:vAlign w:val="bottom"/>
          </w:tcPr>
          <w:p>
            <w:pPr>
              <w:spacing w:after="0"/>
              <w:rPr>
                <w:sz w:val="1"/>
                <w:szCs w:val="1"/>
                <w:color w:val="auto"/>
              </w:rPr>
            </w:pPr>
          </w:p>
        </w:tc>
      </w:tr>
      <w:tr>
        <w:trPr>
          <w:trHeight w:val="20"/>
        </w:trPr>
        <w:tc>
          <w:tcPr>
            <w:tcW w:w="78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gridSpan w:val="2"/>
          </w:tcPr>
          <w:p>
            <w:pPr>
              <w:spacing w:after="0" w:line="223" w:lineRule="exact"/>
              <w:rPr>
                <w:rFonts w:ascii="Arial" w:cs="Arial" w:eastAsia="Arial" w:hAnsi="Arial"/>
                <w:sz w:val="22"/>
                <w:szCs w:val="22"/>
                <w:color w:val="0000EE"/>
              </w:rPr>
            </w:pPr>
            <w:hyperlink w:anchor="page33">
              <w:r>
                <w:rPr>
                  <w:rFonts w:ascii="Arial" w:cs="Arial" w:eastAsia="Arial" w:hAnsi="Arial"/>
                  <w:sz w:val="22"/>
                  <w:szCs w:val="22"/>
                  <w:color w:val="0000EE"/>
                </w:rPr>
                <w:t>ITEM 1.</w:t>
              </w:r>
            </w:hyperlink>
          </w:p>
        </w:tc>
        <w:tc>
          <w:tcPr>
            <w:tcW w:w="6540" w:type="dxa"/>
            <w:vAlign w:val="bottom"/>
            <w:gridSpan w:val="9"/>
          </w:tcPr>
          <w:p>
            <w:pPr>
              <w:spacing w:after="0" w:line="223" w:lineRule="exact"/>
              <w:rPr>
                <w:rFonts w:ascii="Arial" w:cs="Arial" w:eastAsia="Arial" w:hAnsi="Arial"/>
                <w:sz w:val="22"/>
                <w:szCs w:val="22"/>
                <w:color w:val="0000EE"/>
              </w:rPr>
            </w:pPr>
            <w:hyperlink w:anchor="page33">
              <w:r>
                <w:rPr>
                  <w:rFonts w:ascii="Arial" w:cs="Arial" w:eastAsia="Arial" w:hAnsi="Arial"/>
                  <w:sz w:val="22"/>
                  <w:szCs w:val="22"/>
                  <w:color w:val="0000EE"/>
                </w:rPr>
                <w:t>Legal Proceedings</w:t>
              </w:r>
            </w:hyperlink>
          </w:p>
        </w:tc>
        <w:tc>
          <w:tcPr>
            <w:tcW w:w="6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gridSpan w:val="2"/>
            <w:vMerge w:val="restart"/>
          </w:tcPr>
          <w:p>
            <w:pPr>
              <w:spacing w:after="0"/>
              <w:rPr>
                <w:rFonts w:ascii="Arial" w:cs="Arial" w:eastAsia="Arial" w:hAnsi="Arial"/>
                <w:sz w:val="22"/>
                <w:szCs w:val="22"/>
                <w:color w:val="0000EE"/>
              </w:rPr>
            </w:pPr>
            <w:hyperlink w:anchor="page33">
              <w:r>
                <w:rPr>
                  <w:rFonts w:ascii="Arial" w:cs="Arial" w:eastAsia="Arial" w:hAnsi="Arial"/>
                  <w:sz w:val="22"/>
                  <w:szCs w:val="22"/>
                  <w:color w:val="0000EE"/>
                </w:rPr>
                <w:t>ITEM 2.</w:t>
              </w:r>
            </w:hyperlink>
          </w:p>
        </w:tc>
        <w:tc>
          <w:tcPr>
            <w:tcW w:w="6540" w:type="dxa"/>
            <w:vAlign w:val="bottom"/>
            <w:gridSpan w:val="9"/>
          </w:tcPr>
          <w:p>
            <w:pPr>
              <w:spacing w:after="0" w:line="223" w:lineRule="exact"/>
              <w:rPr>
                <w:rFonts w:ascii="Arial" w:cs="Arial" w:eastAsia="Arial" w:hAnsi="Arial"/>
                <w:sz w:val="22"/>
                <w:szCs w:val="22"/>
                <w:color w:val="0000EE"/>
                <w:w w:val="93"/>
              </w:rPr>
            </w:pPr>
            <w:hyperlink w:anchor="page33">
              <w:r>
                <w:rPr>
                  <w:rFonts w:ascii="Arial" w:cs="Arial" w:eastAsia="Arial" w:hAnsi="Arial"/>
                  <w:sz w:val="22"/>
                  <w:szCs w:val="22"/>
                  <w:color w:val="0000EE"/>
                  <w:w w:val="93"/>
                </w:rPr>
                <w:t>Changes in Securities, Use of Proceeds and Issuer Purchases of Equity</w:t>
              </w:r>
            </w:hyperlink>
          </w:p>
        </w:tc>
        <w:tc>
          <w:tcPr>
            <w:tcW w:w="640" w:type="dxa"/>
            <w:vAlign w:val="bottom"/>
            <w:vMerge w:val="restart"/>
          </w:tcPr>
          <w:p>
            <w:pPr>
              <w:jc w:val="right"/>
              <w:spacing w:after="0"/>
              <w:rPr>
                <w:sz w:val="20"/>
                <w:szCs w:val="20"/>
                <w:color w:val="auto"/>
              </w:rPr>
            </w:pPr>
            <w:r>
              <w:rPr>
                <w:rFonts w:ascii="Arial" w:cs="Arial" w:eastAsia="Arial" w:hAnsi="Arial"/>
                <w:sz w:val="22"/>
                <w:szCs w:val="22"/>
                <w:color w:val="auto"/>
              </w:rPr>
              <w:t>35</w:t>
            </w:r>
          </w:p>
        </w:tc>
        <w:tc>
          <w:tcPr>
            <w:tcW w:w="0" w:type="dxa"/>
            <w:vAlign w:val="bottom"/>
          </w:tcPr>
          <w:p>
            <w:pPr>
              <w:spacing w:after="0"/>
              <w:rPr>
                <w:sz w:val="1"/>
                <w:szCs w:val="1"/>
                <w:color w:val="auto"/>
              </w:rPr>
            </w:pPr>
          </w:p>
        </w:tc>
      </w:tr>
      <w:tr>
        <w:trPr>
          <w:trHeight w:val="223"/>
        </w:trPr>
        <w:tc>
          <w:tcPr>
            <w:tcW w:w="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gridSpan w:val="2"/>
            <w:vMerge w:val="continue"/>
          </w:tcPr>
          <w:p>
            <w:pPr>
              <w:spacing w:after="0"/>
              <w:rPr>
                <w:sz w:val="19"/>
                <w:szCs w:val="19"/>
                <w:color w:val="auto"/>
              </w:rPr>
            </w:pPr>
          </w:p>
        </w:tc>
        <w:tc>
          <w:tcPr>
            <w:tcW w:w="6100" w:type="dxa"/>
            <w:vAlign w:val="bottom"/>
            <w:tcBorders>
              <w:top w:val="single" w:sz="8" w:color="0000EE"/>
            </w:tcBorders>
            <w:gridSpan w:val="8"/>
          </w:tcPr>
          <w:p>
            <w:pPr>
              <w:spacing w:after="0" w:line="223" w:lineRule="exact"/>
              <w:rPr>
                <w:rFonts w:ascii="Arial" w:cs="Arial" w:eastAsia="Arial" w:hAnsi="Arial"/>
                <w:sz w:val="22"/>
                <w:szCs w:val="22"/>
                <w:color w:val="0000EE"/>
              </w:rPr>
            </w:pPr>
            <w:hyperlink w:anchor="page33">
              <w:r>
                <w:rPr>
                  <w:rFonts w:ascii="Arial" w:cs="Arial" w:eastAsia="Arial" w:hAnsi="Arial"/>
                  <w:sz w:val="22"/>
                  <w:szCs w:val="22"/>
                  <w:color w:val="0000EE"/>
                </w:rPr>
                <w:t>Securities</w:t>
              </w:r>
            </w:hyperlink>
          </w:p>
        </w:tc>
        <w:tc>
          <w:tcPr>
            <w:tcW w:w="44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160" w:type="dxa"/>
            <w:vAlign w:val="bottom"/>
            <w:gridSpan w:val="4"/>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36</w:t>
            </w:r>
          </w:p>
        </w:tc>
        <w:tc>
          <w:tcPr>
            <w:tcW w:w="0" w:type="dxa"/>
            <w:vAlign w:val="bottom"/>
          </w:tcPr>
          <w:p>
            <w:pPr>
              <w:spacing w:after="0" w:line="20" w:lineRule="exact"/>
              <w:rPr>
                <w:sz w:val="1"/>
                <w:szCs w:val="1"/>
                <w:color w:val="auto"/>
              </w:rPr>
            </w:pPr>
          </w:p>
        </w:tc>
      </w:tr>
      <w:tr>
        <w:trPr>
          <w:trHeight w:val="223"/>
        </w:trPr>
        <w:tc>
          <w:tcPr>
            <w:tcW w:w="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gridSpan w:val="2"/>
          </w:tcPr>
          <w:p>
            <w:pPr>
              <w:spacing w:after="0" w:line="223" w:lineRule="exact"/>
              <w:rPr>
                <w:rFonts w:ascii="Arial" w:cs="Arial" w:eastAsia="Arial" w:hAnsi="Arial"/>
                <w:sz w:val="22"/>
                <w:szCs w:val="22"/>
                <w:color w:val="0000EE"/>
              </w:rPr>
            </w:pPr>
            <w:hyperlink w:anchor="page34">
              <w:r>
                <w:rPr>
                  <w:rFonts w:ascii="Arial" w:cs="Arial" w:eastAsia="Arial" w:hAnsi="Arial"/>
                  <w:sz w:val="22"/>
                  <w:szCs w:val="22"/>
                  <w:color w:val="0000EE"/>
                </w:rPr>
                <w:t>ITEM 4.</w:t>
              </w:r>
            </w:hyperlink>
          </w:p>
        </w:tc>
        <w:tc>
          <w:tcPr>
            <w:tcW w:w="6540" w:type="dxa"/>
            <w:vAlign w:val="bottom"/>
            <w:gridSpan w:val="9"/>
          </w:tcPr>
          <w:p>
            <w:pPr>
              <w:spacing w:after="0" w:line="223" w:lineRule="exact"/>
              <w:rPr>
                <w:rFonts w:ascii="Arial" w:cs="Arial" w:eastAsia="Arial" w:hAnsi="Arial"/>
                <w:sz w:val="22"/>
                <w:szCs w:val="22"/>
                <w:color w:val="0000EE"/>
              </w:rPr>
            </w:pPr>
            <w:hyperlink w:anchor="page34">
              <w:r>
                <w:rPr>
                  <w:rFonts w:ascii="Arial" w:cs="Arial" w:eastAsia="Arial" w:hAnsi="Arial"/>
                  <w:sz w:val="22"/>
                  <w:szCs w:val="22"/>
                  <w:color w:val="0000EE"/>
                </w:rPr>
                <w:t>Submission of Matters to a Vote of Security Holders</w:t>
              </w:r>
            </w:hyperlink>
          </w:p>
        </w:tc>
        <w:tc>
          <w:tcPr>
            <w:tcW w:w="6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20" w:type="dxa"/>
            <w:vAlign w:val="bottom"/>
            <w:gridSpan w:val="5"/>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64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38</w:t>
            </w:r>
          </w:p>
        </w:tc>
        <w:tc>
          <w:tcPr>
            <w:tcW w:w="0" w:type="dxa"/>
            <w:vAlign w:val="bottom"/>
          </w:tcPr>
          <w:p>
            <w:pPr>
              <w:spacing w:after="0" w:line="20" w:lineRule="exact"/>
              <w:rPr>
                <w:sz w:val="1"/>
                <w:szCs w:val="1"/>
                <w:color w:val="auto"/>
              </w:rPr>
            </w:pPr>
          </w:p>
        </w:tc>
      </w:tr>
      <w:tr>
        <w:trPr>
          <w:trHeight w:val="223"/>
        </w:trPr>
        <w:tc>
          <w:tcPr>
            <w:tcW w:w="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gridSpan w:val="2"/>
          </w:tcPr>
          <w:p>
            <w:pPr>
              <w:spacing w:after="0" w:line="223" w:lineRule="exact"/>
              <w:rPr>
                <w:rFonts w:ascii="Arial" w:cs="Arial" w:eastAsia="Arial" w:hAnsi="Arial"/>
                <w:sz w:val="22"/>
                <w:szCs w:val="22"/>
                <w:color w:val="0000EE"/>
              </w:rPr>
            </w:pPr>
            <w:hyperlink w:anchor="page35">
              <w:r>
                <w:rPr>
                  <w:rFonts w:ascii="Arial" w:cs="Arial" w:eastAsia="Arial" w:hAnsi="Arial"/>
                  <w:sz w:val="22"/>
                  <w:szCs w:val="22"/>
                  <w:color w:val="0000EE"/>
                </w:rPr>
                <w:t>ITEM 6.</w:t>
              </w:r>
            </w:hyperlink>
          </w:p>
        </w:tc>
        <w:tc>
          <w:tcPr>
            <w:tcW w:w="6540" w:type="dxa"/>
            <w:vAlign w:val="bottom"/>
            <w:gridSpan w:val="9"/>
          </w:tcPr>
          <w:p>
            <w:pPr>
              <w:spacing w:after="0" w:line="223" w:lineRule="exact"/>
              <w:rPr>
                <w:rFonts w:ascii="Arial" w:cs="Arial" w:eastAsia="Arial" w:hAnsi="Arial"/>
                <w:sz w:val="22"/>
                <w:szCs w:val="22"/>
                <w:color w:val="0000EE"/>
              </w:rPr>
            </w:pPr>
            <w:hyperlink w:anchor="page35">
              <w:r>
                <w:rPr>
                  <w:rFonts w:ascii="Arial" w:cs="Arial" w:eastAsia="Arial" w:hAnsi="Arial"/>
                  <w:sz w:val="22"/>
                  <w:szCs w:val="22"/>
                  <w:color w:val="0000EE"/>
                </w:rPr>
                <w:t>Exhibits and Reports on Form 8-K</w:t>
              </w:r>
            </w:hyperlink>
          </w:p>
        </w:tc>
        <w:tc>
          <w:tcPr>
            <w:tcW w:w="6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20" w:type="dxa"/>
            <w:vAlign w:val="bottom"/>
            <w:gridSpan w:val="5"/>
            <w:shd w:val="clear" w:color="auto" w:fill="0000EE"/>
          </w:tcPr>
          <w:p>
            <w:pPr>
              <w:spacing w:after="0" w:line="20" w:lineRule="exact"/>
              <w:rPr>
                <w:sz w:val="1"/>
                <w:szCs w:val="1"/>
                <w:color w:val="auto"/>
              </w:rPr>
            </w:pPr>
          </w:p>
        </w:tc>
        <w:tc>
          <w:tcPr>
            <w:tcW w:w="3540" w:type="dxa"/>
            <w:vAlign w:val="bottom"/>
            <w:gridSpan w:val="3"/>
          </w:tcPr>
          <w:p>
            <w:pPr>
              <w:spacing w:after="0" w:line="20" w:lineRule="exact"/>
              <w:rPr>
                <w:sz w:val="1"/>
                <w:szCs w:val="1"/>
                <w:color w:val="auto"/>
              </w:rPr>
            </w:pPr>
          </w:p>
        </w:tc>
        <w:tc>
          <w:tcPr>
            <w:tcW w:w="64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39</w:t>
            </w:r>
          </w:p>
        </w:tc>
        <w:tc>
          <w:tcPr>
            <w:tcW w:w="0" w:type="dxa"/>
            <w:vAlign w:val="bottom"/>
          </w:tcPr>
          <w:p>
            <w:pPr>
              <w:spacing w:after="0" w:line="20" w:lineRule="exact"/>
              <w:rPr>
                <w:sz w:val="1"/>
                <w:szCs w:val="1"/>
                <w:color w:val="auto"/>
              </w:rPr>
            </w:pPr>
          </w:p>
        </w:tc>
      </w:tr>
      <w:tr>
        <w:trPr>
          <w:trHeight w:val="223"/>
        </w:trPr>
        <w:tc>
          <w:tcPr>
            <w:tcW w:w="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80" w:type="dxa"/>
            <w:vAlign w:val="bottom"/>
            <w:gridSpan w:val="11"/>
          </w:tcPr>
          <w:p>
            <w:pPr>
              <w:spacing w:after="0" w:line="223" w:lineRule="exact"/>
              <w:rPr>
                <w:rFonts w:ascii="Arial" w:cs="Arial" w:eastAsia="Arial" w:hAnsi="Arial"/>
                <w:sz w:val="22"/>
                <w:szCs w:val="22"/>
                <w:color w:val="0000EE"/>
              </w:rPr>
            </w:pPr>
            <w:hyperlink w:anchor="page35">
              <w:r>
                <w:rPr>
                  <w:rFonts w:ascii="Arial" w:cs="Arial" w:eastAsia="Arial" w:hAnsi="Arial"/>
                  <w:sz w:val="22"/>
                  <w:szCs w:val="22"/>
                  <w:color w:val="0000EE"/>
                </w:rPr>
                <w:t>SIGNATURES</w:t>
              </w:r>
            </w:hyperlink>
          </w:p>
        </w:tc>
        <w:tc>
          <w:tcPr>
            <w:tcW w:w="6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2" w:lineRule="exact"/>
        <w:rPr>
          <w:sz w:val="20"/>
          <w:szCs w:val="20"/>
          <w:color w:val="auto"/>
        </w:rPr>
      </w:pPr>
    </w:p>
    <w:p>
      <w:pPr>
        <w:ind w:left="4800"/>
        <w:spacing w:after="0"/>
        <w:rPr>
          <w:sz w:val="20"/>
          <w:szCs w:val="20"/>
          <w:color w:val="auto"/>
        </w:rPr>
      </w:pPr>
      <w:r>
        <w:rPr>
          <w:rFonts w:ascii="Arial" w:cs="Arial" w:eastAsia="Arial" w:hAnsi="Arial"/>
          <w:sz w:val="22"/>
          <w:szCs w:val="22"/>
          <w:color w:val="auto"/>
        </w:rPr>
        <w:t>_________________</w:t>
      </w:r>
    </w:p>
    <w:p>
      <w:pPr>
        <w:spacing w:after="0" w:line="206" w:lineRule="exact"/>
        <w:rPr>
          <w:sz w:val="20"/>
          <w:szCs w:val="20"/>
          <w:color w:val="auto"/>
        </w:rPr>
      </w:pPr>
    </w:p>
    <w:p>
      <w:pPr>
        <w:ind w:firstLine="428"/>
        <w:spacing w:after="0" w:line="236" w:lineRule="auto"/>
        <w:rPr>
          <w:sz w:val="20"/>
          <w:szCs w:val="20"/>
          <w:color w:val="auto"/>
        </w:rPr>
      </w:pPr>
      <w:r>
        <w:rPr>
          <w:rFonts w:ascii="Arial" w:cs="Arial" w:eastAsia="Arial" w:hAnsi="Arial"/>
          <w:sz w:val="22"/>
          <w:szCs w:val="22"/>
          <w:color w:val="auto"/>
        </w:rPr>
        <w:t>This Quarterly Report on Form 10-Q is for the three and six months ended June 30, 2004. This Quarterly Report modifies and supersedes documents filed prior to this Quarterly Report. Information that we file with the SEC in the future will automatically update and supersede information contained in this Quarterly Report. In this Quarterly Report, we refer to Comcast Corporation as “Comcast”; Comcast and its consolidated subsidiaries as “we,” “us” and “our”; and Comcast Holdings Corporation as “Comcast Holdings.”</w:t>
      </w:r>
    </w:p>
    <w:p>
      <w:pPr>
        <w:spacing w:after="0" w:line="188" w:lineRule="exact"/>
        <w:rPr>
          <w:sz w:val="20"/>
          <w:szCs w:val="20"/>
          <w:color w:val="auto"/>
        </w:rPr>
      </w:pPr>
    </w:p>
    <w:p>
      <w:pPr>
        <w:ind w:firstLine="424"/>
        <w:spacing w:after="0" w:line="234" w:lineRule="auto"/>
        <w:rPr>
          <w:sz w:val="20"/>
          <w:szCs w:val="20"/>
          <w:color w:val="auto"/>
        </w:rPr>
      </w:pPr>
      <w:r>
        <w:rPr>
          <w:rFonts w:ascii="Arial" w:cs="Arial" w:eastAsia="Arial" w:hAnsi="Arial"/>
          <w:sz w:val="22"/>
          <w:szCs w:val="22"/>
          <w:color w:val="auto"/>
        </w:rPr>
        <w:t>You should carefully review the information contained in this Quarterly Report, and should particularly consider any risk factors that we set forth in this Quarterly Report and in other reports or documents that we file from time to time with the SEC. In this Quarterly Report, we state our beliefs of future events and of our future financial performance. In some cases, you can identify those so-called "forward-looking statements" by words such as "may," "will," "should," "expects," "plans," "anticipates," "believes," "estimates," "predicts," "potential," or "continue" or the negative of those words and other comparable words. You should be aware that those statements are only our predictions. In evaluating those statements, you should specifically consider various factors, including the risks outlined below. Actual events or our actual results may differ materially from any of our forward-looking statements.</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22"/>
          <w:szCs w:val="22"/>
          <w:color w:val="auto"/>
        </w:rPr>
        <w:t>Our businesses may be affected by, among other things:</w:t>
      </w:r>
    </w:p>
    <w:p>
      <w:pPr>
        <w:spacing w:after="0" w:line="206" w:lineRule="exact"/>
        <w:rPr>
          <w:sz w:val="20"/>
          <w:szCs w:val="20"/>
          <w:color w:val="auto"/>
        </w:rPr>
      </w:pPr>
    </w:p>
    <w:p>
      <w:pPr>
        <w:ind w:left="700" w:hanging="341"/>
        <w:spacing w:after="0"/>
        <w:tabs>
          <w:tab w:leader="none" w:pos="700" w:val="left"/>
        </w:tabs>
        <w:numPr>
          <w:ilvl w:val="0"/>
          <w:numId w:val="2"/>
        </w:numPr>
        <w:rPr>
          <w:rFonts w:ascii="Arial" w:cs="Arial" w:eastAsia="Arial" w:hAnsi="Arial"/>
          <w:sz w:val="22"/>
          <w:szCs w:val="22"/>
          <w:color w:val="auto"/>
        </w:rPr>
      </w:pPr>
      <w:r>
        <w:rPr>
          <w:rFonts w:ascii="Arial" w:cs="Arial" w:eastAsia="Arial" w:hAnsi="Arial"/>
          <w:sz w:val="22"/>
          <w:szCs w:val="22"/>
          <w:color w:val="auto"/>
        </w:rPr>
        <w:t>changes in laws and regulations,</w:t>
      </w:r>
    </w:p>
    <w:p>
      <w:pPr>
        <w:spacing w:after="0" w:line="8" w:lineRule="exact"/>
        <w:rPr>
          <w:rFonts w:ascii="Arial" w:cs="Arial" w:eastAsia="Arial" w:hAnsi="Arial"/>
          <w:sz w:val="22"/>
          <w:szCs w:val="22"/>
          <w:color w:val="auto"/>
        </w:rPr>
      </w:pPr>
    </w:p>
    <w:p>
      <w:pPr>
        <w:ind w:left="700" w:hanging="341"/>
        <w:spacing w:after="0" w:line="230" w:lineRule="auto"/>
        <w:tabs>
          <w:tab w:leader="none" w:pos="700" w:val="left"/>
        </w:tabs>
        <w:numPr>
          <w:ilvl w:val="0"/>
          <w:numId w:val="2"/>
        </w:numPr>
        <w:rPr>
          <w:rFonts w:ascii="Arial" w:cs="Arial" w:eastAsia="Arial" w:hAnsi="Arial"/>
          <w:sz w:val="22"/>
          <w:szCs w:val="22"/>
          <w:color w:val="auto"/>
        </w:rPr>
      </w:pPr>
      <w:r>
        <w:rPr>
          <w:rFonts w:ascii="Arial" w:cs="Arial" w:eastAsia="Arial" w:hAnsi="Arial"/>
          <w:sz w:val="22"/>
          <w:szCs w:val="22"/>
          <w:color w:val="auto"/>
        </w:rPr>
        <w:t>changes in the competitive environment,</w:t>
      </w:r>
    </w:p>
    <w:p>
      <w:pPr>
        <w:ind w:left="700" w:hanging="341"/>
        <w:spacing w:after="0" w:line="230" w:lineRule="auto"/>
        <w:tabs>
          <w:tab w:leader="none" w:pos="700" w:val="left"/>
        </w:tabs>
        <w:numPr>
          <w:ilvl w:val="0"/>
          <w:numId w:val="2"/>
        </w:numPr>
        <w:rPr>
          <w:rFonts w:ascii="Arial" w:cs="Arial" w:eastAsia="Arial" w:hAnsi="Arial"/>
          <w:sz w:val="22"/>
          <w:szCs w:val="22"/>
          <w:color w:val="auto"/>
        </w:rPr>
      </w:pPr>
      <w:r>
        <w:rPr>
          <w:rFonts w:ascii="Arial" w:cs="Arial" w:eastAsia="Arial" w:hAnsi="Arial"/>
          <w:sz w:val="22"/>
          <w:szCs w:val="22"/>
          <w:color w:val="auto"/>
        </w:rPr>
        <w:t>changes in technology,</w:t>
      </w:r>
    </w:p>
    <w:p>
      <w:pPr>
        <w:ind w:left="700" w:hanging="341"/>
        <w:spacing w:after="0" w:line="230" w:lineRule="auto"/>
        <w:tabs>
          <w:tab w:leader="none" w:pos="700" w:val="left"/>
        </w:tabs>
        <w:numPr>
          <w:ilvl w:val="0"/>
          <w:numId w:val="2"/>
        </w:numPr>
        <w:rPr>
          <w:rFonts w:ascii="Arial" w:cs="Arial" w:eastAsia="Arial" w:hAnsi="Arial"/>
          <w:sz w:val="22"/>
          <w:szCs w:val="22"/>
          <w:color w:val="auto"/>
        </w:rPr>
      </w:pPr>
      <w:r>
        <w:rPr>
          <w:rFonts w:ascii="Arial" w:cs="Arial" w:eastAsia="Arial" w:hAnsi="Arial"/>
          <w:sz w:val="22"/>
          <w:szCs w:val="22"/>
          <w:color w:val="auto"/>
        </w:rPr>
        <w:t>industry consolidation and mergers,</w:t>
      </w:r>
    </w:p>
    <w:p>
      <w:pPr>
        <w:ind w:left="700" w:hanging="341"/>
        <w:spacing w:after="0" w:line="230" w:lineRule="auto"/>
        <w:tabs>
          <w:tab w:leader="none" w:pos="700" w:val="left"/>
        </w:tabs>
        <w:numPr>
          <w:ilvl w:val="0"/>
          <w:numId w:val="2"/>
        </w:numPr>
        <w:rPr>
          <w:rFonts w:ascii="Arial" w:cs="Arial" w:eastAsia="Arial" w:hAnsi="Arial"/>
          <w:sz w:val="22"/>
          <w:szCs w:val="22"/>
          <w:color w:val="auto"/>
        </w:rPr>
      </w:pPr>
      <w:r>
        <w:rPr>
          <w:rFonts w:ascii="Arial" w:cs="Arial" w:eastAsia="Arial" w:hAnsi="Arial"/>
          <w:sz w:val="22"/>
          <w:szCs w:val="22"/>
          <w:color w:val="auto"/>
        </w:rPr>
        <w:t>franchise related matters,</w:t>
      </w:r>
    </w:p>
    <w:p>
      <w:pPr>
        <w:ind w:left="700" w:right="620" w:hanging="341"/>
        <w:spacing w:after="0" w:line="230" w:lineRule="auto"/>
        <w:tabs>
          <w:tab w:leader="none" w:pos="700" w:val="left"/>
        </w:tabs>
        <w:numPr>
          <w:ilvl w:val="0"/>
          <w:numId w:val="2"/>
        </w:numPr>
        <w:rPr>
          <w:rFonts w:ascii="Arial" w:cs="Arial" w:eastAsia="Arial" w:hAnsi="Arial"/>
          <w:sz w:val="22"/>
          <w:szCs w:val="22"/>
          <w:color w:val="auto"/>
        </w:rPr>
      </w:pPr>
      <w:r>
        <w:rPr>
          <w:rFonts w:ascii="Arial" w:cs="Arial" w:eastAsia="Arial" w:hAnsi="Arial"/>
          <w:sz w:val="22"/>
          <w:szCs w:val="22"/>
          <w:color w:val="auto"/>
        </w:rPr>
        <w:t>market conditions that may adversely affect the availability of debt and equity financing for working capital, capital expenditures or other purposes,</w:t>
      </w:r>
    </w:p>
    <w:p>
      <w:pPr>
        <w:spacing w:after="0" w:line="1" w:lineRule="exact"/>
        <w:rPr>
          <w:rFonts w:ascii="Arial" w:cs="Arial" w:eastAsia="Arial" w:hAnsi="Arial"/>
          <w:sz w:val="22"/>
          <w:szCs w:val="22"/>
          <w:color w:val="auto"/>
        </w:rPr>
      </w:pPr>
    </w:p>
    <w:p>
      <w:pPr>
        <w:ind w:left="700" w:right="160" w:hanging="341"/>
        <w:spacing w:after="0" w:line="230" w:lineRule="auto"/>
        <w:tabs>
          <w:tab w:leader="none" w:pos="700" w:val="left"/>
        </w:tabs>
        <w:numPr>
          <w:ilvl w:val="0"/>
          <w:numId w:val="2"/>
        </w:numPr>
        <w:rPr>
          <w:rFonts w:ascii="Arial" w:cs="Arial" w:eastAsia="Arial" w:hAnsi="Arial"/>
          <w:sz w:val="22"/>
          <w:szCs w:val="22"/>
          <w:color w:val="auto"/>
        </w:rPr>
      </w:pPr>
      <w:r>
        <w:rPr>
          <w:rFonts w:ascii="Arial" w:cs="Arial" w:eastAsia="Arial" w:hAnsi="Arial"/>
          <w:sz w:val="22"/>
          <w:szCs w:val="22"/>
          <w:color w:val="auto"/>
        </w:rPr>
        <w:t>the demand for the programming content we distribute or the willingness of other video program distributors to carry our content, and</w:t>
      </w:r>
    </w:p>
    <w:p>
      <w:pPr>
        <w:spacing w:after="0" w:line="1" w:lineRule="exact"/>
        <w:rPr>
          <w:rFonts w:ascii="Arial" w:cs="Arial" w:eastAsia="Arial" w:hAnsi="Arial"/>
          <w:sz w:val="22"/>
          <w:szCs w:val="22"/>
          <w:color w:val="auto"/>
        </w:rPr>
      </w:pPr>
    </w:p>
    <w:p>
      <w:pPr>
        <w:ind w:left="700" w:hanging="341"/>
        <w:spacing w:after="0"/>
        <w:tabs>
          <w:tab w:leader="none" w:pos="700" w:val="left"/>
        </w:tabs>
        <w:numPr>
          <w:ilvl w:val="0"/>
          <w:numId w:val="2"/>
        </w:numPr>
        <w:rPr>
          <w:rFonts w:ascii="Arial" w:cs="Arial" w:eastAsia="Arial" w:hAnsi="Arial"/>
          <w:sz w:val="22"/>
          <w:szCs w:val="22"/>
          <w:color w:val="auto"/>
        </w:rPr>
      </w:pPr>
      <w:r>
        <w:rPr>
          <w:rFonts w:ascii="Arial" w:cs="Arial" w:eastAsia="Arial" w:hAnsi="Arial"/>
          <w:sz w:val="22"/>
          <w:szCs w:val="22"/>
          <w:color w:val="auto"/>
        </w:rPr>
        <w:t>general economic conditions.</w:t>
      </w:r>
    </w:p>
    <w:p>
      <w:pPr>
        <w:spacing w:after="0" w:line="188" w:lineRule="exact"/>
        <w:rPr>
          <w:sz w:val="20"/>
          <w:szCs w:val="20"/>
          <w:color w:val="auto"/>
        </w:rPr>
      </w:pPr>
    </w:p>
    <w:p>
      <w:pPr>
        <w:ind w:right="100"/>
        <w:spacing w:after="0" w:line="287" w:lineRule="auto"/>
        <w:rPr>
          <w:sz w:val="20"/>
          <w:szCs w:val="20"/>
          <w:color w:val="auto"/>
        </w:rPr>
      </w:pPr>
      <w:r>
        <w:rPr>
          <w:rFonts w:ascii="Arial" w:cs="Arial" w:eastAsia="Arial" w:hAnsi="Arial"/>
          <w:sz w:val="19"/>
          <w:szCs w:val="19"/>
          <w:color w:val="auto"/>
        </w:rPr>
        <w:t>As more fully described elsewhere in this Quarterly Report and in our Annual Report on Form 10-K for the year ended December 31, 2003, on September 17, 2003, we sold to Liberty Media Corporation our approximate 57% interest in QVC, Inc., which markets a wide variety of products directly to consumers primarily on merchandise-focused television programs. Accordingly, financial information related to QVC is presented as a discontinued operation in our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5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COMCAST CORPORATION AND SUBSIDIARIES</w:t>
      </w:r>
    </w:p>
    <w:p>
      <w:pPr>
        <w:jc w:val="center"/>
        <w:ind w:right="-39"/>
        <w:spacing w:after="0" w:line="238" w:lineRule="auto"/>
        <w:rPr>
          <w:sz w:val="20"/>
          <w:szCs w:val="20"/>
          <w:color w:val="auto"/>
        </w:rPr>
      </w:pPr>
      <w:r>
        <w:rPr>
          <w:rFonts w:ascii="Arial" w:cs="Arial" w:eastAsia="Arial" w:hAnsi="Arial"/>
          <w:sz w:val="22"/>
          <w:szCs w:val="22"/>
          <w:color w:val="auto"/>
        </w:rPr>
        <w:t>FORM 10-Q</w:t>
      </w:r>
    </w:p>
    <w:p>
      <w:pPr>
        <w:jc w:val="center"/>
        <w:ind w:right="-99"/>
        <w:spacing w:after="0"/>
        <w:rPr>
          <w:sz w:val="20"/>
          <w:szCs w:val="20"/>
          <w:color w:val="auto"/>
        </w:rPr>
      </w:pPr>
      <w:r>
        <w:rPr>
          <w:rFonts w:ascii="Arial" w:cs="Arial" w:eastAsia="Arial" w:hAnsi="Arial"/>
          <w:sz w:val="22"/>
          <w:szCs w:val="22"/>
          <w:color w:val="auto"/>
        </w:rPr>
        <w:t>QUARTER ENDED JUNE 30, 2004</w:t>
      </w:r>
    </w:p>
    <w:p>
      <w:pPr>
        <w:spacing w:after="0" w:line="188" w:lineRule="exact"/>
        <w:rPr>
          <w:sz w:val="20"/>
          <w:szCs w:val="20"/>
          <w:color w:val="auto"/>
        </w:rPr>
      </w:pPr>
    </w:p>
    <w:p>
      <w:pPr>
        <w:spacing w:after="0"/>
        <w:tabs>
          <w:tab w:leader="none" w:pos="1140" w:val="left"/>
        </w:tabs>
        <w:rPr>
          <w:sz w:val="20"/>
          <w:szCs w:val="20"/>
          <w:color w:val="auto"/>
        </w:rPr>
      </w:pPr>
      <w:r>
        <w:rPr>
          <w:rFonts w:ascii="Arial" w:cs="Arial" w:eastAsia="Arial" w:hAnsi="Arial"/>
          <w:sz w:val="22"/>
          <w:szCs w:val="22"/>
          <w:u w:val="single" w:color="auto"/>
          <w:color w:val="auto"/>
        </w:rPr>
        <w:t>PART I.</w:t>
      </w:r>
      <w:r>
        <w:rPr>
          <w:sz w:val="20"/>
          <w:szCs w:val="20"/>
          <w:color w:val="auto"/>
        </w:rPr>
        <w:tab/>
      </w:r>
      <w:r>
        <w:rPr>
          <w:rFonts w:ascii="Arial" w:cs="Arial" w:eastAsia="Arial" w:hAnsi="Arial"/>
          <w:sz w:val="21"/>
          <w:szCs w:val="21"/>
          <w:u w:val="single" w:color="auto"/>
          <w:color w:val="auto"/>
        </w:rPr>
        <w:t>FINANCIAL INFORMATION</w:t>
      </w:r>
    </w:p>
    <w:p>
      <w:pPr>
        <w:spacing w:after="0" w:line="8" w:lineRule="exact"/>
        <w:rPr>
          <w:sz w:val="20"/>
          <w:szCs w:val="20"/>
          <w:color w:val="auto"/>
        </w:rPr>
      </w:pPr>
    </w:p>
    <w:p>
      <w:pPr>
        <w:spacing w:after="0"/>
        <w:tabs>
          <w:tab w:leader="none" w:pos="1140" w:val="left"/>
        </w:tabs>
        <w:rPr>
          <w:sz w:val="20"/>
          <w:szCs w:val="20"/>
          <w:color w:val="auto"/>
        </w:rPr>
      </w:pPr>
      <w:r>
        <w:rPr>
          <w:rFonts w:ascii="Arial" w:cs="Arial" w:eastAsia="Arial" w:hAnsi="Arial"/>
          <w:sz w:val="22"/>
          <w:szCs w:val="22"/>
          <w:color w:val="auto"/>
        </w:rPr>
        <w:t>ITEM 1.</w:t>
      </w:r>
      <w:r>
        <w:rPr>
          <w:sz w:val="20"/>
          <w:szCs w:val="20"/>
          <w:color w:val="auto"/>
        </w:rPr>
        <w:tab/>
      </w:r>
      <w:r>
        <w:rPr>
          <w:rFonts w:ascii="Arial" w:cs="Arial" w:eastAsia="Arial" w:hAnsi="Arial"/>
          <w:sz w:val="21"/>
          <w:szCs w:val="21"/>
          <w:color w:val="auto"/>
        </w:rPr>
        <w:t>FINANCIAL STATEMENTS</w:t>
      </w:r>
    </w:p>
    <w:p>
      <w:pPr>
        <w:spacing w:after="0" w:line="188" w:lineRule="exact"/>
        <w:rPr>
          <w:sz w:val="20"/>
          <w:szCs w:val="20"/>
          <w:color w:val="auto"/>
        </w:rPr>
      </w:pPr>
    </w:p>
    <w:p>
      <w:pPr>
        <w:ind w:left="3320"/>
        <w:spacing w:after="0"/>
        <w:rPr>
          <w:sz w:val="20"/>
          <w:szCs w:val="20"/>
          <w:color w:val="auto"/>
        </w:rPr>
      </w:pPr>
      <w:r>
        <w:rPr>
          <w:rFonts w:ascii="Arial" w:cs="Arial" w:eastAsia="Arial" w:hAnsi="Arial"/>
          <w:sz w:val="22"/>
          <w:szCs w:val="22"/>
          <w:color w:val="auto"/>
        </w:rPr>
        <w:t>CONDENSED CONSOLIDATED BALANCE SHEET</w:t>
      </w:r>
    </w:p>
    <w:p>
      <w:pPr>
        <w:spacing w:after="0" w:line="8"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(Unaudited)</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780" w:type="dxa"/>
            <w:vAlign w:val="bottom"/>
          </w:tcPr>
          <w:p>
            <w:pPr>
              <w:spacing w:after="0"/>
              <w:rPr>
                <w:sz w:val="21"/>
                <w:szCs w:val="21"/>
                <w:color w:val="auto"/>
              </w:rPr>
            </w:pPr>
          </w:p>
        </w:tc>
        <w:tc>
          <w:tcPr>
            <w:tcW w:w="6940" w:type="dxa"/>
            <w:vAlign w:val="bottom"/>
          </w:tcPr>
          <w:p>
            <w:pPr>
              <w:spacing w:after="0"/>
              <w:rPr>
                <w:sz w:val="21"/>
                <w:szCs w:val="21"/>
                <w:color w:val="auto"/>
              </w:rPr>
            </w:pPr>
          </w:p>
        </w:tc>
        <w:tc>
          <w:tcPr>
            <w:tcW w:w="2340" w:type="dxa"/>
            <w:vAlign w:val="bottom"/>
            <w:gridSpan w:val="3"/>
          </w:tcPr>
          <w:p>
            <w:pPr>
              <w:jc w:val="right"/>
              <w:ind w:right="112"/>
              <w:spacing w:after="0"/>
              <w:rPr>
                <w:sz w:val="20"/>
                <w:szCs w:val="20"/>
                <w:color w:val="auto"/>
              </w:rPr>
            </w:pPr>
            <w:r>
              <w:rPr>
                <w:rFonts w:ascii="Arial" w:cs="Arial" w:eastAsia="Arial" w:hAnsi="Arial"/>
                <w:sz w:val="22"/>
                <w:szCs w:val="22"/>
                <w:color w:val="auto"/>
              </w:rPr>
              <w:t>(Dollars in millions,</w:t>
            </w:r>
          </w:p>
        </w:tc>
        <w:tc>
          <w:tcPr>
            <w:tcW w:w="0" w:type="dxa"/>
            <w:vAlign w:val="bottom"/>
          </w:tcPr>
          <w:p>
            <w:pPr>
              <w:spacing w:after="0"/>
              <w:rPr>
                <w:sz w:val="1"/>
                <w:szCs w:val="1"/>
                <w:color w:val="auto"/>
              </w:rPr>
            </w:pPr>
          </w:p>
        </w:tc>
      </w:tr>
      <w:tr>
        <w:trPr>
          <w:trHeight w:val="243"/>
        </w:trPr>
        <w:tc>
          <w:tcPr>
            <w:tcW w:w="780" w:type="dxa"/>
            <w:vAlign w:val="bottom"/>
          </w:tcPr>
          <w:p>
            <w:pPr>
              <w:spacing w:after="0"/>
              <w:rPr>
                <w:sz w:val="21"/>
                <w:szCs w:val="21"/>
                <w:color w:val="auto"/>
              </w:rPr>
            </w:pPr>
          </w:p>
        </w:tc>
        <w:tc>
          <w:tcPr>
            <w:tcW w:w="6940" w:type="dxa"/>
            <w:vAlign w:val="bottom"/>
          </w:tcPr>
          <w:p>
            <w:pPr>
              <w:spacing w:after="0"/>
              <w:rPr>
                <w:sz w:val="21"/>
                <w:szCs w:val="21"/>
                <w:color w:val="auto"/>
              </w:rPr>
            </w:pPr>
          </w:p>
        </w:tc>
        <w:tc>
          <w:tcPr>
            <w:tcW w:w="2340" w:type="dxa"/>
            <w:vAlign w:val="bottom"/>
            <w:gridSpan w:val="3"/>
          </w:tcPr>
          <w:p>
            <w:pPr>
              <w:jc w:val="right"/>
              <w:ind w:right="172"/>
              <w:spacing w:after="0" w:line="243" w:lineRule="exact"/>
              <w:rPr>
                <w:sz w:val="20"/>
                <w:szCs w:val="20"/>
                <w:color w:val="auto"/>
              </w:rPr>
            </w:pPr>
            <w:r>
              <w:rPr>
                <w:rFonts w:ascii="Arial" w:cs="Arial" w:eastAsia="Arial" w:hAnsi="Arial"/>
                <w:sz w:val="22"/>
                <w:szCs w:val="22"/>
                <w:color w:val="auto"/>
              </w:rPr>
              <w:t>except share data)</w:t>
            </w:r>
          </w:p>
        </w:tc>
        <w:tc>
          <w:tcPr>
            <w:tcW w:w="0" w:type="dxa"/>
            <w:vAlign w:val="bottom"/>
          </w:tcPr>
          <w:p>
            <w:pPr>
              <w:spacing w:after="0"/>
              <w:rPr>
                <w:sz w:val="1"/>
                <w:szCs w:val="1"/>
                <w:color w:val="auto"/>
              </w:rPr>
            </w:pPr>
          </w:p>
        </w:tc>
      </w:tr>
      <w:tr>
        <w:trPr>
          <w:trHeight w:val="243"/>
        </w:trPr>
        <w:tc>
          <w:tcPr>
            <w:tcW w:w="780" w:type="dxa"/>
            <w:vAlign w:val="bottom"/>
          </w:tcPr>
          <w:p>
            <w:pPr>
              <w:spacing w:after="0"/>
              <w:rPr>
                <w:sz w:val="21"/>
                <w:szCs w:val="21"/>
                <w:color w:val="auto"/>
              </w:rPr>
            </w:pPr>
          </w:p>
        </w:tc>
        <w:tc>
          <w:tcPr>
            <w:tcW w:w="69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line="243" w:lineRule="exact"/>
              <w:rPr>
                <w:sz w:val="20"/>
                <w:szCs w:val="20"/>
                <w:color w:val="auto"/>
              </w:rPr>
            </w:pPr>
            <w:r>
              <w:rPr>
                <w:rFonts w:ascii="Arial" w:cs="Arial" w:eastAsia="Arial" w:hAnsi="Arial"/>
                <w:sz w:val="22"/>
                <w:szCs w:val="22"/>
                <w:color w:val="auto"/>
                <w:w w:val="92"/>
              </w:rPr>
              <w:t>December</w:t>
            </w:r>
          </w:p>
        </w:tc>
        <w:tc>
          <w:tcPr>
            <w:tcW w:w="0" w:type="dxa"/>
            <w:vAlign w:val="bottom"/>
          </w:tcPr>
          <w:p>
            <w:pPr>
              <w:spacing w:after="0"/>
              <w:rPr>
                <w:sz w:val="1"/>
                <w:szCs w:val="1"/>
                <w:color w:val="auto"/>
              </w:rPr>
            </w:pPr>
          </w:p>
        </w:tc>
      </w:tr>
      <w:tr>
        <w:trPr>
          <w:trHeight w:val="243"/>
        </w:trPr>
        <w:tc>
          <w:tcPr>
            <w:tcW w:w="780" w:type="dxa"/>
            <w:vAlign w:val="bottom"/>
          </w:tcPr>
          <w:p>
            <w:pPr>
              <w:spacing w:after="0"/>
              <w:rPr>
                <w:sz w:val="21"/>
                <w:szCs w:val="21"/>
                <w:color w:val="auto"/>
              </w:rPr>
            </w:pPr>
          </w:p>
        </w:tc>
        <w:tc>
          <w:tcPr>
            <w:tcW w:w="6940" w:type="dxa"/>
            <w:vAlign w:val="bottom"/>
          </w:tcPr>
          <w:p>
            <w:pPr>
              <w:spacing w:after="0"/>
              <w:rPr>
                <w:sz w:val="21"/>
                <w:szCs w:val="21"/>
                <w:color w:val="auto"/>
              </w:rPr>
            </w:pPr>
          </w:p>
        </w:tc>
        <w:tc>
          <w:tcPr>
            <w:tcW w:w="1320" w:type="dxa"/>
            <w:vAlign w:val="bottom"/>
            <w:gridSpan w:val="2"/>
          </w:tcPr>
          <w:p>
            <w:pPr>
              <w:ind w:left="160"/>
              <w:spacing w:after="0" w:line="243" w:lineRule="exact"/>
              <w:rPr>
                <w:sz w:val="20"/>
                <w:szCs w:val="20"/>
                <w:color w:val="auto"/>
              </w:rPr>
            </w:pPr>
            <w:r>
              <w:rPr>
                <w:rFonts w:ascii="Arial" w:cs="Arial" w:eastAsia="Arial" w:hAnsi="Arial"/>
                <w:sz w:val="22"/>
                <w:szCs w:val="22"/>
                <w:color w:val="auto"/>
              </w:rPr>
              <w:t>June 30,</w:t>
            </w:r>
          </w:p>
        </w:tc>
        <w:tc>
          <w:tcPr>
            <w:tcW w:w="1020" w:type="dxa"/>
            <w:vAlign w:val="bottom"/>
          </w:tcPr>
          <w:p>
            <w:pPr>
              <w:jc w:val="right"/>
              <w:ind w:right="252"/>
              <w:spacing w:after="0" w:line="243" w:lineRule="exact"/>
              <w:rPr>
                <w:sz w:val="20"/>
                <w:szCs w:val="20"/>
                <w:color w:val="auto"/>
              </w:rPr>
            </w:pPr>
            <w:r>
              <w:rPr>
                <w:rFonts w:ascii="Arial" w:cs="Arial" w:eastAsia="Arial" w:hAnsi="Arial"/>
                <w:sz w:val="22"/>
                <w:szCs w:val="22"/>
                <w:color w:val="auto"/>
              </w:rPr>
              <w:t>31,</w:t>
            </w:r>
          </w:p>
        </w:tc>
        <w:tc>
          <w:tcPr>
            <w:tcW w:w="0" w:type="dxa"/>
            <w:vAlign w:val="bottom"/>
          </w:tcPr>
          <w:p>
            <w:pPr>
              <w:spacing w:after="0"/>
              <w:rPr>
                <w:sz w:val="1"/>
                <w:szCs w:val="1"/>
                <w:color w:val="auto"/>
              </w:rPr>
            </w:pPr>
          </w:p>
        </w:tc>
      </w:tr>
      <w:tr>
        <w:trPr>
          <w:trHeight w:val="275"/>
        </w:trPr>
        <w:tc>
          <w:tcPr>
            <w:tcW w:w="780" w:type="dxa"/>
            <w:vAlign w:val="bottom"/>
          </w:tcPr>
          <w:p>
            <w:pPr>
              <w:spacing w:after="0"/>
              <w:rPr>
                <w:sz w:val="23"/>
                <w:szCs w:val="23"/>
                <w:color w:val="auto"/>
              </w:rPr>
            </w:pPr>
          </w:p>
        </w:tc>
        <w:tc>
          <w:tcPr>
            <w:tcW w:w="6940" w:type="dxa"/>
            <w:vAlign w:val="bottom"/>
          </w:tcPr>
          <w:p>
            <w:pPr>
              <w:spacing w:after="0"/>
              <w:rPr>
                <w:sz w:val="23"/>
                <w:szCs w:val="23"/>
                <w:color w:val="auto"/>
              </w:rPr>
            </w:pPr>
          </w:p>
        </w:tc>
        <w:tc>
          <w:tcPr>
            <w:tcW w:w="1020" w:type="dxa"/>
            <w:vAlign w:val="bottom"/>
          </w:tcPr>
          <w:p>
            <w:pPr>
              <w:jc w:val="right"/>
              <w:ind w:right="192"/>
              <w:spacing w:after="0"/>
              <w:rPr>
                <w:sz w:val="20"/>
                <w:szCs w:val="20"/>
                <w:color w:val="auto"/>
              </w:rPr>
            </w:pPr>
            <w:r>
              <w:rPr>
                <w:rFonts w:ascii="Arial" w:cs="Arial" w:eastAsia="Arial" w:hAnsi="Arial"/>
                <w:sz w:val="22"/>
                <w:szCs w:val="22"/>
                <w:color w:val="auto"/>
              </w:rPr>
              <w:t>2004</w:t>
            </w:r>
          </w:p>
        </w:tc>
        <w:tc>
          <w:tcPr>
            <w:tcW w:w="300" w:type="dxa"/>
            <w:vAlign w:val="bottom"/>
          </w:tcPr>
          <w:p>
            <w:pPr>
              <w:spacing w:after="0"/>
              <w:rPr>
                <w:sz w:val="23"/>
                <w:szCs w:val="23"/>
                <w:color w:val="auto"/>
              </w:rPr>
            </w:pPr>
          </w:p>
        </w:tc>
        <w:tc>
          <w:tcPr>
            <w:tcW w:w="1020" w:type="dxa"/>
            <w:vAlign w:val="bottom"/>
          </w:tcPr>
          <w:p>
            <w:pPr>
              <w:jc w:val="right"/>
              <w:ind w:right="172"/>
              <w:spacing w:after="0"/>
              <w:rPr>
                <w:sz w:val="20"/>
                <w:szCs w:val="20"/>
                <w:color w:val="auto"/>
              </w:rPr>
            </w:pPr>
            <w:r>
              <w:rPr>
                <w:rFonts w:ascii="Arial" w:cs="Arial" w:eastAsia="Arial" w:hAnsi="Arial"/>
                <w:sz w:val="22"/>
                <w:szCs w:val="22"/>
                <w:color w:val="auto"/>
              </w:rPr>
              <w:t>2003</w:t>
            </w:r>
          </w:p>
        </w:tc>
        <w:tc>
          <w:tcPr>
            <w:tcW w:w="0" w:type="dxa"/>
            <w:vAlign w:val="bottom"/>
          </w:tcPr>
          <w:p>
            <w:pPr>
              <w:spacing w:after="0"/>
              <w:rPr>
                <w:sz w:val="1"/>
                <w:szCs w:val="1"/>
                <w:color w:val="auto"/>
              </w:rPr>
            </w:pPr>
          </w:p>
        </w:tc>
      </w:tr>
      <w:tr>
        <w:trPr>
          <w:trHeight w:val="98"/>
        </w:trPr>
        <w:tc>
          <w:tcPr>
            <w:tcW w:w="7720" w:type="dxa"/>
            <w:vAlign w:val="bottom"/>
            <w:gridSpan w:val="2"/>
            <w:vMerge w:val="restart"/>
          </w:tcPr>
          <w:p>
            <w:pPr>
              <w:spacing w:after="0"/>
              <w:rPr>
                <w:sz w:val="20"/>
                <w:szCs w:val="20"/>
                <w:color w:val="auto"/>
              </w:rPr>
            </w:pPr>
            <w:r>
              <w:rPr>
                <w:rFonts w:ascii="Arial" w:cs="Arial" w:eastAsia="Arial" w:hAnsi="Arial"/>
                <w:sz w:val="22"/>
                <w:szCs w:val="22"/>
                <w:color w:val="auto"/>
              </w:rPr>
              <w:t>ASSETS</w:t>
            </w:r>
          </w:p>
        </w:tc>
        <w:tc>
          <w:tcPr>
            <w:tcW w:w="102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04"/>
        </w:trPr>
        <w:tc>
          <w:tcPr>
            <w:tcW w:w="7720" w:type="dxa"/>
            <w:vAlign w:val="bottom"/>
            <w:gridSpan w:val="2"/>
            <w:vMerge w:val="continue"/>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80" w:type="dxa"/>
            <w:vAlign w:val="bottom"/>
            <w:shd w:val="clear" w:color="auto" w:fill="000000"/>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7720" w:type="dxa"/>
            <w:vAlign w:val="bottom"/>
            <w:gridSpan w:val="2"/>
          </w:tcPr>
          <w:p>
            <w:pPr>
              <w:spacing w:after="0" w:line="242" w:lineRule="exact"/>
              <w:rPr>
                <w:sz w:val="20"/>
                <w:szCs w:val="20"/>
                <w:color w:val="auto"/>
              </w:rPr>
            </w:pPr>
            <w:r>
              <w:rPr>
                <w:rFonts w:ascii="Arial" w:cs="Arial" w:eastAsia="Arial" w:hAnsi="Arial"/>
                <w:sz w:val="22"/>
                <w:szCs w:val="22"/>
                <w:color w:val="auto"/>
              </w:rPr>
              <w:t>CURRENT ASSETS</w:t>
            </w:r>
          </w:p>
        </w:tc>
        <w:tc>
          <w:tcPr>
            <w:tcW w:w="10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20" w:type="dxa"/>
            <w:vAlign w:val="bottom"/>
            <w:gridSpan w:val="2"/>
          </w:tcPr>
          <w:p>
            <w:pPr>
              <w:ind w:left="180"/>
              <w:spacing w:after="0" w:line="243" w:lineRule="exact"/>
              <w:rPr>
                <w:sz w:val="20"/>
                <w:szCs w:val="20"/>
                <w:color w:val="auto"/>
              </w:rPr>
            </w:pPr>
            <w:r>
              <w:rPr>
                <w:rFonts w:ascii="Arial" w:cs="Arial" w:eastAsia="Arial" w:hAnsi="Arial"/>
                <w:sz w:val="22"/>
                <w:szCs w:val="22"/>
                <w:color w:val="auto"/>
              </w:rPr>
              <w:t>Cash and cash equivalents</w:t>
            </w:r>
          </w:p>
        </w:tc>
        <w:tc>
          <w:tcPr>
            <w:tcW w:w="1020" w:type="dxa"/>
            <w:vAlign w:val="bottom"/>
          </w:tcPr>
          <w:p>
            <w:pPr>
              <w:jc w:val="right"/>
              <w:spacing w:after="0" w:line="243" w:lineRule="exact"/>
              <w:rPr>
                <w:sz w:val="20"/>
                <w:szCs w:val="20"/>
                <w:color w:val="auto"/>
              </w:rPr>
            </w:pPr>
            <w:r>
              <w:rPr>
                <w:rFonts w:ascii="Arial" w:cs="Arial" w:eastAsia="Arial" w:hAnsi="Arial"/>
                <w:sz w:val="22"/>
                <w:szCs w:val="22"/>
                <w:color w:val="auto"/>
              </w:rPr>
              <w:t>$594</w:t>
            </w:r>
          </w:p>
        </w:tc>
        <w:tc>
          <w:tcPr>
            <w:tcW w:w="300" w:type="dxa"/>
            <w:vAlign w:val="bottom"/>
          </w:tcPr>
          <w:p>
            <w:pPr>
              <w:spacing w:after="0"/>
              <w:rPr>
                <w:sz w:val="21"/>
                <w:szCs w:val="21"/>
                <w:color w:val="auto"/>
              </w:rPr>
            </w:pPr>
          </w:p>
        </w:tc>
        <w:tc>
          <w:tcPr>
            <w:tcW w:w="1020" w:type="dxa"/>
            <w:vAlign w:val="bottom"/>
          </w:tcPr>
          <w:p>
            <w:pPr>
              <w:jc w:val="right"/>
              <w:spacing w:after="0" w:line="243" w:lineRule="exact"/>
              <w:rPr>
                <w:sz w:val="20"/>
                <w:szCs w:val="20"/>
                <w:color w:val="auto"/>
              </w:rPr>
            </w:pPr>
            <w:r>
              <w:rPr>
                <w:rFonts w:ascii="Arial" w:cs="Arial" w:eastAsia="Arial" w:hAnsi="Arial"/>
                <w:sz w:val="22"/>
                <w:szCs w:val="22"/>
                <w:color w:val="auto"/>
              </w:rPr>
              <w:t>$1,550</w:t>
            </w:r>
          </w:p>
        </w:tc>
        <w:tc>
          <w:tcPr>
            <w:tcW w:w="0" w:type="dxa"/>
            <w:vAlign w:val="bottom"/>
          </w:tcPr>
          <w:p>
            <w:pPr>
              <w:spacing w:after="0"/>
              <w:rPr>
                <w:sz w:val="1"/>
                <w:szCs w:val="1"/>
                <w:color w:val="auto"/>
              </w:rPr>
            </w:pPr>
          </w:p>
        </w:tc>
      </w:tr>
      <w:tr>
        <w:trPr>
          <w:trHeight w:val="243"/>
        </w:trPr>
        <w:tc>
          <w:tcPr>
            <w:tcW w:w="7720" w:type="dxa"/>
            <w:vAlign w:val="bottom"/>
            <w:gridSpan w:val="2"/>
          </w:tcPr>
          <w:p>
            <w:pPr>
              <w:ind w:left="180"/>
              <w:spacing w:after="0" w:line="243" w:lineRule="exact"/>
              <w:rPr>
                <w:sz w:val="20"/>
                <w:szCs w:val="20"/>
                <w:color w:val="auto"/>
              </w:rPr>
            </w:pPr>
            <w:r>
              <w:rPr>
                <w:rFonts w:ascii="Arial" w:cs="Arial" w:eastAsia="Arial" w:hAnsi="Arial"/>
                <w:sz w:val="22"/>
                <w:szCs w:val="22"/>
                <w:color w:val="auto"/>
              </w:rPr>
              <w:t>Investments</w:t>
            </w:r>
          </w:p>
        </w:tc>
        <w:tc>
          <w:tcPr>
            <w:tcW w:w="1020" w:type="dxa"/>
            <w:vAlign w:val="bottom"/>
          </w:tcPr>
          <w:p>
            <w:pPr>
              <w:jc w:val="right"/>
              <w:spacing w:after="0" w:line="243" w:lineRule="exact"/>
              <w:rPr>
                <w:sz w:val="20"/>
                <w:szCs w:val="20"/>
                <w:color w:val="auto"/>
              </w:rPr>
            </w:pPr>
            <w:r>
              <w:rPr>
                <w:rFonts w:ascii="Arial" w:cs="Arial" w:eastAsia="Arial" w:hAnsi="Arial"/>
                <w:sz w:val="22"/>
                <w:szCs w:val="22"/>
                <w:color w:val="auto"/>
              </w:rPr>
              <w:t>2,481</w:t>
            </w:r>
          </w:p>
        </w:tc>
        <w:tc>
          <w:tcPr>
            <w:tcW w:w="300" w:type="dxa"/>
            <w:vAlign w:val="bottom"/>
          </w:tcPr>
          <w:p>
            <w:pPr>
              <w:spacing w:after="0"/>
              <w:rPr>
                <w:sz w:val="21"/>
                <w:szCs w:val="21"/>
                <w:color w:val="auto"/>
              </w:rPr>
            </w:pPr>
          </w:p>
        </w:tc>
        <w:tc>
          <w:tcPr>
            <w:tcW w:w="1020" w:type="dxa"/>
            <w:vAlign w:val="bottom"/>
          </w:tcPr>
          <w:p>
            <w:pPr>
              <w:jc w:val="right"/>
              <w:spacing w:after="0" w:line="243" w:lineRule="exact"/>
              <w:rPr>
                <w:sz w:val="20"/>
                <w:szCs w:val="20"/>
                <w:color w:val="auto"/>
              </w:rPr>
            </w:pPr>
            <w:r>
              <w:rPr>
                <w:rFonts w:ascii="Arial" w:cs="Arial" w:eastAsia="Arial" w:hAnsi="Arial"/>
                <w:sz w:val="22"/>
                <w:szCs w:val="22"/>
                <w:color w:val="auto"/>
              </w:rPr>
              <w:t>2,493</w:t>
            </w:r>
          </w:p>
        </w:tc>
        <w:tc>
          <w:tcPr>
            <w:tcW w:w="0" w:type="dxa"/>
            <w:vAlign w:val="bottom"/>
          </w:tcPr>
          <w:p>
            <w:pPr>
              <w:spacing w:after="0"/>
              <w:rPr>
                <w:sz w:val="1"/>
                <w:szCs w:val="1"/>
                <w:color w:val="auto"/>
              </w:rPr>
            </w:pPr>
          </w:p>
        </w:tc>
      </w:tr>
      <w:tr>
        <w:trPr>
          <w:trHeight w:val="243"/>
        </w:trPr>
        <w:tc>
          <w:tcPr>
            <w:tcW w:w="7720" w:type="dxa"/>
            <w:vAlign w:val="bottom"/>
            <w:gridSpan w:val="2"/>
          </w:tcPr>
          <w:p>
            <w:pPr>
              <w:ind w:left="160"/>
              <w:spacing w:after="0" w:line="243" w:lineRule="exact"/>
              <w:rPr>
                <w:sz w:val="20"/>
                <w:szCs w:val="20"/>
                <w:color w:val="auto"/>
              </w:rPr>
            </w:pPr>
            <w:r>
              <w:rPr>
                <w:rFonts w:ascii="Arial" w:cs="Arial" w:eastAsia="Arial" w:hAnsi="Arial"/>
                <w:sz w:val="22"/>
                <w:szCs w:val="22"/>
                <w:color w:val="auto"/>
              </w:rPr>
              <w:t>Accounts receivable, less allowance for doubtful accounts of $142 and $146</w:t>
            </w:r>
          </w:p>
        </w:tc>
        <w:tc>
          <w:tcPr>
            <w:tcW w:w="1020" w:type="dxa"/>
            <w:vAlign w:val="bottom"/>
          </w:tcPr>
          <w:p>
            <w:pPr>
              <w:jc w:val="right"/>
              <w:spacing w:after="0" w:line="243" w:lineRule="exact"/>
              <w:rPr>
                <w:sz w:val="20"/>
                <w:szCs w:val="20"/>
                <w:color w:val="auto"/>
              </w:rPr>
            </w:pPr>
            <w:r>
              <w:rPr>
                <w:rFonts w:ascii="Arial" w:cs="Arial" w:eastAsia="Arial" w:hAnsi="Arial"/>
                <w:sz w:val="22"/>
                <w:szCs w:val="22"/>
                <w:color w:val="auto"/>
              </w:rPr>
              <w:t>925</w:t>
            </w:r>
          </w:p>
        </w:tc>
        <w:tc>
          <w:tcPr>
            <w:tcW w:w="300" w:type="dxa"/>
            <w:vAlign w:val="bottom"/>
          </w:tcPr>
          <w:p>
            <w:pPr>
              <w:spacing w:after="0"/>
              <w:rPr>
                <w:sz w:val="21"/>
                <w:szCs w:val="21"/>
                <w:color w:val="auto"/>
              </w:rPr>
            </w:pPr>
          </w:p>
        </w:tc>
        <w:tc>
          <w:tcPr>
            <w:tcW w:w="1020" w:type="dxa"/>
            <w:vAlign w:val="bottom"/>
          </w:tcPr>
          <w:p>
            <w:pPr>
              <w:jc w:val="right"/>
              <w:spacing w:after="0" w:line="243" w:lineRule="exact"/>
              <w:rPr>
                <w:sz w:val="20"/>
                <w:szCs w:val="20"/>
                <w:color w:val="auto"/>
              </w:rPr>
            </w:pPr>
            <w:r>
              <w:rPr>
                <w:rFonts w:ascii="Arial" w:cs="Arial" w:eastAsia="Arial" w:hAnsi="Arial"/>
                <w:sz w:val="22"/>
                <w:szCs w:val="22"/>
                <w:color w:val="auto"/>
              </w:rPr>
              <w:t>907</w:t>
            </w:r>
          </w:p>
        </w:tc>
        <w:tc>
          <w:tcPr>
            <w:tcW w:w="0" w:type="dxa"/>
            <w:vAlign w:val="bottom"/>
          </w:tcPr>
          <w:p>
            <w:pPr>
              <w:spacing w:after="0"/>
              <w:rPr>
                <w:sz w:val="1"/>
                <w:szCs w:val="1"/>
                <w:color w:val="auto"/>
              </w:rPr>
            </w:pPr>
          </w:p>
        </w:tc>
      </w:tr>
      <w:tr>
        <w:trPr>
          <w:trHeight w:val="275"/>
        </w:trPr>
        <w:tc>
          <w:tcPr>
            <w:tcW w:w="7720" w:type="dxa"/>
            <w:vAlign w:val="bottom"/>
            <w:gridSpan w:val="2"/>
          </w:tcPr>
          <w:p>
            <w:pPr>
              <w:ind w:left="180"/>
              <w:spacing w:after="0"/>
              <w:rPr>
                <w:sz w:val="20"/>
                <w:szCs w:val="20"/>
                <w:color w:val="auto"/>
              </w:rPr>
            </w:pPr>
            <w:r>
              <w:rPr>
                <w:rFonts w:ascii="Arial" w:cs="Arial" w:eastAsia="Arial" w:hAnsi="Arial"/>
                <w:sz w:val="22"/>
                <w:szCs w:val="22"/>
                <w:color w:val="auto"/>
              </w:rPr>
              <w:t>Other current assets</w:t>
            </w:r>
          </w:p>
        </w:tc>
        <w:tc>
          <w:tcPr>
            <w:tcW w:w="1020" w:type="dxa"/>
            <w:vAlign w:val="bottom"/>
          </w:tcPr>
          <w:p>
            <w:pPr>
              <w:jc w:val="right"/>
              <w:spacing w:after="0"/>
              <w:rPr>
                <w:sz w:val="20"/>
                <w:szCs w:val="20"/>
                <w:color w:val="auto"/>
              </w:rPr>
            </w:pPr>
            <w:r>
              <w:rPr>
                <w:rFonts w:ascii="Arial" w:cs="Arial" w:eastAsia="Arial" w:hAnsi="Arial"/>
                <w:sz w:val="22"/>
                <w:szCs w:val="22"/>
                <w:color w:val="auto"/>
              </w:rPr>
              <w:t>418</w:t>
            </w: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22"/>
                <w:szCs w:val="22"/>
                <w:color w:val="auto"/>
              </w:rPr>
              <w:t>453</w:t>
            </w:r>
          </w:p>
        </w:tc>
        <w:tc>
          <w:tcPr>
            <w:tcW w:w="0" w:type="dxa"/>
            <w:vAlign w:val="bottom"/>
          </w:tcPr>
          <w:p>
            <w:pPr>
              <w:spacing w:after="0"/>
              <w:rPr>
                <w:sz w:val="1"/>
                <w:szCs w:val="1"/>
                <w:color w:val="auto"/>
              </w:rPr>
            </w:pPr>
          </w:p>
        </w:tc>
      </w:tr>
      <w:tr>
        <w:trPr>
          <w:trHeight w:val="98"/>
        </w:trPr>
        <w:tc>
          <w:tcPr>
            <w:tcW w:w="780" w:type="dxa"/>
            <w:vAlign w:val="bottom"/>
          </w:tcPr>
          <w:p>
            <w:pPr>
              <w:spacing w:after="0"/>
              <w:rPr>
                <w:sz w:val="8"/>
                <w:szCs w:val="8"/>
                <w:color w:val="auto"/>
              </w:rPr>
            </w:pPr>
          </w:p>
        </w:tc>
        <w:tc>
          <w:tcPr>
            <w:tcW w:w="694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55"/>
        </w:trPr>
        <w:tc>
          <w:tcPr>
            <w:tcW w:w="7720" w:type="dxa"/>
            <w:vAlign w:val="bottom"/>
            <w:gridSpan w:val="2"/>
          </w:tcPr>
          <w:p>
            <w:pPr>
              <w:ind w:left="380"/>
              <w:spacing w:after="0"/>
              <w:rPr>
                <w:sz w:val="20"/>
                <w:szCs w:val="20"/>
                <w:color w:val="auto"/>
              </w:rPr>
            </w:pPr>
            <w:r>
              <w:rPr>
                <w:rFonts w:ascii="Arial" w:cs="Arial" w:eastAsia="Arial" w:hAnsi="Arial"/>
                <w:sz w:val="22"/>
                <w:szCs w:val="22"/>
                <w:color w:val="auto"/>
              </w:rPr>
              <w:t>Total current assets</w:t>
            </w:r>
          </w:p>
        </w:tc>
        <w:tc>
          <w:tcPr>
            <w:tcW w:w="1020" w:type="dxa"/>
            <w:vAlign w:val="bottom"/>
          </w:tcPr>
          <w:p>
            <w:pPr>
              <w:jc w:val="right"/>
              <w:spacing w:after="0"/>
              <w:rPr>
                <w:sz w:val="20"/>
                <w:szCs w:val="20"/>
                <w:color w:val="auto"/>
              </w:rPr>
            </w:pPr>
            <w:r>
              <w:rPr>
                <w:rFonts w:ascii="Arial" w:cs="Arial" w:eastAsia="Arial" w:hAnsi="Arial"/>
                <w:sz w:val="22"/>
                <w:szCs w:val="22"/>
                <w:color w:val="auto"/>
              </w:rPr>
              <w:t>4,418</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2"/>
                <w:szCs w:val="22"/>
                <w:color w:val="auto"/>
              </w:rPr>
              <w:t>5,403</w:t>
            </w:r>
          </w:p>
        </w:tc>
        <w:tc>
          <w:tcPr>
            <w:tcW w:w="0" w:type="dxa"/>
            <w:vAlign w:val="bottom"/>
          </w:tcPr>
          <w:p>
            <w:pPr>
              <w:spacing w:after="0"/>
              <w:rPr>
                <w:sz w:val="1"/>
                <w:szCs w:val="1"/>
                <w:color w:val="auto"/>
              </w:rPr>
            </w:pPr>
          </w:p>
        </w:tc>
      </w:tr>
    </w:tbl>
    <w:p>
      <w:pPr>
        <w:sectPr>
          <w:pgSz w:w="11900" w:h="16838" w:orient="portrait"/>
          <w:cols w:equalWidth="0" w:num="1">
            <w:col w:w="11320"/>
          </w:cols>
          <w:pgMar w:left="240" w:top="89" w:right="339" w:bottom="0" w:gutter="0" w:footer="0" w:header="0"/>
        </w:sectPr>
      </w:pPr>
    </w:p>
    <w:bookmarkStart w:id="2" w:name="page3"/>
    <w:bookmarkEnd w:id="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5054600</wp:posOffset>
            </wp:positionH>
            <wp:positionV relativeFrom="page">
              <wp:posOffset>88900</wp:posOffset>
            </wp:positionV>
            <wp:extent cx="14922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9225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75"/>
        </w:trPr>
        <w:tc>
          <w:tcPr>
            <w:tcW w:w="7720" w:type="dxa"/>
            <w:vAlign w:val="bottom"/>
            <w:gridSpan w:val="4"/>
          </w:tcPr>
          <w:p>
            <w:pPr>
              <w:spacing w:after="0"/>
              <w:rPr>
                <w:sz w:val="20"/>
                <w:szCs w:val="20"/>
                <w:color w:val="auto"/>
              </w:rPr>
            </w:pPr>
            <w:r>
              <w:rPr>
                <w:rFonts w:ascii="Arial" w:cs="Arial" w:eastAsia="Arial" w:hAnsi="Arial"/>
                <w:sz w:val="22"/>
                <w:szCs w:val="22"/>
                <w:color w:val="auto"/>
              </w:rPr>
              <w:t>INVESTMENTS</w:t>
            </w:r>
          </w:p>
        </w:tc>
        <w:tc>
          <w:tcPr>
            <w:tcW w:w="1020" w:type="dxa"/>
            <w:vAlign w:val="bottom"/>
          </w:tcPr>
          <w:p>
            <w:pPr>
              <w:jc w:val="right"/>
              <w:spacing w:after="0"/>
              <w:rPr>
                <w:sz w:val="20"/>
                <w:szCs w:val="20"/>
                <w:color w:val="auto"/>
              </w:rPr>
            </w:pPr>
            <w:r>
              <w:rPr>
                <w:rFonts w:ascii="Arial" w:cs="Arial" w:eastAsia="Arial" w:hAnsi="Arial"/>
                <w:sz w:val="22"/>
                <w:szCs w:val="22"/>
                <w:color w:val="auto"/>
              </w:rPr>
              <w:t>14,204</w:t>
            </w: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22"/>
                <w:szCs w:val="22"/>
                <w:color w:val="auto"/>
              </w:rPr>
              <w:t>14,818</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5"/>
        </w:trPr>
        <w:tc>
          <w:tcPr>
            <w:tcW w:w="7720" w:type="dxa"/>
            <w:vAlign w:val="bottom"/>
            <w:gridSpan w:val="4"/>
          </w:tcPr>
          <w:p>
            <w:pPr>
              <w:spacing w:after="0"/>
              <w:rPr>
                <w:sz w:val="20"/>
                <w:szCs w:val="20"/>
                <w:color w:val="auto"/>
              </w:rPr>
            </w:pPr>
            <w:r>
              <w:rPr>
                <w:rFonts w:ascii="Arial" w:cs="Arial" w:eastAsia="Arial" w:hAnsi="Arial"/>
                <w:sz w:val="22"/>
                <w:szCs w:val="22"/>
                <w:color w:val="auto"/>
                <w:w w:val="99"/>
              </w:rPr>
              <w:t>PROPERTY AND EQUIPMENT, net of accumulated depreciation of $7,949 and</w:t>
            </w: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4060" w:type="dxa"/>
            <w:vAlign w:val="bottom"/>
          </w:tcPr>
          <w:p>
            <w:pPr>
              <w:spacing w:after="0"/>
              <w:rPr>
                <w:sz w:val="20"/>
                <w:szCs w:val="20"/>
                <w:color w:val="auto"/>
              </w:rPr>
            </w:pPr>
            <w:r>
              <w:rPr>
                <w:rFonts w:ascii="Arial" w:cs="Arial" w:eastAsia="Arial" w:hAnsi="Arial"/>
                <w:sz w:val="22"/>
                <w:szCs w:val="22"/>
                <w:color w:val="auto"/>
              </w:rPr>
              <w:t>$6,563</w:t>
            </w:r>
          </w:p>
        </w:tc>
        <w:tc>
          <w:tcPr>
            <w:tcW w:w="4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9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22"/>
                <w:szCs w:val="22"/>
                <w:color w:val="auto"/>
              </w:rPr>
              <w:t>18,615</w:t>
            </w: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22"/>
                <w:szCs w:val="22"/>
                <w:color w:val="auto"/>
              </w:rPr>
              <w:t>18,473</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86"/>
        </w:trPr>
        <w:tc>
          <w:tcPr>
            <w:tcW w:w="7720" w:type="dxa"/>
            <w:vAlign w:val="bottom"/>
            <w:gridSpan w:val="4"/>
          </w:tcPr>
          <w:p>
            <w:pPr>
              <w:spacing w:after="0"/>
              <w:rPr>
                <w:sz w:val="20"/>
                <w:szCs w:val="20"/>
                <w:color w:val="auto"/>
              </w:rPr>
            </w:pPr>
            <w:r>
              <w:rPr>
                <w:rFonts w:ascii="Arial" w:cs="Arial" w:eastAsia="Arial" w:hAnsi="Arial"/>
                <w:sz w:val="22"/>
                <w:szCs w:val="22"/>
                <w:color w:val="auto"/>
              </w:rPr>
              <w:t>FRANCHISE RIGHTS</w:t>
            </w:r>
          </w:p>
        </w:tc>
        <w:tc>
          <w:tcPr>
            <w:tcW w:w="1020" w:type="dxa"/>
            <w:vAlign w:val="bottom"/>
          </w:tcPr>
          <w:p>
            <w:pPr>
              <w:jc w:val="right"/>
              <w:spacing w:after="0"/>
              <w:rPr>
                <w:sz w:val="20"/>
                <w:szCs w:val="20"/>
                <w:color w:val="auto"/>
              </w:rPr>
            </w:pPr>
            <w:r>
              <w:rPr>
                <w:rFonts w:ascii="Arial" w:cs="Arial" w:eastAsia="Arial" w:hAnsi="Arial"/>
                <w:sz w:val="22"/>
                <w:szCs w:val="22"/>
                <w:color w:val="auto"/>
              </w:rPr>
              <w:t>51,070</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2"/>
                <w:szCs w:val="22"/>
                <w:color w:val="auto"/>
              </w:rPr>
              <w:t>51,050</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7720" w:type="dxa"/>
            <w:vAlign w:val="bottom"/>
            <w:gridSpan w:val="4"/>
          </w:tcPr>
          <w:p>
            <w:pPr>
              <w:spacing w:after="0"/>
              <w:rPr>
                <w:sz w:val="20"/>
                <w:szCs w:val="20"/>
                <w:color w:val="auto"/>
              </w:rPr>
            </w:pPr>
            <w:r>
              <w:rPr>
                <w:rFonts w:ascii="Arial" w:cs="Arial" w:eastAsia="Arial" w:hAnsi="Arial"/>
                <w:sz w:val="22"/>
                <w:szCs w:val="22"/>
                <w:color w:val="auto"/>
              </w:rPr>
              <w:t>GOODWILL</w:t>
            </w:r>
          </w:p>
        </w:tc>
        <w:tc>
          <w:tcPr>
            <w:tcW w:w="1020" w:type="dxa"/>
            <w:vAlign w:val="bottom"/>
          </w:tcPr>
          <w:p>
            <w:pPr>
              <w:jc w:val="right"/>
              <w:spacing w:after="0"/>
              <w:rPr>
                <w:sz w:val="20"/>
                <w:szCs w:val="20"/>
                <w:color w:val="auto"/>
              </w:rPr>
            </w:pPr>
            <w:r>
              <w:rPr>
                <w:rFonts w:ascii="Arial" w:cs="Arial" w:eastAsia="Arial" w:hAnsi="Arial"/>
                <w:sz w:val="22"/>
                <w:szCs w:val="22"/>
                <w:color w:val="auto"/>
              </w:rPr>
              <w:t>14,816</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2"/>
                <w:szCs w:val="22"/>
                <w:color w:val="auto"/>
              </w:rPr>
              <w:t>14,841</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5"/>
        </w:trPr>
        <w:tc>
          <w:tcPr>
            <w:tcW w:w="7720" w:type="dxa"/>
            <w:vAlign w:val="bottom"/>
            <w:gridSpan w:val="4"/>
          </w:tcPr>
          <w:p>
            <w:pPr>
              <w:spacing w:after="0"/>
              <w:rPr>
                <w:sz w:val="20"/>
                <w:szCs w:val="20"/>
                <w:color w:val="auto"/>
              </w:rPr>
            </w:pPr>
            <w:r>
              <w:rPr>
                <w:rFonts w:ascii="Arial" w:cs="Arial" w:eastAsia="Arial" w:hAnsi="Arial"/>
                <w:sz w:val="22"/>
                <w:szCs w:val="22"/>
                <w:color w:val="auto"/>
                <w:w w:val="99"/>
              </w:rPr>
              <w:t>OTHER INTANGIBLE ASSETS, net of accumulated amortization of $2,810 and</w:t>
            </w: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4060" w:type="dxa"/>
            <w:vAlign w:val="bottom"/>
          </w:tcPr>
          <w:p>
            <w:pPr>
              <w:spacing w:after="0"/>
              <w:rPr>
                <w:sz w:val="20"/>
                <w:szCs w:val="20"/>
                <w:color w:val="auto"/>
              </w:rPr>
            </w:pPr>
            <w:r>
              <w:rPr>
                <w:rFonts w:ascii="Arial" w:cs="Arial" w:eastAsia="Arial" w:hAnsi="Arial"/>
                <w:sz w:val="22"/>
                <w:szCs w:val="22"/>
                <w:color w:val="auto"/>
              </w:rPr>
              <w:t>$2,182</w:t>
            </w:r>
          </w:p>
        </w:tc>
        <w:tc>
          <w:tcPr>
            <w:tcW w:w="4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9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22"/>
                <w:szCs w:val="22"/>
                <w:color w:val="auto"/>
              </w:rPr>
              <w:t>4,322</w:t>
            </w: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22"/>
                <w:szCs w:val="22"/>
                <w:color w:val="auto"/>
              </w:rPr>
              <w:t>3,859</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86"/>
        </w:trPr>
        <w:tc>
          <w:tcPr>
            <w:tcW w:w="7720" w:type="dxa"/>
            <w:vAlign w:val="bottom"/>
            <w:gridSpan w:val="4"/>
          </w:tcPr>
          <w:p>
            <w:pPr>
              <w:spacing w:after="0"/>
              <w:rPr>
                <w:sz w:val="20"/>
                <w:szCs w:val="20"/>
                <w:color w:val="auto"/>
              </w:rPr>
            </w:pPr>
            <w:r>
              <w:rPr>
                <w:rFonts w:ascii="Arial" w:cs="Arial" w:eastAsia="Arial" w:hAnsi="Arial"/>
                <w:sz w:val="22"/>
                <w:szCs w:val="22"/>
                <w:color w:val="auto"/>
              </w:rPr>
              <w:t>OTHER NONCURRENT ASSETS, net</w:t>
            </w:r>
          </w:p>
        </w:tc>
        <w:tc>
          <w:tcPr>
            <w:tcW w:w="1020" w:type="dxa"/>
            <w:vAlign w:val="bottom"/>
          </w:tcPr>
          <w:p>
            <w:pPr>
              <w:jc w:val="right"/>
              <w:spacing w:after="0"/>
              <w:rPr>
                <w:sz w:val="20"/>
                <w:szCs w:val="20"/>
                <w:color w:val="auto"/>
              </w:rPr>
            </w:pPr>
            <w:r>
              <w:rPr>
                <w:rFonts w:ascii="Arial" w:cs="Arial" w:eastAsia="Arial" w:hAnsi="Arial"/>
                <w:sz w:val="22"/>
                <w:szCs w:val="22"/>
                <w:color w:val="auto"/>
              </w:rPr>
              <w:t>636</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2"/>
                <w:szCs w:val="22"/>
                <w:color w:val="auto"/>
              </w:rPr>
              <w:t>715</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40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92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55"/>
        </w:trPr>
        <w:tc>
          <w:tcPr>
            <w:tcW w:w="40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2"/>
                <w:szCs w:val="22"/>
                <w:color w:val="auto"/>
              </w:rPr>
              <w:t>$108,081</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2"/>
                <w:szCs w:val="22"/>
                <w:color w:val="auto"/>
              </w:rPr>
              <w:t>$109,159</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4460" w:type="dxa"/>
            <w:vAlign w:val="bottom"/>
            <w:gridSpan w:val="2"/>
            <w:vMerge w:val="restart"/>
          </w:tcPr>
          <w:p>
            <w:pPr>
              <w:spacing w:after="0"/>
              <w:rPr>
                <w:sz w:val="20"/>
                <w:szCs w:val="20"/>
                <w:color w:val="auto"/>
              </w:rPr>
            </w:pPr>
            <w:r>
              <w:rPr>
                <w:rFonts w:ascii="Arial" w:cs="Arial" w:eastAsia="Arial" w:hAnsi="Arial"/>
                <w:sz w:val="22"/>
                <w:szCs w:val="22"/>
                <w:color w:val="auto"/>
                <w:w w:val="97"/>
              </w:rPr>
              <w:t>LIABILITIES AND STOCKHOLDERS’ EQUITY</w:t>
            </w:r>
          </w:p>
        </w:tc>
        <w:tc>
          <w:tcPr>
            <w:tcW w:w="3260" w:type="dxa"/>
            <w:vAlign w:val="bottom"/>
            <w:gridSpan w:val="2"/>
            <w:vMerge w:val="restart"/>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2"/>
        </w:trPr>
        <w:tc>
          <w:tcPr>
            <w:tcW w:w="4460" w:type="dxa"/>
            <w:vAlign w:val="bottom"/>
            <w:tcBorders>
              <w:bottom w:val="single" w:sz="8" w:color="auto"/>
            </w:tcBorders>
            <w:gridSpan w:val="2"/>
            <w:vMerge w:val="continue"/>
          </w:tcPr>
          <w:p>
            <w:pPr>
              <w:spacing w:after="0"/>
              <w:rPr>
                <w:sz w:val="24"/>
                <w:szCs w:val="24"/>
                <w:color w:val="auto"/>
              </w:rPr>
            </w:pPr>
          </w:p>
        </w:tc>
        <w:tc>
          <w:tcPr>
            <w:tcW w:w="3260" w:type="dxa"/>
            <w:vAlign w:val="bottom"/>
            <w:gridSpan w:val="2"/>
            <w:vMerge w:val="continue"/>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7720" w:type="dxa"/>
            <w:vAlign w:val="bottom"/>
            <w:gridSpan w:val="4"/>
          </w:tcPr>
          <w:p>
            <w:pPr>
              <w:spacing w:after="0" w:line="242" w:lineRule="exact"/>
              <w:rPr>
                <w:sz w:val="20"/>
                <w:szCs w:val="20"/>
                <w:color w:val="auto"/>
              </w:rPr>
            </w:pPr>
            <w:r>
              <w:rPr>
                <w:rFonts w:ascii="Arial" w:cs="Arial" w:eastAsia="Arial" w:hAnsi="Arial"/>
                <w:sz w:val="22"/>
                <w:szCs w:val="22"/>
                <w:color w:val="auto"/>
              </w:rPr>
              <w:t>CURRENT LIABILITIES</w:t>
            </w:r>
          </w:p>
        </w:tc>
        <w:tc>
          <w:tcPr>
            <w:tcW w:w="10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20" w:type="dxa"/>
            <w:vAlign w:val="bottom"/>
            <w:gridSpan w:val="4"/>
          </w:tcPr>
          <w:p>
            <w:pPr>
              <w:ind w:left="160"/>
              <w:spacing w:after="0" w:line="243" w:lineRule="exact"/>
              <w:rPr>
                <w:sz w:val="20"/>
                <w:szCs w:val="20"/>
                <w:color w:val="auto"/>
              </w:rPr>
            </w:pPr>
            <w:r>
              <w:rPr>
                <w:rFonts w:ascii="Arial" w:cs="Arial" w:eastAsia="Arial" w:hAnsi="Arial"/>
                <w:sz w:val="22"/>
                <w:szCs w:val="22"/>
                <w:color w:val="auto"/>
              </w:rPr>
              <w:t>Accounts payable</w:t>
            </w:r>
          </w:p>
        </w:tc>
        <w:tc>
          <w:tcPr>
            <w:tcW w:w="1020" w:type="dxa"/>
            <w:vAlign w:val="bottom"/>
          </w:tcPr>
          <w:p>
            <w:pPr>
              <w:jc w:val="right"/>
              <w:spacing w:after="0" w:line="243" w:lineRule="exact"/>
              <w:rPr>
                <w:sz w:val="20"/>
                <w:szCs w:val="20"/>
                <w:color w:val="auto"/>
              </w:rPr>
            </w:pPr>
            <w:r>
              <w:rPr>
                <w:rFonts w:ascii="Arial" w:cs="Arial" w:eastAsia="Arial" w:hAnsi="Arial"/>
                <w:sz w:val="22"/>
                <w:szCs w:val="22"/>
                <w:color w:val="auto"/>
              </w:rPr>
              <w:t>$988</w:t>
            </w:r>
          </w:p>
        </w:tc>
        <w:tc>
          <w:tcPr>
            <w:tcW w:w="300" w:type="dxa"/>
            <w:vAlign w:val="bottom"/>
          </w:tcPr>
          <w:p>
            <w:pPr>
              <w:spacing w:after="0"/>
              <w:rPr>
                <w:sz w:val="21"/>
                <w:szCs w:val="21"/>
                <w:color w:val="auto"/>
              </w:rPr>
            </w:pPr>
          </w:p>
        </w:tc>
        <w:tc>
          <w:tcPr>
            <w:tcW w:w="1020" w:type="dxa"/>
            <w:vAlign w:val="bottom"/>
          </w:tcPr>
          <w:p>
            <w:pPr>
              <w:jc w:val="right"/>
              <w:spacing w:after="0" w:line="243" w:lineRule="exact"/>
              <w:rPr>
                <w:sz w:val="20"/>
                <w:szCs w:val="20"/>
                <w:color w:val="auto"/>
              </w:rPr>
            </w:pPr>
            <w:r>
              <w:rPr>
                <w:rFonts w:ascii="Arial" w:cs="Arial" w:eastAsia="Arial" w:hAnsi="Arial"/>
                <w:sz w:val="22"/>
                <w:szCs w:val="22"/>
                <w:color w:val="auto"/>
              </w:rPr>
              <w:t>$1,251</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20" w:type="dxa"/>
            <w:vAlign w:val="bottom"/>
            <w:gridSpan w:val="4"/>
          </w:tcPr>
          <w:p>
            <w:pPr>
              <w:ind w:left="160"/>
              <w:spacing w:after="0" w:line="243" w:lineRule="exact"/>
              <w:rPr>
                <w:sz w:val="20"/>
                <w:szCs w:val="20"/>
                <w:color w:val="auto"/>
              </w:rPr>
            </w:pPr>
            <w:r>
              <w:rPr>
                <w:rFonts w:ascii="Arial" w:cs="Arial" w:eastAsia="Arial" w:hAnsi="Arial"/>
                <w:sz w:val="22"/>
                <w:szCs w:val="22"/>
                <w:color w:val="auto"/>
              </w:rPr>
              <w:t>Accrued expenses and other current liabilities</w:t>
            </w:r>
          </w:p>
        </w:tc>
        <w:tc>
          <w:tcPr>
            <w:tcW w:w="1020" w:type="dxa"/>
            <w:vAlign w:val="bottom"/>
          </w:tcPr>
          <w:p>
            <w:pPr>
              <w:jc w:val="right"/>
              <w:spacing w:after="0" w:line="243" w:lineRule="exact"/>
              <w:rPr>
                <w:sz w:val="20"/>
                <w:szCs w:val="20"/>
                <w:color w:val="auto"/>
              </w:rPr>
            </w:pPr>
            <w:r>
              <w:rPr>
                <w:rFonts w:ascii="Arial" w:cs="Arial" w:eastAsia="Arial" w:hAnsi="Arial"/>
                <w:sz w:val="22"/>
                <w:szCs w:val="22"/>
                <w:color w:val="auto"/>
              </w:rPr>
              <w:t>4,194</w:t>
            </w:r>
          </w:p>
        </w:tc>
        <w:tc>
          <w:tcPr>
            <w:tcW w:w="300" w:type="dxa"/>
            <w:vAlign w:val="bottom"/>
          </w:tcPr>
          <w:p>
            <w:pPr>
              <w:spacing w:after="0"/>
              <w:rPr>
                <w:sz w:val="21"/>
                <w:szCs w:val="21"/>
                <w:color w:val="auto"/>
              </w:rPr>
            </w:pPr>
          </w:p>
        </w:tc>
        <w:tc>
          <w:tcPr>
            <w:tcW w:w="1020" w:type="dxa"/>
            <w:vAlign w:val="bottom"/>
          </w:tcPr>
          <w:p>
            <w:pPr>
              <w:jc w:val="right"/>
              <w:spacing w:after="0" w:line="243" w:lineRule="exact"/>
              <w:rPr>
                <w:sz w:val="20"/>
                <w:szCs w:val="20"/>
                <w:color w:val="auto"/>
              </w:rPr>
            </w:pPr>
            <w:r>
              <w:rPr>
                <w:rFonts w:ascii="Arial" w:cs="Arial" w:eastAsia="Arial" w:hAnsi="Arial"/>
                <w:sz w:val="22"/>
                <w:szCs w:val="22"/>
                <w:color w:val="auto"/>
              </w:rPr>
              <w:t>4,563</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20" w:type="dxa"/>
            <w:vAlign w:val="bottom"/>
            <w:gridSpan w:val="4"/>
          </w:tcPr>
          <w:p>
            <w:pPr>
              <w:ind w:left="180"/>
              <w:spacing w:after="0" w:line="243" w:lineRule="exact"/>
              <w:rPr>
                <w:sz w:val="20"/>
                <w:szCs w:val="20"/>
                <w:color w:val="auto"/>
              </w:rPr>
            </w:pPr>
            <w:r>
              <w:rPr>
                <w:rFonts w:ascii="Arial" w:cs="Arial" w:eastAsia="Arial" w:hAnsi="Arial"/>
                <w:sz w:val="22"/>
                <w:szCs w:val="22"/>
                <w:color w:val="auto"/>
              </w:rPr>
              <w:t>Deferred income taxes</w:t>
            </w:r>
          </w:p>
        </w:tc>
        <w:tc>
          <w:tcPr>
            <w:tcW w:w="1020" w:type="dxa"/>
            <w:vAlign w:val="bottom"/>
          </w:tcPr>
          <w:p>
            <w:pPr>
              <w:jc w:val="right"/>
              <w:spacing w:after="0" w:line="243" w:lineRule="exact"/>
              <w:rPr>
                <w:sz w:val="20"/>
                <w:szCs w:val="20"/>
                <w:color w:val="auto"/>
              </w:rPr>
            </w:pPr>
            <w:r>
              <w:rPr>
                <w:rFonts w:ascii="Arial" w:cs="Arial" w:eastAsia="Arial" w:hAnsi="Arial"/>
                <w:sz w:val="22"/>
                <w:szCs w:val="22"/>
                <w:color w:val="auto"/>
              </w:rPr>
              <w:t>657</w:t>
            </w:r>
          </w:p>
        </w:tc>
        <w:tc>
          <w:tcPr>
            <w:tcW w:w="300" w:type="dxa"/>
            <w:vAlign w:val="bottom"/>
          </w:tcPr>
          <w:p>
            <w:pPr>
              <w:spacing w:after="0"/>
              <w:rPr>
                <w:sz w:val="21"/>
                <w:szCs w:val="21"/>
                <w:color w:val="auto"/>
              </w:rPr>
            </w:pPr>
          </w:p>
        </w:tc>
        <w:tc>
          <w:tcPr>
            <w:tcW w:w="1020" w:type="dxa"/>
            <w:vAlign w:val="bottom"/>
          </w:tcPr>
          <w:p>
            <w:pPr>
              <w:jc w:val="right"/>
              <w:spacing w:after="0" w:line="243" w:lineRule="exact"/>
              <w:rPr>
                <w:sz w:val="20"/>
                <w:szCs w:val="20"/>
                <w:color w:val="auto"/>
              </w:rPr>
            </w:pPr>
            <w:r>
              <w:rPr>
                <w:rFonts w:ascii="Arial" w:cs="Arial" w:eastAsia="Arial" w:hAnsi="Arial"/>
                <w:sz w:val="22"/>
                <w:szCs w:val="22"/>
                <w:color w:val="auto"/>
              </w:rPr>
              <w:t>679</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7720" w:type="dxa"/>
            <w:vAlign w:val="bottom"/>
            <w:gridSpan w:val="4"/>
          </w:tcPr>
          <w:p>
            <w:pPr>
              <w:ind w:left="180"/>
              <w:spacing w:after="0"/>
              <w:rPr>
                <w:sz w:val="20"/>
                <w:szCs w:val="20"/>
                <w:color w:val="auto"/>
              </w:rPr>
            </w:pPr>
            <w:r>
              <w:rPr>
                <w:rFonts w:ascii="Arial" w:cs="Arial" w:eastAsia="Arial" w:hAnsi="Arial"/>
                <w:sz w:val="22"/>
                <w:szCs w:val="22"/>
                <w:color w:val="auto"/>
              </w:rPr>
              <w:t>Current portion of long-term debt</w:t>
            </w:r>
          </w:p>
        </w:tc>
        <w:tc>
          <w:tcPr>
            <w:tcW w:w="1020" w:type="dxa"/>
            <w:vAlign w:val="bottom"/>
          </w:tcPr>
          <w:p>
            <w:pPr>
              <w:jc w:val="right"/>
              <w:spacing w:after="0"/>
              <w:rPr>
                <w:sz w:val="20"/>
                <w:szCs w:val="20"/>
                <w:color w:val="auto"/>
              </w:rPr>
            </w:pPr>
            <w:r>
              <w:rPr>
                <w:rFonts w:ascii="Arial" w:cs="Arial" w:eastAsia="Arial" w:hAnsi="Arial"/>
                <w:sz w:val="22"/>
                <w:szCs w:val="22"/>
                <w:color w:val="auto"/>
              </w:rPr>
              <w:t>2,792</w:t>
            </w: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22"/>
                <w:szCs w:val="22"/>
                <w:color w:val="auto"/>
              </w:rPr>
              <w:t>3,161</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8"/>
        </w:trPr>
        <w:tc>
          <w:tcPr>
            <w:tcW w:w="40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92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55"/>
        </w:trPr>
        <w:tc>
          <w:tcPr>
            <w:tcW w:w="7720" w:type="dxa"/>
            <w:vAlign w:val="bottom"/>
            <w:gridSpan w:val="4"/>
          </w:tcPr>
          <w:p>
            <w:pPr>
              <w:ind w:left="380"/>
              <w:spacing w:after="0"/>
              <w:rPr>
                <w:sz w:val="20"/>
                <w:szCs w:val="20"/>
                <w:color w:val="auto"/>
              </w:rPr>
            </w:pPr>
            <w:r>
              <w:rPr>
                <w:rFonts w:ascii="Arial" w:cs="Arial" w:eastAsia="Arial" w:hAnsi="Arial"/>
                <w:sz w:val="22"/>
                <w:szCs w:val="22"/>
                <w:color w:val="auto"/>
              </w:rPr>
              <w:t>Total current liabilities</w:t>
            </w:r>
          </w:p>
        </w:tc>
        <w:tc>
          <w:tcPr>
            <w:tcW w:w="1020" w:type="dxa"/>
            <w:vAlign w:val="bottom"/>
          </w:tcPr>
          <w:p>
            <w:pPr>
              <w:jc w:val="right"/>
              <w:spacing w:after="0"/>
              <w:rPr>
                <w:sz w:val="20"/>
                <w:szCs w:val="20"/>
                <w:color w:val="auto"/>
              </w:rPr>
            </w:pPr>
            <w:r>
              <w:rPr>
                <w:rFonts w:ascii="Arial" w:cs="Arial" w:eastAsia="Arial" w:hAnsi="Arial"/>
                <w:sz w:val="22"/>
                <w:szCs w:val="22"/>
                <w:color w:val="auto"/>
              </w:rPr>
              <w:t>8,631</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2"/>
                <w:szCs w:val="22"/>
                <w:color w:val="auto"/>
              </w:rPr>
              <w:t>9,654</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40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92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55"/>
        </w:trPr>
        <w:tc>
          <w:tcPr>
            <w:tcW w:w="7720" w:type="dxa"/>
            <w:vAlign w:val="bottom"/>
            <w:gridSpan w:val="4"/>
          </w:tcPr>
          <w:p>
            <w:pPr>
              <w:spacing w:after="0"/>
              <w:rPr>
                <w:sz w:val="20"/>
                <w:szCs w:val="20"/>
                <w:color w:val="auto"/>
              </w:rPr>
            </w:pPr>
            <w:r>
              <w:rPr>
                <w:rFonts w:ascii="Arial" w:cs="Arial" w:eastAsia="Arial" w:hAnsi="Arial"/>
                <w:sz w:val="22"/>
                <w:szCs w:val="22"/>
                <w:color w:val="auto"/>
              </w:rPr>
              <w:t>LONG-TERM DEBT, less current portion</w:t>
            </w:r>
          </w:p>
        </w:tc>
        <w:tc>
          <w:tcPr>
            <w:tcW w:w="1020" w:type="dxa"/>
            <w:vAlign w:val="bottom"/>
          </w:tcPr>
          <w:p>
            <w:pPr>
              <w:jc w:val="right"/>
              <w:spacing w:after="0"/>
              <w:rPr>
                <w:sz w:val="20"/>
                <w:szCs w:val="20"/>
                <w:color w:val="auto"/>
              </w:rPr>
            </w:pPr>
            <w:r>
              <w:rPr>
                <w:rFonts w:ascii="Arial" w:cs="Arial" w:eastAsia="Arial" w:hAnsi="Arial"/>
                <w:sz w:val="22"/>
                <w:szCs w:val="22"/>
                <w:color w:val="auto"/>
              </w:rPr>
              <w:t>22,985</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2"/>
                <w:szCs w:val="22"/>
                <w:color w:val="auto"/>
              </w:rPr>
              <w:t>23,835</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7720" w:type="dxa"/>
            <w:vAlign w:val="bottom"/>
            <w:gridSpan w:val="4"/>
          </w:tcPr>
          <w:p>
            <w:pPr>
              <w:spacing w:after="0"/>
              <w:rPr>
                <w:sz w:val="20"/>
                <w:szCs w:val="20"/>
                <w:color w:val="auto"/>
              </w:rPr>
            </w:pPr>
            <w:r>
              <w:rPr>
                <w:rFonts w:ascii="Arial" w:cs="Arial" w:eastAsia="Arial" w:hAnsi="Arial"/>
                <w:sz w:val="22"/>
                <w:szCs w:val="22"/>
                <w:color w:val="auto"/>
              </w:rPr>
              <w:t>DEFERRED INCOME TAXES</w:t>
            </w:r>
          </w:p>
        </w:tc>
        <w:tc>
          <w:tcPr>
            <w:tcW w:w="1020" w:type="dxa"/>
            <w:vAlign w:val="bottom"/>
          </w:tcPr>
          <w:p>
            <w:pPr>
              <w:jc w:val="right"/>
              <w:spacing w:after="0"/>
              <w:rPr>
                <w:sz w:val="20"/>
                <w:szCs w:val="20"/>
                <w:color w:val="auto"/>
              </w:rPr>
            </w:pPr>
            <w:r>
              <w:rPr>
                <w:rFonts w:ascii="Arial" w:cs="Arial" w:eastAsia="Arial" w:hAnsi="Arial"/>
                <w:sz w:val="22"/>
                <w:szCs w:val="22"/>
                <w:color w:val="auto"/>
              </w:rPr>
              <w:t>26,644</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2"/>
                <w:szCs w:val="22"/>
                <w:color w:val="auto"/>
              </w:rPr>
              <w:t>25,900</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7720" w:type="dxa"/>
            <w:vAlign w:val="bottom"/>
            <w:gridSpan w:val="4"/>
          </w:tcPr>
          <w:p>
            <w:pPr>
              <w:spacing w:after="0"/>
              <w:rPr>
                <w:sz w:val="20"/>
                <w:szCs w:val="20"/>
                <w:color w:val="auto"/>
              </w:rPr>
            </w:pPr>
            <w:r>
              <w:rPr>
                <w:rFonts w:ascii="Arial" w:cs="Arial" w:eastAsia="Arial" w:hAnsi="Arial"/>
                <w:sz w:val="22"/>
                <w:szCs w:val="22"/>
                <w:color w:val="auto"/>
              </w:rPr>
              <w:t>OTHER NONCURRENT LIABILITIES</w:t>
            </w:r>
          </w:p>
        </w:tc>
        <w:tc>
          <w:tcPr>
            <w:tcW w:w="1020" w:type="dxa"/>
            <w:vAlign w:val="bottom"/>
          </w:tcPr>
          <w:p>
            <w:pPr>
              <w:jc w:val="right"/>
              <w:spacing w:after="0"/>
              <w:rPr>
                <w:sz w:val="20"/>
                <w:szCs w:val="20"/>
                <w:color w:val="auto"/>
              </w:rPr>
            </w:pPr>
            <w:r>
              <w:rPr>
                <w:rFonts w:ascii="Arial" w:cs="Arial" w:eastAsia="Arial" w:hAnsi="Arial"/>
                <w:sz w:val="22"/>
                <w:szCs w:val="22"/>
                <w:color w:val="auto"/>
              </w:rPr>
              <w:t>7,922</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2"/>
                <w:szCs w:val="22"/>
                <w:color w:val="auto"/>
              </w:rPr>
              <w:t>7,816</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7720" w:type="dxa"/>
            <w:vAlign w:val="bottom"/>
            <w:gridSpan w:val="4"/>
          </w:tcPr>
          <w:p>
            <w:pPr>
              <w:spacing w:after="0"/>
              <w:rPr>
                <w:sz w:val="20"/>
                <w:szCs w:val="20"/>
                <w:color w:val="auto"/>
              </w:rPr>
            </w:pPr>
            <w:r>
              <w:rPr>
                <w:rFonts w:ascii="Arial" w:cs="Arial" w:eastAsia="Arial" w:hAnsi="Arial"/>
                <w:sz w:val="22"/>
                <w:szCs w:val="22"/>
                <w:color w:val="auto"/>
              </w:rPr>
              <w:t>MINORITY INTEREST</w:t>
            </w:r>
          </w:p>
        </w:tc>
        <w:tc>
          <w:tcPr>
            <w:tcW w:w="1020" w:type="dxa"/>
            <w:vAlign w:val="bottom"/>
          </w:tcPr>
          <w:p>
            <w:pPr>
              <w:jc w:val="right"/>
              <w:spacing w:after="0"/>
              <w:rPr>
                <w:sz w:val="20"/>
                <w:szCs w:val="20"/>
                <w:color w:val="auto"/>
              </w:rPr>
            </w:pPr>
            <w:r>
              <w:rPr>
                <w:rFonts w:ascii="Arial" w:cs="Arial" w:eastAsia="Arial" w:hAnsi="Arial"/>
                <w:sz w:val="22"/>
                <w:szCs w:val="22"/>
                <w:color w:val="auto"/>
              </w:rPr>
              <w:t>384</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2"/>
                <w:szCs w:val="22"/>
                <w:color w:val="auto"/>
              </w:rPr>
              <w:t>292</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6"/>
        </w:trPr>
        <w:tc>
          <w:tcPr>
            <w:tcW w:w="7720" w:type="dxa"/>
            <w:vAlign w:val="bottom"/>
            <w:gridSpan w:val="4"/>
          </w:tcPr>
          <w:p>
            <w:pPr>
              <w:spacing w:after="0"/>
              <w:rPr>
                <w:rFonts w:ascii="Arial" w:cs="Arial" w:eastAsia="Arial" w:hAnsi="Arial"/>
                <w:sz w:val="22"/>
                <w:szCs w:val="22"/>
                <w:color w:val="auto"/>
              </w:rPr>
            </w:pPr>
            <w:r>
              <w:rPr>
                <w:rFonts w:ascii="Arial" w:cs="Arial" w:eastAsia="Arial" w:hAnsi="Arial"/>
                <w:sz w:val="22"/>
                <w:szCs w:val="22"/>
                <w:color w:val="auto"/>
              </w:rPr>
              <w:t>COMMITMENTS AND CONTINGENCIES (</w:t>
            </w:r>
            <w:hyperlink w:anchor="page14">
              <w:r>
                <w:rPr>
                  <w:rFonts w:ascii="Arial" w:cs="Arial" w:eastAsia="Arial" w:hAnsi="Arial"/>
                  <w:sz w:val="22"/>
                  <w:szCs w:val="22"/>
                  <w:color w:val="0000EE"/>
                </w:rPr>
                <w:t>NOTE 9</w:t>
              </w:r>
            </w:hyperlink>
            <w:r>
              <w:rPr>
                <w:rFonts w:ascii="Arial" w:cs="Arial" w:eastAsia="Arial" w:hAnsi="Arial"/>
                <w:sz w:val="22"/>
                <w:szCs w:val="22"/>
                <w:color w:val="auto"/>
              </w:rPr>
              <w:t>)</w:t>
            </w: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5"/>
        </w:trPr>
        <w:tc>
          <w:tcPr>
            <w:tcW w:w="4060" w:type="dxa"/>
            <w:vAlign w:val="bottom"/>
          </w:tcPr>
          <w:p>
            <w:pPr>
              <w:spacing w:after="0"/>
              <w:rPr>
                <w:sz w:val="20"/>
                <w:szCs w:val="20"/>
                <w:color w:val="auto"/>
              </w:rPr>
            </w:pPr>
            <w:r>
              <w:rPr>
                <w:rFonts w:ascii="Arial" w:cs="Arial" w:eastAsia="Arial" w:hAnsi="Arial"/>
                <w:sz w:val="22"/>
                <w:szCs w:val="22"/>
                <w:color w:val="auto"/>
              </w:rPr>
              <w:t>STOCKHOLDERS' EQUITY</w:t>
            </w:r>
          </w:p>
        </w:tc>
        <w:tc>
          <w:tcPr>
            <w:tcW w:w="740" w:type="dxa"/>
            <w:vAlign w:val="bottom"/>
            <w:tcBorders>
              <w:top w:val="single" w:sz="8" w:color="0000EE"/>
            </w:tcBorders>
            <w:gridSpan w:val="2"/>
          </w:tcPr>
          <w:p>
            <w:pPr>
              <w:spacing w:after="0"/>
              <w:rPr>
                <w:sz w:val="24"/>
                <w:szCs w:val="24"/>
                <w:color w:val="auto"/>
              </w:rPr>
            </w:pPr>
          </w:p>
        </w:tc>
        <w:tc>
          <w:tcPr>
            <w:tcW w:w="29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720" w:type="dxa"/>
            <w:vAlign w:val="bottom"/>
            <w:gridSpan w:val="4"/>
          </w:tcPr>
          <w:p>
            <w:pPr>
              <w:ind w:left="180"/>
              <w:spacing w:after="0" w:line="243" w:lineRule="exact"/>
              <w:rPr>
                <w:sz w:val="20"/>
                <w:szCs w:val="20"/>
                <w:color w:val="auto"/>
              </w:rPr>
            </w:pPr>
            <w:r>
              <w:rPr>
                <w:rFonts w:ascii="Arial" w:cs="Arial" w:eastAsia="Arial" w:hAnsi="Arial"/>
                <w:sz w:val="22"/>
                <w:szCs w:val="22"/>
                <w:color w:val="auto"/>
              </w:rPr>
              <w:t>Preferred stock - authorized 20,000,000 shares; issued, zero</w:t>
            </w:r>
          </w:p>
        </w:tc>
        <w:tc>
          <w:tcPr>
            <w:tcW w:w="10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20" w:type="dxa"/>
            <w:vAlign w:val="bottom"/>
            <w:gridSpan w:val="4"/>
          </w:tcPr>
          <w:p>
            <w:pPr>
              <w:ind w:left="180"/>
              <w:spacing w:after="0" w:line="243" w:lineRule="exact"/>
              <w:rPr>
                <w:sz w:val="20"/>
                <w:szCs w:val="20"/>
                <w:color w:val="auto"/>
              </w:rPr>
            </w:pPr>
            <w:r>
              <w:rPr>
                <w:rFonts w:ascii="Arial" w:cs="Arial" w:eastAsia="Arial" w:hAnsi="Arial"/>
                <w:sz w:val="22"/>
                <w:szCs w:val="22"/>
                <w:color w:val="auto"/>
              </w:rPr>
              <w:t>Class A common stock, $0.01 par value - authorized,</w:t>
            </w:r>
          </w:p>
        </w:tc>
        <w:tc>
          <w:tcPr>
            <w:tcW w:w="10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20" w:type="dxa"/>
            <w:vAlign w:val="bottom"/>
            <w:gridSpan w:val="4"/>
          </w:tcPr>
          <w:p>
            <w:pPr>
              <w:ind w:left="280"/>
              <w:spacing w:after="0" w:line="243" w:lineRule="exact"/>
              <w:rPr>
                <w:sz w:val="20"/>
                <w:szCs w:val="20"/>
                <w:color w:val="auto"/>
              </w:rPr>
            </w:pPr>
            <w:r>
              <w:rPr>
                <w:rFonts w:ascii="Arial" w:cs="Arial" w:eastAsia="Arial" w:hAnsi="Arial"/>
                <w:sz w:val="22"/>
                <w:szCs w:val="22"/>
                <w:color w:val="auto"/>
              </w:rPr>
              <w:t>7,500,000,000 shares; issued, 1,602,256,778 and 1,601,161,057;</w:t>
            </w:r>
          </w:p>
        </w:tc>
        <w:tc>
          <w:tcPr>
            <w:tcW w:w="10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20" w:type="dxa"/>
            <w:vAlign w:val="bottom"/>
            <w:gridSpan w:val="4"/>
          </w:tcPr>
          <w:p>
            <w:pPr>
              <w:ind w:left="280"/>
              <w:spacing w:after="0" w:line="243" w:lineRule="exact"/>
              <w:rPr>
                <w:sz w:val="20"/>
                <w:szCs w:val="20"/>
                <w:color w:val="auto"/>
              </w:rPr>
            </w:pPr>
            <w:r>
              <w:rPr>
                <w:rFonts w:ascii="Arial" w:cs="Arial" w:eastAsia="Arial" w:hAnsi="Arial"/>
                <w:sz w:val="22"/>
                <w:szCs w:val="22"/>
                <w:color w:val="auto"/>
              </w:rPr>
              <w:t>outstanding, 1,358,616,278 and 1,357,520,557</w:t>
            </w:r>
          </w:p>
        </w:tc>
        <w:tc>
          <w:tcPr>
            <w:tcW w:w="1020" w:type="dxa"/>
            <w:vAlign w:val="bottom"/>
          </w:tcPr>
          <w:p>
            <w:pPr>
              <w:jc w:val="right"/>
              <w:spacing w:after="0" w:line="243" w:lineRule="exact"/>
              <w:rPr>
                <w:sz w:val="20"/>
                <w:szCs w:val="20"/>
                <w:color w:val="auto"/>
              </w:rPr>
            </w:pPr>
            <w:r>
              <w:rPr>
                <w:rFonts w:ascii="Arial" w:cs="Arial" w:eastAsia="Arial" w:hAnsi="Arial"/>
                <w:sz w:val="22"/>
                <w:szCs w:val="22"/>
                <w:color w:val="auto"/>
              </w:rPr>
              <w:t>16</w:t>
            </w:r>
          </w:p>
        </w:tc>
        <w:tc>
          <w:tcPr>
            <w:tcW w:w="300" w:type="dxa"/>
            <w:vAlign w:val="bottom"/>
          </w:tcPr>
          <w:p>
            <w:pPr>
              <w:spacing w:after="0"/>
              <w:rPr>
                <w:sz w:val="21"/>
                <w:szCs w:val="21"/>
                <w:color w:val="auto"/>
              </w:rPr>
            </w:pPr>
          </w:p>
        </w:tc>
        <w:tc>
          <w:tcPr>
            <w:tcW w:w="1020" w:type="dxa"/>
            <w:vAlign w:val="bottom"/>
          </w:tcPr>
          <w:p>
            <w:pPr>
              <w:jc w:val="right"/>
              <w:spacing w:after="0" w:line="243" w:lineRule="exact"/>
              <w:rPr>
                <w:sz w:val="20"/>
                <w:szCs w:val="20"/>
                <w:color w:val="auto"/>
              </w:rPr>
            </w:pPr>
            <w:r>
              <w:rPr>
                <w:rFonts w:ascii="Arial" w:cs="Arial" w:eastAsia="Arial" w:hAnsi="Arial"/>
                <w:sz w:val="22"/>
                <w:szCs w:val="22"/>
                <w:color w:val="auto"/>
              </w:rPr>
              <w:t>16</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20" w:type="dxa"/>
            <w:vAlign w:val="bottom"/>
            <w:gridSpan w:val="4"/>
          </w:tcPr>
          <w:p>
            <w:pPr>
              <w:ind w:left="180"/>
              <w:spacing w:after="0" w:line="243" w:lineRule="exact"/>
              <w:rPr>
                <w:sz w:val="20"/>
                <w:szCs w:val="20"/>
                <w:color w:val="auto"/>
              </w:rPr>
            </w:pPr>
            <w:r>
              <w:rPr>
                <w:rFonts w:ascii="Arial" w:cs="Arial" w:eastAsia="Arial" w:hAnsi="Arial"/>
                <w:sz w:val="22"/>
                <w:szCs w:val="22"/>
                <w:color w:val="auto"/>
              </w:rPr>
              <w:t>Class A special common stock, $0.01 par value - authorized,</w:t>
            </w:r>
          </w:p>
        </w:tc>
        <w:tc>
          <w:tcPr>
            <w:tcW w:w="10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20" w:type="dxa"/>
            <w:vAlign w:val="bottom"/>
            <w:gridSpan w:val="4"/>
          </w:tcPr>
          <w:p>
            <w:pPr>
              <w:ind w:left="280"/>
              <w:spacing w:after="0" w:line="243" w:lineRule="exact"/>
              <w:rPr>
                <w:sz w:val="20"/>
                <w:szCs w:val="20"/>
                <w:color w:val="auto"/>
              </w:rPr>
            </w:pPr>
            <w:r>
              <w:rPr>
                <w:rFonts w:ascii="Arial" w:cs="Arial" w:eastAsia="Arial" w:hAnsi="Arial"/>
                <w:sz w:val="22"/>
                <w:szCs w:val="22"/>
                <w:color w:val="auto"/>
              </w:rPr>
              <w:t>7,500,000,000 shares; issued 914,067,951 and 931,732,876;</w:t>
            </w:r>
          </w:p>
        </w:tc>
        <w:tc>
          <w:tcPr>
            <w:tcW w:w="10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20" w:type="dxa"/>
            <w:vAlign w:val="bottom"/>
            <w:gridSpan w:val="4"/>
          </w:tcPr>
          <w:p>
            <w:pPr>
              <w:ind w:left="280"/>
              <w:spacing w:after="0" w:line="243" w:lineRule="exact"/>
              <w:rPr>
                <w:sz w:val="20"/>
                <w:szCs w:val="20"/>
                <w:color w:val="auto"/>
              </w:rPr>
            </w:pPr>
            <w:r>
              <w:rPr>
                <w:rFonts w:ascii="Arial" w:cs="Arial" w:eastAsia="Arial" w:hAnsi="Arial"/>
                <w:sz w:val="22"/>
                <w:szCs w:val="22"/>
                <w:color w:val="auto"/>
              </w:rPr>
              <w:t>outstanding, 866,778,108 and 884,443,033</w:t>
            </w:r>
          </w:p>
        </w:tc>
        <w:tc>
          <w:tcPr>
            <w:tcW w:w="1020" w:type="dxa"/>
            <w:vAlign w:val="bottom"/>
          </w:tcPr>
          <w:p>
            <w:pPr>
              <w:jc w:val="right"/>
              <w:spacing w:after="0" w:line="243" w:lineRule="exact"/>
              <w:rPr>
                <w:sz w:val="20"/>
                <w:szCs w:val="20"/>
                <w:color w:val="auto"/>
              </w:rPr>
            </w:pPr>
            <w:r>
              <w:rPr>
                <w:rFonts w:ascii="Arial" w:cs="Arial" w:eastAsia="Arial" w:hAnsi="Arial"/>
                <w:sz w:val="22"/>
                <w:szCs w:val="22"/>
                <w:color w:val="auto"/>
              </w:rPr>
              <w:t>9</w:t>
            </w:r>
          </w:p>
        </w:tc>
        <w:tc>
          <w:tcPr>
            <w:tcW w:w="300" w:type="dxa"/>
            <w:vAlign w:val="bottom"/>
          </w:tcPr>
          <w:p>
            <w:pPr>
              <w:spacing w:after="0"/>
              <w:rPr>
                <w:sz w:val="21"/>
                <w:szCs w:val="21"/>
                <w:color w:val="auto"/>
              </w:rPr>
            </w:pPr>
          </w:p>
        </w:tc>
        <w:tc>
          <w:tcPr>
            <w:tcW w:w="1020" w:type="dxa"/>
            <w:vAlign w:val="bottom"/>
          </w:tcPr>
          <w:p>
            <w:pPr>
              <w:jc w:val="right"/>
              <w:spacing w:after="0" w:line="243" w:lineRule="exact"/>
              <w:rPr>
                <w:sz w:val="20"/>
                <w:szCs w:val="20"/>
                <w:color w:val="auto"/>
              </w:rPr>
            </w:pPr>
            <w:r>
              <w:rPr>
                <w:rFonts w:ascii="Arial" w:cs="Arial" w:eastAsia="Arial" w:hAnsi="Arial"/>
                <w:sz w:val="22"/>
                <w:szCs w:val="22"/>
                <w:color w:val="auto"/>
              </w:rPr>
              <w:t>9</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20" w:type="dxa"/>
            <w:vAlign w:val="bottom"/>
            <w:gridSpan w:val="4"/>
          </w:tcPr>
          <w:p>
            <w:pPr>
              <w:ind w:left="180"/>
              <w:spacing w:after="0" w:line="243" w:lineRule="exact"/>
              <w:rPr>
                <w:sz w:val="20"/>
                <w:szCs w:val="20"/>
                <w:color w:val="auto"/>
              </w:rPr>
            </w:pPr>
            <w:r>
              <w:rPr>
                <w:rFonts w:ascii="Arial" w:cs="Arial" w:eastAsia="Arial" w:hAnsi="Arial"/>
                <w:sz w:val="22"/>
                <w:szCs w:val="22"/>
                <w:color w:val="auto"/>
              </w:rPr>
              <w:t>Class B common stock, $0.01 par value - authorized, 75,000,000 shares;</w:t>
            </w:r>
          </w:p>
        </w:tc>
        <w:tc>
          <w:tcPr>
            <w:tcW w:w="10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20" w:type="dxa"/>
            <w:vAlign w:val="bottom"/>
            <w:gridSpan w:val="4"/>
          </w:tcPr>
          <w:p>
            <w:pPr>
              <w:ind w:left="280"/>
              <w:spacing w:after="0" w:line="243" w:lineRule="exact"/>
              <w:rPr>
                <w:sz w:val="20"/>
                <w:szCs w:val="20"/>
                <w:color w:val="auto"/>
              </w:rPr>
            </w:pPr>
            <w:r>
              <w:rPr>
                <w:rFonts w:ascii="Arial" w:cs="Arial" w:eastAsia="Arial" w:hAnsi="Arial"/>
                <w:sz w:val="22"/>
                <w:szCs w:val="22"/>
                <w:color w:val="auto"/>
              </w:rPr>
              <w:t>issued, 9,444,375</w:t>
            </w:r>
          </w:p>
        </w:tc>
        <w:tc>
          <w:tcPr>
            <w:tcW w:w="10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20" w:type="dxa"/>
            <w:vAlign w:val="bottom"/>
            <w:gridSpan w:val="4"/>
          </w:tcPr>
          <w:p>
            <w:pPr>
              <w:ind w:left="160"/>
              <w:spacing w:after="0" w:line="243" w:lineRule="exact"/>
              <w:rPr>
                <w:sz w:val="20"/>
                <w:szCs w:val="20"/>
                <w:color w:val="auto"/>
              </w:rPr>
            </w:pPr>
            <w:r>
              <w:rPr>
                <w:rFonts w:ascii="Arial" w:cs="Arial" w:eastAsia="Arial" w:hAnsi="Arial"/>
                <w:sz w:val="22"/>
                <w:szCs w:val="22"/>
                <w:color w:val="auto"/>
              </w:rPr>
              <w:t>Additional capital</w:t>
            </w:r>
          </w:p>
        </w:tc>
        <w:tc>
          <w:tcPr>
            <w:tcW w:w="1020" w:type="dxa"/>
            <w:vAlign w:val="bottom"/>
          </w:tcPr>
          <w:p>
            <w:pPr>
              <w:jc w:val="right"/>
              <w:spacing w:after="0" w:line="243" w:lineRule="exact"/>
              <w:rPr>
                <w:sz w:val="20"/>
                <w:szCs w:val="20"/>
                <w:color w:val="auto"/>
              </w:rPr>
            </w:pPr>
            <w:r>
              <w:rPr>
                <w:rFonts w:ascii="Arial" w:cs="Arial" w:eastAsia="Arial" w:hAnsi="Arial"/>
                <w:sz w:val="22"/>
                <w:szCs w:val="22"/>
                <w:color w:val="auto"/>
              </w:rPr>
              <w:t>44,484</w:t>
            </w:r>
          </w:p>
        </w:tc>
        <w:tc>
          <w:tcPr>
            <w:tcW w:w="300" w:type="dxa"/>
            <w:vAlign w:val="bottom"/>
          </w:tcPr>
          <w:p>
            <w:pPr>
              <w:spacing w:after="0"/>
              <w:rPr>
                <w:sz w:val="21"/>
                <w:szCs w:val="21"/>
                <w:color w:val="auto"/>
              </w:rPr>
            </w:pPr>
          </w:p>
        </w:tc>
        <w:tc>
          <w:tcPr>
            <w:tcW w:w="1020" w:type="dxa"/>
            <w:vAlign w:val="bottom"/>
          </w:tcPr>
          <w:p>
            <w:pPr>
              <w:jc w:val="right"/>
              <w:spacing w:after="0" w:line="243" w:lineRule="exact"/>
              <w:rPr>
                <w:sz w:val="20"/>
                <w:szCs w:val="20"/>
                <w:color w:val="auto"/>
              </w:rPr>
            </w:pPr>
            <w:r>
              <w:rPr>
                <w:rFonts w:ascii="Arial" w:cs="Arial" w:eastAsia="Arial" w:hAnsi="Arial"/>
                <w:sz w:val="22"/>
                <w:szCs w:val="22"/>
                <w:color w:val="auto"/>
              </w:rPr>
              <w:t>44,742</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20" w:type="dxa"/>
            <w:vAlign w:val="bottom"/>
            <w:gridSpan w:val="4"/>
          </w:tcPr>
          <w:p>
            <w:pPr>
              <w:ind w:left="180"/>
              <w:spacing w:after="0" w:line="243" w:lineRule="exact"/>
              <w:rPr>
                <w:sz w:val="20"/>
                <w:szCs w:val="20"/>
                <w:color w:val="auto"/>
              </w:rPr>
            </w:pPr>
            <w:r>
              <w:rPr>
                <w:rFonts w:ascii="Arial" w:cs="Arial" w:eastAsia="Arial" w:hAnsi="Arial"/>
                <w:sz w:val="22"/>
                <w:szCs w:val="22"/>
                <w:color w:val="auto"/>
              </w:rPr>
              <w:t>Retained earnings</w:t>
            </w:r>
          </w:p>
        </w:tc>
        <w:tc>
          <w:tcPr>
            <w:tcW w:w="1020" w:type="dxa"/>
            <w:vAlign w:val="bottom"/>
          </w:tcPr>
          <w:p>
            <w:pPr>
              <w:jc w:val="right"/>
              <w:spacing w:after="0" w:line="243" w:lineRule="exact"/>
              <w:rPr>
                <w:sz w:val="20"/>
                <w:szCs w:val="20"/>
                <w:color w:val="auto"/>
              </w:rPr>
            </w:pPr>
            <w:r>
              <w:rPr>
                <w:rFonts w:ascii="Arial" w:cs="Arial" w:eastAsia="Arial" w:hAnsi="Arial"/>
                <w:sz w:val="22"/>
                <w:szCs w:val="22"/>
                <w:color w:val="auto"/>
              </w:rPr>
              <w:t>4,653</w:t>
            </w:r>
          </w:p>
        </w:tc>
        <w:tc>
          <w:tcPr>
            <w:tcW w:w="300" w:type="dxa"/>
            <w:vAlign w:val="bottom"/>
          </w:tcPr>
          <w:p>
            <w:pPr>
              <w:spacing w:after="0"/>
              <w:rPr>
                <w:sz w:val="21"/>
                <w:szCs w:val="21"/>
                <w:color w:val="auto"/>
              </w:rPr>
            </w:pPr>
          </w:p>
        </w:tc>
        <w:tc>
          <w:tcPr>
            <w:tcW w:w="1020" w:type="dxa"/>
            <w:vAlign w:val="bottom"/>
          </w:tcPr>
          <w:p>
            <w:pPr>
              <w:jc w:val="right"/>
              <w:spacing w:after="0" w:line="243" w:lineRule="exact"/>
              <w:rPr>
                <w:sz w:val="20"/>
                <w:szCs w:val="20"/>
                <w:color w:val="auto"/>
              </w:rPr>
            </w:pPr>
            <w:r>
              <w:rPr>
                <w:rFonts w:ascii="Arial" w:cs="Arial" w:eastAsia="Arial" w:hAnsi="Arial"/>
                <w:sz w:val="22"/>
                <w:szCs w:val="22"/>
                <w:color w:val="auto"/>
              </w:rPr>
              <w:t>4,552</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20" w:type="dxa"/>
            <w:vAlign w:val="bottom"/>
            <w:gridSpan w:val="4"/>
          </w:tcPr>
          <w:p>
            <w:pPr>
              <w:ind w:left="160"/>
              <w:spacing w:after="0" w:line="243" w:lineRule="exact"/>
              <w:rPr>
                <w:sz w:val="20"/>
                <w:szCs w:val="20"/>
                <w:color w:val="auto"/>
              </w:rPr>
            </w:pPr>
            <w:r>
              <w:rPr>
                <w:rFonts w:ascii="Arial" w:cs="Arial" w:eastAsia="Arial" w:hAnsi="Arial"/>
                <w:sz w:val="22"/>
                <w:szCs w:val="22"/>
                <w:color w:val="auto"/>
                <w:w w:val="98"/>
              </w:rPr>
              <w:t>Treasury stock, 243,640,500 Class A common shares and 47,289,843 Class A</w:t>
            </w:r>
          </w:p>
        </w:tc>
        <w:tc>
          <w:tcPr>
            <w:tcW w:w="10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20" w:type="dxa"/>
            <w:vAlign w:val="bottom"/>
            <w:gridSpan w:val="4"/>
          </w:tcPr>
          <w:p>
            <w:pPr>
              <w:spacing w:after="0" w:line="243" w:lineRule="exact"/>
              <w:rPr>
                <w:sz w:val="20"/>
                <w:szCs w:val="20"/>
                <w:color w:val="auto"/>
              </w:rPr>
            </w:pPr>
            <w:r>
              <w:rPr>
                <w:rFonts w:ascii="Arial" w:cs="Arial" w:eastAsia="Arial" w:hAnsi="Arial"/>
                <w:sz w:val="22"/>
                <w:szCs w:val="22"/>
                <w:color w:val="auto"/>
              </w:rPr>
              <w:t>special</w:t>
            </w:r>
          </w:p>
        </w:tc>
        <w:tc>
          <w:tcPr>
            <w:tcW w:w="10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20" w:type="dxa"/>
            <w:vAlign w:val="bottom"/>
            <w:gridSpan w:val="4"/>
          </w:tcPr>
          <w:p>
            <w:pPr>
              <w:ind w:left="280"/>
              <w:spacing w:after="0" w:line="243" w:lineRule="exact"/>
              <w:rPr>
                <w:sz w:val="20"/>
                <w:szCs w:val="20"/>
                <w:color w:val="auto"/>
              </w:rPr>
            </w:pPr>
            <w:r>
              <w:rPr>
                <w:rFonts w:ascii="Arial" w:cs="Arial" w:eastAsia="Arial" w:hAnsi="Arial"/>
                <w:sz w:val="22"/>
                <w:szCs w:val="22"/>
                <w:color w:val="auto"/>
              </w:rPr>
              <w:t>common shares</w:t>
            </w:r>
          </w:p>
        </w:tc>
        <w:tc>
          <w:tcPr>
            <w:tcW w:w="1320" w:type="dxa"/>
            <w:vAlign w:val="bottom"/>
            <w:gridSpan w:val="2"/>
          </w:tcPr>
          <w:p>
            <w:pPr>
              <w:jc w:val="right"/>
              <w:ind w:right="220"/>
              <w:spacing w:after="0" w:line="243" w:lineRule="exact"/>
              <w:rPr>
                <w:sz w:val="20"/>
                <w:szCs w:val="20"/>
                <w:color w:val="auto"/>
              </w:rPr>
            </w:pPr>
            <w:r>
              <w:rPr>
                <w:rFonts w:ascii="Arial" w:cs="Arial" w:eastAsia="Arial" w:hAnsi="Arial"/>
                <w:sz w:val="22"/>
                <w:szCs w:val="22"/>
                <w:color w:val="auto"/>
              </w:rPr>
              <w:t>(7,517)</w:t>
            </w:r>
          </w:p>
        </w:tc>
        <w:tc>
          <w:tcPr>
            <w:tcW w:w="110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(7,517)</w:t>
            </w:r>
          </w:p>
        </w:tc>
        <w:tc>
          <w:tcPr>
            <w:tcW w:w="0" w:type="dxa"/>
            <w:vAlign w:val="bottom"/>
          </w:tcPr>
          <w:p>
            <w:pPr>
              <w:spacing w:after="0"/>
              <w:rPr>
                <w:sz w:val="1"/>
                <w:szCs w:val="1"/>
                <w:color w:val="auto"/>
              </w:rPr>
            </w:pPr>
          </w:p>
        </w:tc>
      </w:tr>
      <w:tr>
        <w:trPr>
          <w:trHeight w:val="275"/>
        </w:trPr>
        <w:tc>
          <w:tcPr>
            <w:tcW w:w="7720" w:type="dxa"/>
            <w:vAlign w:val="bottom"/>
            <w:gridSpan w:val="4"/>
          </w:tcPr>
          <w:p>
            <w:pPr>
              <w:ind w:left="160"/>
              <w:spacing w:after="0"/>
              <w:rPr>
                <w:sz w:val="20"/>
                <w:szCs w:val="20"/>
                <w:color w:val="auto"/>
              </w:rPr>
            </w:pPr>
            <w:r>
              <w:rPr>
                <w:rFonts w:ascii="Arial" w:cs="Arial" w:eastAsia="Arial" w:hAnsi="Arial"/>
                <w:sz w:val="22"/>
                <w:szCs w:val="22"/>
                <w:color w:val="auto"/>
              </w:rPr>
              <w:t>Accumulated other comprehensive loss</w:t>
            </w:r>
          </w:p>
        </w:tc>
        <w:tc>
          <w:tcPr>
            <w:tcW w:w="1320" w:type="dxa"/>
            <w:vAlign w:val="bottom"/>
            <w:gridSpan w:val="2"/>
          </w:tcPr>
          <w:p>
            <w:pPr>
              <w:jc w:val="right"/>
              <w:ind w:right="220"/>
              <w:spacing w:after="0"/>
              <w:rPr>
                <w:sz w:val="20"/>
                <w:szCs w:val="20"/>
                <w:color w:val="auto"/>
              </w:rPr>
            </w:pPr>
            <w:r>
              <w:rPr>
                <w:rFonts w:ascii="Arial" w:cs="Arial" w:eastAsia="Arial" w:hAnsi="Arial"/>
                <w:sz w:val="22"/>
                <w:szCs w:val="22"/>
                <w:color w:val="auto"/>
              </w:rPr>
              <w:t>(130)</w:t>
            </w:r>
          </w:p>
        </w:tc>
        <w:tc>
          <w:tcPr>
            <w:tcW w:w="1100" w:type="dxa"/>
            <w:vAlign w:val="bottom"/>
            <w:gridSpan w:val="2"/>
          </w:tcPr>
          <w:p>
            <w:pPr>
              <w:jc w:val="right"/>
              <w:spacing w:after="0"/>
              <w:rPr>
                <w:sz w:val="20"/>
                <w:szCs w:val="20"/>
                <w:color w:val="auto"/>
              </w:rPr>
            </w:pPr>
            <w:r>
              <w:rPr>
                <w:rFonts w:ascii="Arial" w:cs="Arial" w:eastAsia="Arial" w:hAnsi="Arial"/>
                <w:sz w:val="22"/>
                <w:szCs w:val="22"/>
                <w:color w:val="auto"/>
              </w:rPr>
              <w:t>(140)</w:t>
            </w:r>
          </w:p>
        </w:tc>
        <w:tc>
          <w:tcPr>
            <w:tcW w:w="0" w:type="dxa"/>
            <w:vAlign w:val="bottom"/>
          </w:tcPr>
          <w:p>
            <w:pPr>
              <w:spacing w:after="0"/>
              <w:rPr>
                <w:sz w:val="1"/>
                <w:szCs w:val="1"/>
                <w:color w:val="auto"/>
              </w:rPr>
            </w:pPr>
          </w:p>
        </w:tc>
      </w:tr>
      <w:tr>
        <w:trPr>
          <w:trHeight w:val="98"/>
        </w:trPr>
        <w:tc>
          <w:tcPr>
            <w:tcW w:w="40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92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55"/>
        </w:trPr>
        <w:tc>
          <w:tcPr>
            <w:tcW w:w="7720" w:type="dxa"/>
            <w:vAlign w:val="bottom"/>
            <w:gridSpan w:val="4"/>
          </w:tcPr>
          <w:p>
            <w:pPr>
              <w:ind w:left="380"/>
              <w:spacing w:after="0"/>
              <w:rPr>
                <w:sz w:val="20"/>
                <w:szCs w:val="20"/>
                <w:color w:val="auto"/>
              </w:rPr>
            </w:pPr>
            <w:r>
              <w:rPr>
                <w:rFonts w:ascii="Arial" w:cs="Arial" w:eastAsia="Arial" w:hAnsi="Arial"/>
                <w:sz w:val="22"/>
                <w:szCs w:val="22"/>
                <w:color w:val="auto"/>
              </w:rPr>
              <w:t>Total stockholders' equity</w:t>
            </w:r>
          </w:p>
        </w:tc>
        <w:tc>
          <w:tcPr>
            <w:tcW w:w="1020" w:type="dxa"/>
            <w:vAlign w:val="bottom"/>
          </w:tcPr>
          <w:p>
            <w:pPr>
              <w:jc w:val="right"/>
              <w:spacing w:after="0"/>
              <w:rPr>
                <w:sz w:val="20"/>
                <w:szCs w:val="20"/>
                <w:color w:val="auto"/>
              </w:rPr>
            </w:pPr>
            <w:r>
              <w:rPr>
                <w:rFonts w:ascii="Arial" w:cs="Arial" w:eastAsia="Arial" w:hAnsi="Arial"/>
                <w:sz w:val="22"/>
                <w:szCs w:val="22"/>
                <w:color w:val="auto"/>
              </w:rPr>
              <w:t>41,515</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2"/>
                <w:szCs w:val="22"/>
                <w:color w:val="auto"/>
              </w:rPr>
              <w:t>41,662</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40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92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55"/>
        </w:trPr>
        <w:tc>
          <w:tcPr>
            <w:tcW w:w="40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2"/>
                <w:szCs w:val="22"/>
                <w:color w:val="auto"/>
              </w:rPr>
              <w:t>$108,081</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2"/>
                <w:szCs w:val="22"/>
                <w:color w:val="auto"/>
              </w:rPr>
              <w:t>$109,159</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4060" w:type="dxa"/>
            <w:vAlign w:val="bottom"/>
          </w:tcPr>
          <w:p>
            <w:pPr>
              <w:spacing w:after="0"/>
              <w:rPr>
                <w:sz w:val="9"/>
                <w:szCs w:val="9"/>
                <w:color w:val="auto"/>
              </w:rPr>
            </w:pPr>
          </w:p>
        </w:tc>
        <w:tc>
          <w:tcPr>
            <w:tcW w:w="4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920" w:type="dxa"/>
            <w:vAlign w:val="bottom"/>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-6154420</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-6154420</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-6154420</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-6154420</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79" w:lineRule="exact"/>
        <w:rPr>
          <w:sz w:val="20"/>
          <w:szCs w:val="20"/>
          <w:color w:val="auto"/>
        </w:rPr>
      </w:pPr>
    </w:p>
    <w:p>
      <w:pPr>
        <w:spacing w:after="0"/>
        <w:rPr>
          <w:sz w:val="20"/>
          <w:szCs w:val="20"/>
          <w:color w:val="auto"/>
        </w:rPr>
      </w:pPr>
      <w:r>
        <w:rPr>
          <w:rFonts w:ascii="Arial" w:cs="Arial" w:eastAsia="Arial" w:hAnsi="Arial"/>
          <w:sz w:val="22"/>
          <w:szCs w:val="22"/>
          <w:color w:val="auto"/>
        </w:rPr>
        <w:t>See notes to condensed consolidated financial statements.</w:t>
      </w:r>
    </w:p>
    <w:p>
      <w:pPr>
        <w:spacing w:after="0" w:line="206" w:lineRule="exact"/>
        <w:rPr>
          <w:sz w:val="20"/>
          <w:szCs w:val="20"/>
          <w:color w:val="auto"/>
        </w:rPr>
      </w:pPr>
    </w:p>
    <w:p>
      <w:pPr>
        <w:ind w:left="566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6376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jc w:val="center"/>
        <w:ind w:right="-1160"/>
        <w:spacing w:after="0"/>
        <w:rPr>
          <w:sz w:val="20"/>
          <w:szCs w:val="20"/>
          <w:color w:val="auto"/>
        </w:rPr>
      </w:pPr>
      <w:r>
        <w:rPr>
          <w:rFonts w:ascii="Arial" w:cs="Arial" w:eastAsia="Arial" w:hAnsi="Arial"/>
          <w:sz w:val="22"/>
          <w:szCs w:val="22"/>
          <w:color w:val="auto"/>
        </w:rPr>
        <w:t>COMCAST CORPORATION AND SUBSIDIARIES</w:t>
      </w:r>
    </w:p>
    <w:p>
      <w:pPr>
        <w:jc w:val="center"/>
        <w:ind w:right="-1160"/>
        <w:spacing w:after="0" w:line="238" w:lineRule="auto"/>
        <w:rPr>
          <w:sz w:val="20"/>
          <w:szCs w:val="20"/>
          <w:color w:val="auto"/>
        </w:rPr>
      </w:pPr>
      <w:r>
        <w:rPr>
          <w:rFonts w:ascii="Arial" w:cs="Arial" w:eastAsia="Arial" w:hAnsi="Arial"/>
          <w:sz w:val="22"/>
          <w:szCs w:val="22"/>
          <w:color w:val="auto"/>
        </w:rPr>
        <w:t>FORM 10-Q</w:t>
      </w:r>
    </w:p>
    <w:p>
      <w:pPr>
        <w:jc w:val="center"/>
        <w:ind w:right="-1160"/>
        <w:spacing w:after="0" w:line="230" w:lineRule="auto"/>
        <w:rPr>
          <w:sz w:val="20"/>
          <w:szCs w:val="20"/>
          <w:color w:val="auto"/>
        </w:rPr>
      </w:pPr>
      <w:r>
        <w:rPr>
          <w:rFonts w:ascii="Arial" w:cs="Arial" w:eastAsia="Arial" w:hAnsi="Arial"/>
          <w:sz w:val="22"/>
          <w:szCs w:val="22"/>
          <w:color w:val="auto"/>
        </w:rPr>
        <w:t>QUARTER ENDED JUNE 30, 2004</w:t>
      </w:r>
    </w:p>
    <w:p>
      <w:pPr>
        <w:jc w:val="center"/>
        <w:ind w:right="-1160"/>
        <w:spacing w:after="0" w:line="231" w:lineRule="auto"/>
        <w:rPr>
          <w:sz w:val="20"/>
          <w:szCs w:val="20"/>
          <w:color w:val="auto"/>
        </w:rPr>
      </w:pPr>
      <w:r>
        <w:rPr>
          <w:rFonts w:ascii="Arial" w:cs="Arial" w:eastAsia="Arial" w:hAnsi="Arial"/>
          <w:sz w:val="22"/>
          <w:szCs w:val="22"/>
          <w:color w:val="auto"/>
        </w:rPr>
        <w:t>CONDENSED CONSOLIDATED STATEMENT OF OPERATIONS</w:t>
      </w:r>
    </w:p>
    <w:p>
      <w:pPr>
        <w:spacing w:after="0" w:line="1" w:lineRule="exact"/>
        <w:rPr>
          <w:sz w:val="20"/>
          <w:szCs w:val="20"/>
          <w:color w:val="auto"/>
        </w:rPr>
      </w:pPr>
    </w:p>
    <w:p>
      <w:pPr>
        <w:jc w:val="center"/>
        <w:ind w:right="-1200"/>
        <w:spacing w:after="0"/>
        <w:rPr>
          <w:sz w:val="20"/>
          <w:szCs w:val="20"/>
          <w:color w:val="auto"/>
        </w:rPr>
      </w:pPr>
      <w:r>
        <w:rPr>
          <w:rFonts w:ascii="Arial" w:cs="Arial" w:eastAsia="Arial" w:hAnsi="Arial"/>
          <w:sz w:val="22"/>
          <w:szCs w:val="22"/>
          <w:color w:val="auto"/>
        </w:rPr>
        <w:t>(Unaudited)</w:t>
      </w:r>
    </w:p>
    <w:p>
      <w:pPr>
        <w:sectPr>
          <w:pgSz w:w="11900" w:h="16838" w:orient="portrait"/>
          <w:cols w:equalWidth="0" w:num="1">
            <w:col w:w="10219"/>
          </w:cols>
          <w:pgMar w:left="240" w:top="483" w:right="1440" w:bottom="0" w:gutter="0" w:footer="0" w:header="0"/>
        </w:sectPr>
      </w:pPr>
    </w:p>
    <w:bookmarkStart w:id="3" w:name="page4"/>
    <w:bookmarkEnd w:id="3"/>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700" w:type="dxa"/>
            <w:vAlign w:val="bottom"/>
          </w:tcPr>
          <w:p>
            <w:pPr>
              <w:spacing w:after="0"/>
              <w:rPr>
                <w:sz w:val="21"/>
                <w:szCs w:val="21"/>
                <w:color w:val="auto"/>
              </w:rPr>
            </w:pPr>
          </w:p>
        </w:tc>
        <w:tc>
          <w:tcPr>
            <w:tcW w:w="3500" w:type="dxa"/>
            <w:vAlign w:val="bottom"/>
            <w:gridSpan w:val="8"/>
          </w:tcPr>
          <w:p>
            <w:pPr>
              <w:jc w:val="center"/>
              <w:spacing w:after="0"/>
              <w:rPr>
                <w:sz w:val="20"/>
                <w:szCs w:val="20"/>
                <w:color w:val="auto"/>
              </w:rPr>
            </w:pPr>
            <w:r>
              <w:rPr>
                <w:rFonts w:ascii="Arial" w:cs="Arial" w:eastAsia="Arial" w:hAnsi="Arial"/>
                <w:sz w:val="22"/>
                <w:szCs w:val="22"/>
                <w:color w:val="auto"/>
                <w:w w:val="90"/>
              </w:rPr>
              <w:t>(Dollars in millions, except per share</w:t>
            </w:r>
          </w:p>
        </w:tc>
        <w:tc>
          <w:tcPr>
            <w:tcW w:w="0" w:type="dxa"/>
            <w:vAlign w:val="bottom"/>
          </w:tcPr>
          <w:p>
            <w:pPr>
              <w:spacing w:after="0"/>
              <w:rPr>
                <w:sz w:val="1"/>
                <w:szCs w:val="1"/>
                <w:color w:val="auto"/>
              </w:rPr>
            </w:pPr>
          </w:p>
        </w:tc>
      </w:tr>
      <w:tr>
        <w:trPr>
          <w:trHeight w:val="243"/>
        </w:trPr>
        <w:tc>
          <w:tcPr>
            <w:tcW w:w="67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20" w:type="dxa"/>
            <w:vAlign w:val="bottom"/>
            <w:gridSpan w:val="3"/>
          </w:tcPr>
          <w:p>
            <w:pPr>
              <w:jc w:val="center"/>
              <w:ind w:right="740"/>
              <w:spacing w:after="0" w:line="243" w:lineRule="exact"/>
              <w:rPr>
                <w:sz w:val="20"/>
                <w:szCs w:val="20"/>
                <w:color w:val="auto"/>
              </w:rPr>
            </w:pPr>
            <w:r>
              <w:rPr>
                <w:rFonts w:ascii="Arial" w:cs="Arial" w:eastAsia="Arial" w:hAnsi="Arial"/>
                <w:sz w:val="22"/>
                <w:szCs w:val="22"/>
                <w:color w:val="auto"/>
                <w:w w:val="87"/>
              </w:rPr>
              <w:t>data)</w:t>
            </w:r>
          </w:p>
        </w:tc>
        <w:tc>
          <w:tcPr>
            <w:tcW w:w="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00" w:type="dxa"/>
            <w:vAlign w:val="bottom"/>
          </w:tcPr>
          <w:p>
            <w:pPr>
              <w:spacing w:after="0"/>
              <w:rPr>
                <w:sz w:val="21"/>
                <w:szCs w:val="21"/>
                <w:color w:val="auto"/>
              </w:rPr>
            </w:pPr>
          </w:p>
        </w:tc>
        <w:tc>
          <w:tcPr>
            <w:tcW w:w="3500" w:type="dxa"/>
            <w:vAlign w:val="bottom"/>
            <w:gridSpan w:val="8"/>
          </w:tcPr>
          <w:p>
            <w:pPr>
              <w:jc w:val="center"/>
              <w:spacing w:after="0" w:line="243" w:lineRule="exact"/>
              <w:rPr>
                <w:sz w:val="20"/>
                <w:szCs w:val="20"/>
                <w:color w:val="auto"/>
              </w:rPr>
            </w:pPr>
            <w:r>
              <w:rPr>
                <w:rFonts w:ascii="Arial" w:cs="Arial" w:eastAsia="Arial" w:hAnsi="Arial"/>
                <w:sz w:val="22"/>
                <w:szCs w:val="22"/>
                <w:color w:val="auto"/>
                <w:w w:val="89"/>
              </w:rPr>
              <w:t>Three Months Ended Six Months Ended</w:t>
            </w:r>
          </w:p>
        </w:tc>
        <w:tc>
          <w:tcPr>
            <w:tcW w:w="0" w:type="dxa"/>
            <w:vAlign w:val="bottom"/>
          </w:tcPr>
          <w:p>
            <w:pPr>
              <w:spacing w:after="0"/>
              <w:rPr>
                <w:sz w:val="1"/>
                <w:szCs w:val="1"/>
                <w:color w:val="auto"/>
              </w:rPr>
            </w:pPr>
          </w:p>
        </w:tc>
      </w:tr>
      <w:tr>
        <w:trPr>
          <w:trHeight w:val="243"/>
        </w:trPr>
        <w:tc>
          <w:tcPr>
            <w:tcW w:w="6700" w:type="dxa"/>
            <w:vAlign w:val="bottom"/>
          </w:tcPr>
          <w:p>
            <w:pPr>
              <w:spacing w:after="0"/>
              <w:rPr>
                <w:sz w:val="21"/>
                <w:szCs w:val="21"/>
                <w:color w:val="auto"/>
              </w:rPr>
            </w:pPr>
          </w:p>
        </w:tc>
        <w:tc>
          <w:tcPr>
            <w:tcW w:w="1860" w:type="dxa"/>
            <w:vAlign w:val="bottom"/>
            <w:gridSpan w:val="4"/>
          </w:tcPr>
          <w:p>
            <w:pPr>
              <w:jc w:val="right"/>
              <w:ind w:right="472"/>
              <w:spacing w:after="0" w:line="243" w:lineRule="exact"/>
              <w:rPr>
                <w:sz w:val="20"/>
                <w:szCs w:val="20"/>
                <w:color w:val="auto"/>
              </w:rPr>
            </w:pPr>
            <w:r>
              <w:rPr>
                <w:rFonts w:ascii="Arial" w:cs="Arial" w:eastAsia="Arial" w:hAnsi="Arial"/>
                <w:sz w:val="22"/>
                <w:szCs w:val="22"/>
                <w:color w:val="auto"/>
              </w:rPr>
              <w:t>June 30,</w:t>
            </w:r>
          </w:p>
        </w:tc>
        <w:tc>
          <w:tcPr>
            <w:tcW w:w="1640" w:type="dxa"/>
            <w:vAlign w:val="bottom"/>
            <w:gridSpan w:val="4"/>
          </w:tcPr>
          <w:p>
            <w:pPr>
              <w:jc w:val="right"/>
              <w:ind w:right="420"/>
              <w:spacing w:after="0" w:line="243" w:lineRule="exact"/>
              <w:rPr>
                <w:sz w:val="20"/>
                <w:szCs w:val="20"/>
                <w:color w:val="auto"/>
              </w:rPr>
            </w:pPr>
            <w:r>
              <w:rPr>
                <w:rFonts w:ascii="Arial" w:cs="Arial" w:eastAsia="Arial" w:hAnsi="Arial"/>
                <w:sz w:val="22"/>
                <w:szCs w:val="22"/>
                <w:color w:val="auto"/>
              </w:rPr>
              <w:t>June 30,</w:t>
            </w:r>
          </w:p>
        </w:tc>
        <w:tc>
          <w:tcPr>
            <w:tcW w:w="0" w:type="dxa"/>
            <w:vAlign w:val="bottom"/>
          </w:tcPr>
          <w:p>
            <w:pPr>
              <w:spacing w:after="0"/>
              <w:rPr>
                <w:sz w:val="1"/>
                <w:szCs w:val="1"/>
                <w:color w:val="auto"/>
              </w:rPr>
            </w:pPr>
          </w:p>
        </w:tc>
      </w:tr>
      <w:tr>
        <w:trPr>
          <w:trHeight w:val="275"/>
        </w:trPr>
        <w:tc>
          <w:tcPr>
            <w:tcW w:w="670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22"/>
                <w:szCs w:val="22"/>
                <w:color w:val="auto"/>
              </w:rPr>
              <w:t>2004</w:t>
            </w:r>
          </w:p>
        </w:tc>
        <w:tc>
          <w:tcPr>
            <w:tcW w:w="30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22"/>
                <w:szCs w:val="22"/>
                <w:color w:val="auto"/>
              </w:rPr>
              <w:t>2003</w:t>
            </w:r>
          </w:p>
        </w:tc>
        <w:tc>
          <w:tcPr>
            <w:tcW w:w="320" w:type="dxa"/>
            <w:vAlign w:val="bottom"/>
          </w:tcPr>
          <w:p>
            <w:pPr>
              <w:spacing w:after="0"/>
              <w:rPr>
                <w:sz w:val="23"/>
                <w:szCs w:val="23"/>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22"/>
                <w:szCs w:val="22"/>
                <w:color w:val="auto"/>
              </w:rPr>
              <w:t>2004</w:t>
            </w:r>
          </w:p>
        </w:tc>
        <w:tc>
          <w:tcPr>
            <w:tcW w:w="600" w:type="dxa"/>
            <w:vAlign w:val="bottom"/>
          </w:tcPr>
          <w:p>
            <w:pPr>
              <w:jc w:val="right"/>
              <w:spacing w:after="0"/>
              <w:rPr>
                <w:sz w:val="20"/>
                <w:szCs w:val="20"/>
                <w:color w:val="auto"/>
              </w:rPr>
            </w:pPr>
            <w:r>
              <w:rPr>
                <w:rFonts w:ascii="Arial" w:cs="Arial" w:eastAsia="Arial" w:hAnsi="Arial"/>
                <w:sz w:val="22"/>
                <w:szCs w:val="22"/>
                <w:color w:val="auto"/>
              </w:rPr>
              <w:t>2003</w:t>
            </w: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8"/>
        </w:trPr>
        <w:tc>
          <w:tcPr>
            <w:tcW w:w="670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55"/>
        </w:trPr>
        <w:tc>
          <w:tcPr>
            <w:tcW w:w="6700" w:type="dxa"/>
            <w:vAlign w:val="bottom"/>
          </w:tcPr>
          <w:p>
            <w:pPr>
              <w:spacing w:after="0"/>
              <w:rPr>
                <w:sz w:val="20"/>
                <w:szCs w:val="20"/>
                <w:color w:val="auto"/>
              </w:rPr>
            </w:pPr>
            <w:r>
              <w:rPr>
                <w:rFonts w:ascii="Arial" w:cs="Arial" w:eastAsia="Arial" w:hAnsi="Arial"/>
                <w:sz w:val="22"/>
                <w:szCs w:val="22"/>
                <w:color w:val="auto"/>
              </w:rPr>
              <w:t>REVENUES</w:t>
            </w:r>
          </w:p>
        </w:tc>
        <w:tc>
          <w:tcPr>
            <w:tcW w:w="620" w:type="dxa"/>
            <w:vAlign w:val="bottom"/>
          </w:tcPr>
          <w:p>
            <w:pPr>
              <w:jc w:val="right"/>
              <w:spacing w:after="0"/>
              <w:rPr>
                <w:sz w:val="20"/>
                <w:szCs w:val="20"/>
                <w:color w:val="auto"/>
              </w:rPr>
            </w:pPr>
            <w:r>
              <w:rPr>
                <w:rFonts w:ascii="Arial" w:cs="Arial" w:eastAsia="Arial" w:hAnsi="Arial"/>
                <w:sz w:val="22"/>
                <w:szCs w:val="22"/>
                <w:color w:val="auto"/>
                <w:w w:val="89"/>
              </w:rPr>
              <w:t>$5,066</w:t>
            </w:r>
          </w:p>
        </w:tc>
        <w:tc>
          <w:tcPr>
            <w:tcW w:w="3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22"/>
                <w:szCs w:val="22"/>
                <w:color w:val="auto"/>
                <w:w w:val="89"/>
              </w:rPr>
              <w:t>$4,594</w:t>
            </w:r>
          </w:p>
        </w:tc>
        <w:tc>
          <w:tcPr>
            <w:tcW w:w="320" w:type="dxa"/>
            <w:vAlign w:val="bottom"/>
          </w:tcPr>
          <w:p>
            <w:pPr>
              <w:spacing w:after="0"/>
              <w:rPr>
                <w:sz w:val="24"/>
                <w:szCs w:val="24"/>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22"/>
                <w:szCs w:val="22"/>
                <w:color w:val="auto"/>
                <w:w w:val="86"/>
              </w:rPr>
              <w:t>$9,974</w:t>
            </w:r>
          </w:p>
        </w:tc>
        <w:tc>
          <w:tcPr>
            <w:tcW w:w="600" w:type="dxa"/>
            <w:vAlign w:val="bottom"/>
          </w:tcPr>
          <w:p>
            <w:pPr>
              <w:jc w:val="right"/>
              <w:spacing w:after="0"/>
              <w:rPr>
                <w:sz w:val="20"/>
                <w:szCs w:val="20"/>
                <w:color w:val="auto"/>
              </w:rPr>
            </w:pPr>
            <w:r>
              <w:rPr>
                <w:rFonts w:ascii="Arial" w:cs="Arial" w:eastAsia="Arial" w:hAnsi="Arial"/>
                <w:sz w:val="22"/>
                <w:szCs w:val="22"/>
                <w:color w:val="auto"/>
                <w:w w:val="86"/>
              </w:rPr>
              <w:t>$9,060</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5"/>
        </w:trPr>
        <w:tc>
          <w:tcPr>
            <w:tcW w:w="6700" w:type="dxa"/>
            <w:vAlign w:val="bottom"/>
          </w:tcPr>
          <w:p>
            <w:pPr>
              <w:spacing w:after="0"/>
              <w:rPr>
                <w:sz w:val="20"/>
                <w:szCs w:val="20"/>
                <w:color w:val="auto"/>
              </w:rPr>
            </w:pPr>
            <w:r>
              <w:rPr>
                <w:rFonts w:ascii="Arial" w:cs="Arial" w:eastAsia="Arial" w:hAnsi="Arial"/>
                <w:sz w:val="22"/>
                <w:szCs w:val="22"/>
                <w:color w:val="auto"/>
              </w:rPr>
              <w:t>COSTS AND EXPENSES</w:t>
            </w: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700" w:type="dxa"/>
            <w:vAlign w:val="bottom"/>
          </w:tcPr>
          <w:p>
            <w:pPr>
              <w:ind w:left="220"/>
              <w:spacing w:after="0" w:line="243" w:lineRule="exact"/>
              <w:rPr>
                <w:sz w:val="20"/>
                <w:szCs w:val="20"/>
                <w:color w:val="auto"/>
              </w:rPr>
            </w:pPr>
            <w:r>
              <w:rPr>
                <w:rFonts w:ascii="Arial" w:cs="Arial" w:eastAsia="Arial" w:hAnsi="Arial"/>
                <w:sz w:val="22"/>
                <w:szCs w:val="22"/>
                <w:color w:val="auto"/>
              </w:rPr>
              <w:t>Operating (excluding depreciation)</w:t>
            </w:r>
          </w:p>
        </w:tc>
        <w:tc>
          <w:tcPr>
            <w:tcW w:w="620" w:type="dxa"/>
            <w:vAlign w:val="bottom"/>
          </w:tcPr>
          <w:p>
            <w:pPr>
              <w:jc w:val="right"/>
              <w:spacing w:after="0" w:line="243" w:lineRule="exact"/>
              <w:rPr>
                <w:sz w:val="20"/>
                <w:szCs w:val="20"/>
                <w:color w:val="auto"/>
              </w:rPr>
            </w:pPr>
            <w:r>
              <w:rPr>
                <w:rFonts w:ascii="Arial" w:cs="Arial" w:eastAsia="Arial" w:hAnsi="Arial"/>
                <w:sz w:val="22"/>
                <w:szCs w:val="22"/>
                <w:color w:val="auto"/>
              </w:rPr>
              <w:t>1,794</w:t>
            </w:r>
          </w:p>
        </w:tc>
        <w:tc>
          <w:tcPr>
            <w:tcW w:w="300" w:type="dxa"/>
            <w:vAlign w:val="bottom"/>
          </w:tcPr>
          <w:p>
            <w:pPr>
              <w:spacing w:after="0"/>
              <w:rPr>
                <w:sz w:val="21"/>
                <w:szCs w:val="21"/>
                <w:color w:val="auto"/>
              </w:rPr>
            </w:pPr>
          </w:p>
        </w:tc>
        <w:tc>
          <w:tcPr>
            <w:tcW w:w="620" w:type="dxa"/>
            <w:vAlign w:val="bottom"/>
          </w:tcPr>
          <w:p>
            <w:pPr>
              <w:jc w:val="right"/>
              <w:spacing w:after="0" w:line="243" w:lineRule="exact"/>
              <w:rPr>
                <w:sz w:val="20"/>
                <w:szCs w:val="20"/>
                <w:color w:val="auto"/>
              </w:rPr>
            </w:pPr>
            <w:r>
              <w:rPr>
                <w:rFonts w:ascii="Arial" w:cs="Arial" w:eastAsia="Arial" w:hAnsi="Arial"/>
                <w:sz w:val="22"/>
                <w:szCs w:val="22"/>
                <w:color w:val="auto"/>
              </w:rPr>
              <w:t>1,753</w:t>
            </w:r>
          </w:p>
        </w:tc>
        <w:tc>
          <w:tcPr>
            <w:tcW w:w="320" w:type="dxa"/>
            <w:vAlign w:val="bottom"/>
          </w:tcPr>
          <w:p>
            <w:pPr>
              <w:spacing w:after="0"/>
              <w:rPr>
                <w:sz w:val="21"/>
                <w:szCs w:val="21"/>
                <w:color w:val="auto"/>
              </w:rPr>
            </w:pPr>
          </w:p>
        </w:tc>
        <w:tc>
          <w:tcPr>
            <w:tcW w:w="900" w:type="dxa"/>
            <w:vAlign w:val="bottom"/>
            <w:gridSpan w:val="2"/>
          </w:tcPr>
          <w:p>
            <w:pPr>
              <w:jc w:val="right"/>
              <w:ind w:right="300"/>
              <w:spacing w:after="0" w:line="243" w:lineRule="exact"/>
              <w:rPr>
                <w:sz w:val="20"/>
                <w:szCs w:val="20"/>
                <w:color w:val="auto"/>
              </w:rPr>
            </w:pPr>
            <w:r>
              <w:rPr>
                <w:rFonts w:ascii="Arial" w:cs="Arial" w:eastAsia="Arial" w:hAnsi="Arial"/>
                <w:sz w:val="22"/>
                <w:szCs w:val="22"/>
                <w:color w:val="auto"/>
              </w:rPr>
              <w:t>3,663</w:t>
            </w:r>
          </w:p>
        </w:tc>
        <w:tc>
          <w:tcPr>
            <w:tcW w:w="600" w:type="dxa"/>
            <w:vAlign w:val="bottom"/>
          </w:tcPr>
          <w:p>
            <w:pPr>
              <w:jc w:val="right"/>
              <w:spacing w:after="0" w:line="243" w:lineRule="exact"/>
              <w:rPr>
                <w:sz w:val="20"/>
                <w:szCs w:val="20"/>
                <w:color w:val="auto"/>
              </w:rPr>
            </w:pPr>
            <w:r>
              <w:rPr>
                <w:rFonts w:ascii="Arial" w:cs="Arial" w:eastAsia="Arial" w:hAnsi="Arial"/>
                <w:sz w:val="22"/>
                <w:szCs w:val="22"/>
                <w:color w:val="auto"/>
              </w:rPr>
              <w:t>3,564</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00" w:type="dxa"/>
            <w:vAlign w:val="bottom"/>
          </w:tcPr>
          <w:p>
            <w:pPr>
              <w:ind w:left="220"/>
              <w:spacing w:after="0" w:line="243" w:lineRule="exact"/>
              <w:rPr>
                <w:sz w:val="20"/>
                <w:szCs w:val="20"/>
                <w:color w:val="auto"/>
              </w:rPr>
            </w:pPr>
            <w:r>
              <w:rPr>
                <w:rFonts w:ascii="Arial" w:cs="Arial" w:eastAsia="Arial" w:hAnsi="Arial"/>
                <w:sz w:val="22"/>
                <w:szCs w:val="22"/>
                <w:color w:val="auto"/>
              </w:rPr>
              <w:t>Selling, general and administrative</w:t>
            </w:r>
          </w:p>
        </w:tc>
        <w:tc>
          <w:tcPr>
            <w:tcW w:w="620" w:type="dxa"/>
            <w:vAlign w:val="bottom"/>
          </w:tcPr>
          <w:p>
            <w:pPr>
              <w:jc w:val="right"/>
              <w:spacing w:after="0" w:line="243" w:lineRule="exact"/>
              <w:rPr>
                <w:sz w:val="20"/>
                <w:szCs w:val="20"/>
                <w:color w:val="auto"/>
              </w:rPr>
            </w:pPr>
            <w:r>
              <w:rPr>
                <w:rFonts w:ascii="Arial" w:cs="Arial" w:eastAsia="Arial" w:hAnsi="Arial"/>
                <w:sz w:val="22"/>
                <w:szCs w:val="22"/>
                <w:color w:val="auto"/>
              </w:rPr>
              <w:t>1,320</w:t>
            </w:r>
          </w:p>
        </w:tc>
        <w:tc>
          <w:tcPr>
            <w:tcW w:w="300" w:type="dxa"/>
            <w:vAlign w:val="bottom"/>
          </w:tcPr>
          <w:p>
            <w:pPr>
              <w:spacing w:after="0"/>
              <w:rPr>
                <w:sz w:val="21"/>
                <w:szCs w:val="21"/>
                <w:color w:val="auto"/>
              </w:rPr>
            </w:pPr>
          </w:p>
        </w:tc>
        <w:tc>
          <w:tcPr>
            <w:tcW w:w="620" w:type="dxa"/>
            <w:vAlign w:val="bottom"/>
          </w:tcPr>
          <w:p>
            <w:pPr>
              <w:jc w:val="right"/>
              <w:spacing w:after="0" w:line="243" w:lineRule="exact"/>
              <w:rPr>
                <w:sz w:val="20"/>
                <w:szCs w:val="20"/>
                <w:color w:val="auto"/>
              </w:rPr>
            </w:pPr>
            <w:r>
              <w:rPr>
                <w:rFonts w:ascii="Arial" w:cs="Arial" w:eastAsia="Arial" w:hAnsi="Arial"/>
                <w:sz w:val="22"/>
                <w:szCs w:val="22"/>
                <w:color w:val="auto"/>
              </w:rPr>
              <w:t>1,229</w:t>
            </w:r>
          </w:p>
        </w:tc>
        <w:tc>
          <w:tcPr>
            <w:tcW w:w="320" w:type="dxa"/>
            <w:vAlign w:val="bottom"/>
          </w:tcPr>
          <w:p>
            <w:pPr>
              <w:spacing w:after="0"/>
              <w:rPr>
                <w:sz w:val="21"/>
                <w:szCs w:val="21"/>
                <w:color w:val="auto"/>
              </w:rPr>
            </w:pPr>
          </w:p>
        </w:tc>
        <w:tc>
          <w:tcPr>
            <w:tcW w:w="900" w:type="dxa"/>
            <w:vAlign w:val="bottom"/>
            <w:gridSpan w:val="2"/>
          </w:tcPr>
          <w:p>
            <w:pPr>
              <w:jc w:val="right"/>
              <w:ind w:right="300"/>
              <w:spacing w:after="0" w:line="243" w:lineRule="exact"/>
              <w:rPr>
                <w:sz w:val="20"/>
                <w:szCs w:val="20"/>
                <w:color w:val="auto"/>
              </w:rPr>
            </w:pPr>
            <w:r>
              <w:rPr>
                <w:rFonts w:ascii="Arial" w:cs="Arial" w:eastAsia="Arial" w:hAnsi="Arial"/>
                <w:sz w:val="22"/>
                <w:szCs w:val="22"/>
                <w:color w:val="auto"/>
              </w:rPr>
              <w:t>2,626</w:t>
            </w:r>
          </w:p>
        </w:tc>
        <w:tc>
          <w:tcPr>
            <w:tcW w:w="600" w:type="dxa"/>
            <w:vAlign w:val="bottom"/>
          </w:tcPr>
          <w:p>
            <w:pPr>
              <w:jc w:val="right"/>
              <w:spacing w:after="0" w:line="243" w:lineRule="exact"/>
              <w:rPr>
                <w:sz w:val="20"/>
                <w:szCs w:val="20"/>
                <w:color w:val="auto"/>
              </w:rPr>
            </w:pPr>
            <w:r>
              <w:rPr>
                <w:rFonts w:ascii="Arial" w:cs="Arial" w:eastAsia="Arial" w:hAnsi="Arial"/>
                <w:sz w:val="22"/>
                <w:szCs w:val="22"/>
                <w:color w:val="auto"/>
              </w:rPr>
              <w:t>2,456</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00" w:type="dxa"/>
            <w:vAlign w:val="bottom"/>
          </w:tcPr>
          <w:p>
            <w:pPr>
              <w:ind w:left="220"/>
              <w:spacing w:after="0" w:line="243" w:lineRule="exact"/>
              <w:rPr>
                <w:sz w:val="20"/>
                <w:szCs w:val="20"/>
                <w:color w:val="auto"/>
              </w:rPr>
            </w:pPr>
            <w:r>
              <w:rPr>
                <w:rFonts w:ascii="Arial" w:cs="Arial" w:eastAsia="Arial" w:hAnsi="Arial"/>
                <w:sz w:val="22"/>
                <w:szCs w:val="22"/>
                <w:color w:val="auto"/>
              </w:rPr>
              <w:t>Depreciation</w:t>
            </w:r>
          </w:p>
        </w:tc>
        <w:tc>
          <w:tcPr>
            <w:tcW w:w="620" w:type="dxa"/>
            <w:vAlign w:val="bottom"/>
          </w:tcPr>
          <w:p>
            <w:pPr>
              <w:jc w:val="right"/>
              <w:spacing w:after="0" w:line="243" w:lineRule="exact"/>
              <w:rPr>
                <w:sz w:val="20"/>
                <w:szCs w:val="20"/>
                <w:color w:val="auto"/>
              </w:rPr>
            </w:pPr>
            <w:r>
              <w:rPr>
                <w:rFonts w:ascii="Arial" w:cs="Arial" w:eastAsia="Arial" w:hAnsi="Arial"/>
                <w:sz w:val="22"/>
                <w:szCs w:val="22"/>
                <w:color w:val="auto"/>
              </w:rPr>
              <w:t>813</w:t>
            </w:r>
          </w:p>
        </w:tc>
        <w:tc>
          <w:tcPr>
            <w:tcW w:w="300" w:type="dxa"/>
            <w:vAlign w:val="bottom"/>
          </w:tcPr>
          <w:p>
            <w:pPr>
              <w:spacing w:after="0"/>
              <w:rPr>
                <w:sz w:val="21"/>
                <w:szCs w:val="21"/>
                <w:color w:val="auto"/>
              </w:rPr>
            </w:pPr>
          </w:p>
        </w:tc>
        <w:tc>
          <w:tcPr>
            <w:tcW w:w="620" w:type="dxa"/>
            <w:vAlign w:val="bottom"/>
          </w:tcPr>
          <w:p>
            <w:pPr>
              <w:jc w:val="right"/>
              <w:spacing w:after="0" w:line="243" w:lineRule="exact"/>
              <w:rPr>
                <w:sz w:val="20"/>
                <w:szCs w:val="20"/>
                <w:color w:val="auto"/>
              </w:rPr>
            </w:pPr>
            <w:r>
              <w:rPr>
                <w:rFonts w:ascii="Arial" w:cs="Arial" w:eastAsia="Arial" w:hAnsi="Arial"/>
                <w:sz w:val="22"/>
                <w:szCs w:val="22"/>
                <w:color w:val="auto"/>
              </w:rPr>
              <w:t>816</w:t>
            </w:r>
          </w:p>
        </w:tc>
        <w:tc>
          <w:tcPr>
            <w:tcW w:w="320" w:type="dxa"/>
            <w:vAlign w:val="bottom"/>
          </w:tcPr>
          <w:p>
            <w:pPr>
              <w:spacing w:after="0"/>
              <w:rPr>
                <w:sz w:val="21"/>
                <w:szCs w:val="21"/>
                <w:color w:val="auto"/>
              </w:rPr>
            </w:pPr>
          </w:p>
        </w:tc>
        <w:tc>
          <w:tcPr>
            <w:tcW w:w="900" w:type="dxa"/>
            <w:vAlign w:val="bottom"/>
            <w:gridSpan w:val="2"/>
          </w:tcPr>
          <w:p>
            <w:pPr>
              <w:jc w:val="right"/>
              <w:ind w:right="300"/>
              <w:spacing w:after="0" w:line="243" w:lineRule="exact"/>
              <w:rPr>
                <w:sz w:val="20"/>
                <w:szCs w:val="20"/>
                <w:color w:val="auto"/>
              </w:rPr>
            </w:pPr>
            <w:r>
              <w:rPr>
                <w:rFonts w:ascii="Arial" w:cs="Arial" w:eastAsia="Arial" w:hAnsi="Arial"/>
                <w:sz w:val="22"/>
                <w:szCs w:val="22"/>
                <w:color w:val="auto"/>
              </w:rPr>
              <w:t>1,611</w:t>
            </w:r>
          </w:p>
        </w:tc>
        <w:tc>
          <w:tcPr>
            <w:tcW w:w="600" w:type="dxa"/>
            <w:vAlign w:val="bottom"/>
          </w:tcPr>
          <w:p>
            <w:pPr>
              <w:jc w:val="right"/>
              <w:spacing w:after="0" w:line="243" w:lineRule="exact"/>
              <w:rPr>
                <w:sz w:val="20"/>
                <w:szCs w:val="20"/>
                <w:color w:val="auto"/>
              </w:rPr>
            </w:pPr>
            <w:r>
              <w:rPr>
                <w:rFonts w:ascii="Arial" w:cs="Arial" w:eastAsia="Arial" w:hAnsi="Arial"/>
                <w:sz w:val="22"/>
                <w:szCs w:val="22"/>
                <w:color w:val="auto"/>
              </w:rPr>
              <w:t>1,596</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6700" w:type="dxa"/>
            <w:vAlign w:val="bottom"/>
          </w:tcPr>
          <w:p>
            <w:pPr>
              <w:ind w:left="220"/>
              <w:spacing w:after="0"/>
              <w:rPr>
                <w:sz w:val="20"/>
                <w:szCs w:val="20"/>
                <w:color w:val="auto"/>
              </w:rPr>
            </w:pPr>
            <w:r>
              <w:rPr>
                <w:rFonts w:ascii="Arial" w:cs="Arial" w:eastAsia="Arial" w:hAnsi="Arial"/>
                <w:sz w:val="22"/>
                <w:szCs w:val="22"/>
                <w:color w:val="auto"/>
              </w:rPr>
              <w:t>Amortization</w:t>
            </w:r>
          </w:p>
        </w:tc>
        <w:tc>
          <w:tcPr>
            <w:tcW w:w="620" w:type="dxa"/>
            <w:vAlign w:val="bottom"/>
          </w:tcPr>
          <w:p>
            <w:pPr>
              <w:jc w:val="right"/>
              <w:spacing w:after="0"/>
              <w:rPr>
                <w:sz w:val="20"/>
                <w:szCs w:val="20"/>
                <w:color w:val="auto"/>
              </w:rPr>
            </w:pPr>
            <w:r>
              <w:rPr>
                <w:rFonts w:ascii="Arial" w:cs="Arial" w:eastAsia="Arial" w:hAnsi="Arial"/>
                <w:sz w:val="22"/>
                <w:szCs w:val="22"/>
                <w:color w:val="auto"/>
              </w:rPr>
              <w:t>287</w:t>
            </w:r>
          </w:p>
        </w:tc>
        <w:tc>
          <w:tcPr>
            <w:tcW w:w="30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22"/>
                <w:szCs w:val="22"/>
                <w:color w:val="auto"/>
              </w:rPr>
              <w:t>371</w:t>
            </w:r>
          </w:p>
        </w:tc>
        <w:tc>
          <w:tcPr>
            <w:tcW w:w="320" w:type="dxa"/>
            <w:vAlign w:val="bottom"/>
          </w:tcPr>
          <w:p>
            <w:pPr>
              <w:spacing w:after="0"/>
              <w:rPr>
                <w:sz w:val="23"/>
                <w:szCs w:val="23"/>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22"/>
                <w:szCs w:val="22"/>
                <w:color w:val="auto"/>
              </w:rPr>
              <w:t>563</w:t>
            </w:r>
          </w:p>
        </w:tc>
        <w:tc>
          <w:tcPr>
            <w:tcW w:w="600" w:type="dxa"/>
            <w:vAlign w:val="bottom"/>
          </w:tcPr>
          <w:p>
            <w:pPr>
              <w:jc w:val="right"/>
              <w:spacing w:after="0"/>
              <w:rPr>
                <w:sz w:val="20"/>
                <w:szCs w:val="20"/>
                <w:color w:val="auto"/>
              </w:rPr>
            </w:pPr>
            <w:r>
              <w:rPr>
                <w:rFonts w:ascii="Arial" w:cs="Arial" w:eastAsia="Arial" w:hAnsi="Arial"/>
                <w:sz w:val="22"/>
                <w:szCs w:val="22"/>
                <w:color w:val="auto"/>
              </w:rPr>
              <w:t>725</w:t>
            </w: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8"/>
        </w:trPr>
        <w:tc>
          <w:tcPr>
            <w:tcW w:w="670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55"/>
        </w:trPr>
        <w:tc>
          <w:tcPr>
            <w:tcW w:w="67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22"/>
                <w:szCs w:val="22"/>
                <w:color w:val="auto"/>
              </w:rPr>
              <w:t>4,214</w:t>
            </w:r>
          </w:p>
        </w:tc>
        <w:tc>
          <w:tcPr>
            <w:tcW w:w="3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22"/>
                <w:szCs w:val="22"/>
                <w:color w:val="auto"/>
              </w:rPr>
              <w:t>4,169</w:t>
            </w:r>
          </w:p>
        </w:tc>
        <w:tc>
          <w:tcPr>
            <w:tcW w:w="320" w:type="dxa"/>
            <w:vAlign w:val="bottom"/>
          </w:tcPr>
          <w:p>
            <w:pPr>
              <w:spacing w:after="0"/>
              <w:rPr>
                <w:sz w:val="24"/>
                <w:szCs w:val="24"/>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22"/>
                <w:szCs w:val="22"/>
                <w:color w:val="auto"/>
              </w:rPr>
              <w:t>8,463</w:t>
            </w:r>
          </w:p>
        </w:tc>
        <w:tc>
          <w:tcPr>
            <w:tcW w:w="600" w:type="dxa"/>
            <w:vAlign w:val="bottom"/>
          </w:tcPr>
          <w:p>
            <w:pPr>
              <w:jc w:val="right"/>
              <w:spacing w:after="0"/>
              <w:rPr>
                <w:sz w:val="20"/>
                <w:szCs w:val="20"/>
                <w:color w:val="auto"/>
              </w:rPr>
            </w:pPr>
            <w:r>
              <w:rPr>
                <w:rFonts w:ascii="Arial" w:cs="Arial" w:eastAsia="Arial" w:hAnsi="Arial"/>
                <w:sz w:val="22"/>
                <w:szCs w:val="22"/>
                <w:color w:val="auto"/>
              </w:rPr>
              <w:t>8,341</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670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55"/>
        </w:trPr>
        <w:tc>
          <w:tcPr>
            <w:tcW w:w="6700" w:type="dxa"/>
            <w:vAlign w:val="bottom"/>
          </w:tcPr>
          <w:p>
            <w:pPr>
              <w:spacing w:after="0"/>
              <w:rPr>
                <w:sz w:val="20"/>
                <w:szCs w:val="20"/>
                <w:color w:val="auto"/>
              </w:rPr>
            </w:pPr>
            <w:r>
              <w:rPr>
                <w:rFonts w:ascii="Arial" w:cs="Arial" w:eastAsia="Arial" w:hAnsi="Arial"/>
                <w:sz w:val="22"/>
                <w:szCs w:val="22"/>
                <w:color w:val="auto"/>
              </w:rPr>
              <w:t>OPERATING INCOME</w:t>
            </w:r>
          </w:p>
        </w:tc>
        <w:tc>
          <w:tcPr>
            <w:tcW w:w="620" w:type="dxa"/>
            <w:vAlign w:val="bottom"/>
          </w:tcPr>
          <w:p>
            <w:pPr>
              <w:jc w:val="right"/>
              <w:spacing w:after="0"/>
              <w:rPr>
                <w:sz w:val="20"/>
                <w:szCs w:val="20"/>
                <w:color w:val="auto"/>
              </w:rPr>
            </w:pPr>
            <w:r>
              <w:rPr>
                <w:rFonts w:ascii="Arial" w:cs="Arial" w:eastAsia="Arial" w:hAnsi="Arial"/>
                <w:sz w:val="22"/>
                <w:szCs w:val="22"/>
                <w:color w:val="auto"/>
              </w:rPr>
              <w:t>852</w:t>
            </w:r>
          </w:p>
        </w:tc>
        <w:tc>
          <w:tcPr>
            <w:tcW w:w="3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22"/>
                <w:szCs w:val="22"/>
                <w:color w:val="auto"/>
              </w:rPr>
              <w:t>425</w:t>
            </w:r>
          </w:p>
        </w:tc>
        <w:tc>
          <w:tcPr>
            <w:tcW w:w="320" w:type="dxa"/>
            <w:vAlign w:val="bottom"/>
          </w:tcPr>
          <w:p>
            <w:pPr>
              <w:spacing w:after="0"/>
              <w:rPr>
                <w:sz w:val="24"/>
                <w:szCs w:val="24"/>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22"/>
                <w:szCs w:val="22"/>
                <w:color w:val="auto"/>
              </w:rPr>
              <w:t>1,511</w:t>
            </w:r>
          </w:p>
        </w:tc>
        <w:tc>
          <w:tcPr>
            <w:tcW w:w="600" w:type="dxa"/>
            <w:vAlign w:val="bottom"/>
          </w:tcPr>
          <w:p>
            <w:pPr>
              <w:jc w:val="right"/>
              <w:spacing w:after="0"/>
              <w:rPr>
                <w:sz w:val="20"/>
                <w:szCs w:val="20"/>
                <w:color w:val="auto"/>
              </w:rPr>
            </w:pPr>
            <w:r>
              <w:rPr>
                <w:rFonts w:ascii="Arial" w:cs="Arial" w:eastAsia="Arial" w:hAnsi="Arial"/>
                <w:sz w:val="22"/>
                <w:szCs w:val="22"/>
                <w:color w:val="auto"/>
              </w:rPr>
              <w:t>719</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5"/>
        </w:trPr>
        <w:tc>
          <w:tcPr>
            <w:tcW w:w="6700" w:type="dxa"/>
            <w:vAlign w:val="bottom"/>
          </w:tcPr>
          <w:p>
            <w:pPr>
              <w:spacing w:after="0"/>
              <w:rPr>
                <w:sz w:val="20"/>
                <w:szCs w:val="20"/>
                <w:color w:val="auto"/>
              </w:rPr>
            </w:pPr>
            <w:r>
              <w:rPr>
                <w:rFonts w:ascii="Arial" w:cs="Arial" w:eastAsia="Arial" w:hAnsi="Arial"/>
                <w:sz w:val="22"/>
                <w:szCs w:val="22"/>
                <w:color w:val="auto"/>
              </w:rPr>
              <w:t>OTHER INCOME (EXPENSE)</w:t>
            </w: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700" w:type="dxa"/>
            <w:vAlign w:val="bottom"/>
          </w:tcPr>
          <w:p>
            <w:pPr>
              <w:ind w:left="220"/>
              <w:spacing w:after="0" w:line="243" w:lineRule="exact"/>
              <w:rPr>
                <w:sz w:val="20"/>
                <w:szCs w:val="20"/>
                <w:color w:val="auto"/>
              </w:rPr>
            </w:pPr>
            <w:r>
              <w:rPr>
                <w:rFonts w:ascii="Arial" w:cs="Arial" w:eastAsia="Arial" w:hAnsi="Arial"/>
                <w:sz w:val="22"/>
                <w:szCs w:val="22"/>
                <w:color w:val="auto"/>
              </w:rPr>
              <w:t>Interest expense</w:t>
            </w:r>
          </w:p>
        </w:tc>
        <w:tc>
          <w:tcPr>
            <w:tcW w:w="920" w:type="dxa"/>
            <w:vAlign w:val="bottom"/>
            <w:gridSpan w:val="2"/>
          </w:tcPr>
          <w:p>
            <w:pPr>
              <w:jc w:val="right"/>
              <w:ind w:right="240"/>
              <w:spacing w:after="0" w:line="243" w:lineRule="exact"/>
              <w:rPr>
                <w:sz w:val="20"/>
                <w:szCs w:val="20"/>
                <w:color w:val="auto"/>
              </w:rPr>
            </w:pPr>
            <w:r>
              <w:rPr>
                <w:rFonts w:ascii="Arial" w:cs="Arial" w:eastAsia="Arial" w:hAnsi="Arial"/>
                <w:sz w:val="22"/>
                <w:szCs w:val="22"/>
                <w:color w:val="auto"/>
              </w:rPr>
              <w:t>(484)</w:t>
            </w:r>
          </w:p>
        </w:tc>
        <w:tc>
          <w:tcPr>
            <w:tcW w:w="940" w:type="dxa"/>
            <w:vAlign w:val="bottom"/>
            <w:gridSpan w:val="2"/>
          </w:tcPr>
          <w:p>
            <w:pPr>
              <w:jc w:val="right"/>
              <w:ind w:right="132"/>
              <w:spacing w:after="0" w:line="243" w:lineRule="exact"/>
              <w:rPr>
                <w:sz w:val="20"/>
                <w:szCs w:val="20"/>
                <w:color w:val="auto"/>
              </w:rPr>
            </w:pPr>
            <w:r>
              <w:rPr>
                <w:rFonts w:ascii="Arial" w:cs="Arial" w:eastAsia="Arial" w:hAnsi="Arial"/>
                <w:sz w:val="22"/>
                <w:szCs w:val="22"/>
                <w:color w:val="auto"/>
              </w:rPr>
              <w:t>(490)</w:t>
            </w:r>
          </w:p>
        </w:tc>
        <w:tc>
          <w:tcPr>
            <w:tcW w:w="900" w:type="dxa"/>
            <w:vAlign w:val="bottom"/>
            <w:gridSpan w:val="2"/>
          </w:tcPr>
          <w:p>
            <w:pPr>
              <w:jc w:val="right"/>
              <w:ind w:right="220"/>
              <w:spacing w:after="0" w:line="243" w:lineRule="exact"/>
              <w:rPr>
                <w:sz w:val="20"/>
                <w:szCs w:val="20"/>
                <w:color w:val="auto"/>
              </w:rPr>
            </w:pPr>
            <w:r>
              <w:rPr>
                <w:rFonts w:ascii="Arial" w:cs="Arial" w:eastAsia="Arial" w:hAnsi="Arial"/>
                <w:sz w:val="22"/>
                <w:szCs w:val="22"/>
                <w:color w:val="auto"/>
              </w:rPr>
              <w:t>(984)</w:t>
            </w:r>
          </w:p>
        </w:tc>
        <w:tc>
          <w:tcPr>
            <w:tcW w:w="740" w:type="dxa"/>
            <w:vAlign w:val="bottom"/>
            <w:gridSpan w:val="2"/>
          </w:tcPr>
          <w:p>
            <w:pPr>
              <w:jc w:val="right"/>
              <w:ind w:right="60"/>
              <w:spacing w:after="0" w:line="243" w:lineRule="exact"/>
              <w:rPr>
                <w:sz w:val="20"/>
                <w:szCs w:val="20"/>
                <w:color w:val="auto"/>
              </w:rPr>
            </w:pPr>
            <w:r>
              <w:rPr>
                <w:rFonts w:ascii="Arial" w:cs="Arial" w:eastAsia="Arial" w:hAnsi="Arial"/>
                <w:sz w:val="22"/>
                <w:szCs w:val="22"/>
                <w:color w:val="auto"/>
                <w:w w:val="94"/>
              </w:rPr>
              <w:t>(1,014)</w:t>
            </w:r>
          </w:p>
        </w:tc>
        <w:tc>
          <w:tcPr>
            <w:tcW w:w="0" w:type="dxa"/>
            <w:vAlign w:val="bottom"/>
          </w:tcPr>
          <w:p>
            <w:pPr>
              <w:spacing w:after="0"/>
              <w:rPr>
                <w:sz w:val="1"/>
                <w:szCs w:val="1"/>
                <w:color w:val="auto"/>
              </w:rPr>
            </w:pPr>
          </w:p>
        </w:tc>
      </w:tr>
      <w:tr>
        <w:trPr>
          <w:trHeight w:val="243"/>
        </w:trPr>
        <w:tc>
          <w:tcPr>
            <w:tcW w:w="6700" w:type="dxa"/>
            <w:vAlign w:val="bottom"/>
          </w:tcPr>
          <w:p>
            <w:pPr>
              <w:ind w:left="220"/>
              <w:spacing w:after="0" w:line="243" w:lineRule="exact"/>
              <w:rPr>
                <w:sz w:val="20"/>
                <w:szCs w:val="20"/>
                <w:color w:val="auto"/>
              </w:rPr>
            </w:pPr>
            <w:r>
              <w:rPr>
                <w:rFonts w:ascii="Arial" w:cs="Arial" w:eastAsia="Arial" w:hAnsi="Arial"/>
                <w:sz w:val="22"/>
                <w:szCs w:val="22"/>
                <w:color w:val="auto"/>
              </w:rPr>
              <w:t>Investment income (loss), net</w:t>
            </w:r>
          </w:p>
        </w:tc>
        <w:tc>
          <w:tcPr>
            <w:tcW w:w="620" w:type="dxa"/>
            <w:vAlign w:val="bottom"/>
          </w:tcPr>
          <w:p>
            <w:pPr>
              <w:jc w:val="right"/>
              <w:spacing w:after="0" w:line="243" w:lineRule="exact"/>
              <w:rPr>
                <w:sz w:val="20"/>
                <w:szCs w:val="20"/>
                <w:color w:val="auto"/>
              </w:rPr>
            </w:pPr>
            <w:r>
              <w:rPr>
                <w:rFonts w:ascii="Arial" w:cs="Arial" w:eastAsia="Arial" w:hAnsi="Arial"/>
                <w:sz w:val="22"/>
                <w:szCs w:val="22"/>
                <w:color w:val="auto"/>
              </w:rPr>
              <w:t>151</w:t>
            </w:r>
          </w:p>
        </w:tc>
        <w:tc>
          <w:tcPr>
            <w:tcW w:w="300" w:type="dxa"/>
            <w:vAlign w:val="bottom"/>
          </w:tcPr>
          <w:p>
            <w:pPr>
              <w:spacing w:after="0"/>
              <w:rPr>
                <w:sz w:val="21"/>
                <w:szCs w:val="21"/>
                <w:color w:val="auto"/>
              </w:rPr>
            </w:pPr>
          </w:p>
        </w:tc>
        <w:tc>
          <w:tcPr>
            <w:tcW w:w="940" w:type="dxa"/>
            <w:vAlign w:val="bottom"/>
            <w:gridSpan w:val="2"/>
          </w:tcPr>
          <w:p>
            <w:pPr>
              <w:jc w:val="right"/>
              <w:ind w:right="132"/>
              <w:spacing w:after="0" w:line="243" w:lineRule="exact"/>
              <w:rPr>
                <w:sz w:val="20"/>
                <w:szCs w:val="20"/>
                <w:color w:val="auto"/>
              </w:rPr>
            </w:pPr>
            <w:r>
              <w:rPr>
                <w:rFonts w:ascii="Arial" w:cs="Arial" w:eastAsia="Arial" w:hAnsi="Arial"/>
                <w:sz w:val="22"/>
                <w:szCs w:val="22"/>
                <w:color w:val="auto"/>
              </w:rPr>
              <w:t>(6)</w:t>
            </w:r>
          </w:p>
        </w:tc>
        <w:tc>
          <w:tcPr>
            <w:tcW w:w="900" w:type="dxa"/>
            <w:vAlign w:val="bottom"/>
            <w:gridSpan w:val="2"/>
          </w:tcPr>
          <w:p>
            <w:pPr>
              <w:jc w:val="right"/>
              <w:ind w:right="300"/>
              <w:spacing w:after="0" w:line="243" w:lineRule="exact"/>
              <w:rPr>
                <w:sz w:val="20"/>
                <w:szCs w:val="20"/>
                <w:color w:val="auto"/>
              </w:rPr>
            </w:pPr>
            <w:r>
              <w:rPr>
                <w:rFonts w:ascii="Arial" w:cs="Arial" w:eastAsia="Arial" w:hAnsi="Arial"/>
                <w:sz w:val="22"/>
                <w:szCs w:val="22"/>
                <w:color w:val="auto"/>
              </w:rPr>
              <w:t>142</w:t>
            </w:r>
          </w:p>
        </w:tc>
        <w:tc>
          <w:tcPr>
            <w:tcW w:w="740" w:type="dxa"/>
            <w:vAlign w:val="bottom"/>
            <w:gridSpan w:val="2"/>
          </w:tcPr>
          <w:p>
            <w:pPr>
              <w:jc w:val="right"/>
              <w:ind w:right="60"/>
              <w:spacing w:after="0" w:line="243" w:lineRule="exact"/>
              <w:rPr>
                <w:sz w:val="20"/>
                <w:szCs w:val="20"/>
                <w:color w:val="auto"/>
              </w:rPr>
            </w:pPr>
            <w:r>
              <w:rPr>
                <w:rFonts w:ascii="Arial" w:cs="Arial" w:eastAsia="Arial" w:hAnsi="Arial"/>
                <w:sz w:val="22"/>
                <w:szCs w:val="22"/>
                <w:color w:val="auto"/>
              </w:rPr>
              <w:t>(229)</w:t>
            </w:r>
          </w:p>
        </w:tc>
        <w:tc>
          <w:tcPr>
            <w:tcW w:w="0" w:type="dxa"/>
            <w:vAlign w:val="bottom"/>
          </w:tcPr>
          <w:p>
            <w:pPr>
              <w:spacing w:after="0"/>
              <w:rPr>
                <w:sz w:val="1"/>
                <w:szCs w:val="1"/>
                <w:color w:val="auto"/>
              </w:rPr>
            </w:pPr>
          </w:p>
        </w:tc>
      </w:tr>
      <w:tr>
        <w:trPr>
          <w:trHeight w:val="243"/>
        </w:trPr>
        <w:tc>
          <w:tcPr>
            <w:tcW w:w="6700" w:type="dxa"/>
            <w:vAlign w:val="bottom"/>
          </w:tcPr>
          <w:p>
            <w:pPr>
              <w:ind w:left="220"/>
              <w:spacing w:after="0" w:line="243" w:lineRule="exact"/>
              <w:rPr>
                <w:sz w:val="20"/>
                <w:szCs w:val="20"/>
                <w:color w:val="auto"/>
              </w:rPr>
            </w:pPr>
            <w:r>
              <w:rPr>
                <w:rFonts w:ascii="Arial" w:cs="Arial" w:eastAsia="Arial" w:hAnsi="Arial"/>
                <w:sz w:val="22"/>
                <w:szCs w:val="22"/>
                <w:color w:val="auto"/>
              </w:rPr>
              <w:t>Equity in net (losses) income of affiliates</w:t>
            </w:r>
          </w:p>
        </w:tc>
        <w:tc>
          <w:tcPr>
            <w:tcW w:w="920" w:type="dxa"/>
            <w:vAlign w:val="bottom"/>
            <w:gridSpan w:val="2"/>
          </w:tcPr>
          <w:p>
            <w:pPr>
              <w:jc w:val="right"/>
              <w:ind w:right="240"/>
              <w:spacing w:after="0" w:line="243" w:lineRule="exact"/>
              <w:rPr>
                <w:sz w:val="20"/>
                <w:szCs w:val="20"/>
                <w:color w:val="auto"/>
              </w:rPr>
            </w:pPr>
            <w:r>
              <w:rPr>
                <w:rFonts w:ascii="Arial" w:cs="Arial" w:eastAsia="Arial" w:hAnsi="Arial"/>
                <w:sz w:val="22"/>
                <w:szCs w:val="22"/>
                <w:color w:val="auto"/>
              </w:rPr>
              <w:t>(20)</w:t>
            </w:r>
          </w:p>
        </w:tc>
        <w:tc>
          <w:tcPr>
            <w:tcW w:w="620" w:type="dxa"/>
            <w:vAlign w:val="bottom"/>
          </w:tcPr>
          <w:p>
            <w:pPr>
              <w:jc w:val="right"/>
              <w:spacing w:after="0" w:line="243" w:lineRule="exact"/>
              <w:rPr>
                <w:sz w:val="20"/>
                <w:szCs w:val="20"/>
                <w:color w:val="auto"/>
              </w:rPr>
            </w:pPr>
            <w:r>
              <w:rPr>
                <w:rFonts w:ascii="Arial" w:cs="Arial" w:eastAsia="Arial" w:hAnsi="Arial"/>
                <w:sz w:val="22"/>
                <w:szCs w:val="22"/>
                <w:color w:val="auto"/>
              </w:rPr>
              <w:t>1</w:t>
            </w:r>
          </w:p>
        </w:tc>
        <w:tc>
          <w:tcPr>
            <w:tcW w:w="320" w:type="dxa"/>
            <w:vAlign w:val="bottom"/>
          </w:tcPr>
          <w:p>
            <w:pPr>
              <w:spacing w:after="0"/>
              <w:rPr>
                <w:sz w:val="21"/>
                <w:szCs w:val="21"/>
                <w:color w:val="auto"/>
              </w:rPr>
            </w:pPr>
          </w:p>
        </w:tc>
        <w:tc>
          <w:tcPr>
            <w:tcW w:w="900" w:type="dxa"/>
            <w:vAlign w:val="bottom"/>
            <w:gridSpan w:val="2"/>
          </w:tcPr>
          <w:p>
            <w:pPr>
              <w:jc w:val="right"/>
              <w:ind w:right="220"/>
              <w:spacing w:after="0" w:line="243" w:lineRule="exact"/>
              <w:rPr>
                <w:sz w:val="20"/>
                <w:szCs w:val="20"/>
                <w:color w:val="auto"/>
              </w:rPr>
            </w:pPr>
            <w:r>
              <w:rPr>
                <w:rFonts w:ascii="Arial" w:cs="Arial" w:eastAsia="Arial" w:hAnsi="Arial"/>
                <w:sz w:val="22"/>
                <w:szCs w:val="22"/>
                <w:color w:val="auto"/>
              </w:rPr>
              <w:t>(37)</w:t>
            </w:r>
          </w:p>
        </w:tc>
        <w:tc>
          <w:tcPr>
            <w:tcW w:w="740" w:type="dxa"/>
            <w:vAlign w:val="bottom"/>
            <w:gridSpan w:val="2"/>
          </w:tcPr>
          <w:p>
            <w:pPr>
              <w:jc w:val="right"/>
              <w:ind w:right="60"/>
              <w:spacing w:after="0" w:line="243" w:lineRule="exact"/>
              <w:rPr>
                <w:sz w:val="20"/>
                <w:szCs w:val="20"/>
                <w:color w:val="auto"/>
              </w:rPr>
            </w:pPr>
            <w:r>
              <w:rPr>
                <w:rFonts w:ascii="Arial" w:cs="Arial" w:eastAsia="Arial" w:hAnsi="Arial"/>
                <w:sz w:val="22"/>
                <w:szCs w:val="22"/>
                <w:color w:val="auto"/>
              </w:rPr>
              <w:t>(16)</w:t>
            </w:r>
          </w:p>
        </w:tc>
        <w:tc>
          <w:tcPr>
            <w:tcW w:w="0" w:type="dxa"/>
            <w:vAlign w:val="bottom"/>
          </w:tcPr>
          <w:p>
            <w:pPr>
              <w:spacing w:after="0"/>
              <w:rPr>
                <w:sz w:val="1"/>
                <w:szCs w:val="1"/>
                <w:color w:val="auto"/>
              </w:rPr>
            </w:pPr>
          </w:p>
        </w:tc>
      </w:tr>
      <w:tr>
        <w:trPr>
          <w:trHeight w:val="275"/>
        </w:trPr>
        <w:tc>
          <w:tcPr>
            <w:tcW w:w="6700" w:type="dxa"/>
            <w:vAlign w:val="bottom"/>
          </w:tcPr>
          <w:p>
            <w:pPr>
              <w:ind w:left="220"/>
              <w:spacing w:after="0"/>
              <w:rPr>
                <w:sz w:val="20"/>
                <w:szCs w:val="20"/>
                <w:color w:val="auto"/>
              </w:rPr>
            </w:pPr>
            <w:r>
              <w:rPr>
                <w:rFonts w:ascii="Arial" w:cs="Arial" w:eastAsia="Arial" w:hAnsi="Arial"/>
                <w:sz w:val="22"/>
                <w:szCs w:val="22"/>
                <w:color w:val="auto"/>
              </w:rPr>
              <w:t>Other income</w:t>
            </w:r>
          </w:p>
        </w:tc>
        <w:tc>
          <w:tcPr>
            <w:tcW w:w="620" w:type="dxa"/>
            <w:vAlign w:val="bottom"/>
          </w:tcPr>
          <w:p>
            <w:pPr>
              <w:jc w:val="right"/>
              <w:spacing w:after="0"/>
              <w:rPr>
                <w:sz w:val="20"/>
                <w:szCs w:val="20"/>
                <w:color w:val="auto"/>
              </w:rPr>
            </w:pPr>
            <w:r>
              <w:rPr>
                <w:rFonts w:ascii="Arial" w:cs="Arial" w:eastAsia="Arial" w:hAnsi="Arial"/>
                <w:sz w:val="22"/>
                <w:szCs w:val="22"/>
                <w:color w:val="auto"/>
              </w:rPr>
              <w:t>12</w:t>
            </w:r>
          </w:p>
        </w:tc>
        <w:tc>
          <w:tcPr>
            <w:tcW w:w="30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22"/>
                <w:szCs w:val="22"/>
                <w:color w:val="auto"/>
              </w:rPr>
              <w:t>22</w:t>
            </w:r>
          </w:p>
        </w:tc>
        <w:tc>
          <w:tcPr>
            <w:tcW w:w="320" w:type="dxa"/>
            <w:vAlign w:val="bottom"/>
          </w:tcPr>
          <w:p>
            <w:pPr>
              <w:spacing w:after="0"/>
              <w:rPr>
                <w:sz w:val="23"/>
                <w:szCs w:val="23"/>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22"/>
                <w:szCs w:val="22"/>
                <w:color w:val="auto"/>
              </w:rPr>
              <w:t>19</w:t>
            </w:r>
          </w:p>
        </w:tc>
        <w:tc>
          <w:tcPr>
            <w:tcW w:w="600" w:type="dxa"/>
            <w:vAlign w:val="bottom"/>
          </w:tcPr>
          <w:p>
            <w:pPr>
              <w:jc w:val="right"/>
              <w:spacing w:after="0"/>
              <w:rPr>
                <w:sz w:val="20"/>
                <w:szCs w:val="20"/>
                <w:color w:val="auto"/>
              </w:rPr>
            </w:pPr>
            <w:r>
              <w:rPr>
                <w:rFonts w:ascii="Arial" w:cs="Arial" w:eastAsia="Arial" w:hAnsi="Arial"/>
                <w:sz w:val="22"/>
                <w:szCs w:val="22"/>
                <w:color w:val="auto"/>
              </w:rPr>
              <w:t>35</w:t>
            </w: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8"/>
        </w:trPr>
        <w:tc>
          <w:tcPr>
            <w:tcW w:w="670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55"/>
        </w:trPr>
        <w:tc>
          <w:tcPr>
            <w:tcW w:w="6700" w:type="dxa"/>
            <w:vAlign w:val="bottom"/>
          </w:tcPr>
          <w:p>
            <w:pPr>
              <w:spacing w:after="0"/>
              <w:rPr>
                <w:sz w:val="24"/>
                <w:szCs w:val="2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22"/>
                <w:szCs w:val="22"/>
                <w:color w:val="auto"/>
              </w:rPr>
              <w:t>(341)</w:t>
            </w:r>
          </w:p>
        </w:tc>
        <w:tc>
          <w:tcPr>
            <w:tcW w:w="940" w:type="dxa"/>
            <w:vAlign w:val="bottom"/>
            <w:gridSpan w:val="2"/>
          </w:tcPr>
          <w:p>
            <w:pPr>
              <w:jc w:val="right"/>
              <w:ind w:right="132"/>
              <w:spacing w:after="0"/>
              <w:rPr>
                <w:sz w:val="20"/>
                <w:szCs w:val="20"/>
                <w:color w:val="auto"/>
              </w:rPr>
            </w:pPr>
            <w:r>
              <w:rPr>
                <w:rFonts w:ascii="Arial" w:cs="Arial" w:eastAsia="Arial" w:hAnsi="Arial"/>
                <w:sz w:val="22"/>
                <w:szCs w:val="22"/>
                <w:color w:val="auto"/>
              </w:rPr>
              <w:t>(473)</w:t>
            </w:r>
          </w:p>
        </w:tc>
        <w:tc>
          <w:tcPr>
            <w:tcW w:w="900" w:type="dxa"/>
            <w:vAlign w:val="bottom"/>
            <w:gridSpan w:val="2"/>
          </w:tcPr>
          <w:p>
            <w:pPr>
              <w:jc w:val="right"/>
              <w:ind w:right="220"/>
              <w:spacing w:after="0"/>
              <w:rPr>
                <w:sz w:val="20"/>
                <w:szCs w:val="20"/>
                <w:color w:val="auto"/>
              </w:rPr>
            </w:pPr>
            <w:r>
              <w:rPr>
                <w:rFonts w:ascii="Arial" w:cs="Arial" w:eastAsia="Arial" w:hAnsi="Arial"/>
                <w:sz w:val="22"/>
                <w:szCs w:val="22"/>
                <w:color w:val="auto"/>
              </w:rPr>
              <w:t>(860)</w:t>
            </w:r>
          </w:p>
        </w:tc>
        <w:tc>
          <w:tcPr>
            <w:tcW w:w="740" w:type="dxa"/>
            <w:vAlign w:val="bottom"/>
            <w:gridSpan w:val="2"/>
          </w:tcPr>
          <w:p>
            <w:pPr>
              <w:jc w:val="right"/>
              <w:ind w:right="60"/>
              <w:spacing w:after="0"/>
              <w:rPr>
                <w:sz w:val="20"/>
                <w:szCs w:val="20"/>
                <w:color w:val="auto"/>
              </w:rPr>
            </w:pPr>
            <w:r>
              <w:rPr>
                <w:rFonts w:ascii="Arial" w:cs="Arial" w:eastAsia="Arial" w:hAnsi="Arial"/>
                <w:sz w:val="22"/>
                <w:szCs w:val="22"/>
                <w:color w:val="auto"/>
                <w:w w:val="94"/>
              </w:rPr>
              <w:t>(1,224)</w:t>
            </w:r>
          </w:p>
        </w:tc>
        <w:tc>
          <w:tcPr>
            <w:tcW w:w="0" w:type="dxa"/>
            <w:vAlign w:val="bottom"/>
          </w:tcPr>
          <w:p>
            <w:pPr>
              <w:spacing w:after="0"/>
              <w:rPr>
                <w:sz w:val="1"/>
                <w:szCs w:val="1"/>
                <w:color w:val="auto"/>
              </w:rPr>
            </w:pPr>
          </w:p>
        </w:tc>
      </w:tr>
      <w:tr>
        <w:trPr>
          <w:trHeight w:val="98"/>
        </w:trPr>
        <w:tc>
          <w:tcPr>
            <w:tcW w:w="6700" w:type="dxa"/>
            <w:vAlign w:val="bottom"/>
            <w:vMerge w:val="restart"/>
          </w:tcPr>
          <w:p>
            <w:pPr>
              <w:spacing w:after="0"/>
              <w:rPr>
                <w:sz w:val="20"/>
                <w:szCs w:val="20"/>
                <w:color w:val="auto"/>
              </w:rPr>
            </w:pPr>
            <w:r>
              <w:rPr>
                <w:rFonts w:ascii="Arial" w:cs="Arial" w:eastAsia="Arial" w:hAnsi="Arial"/>
                <w:sz w:val="22"/>
                <w:szCs w:val="22"/>
                <w:color w:val="auto"/>
              </w:rPr>
              <w:t>INCOME (LOSS) FROM CONTINUING OPERATIONS BEFORE</w:t>
            </w:r>
          </w:p>
        </w:tc>
        <w:tc>
          <w:tcPr>
            <w:tcW w:w="62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3"/>
        </w:trPr>
        <w:tc>
          <w:tcPr>
            <w:tcW w:w="670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700" w:type="dxa"/>
            <w:vAlign w:val="bottom"/>
          </w:tcPr>
          <w:p>
            <w:pPr>
              <w:spacing w:after="0" w:line="243" w:lineRule="exact"/>
              <w:rPr>
                <w:sz w:val="20"/>
                <w:szCs w:val="20"/>
                <w:color w:val="auto"/>
              </w:rPr>
            </w:pPr>
            <w:r>
              <w:rPr>
                <w:rFonts w:ascii="Arial" w:cs="Arial" w:eastAsia="Arial" w:hAnsi="Arial"/>
                <w:sz w:val="22"/>
                <w:szCs w:val="22"/>
                <w:color w:val="auto"/>
              </w:rPr>
              <w:t>INCOME TAXES AND</w:t>
            </w:r>
          </w:p>
        </w:tc>
        <w:tc>
          <w:tcPr>
            <w:tcW w:w="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6700" w:type="dxa"/>
            <w:vAlign w:val="bottom"/>
          </w:tcPr>
          <w:p>
            <w:pPr>
              <w:ind w:left="220"/>
              <w:spacing w:after="0"/>
              <w:rPr>
                <w:sz w:val="20"/>
                <w:szCs w:val="20"/>
                <w:color w:val="auto"/>
              </w:rPr>
            </w:pPr>
            <w:r>
              <w:rPr>
                <w:rFonts w:ascii="Arial" w:cs="Arial" w:eastAsia="Arial" w:hAnsi="Arial"/>
                <w:sz w:val="22"/>
                <w:szCs w:val="22"/>
                <w:color w:val="auto"/>
              </w:rPr>
              <w:t>MINORITY INTEREST</w:t>
            </w:r>
          </w:p>
        </w:tc>
        <w:tc>
          <w:tcPr>
            <w:tcW w:w="620" w:type="dxa"/>
            <w:vAlign w:val="bottom"/>
          </w:tcPr>
          <w:p>
            <w:pPr>
              <w:jc w:val="right"/>
              <w:spacing w:after="0"/>
              <w:rPr>
                <w:sz w:val="20"/>
                <w:szCs w:val="20"/>
                <w:color w:val="auto"/>
              </w:rPr>
            </w:pPr>
            <w:r>
              <w:rPr>
                <w:rFonts w:ascii="Arial" w:cs="Arial" w:eastAsia="Arial" w:hAnsi="Arial"/>
                <w:sz w:val="22"/>
                <w:szCs w:val="22"/>
                <w:color w:val="auto"/>
              </w:rPr>
              <w:t>511</w:t>
            </w:r>
          </w:p>
        </w:tc>
        <w:tc>
          <w:tcPr>
            <w:tcW w:w="300" w:type="dxa"/>
            <w:vAlign w:val="bottom"/>
          </w:tcPr>
          <w:p>
            <w:pPr>
              <w:spacing w:after="0"/>
              <w:rPr>
                <w:sz w:val="23"/>
                <w:szCs w:val="23"/>
                <w:color w:val="auto"/>
              </w:rPr>
            </w:pPr>
          </w:p>
        </w:tc>
        <w:tc>
          <w:tcPr>
            <w:tcW w:w="940" w:type="dxa"/>
            <w:vAlign w:val="bottom"/>
            <w:gridSpan w:val="2"/>
          </w:tcPr>
          <w:p>
            <w:pPr>
              <w:jc w:val="right"/>
              <w:ind w:right="132"/>
              <w:spacing w:after="0"/>
              <w:rPr>
                <w:sz w:val="20"/>
                <w:szCs w:val="20"/>
                <w:color w:val="auto"/>
              </w:rPr>
            </w:pPr>
            <w:r>
              <w:rPr>
                <w:rFonts w:ascii="Arial" w:cs="Arial" w:eastAsia="Arial" w:hAnsi="Arial"/>
                <w:sz w:val="22"/>
                <w:szCs w:val="22"/>
                <w:color w:val="auto"/>
              </w:rPr>
              <w:t>(48)</w:t>
            </w:r>
          </w:p>
        </w:tc>
        <w:tc>
          <w:tcPr>
            <w:tcW w:w="900" w:type="dxa"/>
            <w:vAlign w:val="bottom"/>
            <w:gridSpan w:val="2"/>
          </w:tcPr>
          <w:p>
            <w:pPr>
              <w:jc w:val="right"/>
              <w:ind w:right="300"/>
              <w:spacing w:after="0"/>
              <w:rPr>
                <w:sz w:val="20"/>
                <w:szCs w:val="20"/>
                <w:color w:val="auto"/>
              </w:rPr>
            </w:pPr>
            <w:r>
              <w:rPr>
                <w:rFonts w:ascii="Arial" w:cs="Arial" w:eastAsia="Arial" w:hAnsi="Arial"/>
                <w:sz w:val="22"/>
                <w:szCs w:val="22"/>
                <w:color w:val="auto"/>
              </w:rPr>
              <w:t>651</w:t>
            </w:r>
          </w:p>
        </w:tc>
        <w:tc>
          <w:tcPr>
            <w:tcW w:w="740" w:type="dxa"/>
            <w:vAlign w:val="bottom"/>
            <w:gridSpan w:val="2"/>
          </w:tcPr>
          <w:p>
            <w:pPr>
              <w:jc w:val="right"/>
              <w:ind w:right="60"/>
              <w:spacing w:after="0"/>
              <w:rPr>
                <w:sz w:val="20"/>
                <w:szCs w:val="20"/>
                <w:color w:val="auto"/>
              </w:rPr>
            </w:pPr>
            <w:r>
              <w:rPr>
                <w:rFonts w:ascii="Arial" w:cs="Arial" w:eastAsia="Arial" w:hAnsi="Arial"/>
                <w:sz w:val="22"/>
                <w:szCs w:val="22"/>
                <w:color w:val="auto"/>
              </w:rPr>
              <w:t>(505)</w:t>
            </w:r>
          </w:p>
        </w:tc>
        <w:tc>
          <w:tcPr>
            <w:tcW w:w="0" w:type="dxa"/>
            <w:vAlign w:val="bottom"/>
          </w:tcPr>
          <w:p>
            <w:pPr>
              <w:spacing w:after="0"/>
              <w:rPr>
                <w:sz w:val="1"/>
                <w:szCs w:val="1"/>
                <w:color w:val="auto"/>
              </w:rPr>
            </w:pPr>
          </w:p>
        </w:tc>
      </w:tr>
      <w:tr>
        <w:trPr>
          <w:trHeight w:val="486"/>
        </w:trPr>
        <w:tc>
          <w:tcPr>
            <w:tcW w:w="6700" w:type="dxa"/>
            <w:vAlign w:val="bottom"/>
          </w:tcPr>
          <w:p>
            <w:pPr>
              <w:spacing w:after="0"/>
              <w:rPr>
                <w:sz w:val="20"/>
                <w:szCs w:val="20"/>
                <w:color w:val="auto"/>
              </w:rPr>
            </w:pPr>
            <w:r>
              <w:rPr>
                <w:rFonts w:ascii="Arial" w:cs="Arial" w:eastAsia="Arial" w:hAnsi="Arial"/>
                <w:sz w:val="22"/>
                <w:szCs w:val="22"/>
                <w:color w:val="auto"/>
              </w:rPr>
              <w:t>INCOME TAX (EXPENSE) BENEFIT</w:t>
            </w:r>
          </w:p>
        </w:tc>
        <w:tc>
          <w:tcPr>
            <w:tcW w:w="920" w:type="dxa"/>
            <w:vAlign w:val="bottom"/>
            <w:gridSpan w:val="2"/>
          </w:tcPr>
          <w:p>
            <w:pPr>
              <w:jc w:val="right"/>
              <w:ind w:right="240"/>
              <w:spacing w:after="0"/>
              <w:rPr>
                <w:sz w:val="20"/>
                <w:szCs w:val="20"/>
                <w:color w:val="auto"/>
              </w:rPr>
            </w:pPr>
            <w:r>
              <w:rPr>
                <w:rFonts w:ascii="Arial" w:cs="Arial" w:eastAsia="Arial" w:hAnsi="Arial"/>
                <w:sz w:val="22"/>
                <w:szCs w:val="22"/>
                <w:color w:val="auto"/>
              </w:rPr>
              <w:t>(234)</w:t>
            </w:r>
          </w:p>
        </w:tc>
        <w:tc>
          <w:tcPr>
            <w:tcW w:w="940" w:type="dxa"/>
            <w:vAlign w:val="bottom"/>
            <w:gridSpan w:val="2"/>
          </w:tcPr>
          <w:p>
            <w:pPr>
              <w:jc w:val="right"/>
              <w:ind w:right="132"/>
              <w:spacing w:after="0"/>
              <w:rPr>
                <w:sz w:val="20"/>
                <w:szCs w:val="20"/>
                <w:color w:val="auto"/>
              </w:rPr>
            </w:pPr>
            <w:r>
              <w:rPr>
                <w:rFonts w:ascii="Arial" w:cs="Arial" w:eastAsia="Arial" w:hAnsi="Arial"/>
                <w:sz w:val="22"/>
                <w:szCs w:val="22"/>
                <w:color w:val="auto"/>
              </w:rPr>
              <w:t>(13)</w:t>
            </w:r>
          </w:p>
        </w:tc>
        <w:tc>
          <w:tcPr>
            <w:tcW w:w="900" w:type="dxa"/>
            <w:vAlign w:val="bottom"/>
            <w:gridSpan w:val="2"/>
          </w:tcPr>
          <w:p>
            <w:pPr>
              <w:jc w:val="right"/>
              <w:ind w:right="220"/>
              <w:spacing w:after="0"/>
              <w:rPr>
                <w:sz w:val="20"/>
                <w:szCs w:val="20"/>
                <w:color w:val="auto"/>
              </w:rPr>
            </w:pPr>
            <w:r>
              <w:rPr>
                <w:rFonts w:ascii="Arial" w:cs="Arial" w:eastAsia="Arial" w:hAnsi="Arial"/>
                <w:sz w:val="22"/>
                <w:szCs w:val="22"/>
                <w:color w:val="auto"/>
              </w:rPr>
              <w:t>(310)</w:t>
            </w:r>
          </w:p>
        </w:tc>
        <w:tc>
          <w:tcPr>
            <w:tcW w:w="600" w:type="dxa"/>
            <w:vAlign w:val="bottom"/>
          </w:tcPr>
          <w:p>
            <w:pPr>
              <w:jc w:val="right"/>
              <w:spacing w:after="0"/>
              <w:rPr>
                <w:sz w:val="20"/>
                <w:szCs w:val="20"/>
                <w:color w:val="auto"/>
              </w:rPr>
            </w:pPr>
            <w:r>
              <w:rPr>
                <w:rFonts w:ascii="Arial" w:cs="Arial" w:eastAsia="Arial" w:hAnsi="Arial"/>
                <w:sz w:val="22"/>
                <w:szCs w:val="22"/>
                <w:color w:val="auto"/>
              </w:rPr>
              <w:t>128</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6700" w:type="dxa"/>
            <w:vAlign w:val="bottom"/>
            <w:vMerge w:val="restart"/>
          </w:tcPr>
          <w:p>
            <w:pPr>
              <w:spacing w:after="0"/>
              <w:rPr>
                <w:sz w:val="20"/>
                <w:szCs w:val="20"/>
                <w:color w:val="auto"/>
              </w:rPr>
            </w:pPr>
            <w:r>
              <w:rPr>
                <w:rFonts w:ascii="Arial" w:cs="Arial" w:eastAsia="Arial" w:hAnsi="Arial"/>
                <w:sz w:val="22"/>
                <w:szCs w:val="22"/>
                <w:color w:val="auto"/>
              </w:rPr>
              <w:t>INCOME (LOSS) FROM CONTINUING OPERATIONS BEFORE</w:t>
            </w:r>
          </w:p>
        </w:tc>
        <w:tc>
          <w:tcPr>
            <w:tcW w:w="62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3"/>
        </w:trPr>
        <w:tc>
          <w:tcPr>
            <w:tcW w:w="670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6700" w:type="dxa"/>
            <w:vAlign w:val="bottom"/>
          </w:tcPr>
          <w:p>
            <w:pPr>
              <w:spacing w:after="0"/>
              <w:rPr>
                <w:sz w:val="20"/>
                <w:szCs w:val="20"/>
                <w:color w:val="auto"/>
              </w:rPr>
            </w:pPr>
            <w:r>
              <w:rPr>
                <w:rFonts w:ascii="Arial" w:cs="Arial" w:eastAsia="Arial" w:hAnsi="Arial"/>
                <w:sz w:val="22"/>
                <w:szCs w:val="22"/>
                <w:color w:val="auto"/>
              </w:rPr>
              <w:t>MINORITY INTEREST</w:t>
            </w:r>
          </w:p>
        </w:tc>
        <w:tc>
          <w:tcPr>
            <w:tcW w:w="620" w:type="dxa"/>
            <w:vAlign w:val="bottom"/>
          </w:tcPr>
          <w:p>
            <w:pPr>
              <w:jc w:val="right"/>
              <w:spacing w:after="0"/>
              <w:rPr>
                <w:sz w:val="20"/>
                <w:szCs w:val="20"/>
                <w:color w:val="auto"/>
              </w:rPr>
            </w:pPr>
            <w:r>
              <w:rPr>
                <w:rFonts w:ascii="Arial" w:cs="Arial" w:eastAsia="Arial" w:hAnsi="Arial"/>
                <w:sz w:val="22"/>
                <w:szCs w:val="22"/>
                <w:color w:val="auto"/>
              </w:rPr>
              <w:t>277</w:t>
            </w:r>
          </w:p>
        </w:tc>
        <w:tc>
          <w:tcPr>
            <w:tcW w:w="300" w:type="dxa"/>
            <w:vAlign w:val="bottom"/>
          </w:tcPr>
          <w:p>
            <w:pPr>
              <w:spacing w:after="0"/>
              <w:rPr>
                <w:sz w:val="23"/>
                <w:szCs w:val="23"/>
                <w:color w:val="auto"/>
              </w:rPr>
            </w:pPr>
          </w:p>
        </w:tc>
        <w:tc>
          <w:tcPr>
            <w:tcW w:w="940" w:type="dxa"/>
            <w:vAlign w:val="bottom"/>
            <w:gridSpan w:val="2"/>
          </w:tcPr>
          <w:p>
            <w:pPr>
              <w:jc w:val="right"/>
              <w:ind w:right="132"/>
              <w:spacing w:after="0"/>
              <w:rPr>
                <w:sz w:val="20"/>
                <w:szCs w:val="20"/>
                <w:color w:val="auto"/>
              </w:rPr>
            </w:pPr>
            <w:r>
              <w:rPr>
                <w:rFonts w:ascii="Arial" w:cs="Arial" w:eastAsia="Arial" w:hAnsi="Arial"/>
                <w:sz w:val="22"/>
                <w:szCs w:val="22"/>
                <w:color w:val="auto"/>
              </w:rPr>
              <w:t>(61)</w:t>
            </w:r>
          </w:p>
        </w:tc>
        <w:tc>
          <w:tcPr>
            <w:tcW w:w="900" w:type="dxa"/>
            <w:vAlign w:val="bottom"/>
            <w:gridSpan w:val="2"/>
          </w:tcPr>
          <w:p>
            <w:pPr>
              <w:jc w:val="right"/>
              <w:ind w:right="300"/>
              <w:spacing w:after="0"/>
              <w:rPr>
                <w:sz w:val="20"/>
                <w:szCs w:val="20"/>
                <w:color w:val="auto"/>
              </w:rPr>
            </w:pPr>
            <w:r>
              <w:rPr>
                <w:rFonts w:ascii="Arial" w:cs="Arial" w:eastAsia="Arial" w:hAnsi="Arial"/>
                <w:sz w:val="22"/>
                <w:szCs w:val="22"/>
                <w:color w:val="auto"/>
              </w:rPr>
              <w:t>341</w:t>
            </w:r>
          </w:p>
        </w:tc>
        <w:tc>
          <w:tcPr>
            <w:tcW w:w="740" w:type="dxa"/>
            <w:vAlign w:val="bottom"/>
            <w:gridSpan w:val="2"/>
          </w:tcPr>
          <w:p>
            <w:pPr>
              <w:jc w:val="right"/>
              <w:ind w:right="60"/>
              <w:spacing w:after="0"/>
              <w:rPr>
                <w:sz w:val="20"/>
                <w:szCs w:val="20"/>
                <w:color w:val="auto"/>
              </w:rPr>
            </w:pPr>
            <w:r>
              <w:rPr>
                <w:rFonts w:ascii="Arial" w:cs="Arial" w:eastAsia="Arial" w:hAnsi="Arial"/>
                <w:sz w:val="22"/>
                <w:szCs w:val="22"/>
                <w:color w:val="auto"/>
              </w:rPr>
              <w:t>(377)</w:t>
            </w:r>
          </w:p>
        </w:tc>
        <w:tc>
          <w:tcPr>
            <w:tcW w:w="0" w:type="dxa"/>
            <w:vAlign w:val="bottom"/>
          </w:tcPr>
          <w:p>
            <w:pPr>
              <w:spacing w:after="0"/>
              <w:rPr>
                <w:sz w:val="1"/>
                <w:szCs w:val="1"/>
                <w:color w:val="auto"/>
              </w:rPr>
            </w:pPr>
          </w:p>
        </w:tc>
      </w:tr>
      <w:tr>
        <w:trPr>
          <w:trHeight w:val="486"/>
        </w:trPr>
        <w:tc>
          <w:tcPr>
            <w:tcW w:w="6700" w:type="dxa"/>
            <w:vAlign w:val="bottom"/>
          </w:tcPr>
          <w:p>
            <w:pPr>
              <w:spacing w:after="0"/>
              <w:rPr>
                <w:sz w:val="20"/>
                <w:szCs w:val="20"/>
                <w:color w:val="auto"/>
              </w:rPr>
            </w:pPr>
            <w:r>
              <w:rPr>
                <w:rFonts w:ascii="Arial" w:cs="Arial" w:eastAsia="Arial" w:hAnsi="Arial"/>
                <w:sz w:val="22"/>
                <w:szCs w:val="22"/>
                <w:color w:val="auto"/>
              </w:rPr>
              <w:t>MINORITY INTEREST</w:t>
            </w:r>
          </w:p>
        </w:tc>
        <w:tc>
          <w:tcPr>
            <w:tcW w:w="920" w:type="dxa"/>
            <w:vAlign w:val="bottom"/>
            <w:gridSpan w:val="2"/>
          </w:tcPr>
          <w:p>
            <w:pPr>
              <w:jc w:val="right"/>
              <w:ind w:right="240"/>
              <w:spacing w:after="0"/>
              <w:rPr>
                <w:sz w:val="20"/>
                <w:szCs w:val="20"/>
                <w:color w:val="auto"/>
              </w:rPr>
            </w:pPr>
            <w:r>
              <w:rPr>
                <w:rFonts w:ascii="Arial" w:cs="Arial" w:eastAsia="Arial" w:hAnsi="Arial"/>
                <w:sz w:val="22"/>
                <w:szCs w:val="22"/>
                <w:color w:val="auto"/>
              </w:rPr>
              <w:t>(15)</w:t>
            </w:r>
          </w:p>
        </w:tc>
        <w:tc>
          <w:tcPr>
            <w:tcW w:w="940" w:type="dxa"/>
            <w:vAlign w:val="bottom"/>
            <w:gridSpan w:val="2"/>
          </w:tcPr>
          <w:p>
            <w:pPr>
              <w:jc w:val="right"/>
              <w:ind w:right="132"/>
              <w:spacing w:after="0"/>
              <w:rPr>
                <w:sz w:val="20"/>
                <w:szCs w:val="20"/>
                <w:color w:val="auto"/>
              </w:rPr>
            </w:pPr>
            <w:r>
              <w:rPr>
                <w:rFonts w:ascii="Arial" w:cs="Arial" w:eastAsia="Arial" w:hAnsi="Arial"/>
                <w:sz w:val="22"/>
                <w:szCs w:val="22"/>
                <w:color w:val="auto"/>
              </w:rPr>
              <w:t>(32)</w:t>
            </w:r>
          </w:p>
        </w:tc>
        <w:tc>
          <w:tcPr>
            <w:tcW w:w="900" w:type="dxa"/>
            <w:vAlign w:val="bottom"/>
            <w:gridSpan w:val="2"/>
          </w:tcPr>
          <w:p>
            <w:pPr>
              <w:jc w:val="right"/>
              <w:ind w:right="220"/>
              <w:spacing w:after="0"/>
              <w:rPr>
                <w:sz w:val="20"/>
                <w:szCs w:val="20"/>
                <w:color w:val="auto"/>
              </w:rPr>
            </w:pPr>
            <w:r>
              <w:rPr>
                <w:rFonts w:ascii="Arial" w:cs="Arial" w:eastAsia="Arial" w:hAnsi="Arial"/>
                <w:sz w:val="22"/>
                <w:szCs w:val="22"/>
                <w:color w:val="auto"/>
              </w:rPr>
              <w:t>(14)</w:t>
            </w:r>
          </w:p>
        </w:tc>
        <w:tc>
          <w:tcPr>
            <w:tcW w:w="740" w:type="dxa"/>
            <w:vAlign w:val="bottom"/>
            <w:gridSpan w:val="2"/>
          </w:tcPr>
          <w:p>
            <w:pPr>
              <w:jc w:val="right"/>
              <w:ind w:right="60"/>
              <w:spacing w:after="0"/>
              <w:rPr>
                <w:sz w:val="20"/>
                <w:szCs w:val="20"/>
                <w:color w:val="auto"/>
              </w:rPr>
            </w:pPr>
            <w:r>
              <w:rPr>
                <w:rFonts w:ascii="Arial" w:cs="Arial" w:eastAsia="Arial" w:hAnsi="Arial"/>
                <w:sz w:val="22"/>
                <w:szCs w:val="22"/>
                <w:color w:val="auto"/>
              </w:rPr>
              <w:t>(71)</w:t>
            </w:r>
          </w:p>
        </w:tc>
        <w:tc>
          <w:tcPr>
            <w:tcW w:w="0" w:type="dxa"/>
            <w:vAlign w:val="bottom"/>
          </w:tcPr>
          <w:p>
            <w:pPr>
              <w:spacing w:after="0"/>
              <w:rPr>
                <w:sz w:val="1"/>
                <w:szCs w:val="1"/>
                <w:color w:val="auto"/>
              </w:rPr>
            </w:pPr>
          </w:p>
        </w:tc>
      </w:tr>
      <w:tr>
        <w:trPr>
          <w:trHeight w:val="98"/>
        </w:trPr>
        <w:tc>
          <w:tcPr>
            <w:tcW w:w="670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55"/>
        </w:trPr>
        <w:tc>
          <w:tcPr>
            <w:tcW w:w="6700" w:type="dxa"/>
            <w:vAlign w:val="bottom"/>
          </w:tcPr>
          <w:p>
            <w:pPr>
              <w:spacing w:after="0"/>
              <w:rPr>
                <w:sz w:val="20"/>
                <w:szCs w:val="20"/>
                <w:color w:val="auto"/>
              </w:rPr>
            </w:pPr>
            <w:r>
              <w:rPr>
                <w:rFonts w:ascii="Arial" w:cs="Arial" w:eastAsia="Arial" w:hAnsi="Arial"/>
                <w:sz w:val="22"/>
                <w:szCs w:val="22"/>
                <w:color w:val="auto"/>
              </w:rPr>
              <w:t>INCOME (LOSS) FROM CONTINUING OPERATIONS</w:t>
            </w:r>
          </w:p>
        </w:tc>
        <w:tc>
          <w:tcPr>
            <w:tcW w:w="620" w:type="dxa"/>
            <w:vAlign w:val="bottom"/>
          </w:tcPr>
          <w:p>
            <w:pPr>
              <w:jc w:val="right"/>
              <w:spacing w:after="0"/>
              <w:rPr>
                <w:sz w:val="20"/>
                <w:szCs w:val="20"/>
                <w:color w:val="auto"/>
              </w:rPr>
            </w:pPr>
            <w:r>
              <w:rPr>
                <w:rFonts w:ascii="Arial" w:cs="Arial" w:eastAsia="Arial" w:hAnsi="Arial"/>
                <w:sz w:val="22"/>
                <w:szCs w:val="22"/>
                <w:color w:val="auto"/>
              </w:rPr>
              <w:t>262</w:t>
            </w:r>
          </w:p>
        </w:tc>
        <w:tc>
          <w:tcPr>
            <w:tcW w:w="300" w:type="dxa"/>
            <w:vAlign w:val="bottom"/>
          </w:tcPr>
          <w:p>
            <w:pPr>
              <w:spacing w:after="0"/>
              <w:rPr>
                <w:sz w:val="24"/>
                <w:szCs w:val="24"/>
                <w:color w:val="auto"/>
              </w:rPr>
            </w:pPr>
          </w:p>
        </w:tc>
        <w:tc>
          <w:tcPr>
            <w:tcW w:w="940" w:type="dxa"/>
            <w:vAlign w:val="bottom"/>
            <w:gridSpan w:val="2"/>
          </w:tcPr>
          <w:p>
            <w:pPr>
              <w:jc w:val="right"/>
              <w:ind w:right="132"/>
              <w:spacing w:after="0"/>
              <w:rPr>
                <w:sz w:val="20"/>
                <w:szCs w:val="20"/>
                <w:color w:val="auto"/>
              </w:rPr>
            </w:pPr>
            <w:r>
              <w:rPr>
                <w:rFonts w:ascii="Arial" w:cs="Arial" w:eastAsia="Arial" w:hAnsi="Arial"/>
                <w:sz w:val="22"/>
                <w:szCs w:val="22"/>
                <w:color w:val="auto"/>
              </w:rPr>
              <w:t>(93)</w:t>
            </w:r>
          </w:p>
        </w:tc>
        <w:tc>
          <w:tcPr>
            <w:tcW w:w="900" w:type="dxa"/>
            <w:vAlign w:val="bottom"/>
            <w:gridSpan w:val="2"/>
          </w:tcPr>
          <w:p>
            <w:pPr>
              <w:jc w:val="right"/>
              <w:ind w:right="300"/>
              <w:spacing w:after="0"/>
              <w:rPr>
                <w:sz w:val="20"/>
                <w:szCs w:val="20"/>
                <w:color w:val="auto"/>
              </w:rPr>
            </w:pPr>
            <w:r>
              <w:rPr>
                <w:rFonts w:ascii="Arial" w:cs="Arial" w:eastAsia="Arial" w:hAnsi="Arial"/>
                <w:sz w:val="22"/>
                <w:szCs w:val="22"/>
                <w:color w:val="auto"/>
              </w:rPr>
              <w:t>327</w:t>
            </w:r>
          </w:p>
        </w:tc>
        <w:tc>
          <w:tcPr>
            <w:tcW w:w="740" w:type="dxa"/>
            <w:vAlign w:val="bottom"/>
            <w:gridSpan w:val="2"/>
          </w:tcPr>
          <w:p>
            <w:pPr>
              <w:jc w:val="right"/>
              <w:ind w:right="60"/>
              <w:spacing w:after="0"/>
              <w:rPr>
                <w:sz w:val="20"/>
                <w:szCs w:val="20"/>
                <w:color w:val="auto"/>
              </w:rPr>
            </w:pPr>
            <w:r>
              <w:rPr>
                <w:rFonts w:ascii="Arial" w:cs="Arial" w:eastAsia="Arial" w:hAnsi="Arial"/>
                <w:sz w:val="22"/>
                <w:szCs w:val="22"/>
                <w:color w:val="auto"/>
              </w:rPr>
              <w:t>(448)</w:t>
            </w:r>
          </w:p>
        </w:tc>
        <w:tc>
          <w:tcPr>
            <w:tcW w:w="0" w:type="dxa"/>
            <w:vAlign w:val="bottom"/>
          </w:tcPr>
          <w:p>
            <w:pPr>
              <w:spacing w:after="0"/>
              <w:rPr>
                <w:sz w:val="1"/>
                <w:szCs w:val="1"/>
                <w:color w:val="auto"/>
              </w:rPr>
            </w:pPr>
          </w:p>
        </w:tc>
      </w:tr>
      <w:tr>
        <w:trPr>
          <w:trHeight w:val="486"/>
        </w:trPr>
        <w:tc>
          <w:tcPr>
            <w:tcW w:w="6700" w:type="dxa"/>
            <w:vAlign w:val="bottom"/>
          </w:tcPr>
          <w:p>
            <w:pPr>
              <w:spacing w:after="0"/>
              <w:rPr>
                <w:sz w:val="20"/>
                <w:szCs w:val="20"/>
                <w:color w:val="auto"/>
              </w:rPr>
            </w:pPr>
            <w:r>
              <w:rPr>
                <w:rFonts w:ascii="Arial" w:cs="Arial" w:eastAsia="Arial" w:hAnsi="Arial"/>
                <w:sz w:val="22"/>
                <w:szCs w:val="22"/>
                <w:color w:val="auto"/>
              </w:rPr>
              <w:t>INCOME FROM DISCONTINUED OPERATIONS, net of tax</w:t>
            </w: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22"/>
                <w:szCs w:val="22"/>
                <w:color w:val="auto"/>
              </w:rPr>
              <w:t>71</w:t>
            </w: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22"/>
                <w:szCs w:val="22"/>
                <w:color w:val="auto"/>
              </w:rPr>
              <w:t>129</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670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55"/>
        </w:trPr>
        <w:tc>
          <w:tcPr>
            <w:tcW w:w="6700" w:type="dxa"/>
            <w:vAlign w:val="bottom"/>
          </w:tcPr>
          <w:p>
            <w:pPr>
              <w:spacing w:after="0"/>
              <w:rPr>
                <w:sz w:val="20"/>
                <w:szCs w:val="20"/>
                <w:color w:val="auto"/>
              </w:rPr>
            </w:pPr>
            <w:r>
              <w:rPr>
                <w:rFonts w:ascii="Arial" w:cs="Arial" w:eastAsia="Arial" w:hAnsi="Arial"/>
                <w:sz w:val="22"/>
                <w:szCs w:val="22"/>
                <w:color w:val="auto"/>
              </w:rPr>
              <w:t>NET INCOME (LOSS)</w:t>
            </w:r>
          </w:p>
        </w:tc>
        <w:tc>
          <w:tcPr>
            <w:tcW w:w="620" w:type="dxa"/>
            <w:vAlign w:val="bottom"/>
          </w:tcPr>
          <w:p>
            <w:pPr>
              <w:jc w:val="right"/>
              <w:spacing w:after="0"/>
              <w:rPr>
                <w:sz w:val="20"/>
                <w:szCs w:val="20"/>
                <w:color w:val="auto"/>
              </w:rPr>
            </w:pPr>
            <w:r>
              <w:rPr>
                <w:rFonts w:ascii="Arial" w:cs="Arial" w:eastAsia="Arial" w:hAnsi="Arial"/>
                <w:sz w:val="22"/>
                <w:szCs w:val="22"/>
                <w:color w:val="auto"/>
              </w:rPr>
              <w:t>$262</w:t>
            </w:r>
          </w:p>
        </w:tc>
        <w:tc>
          <w:tcPr>
            <w:tcW w:w="300" w:type="dxa"/>
            <w:vAlign w:val="bottom"/>
          </w:tcPr>
          <w:p>
            <w:pPr>
              <w:spacing w:after="0"/>
              <w:rPr>
                <w:sz w:val="24"/>
                <w:szCs w:val="24"/>
                <w:color w:val="auto"/>
              </w:rPr>
            </w:pPr>
          </w:p>
        </w:tc>
        <w:tc>
          <w:tcPr>
            <w:tcW w:w="940" w:type="dxa"/>
            <w:vAlign w:val="bottom"/>
            <w:gridSpan w:val="2"/>
          </w:tcPr>
          <w:p>
            <w:pPr>
              <w:jc w:val="right"/>
              <w:ind w:right="132"/>
              <w:spacing w:after="0"/>
              <w:rPr>
                <w:sz w:val="20"/>
                <w:szCs w:val="20"/>
                <w:color w:val="auto"/>
              </w:rPr>
            </w:pPr>
            <w:r>
              <w:rPr>
                <w:rFonts w:ascii="Arial" w:cs="Arial" w:eastAsia="Arial" w:hAnsi="Arial"/>
                <w:sz w:val="22"/>
                <w:szCs w:val="22"/>
                <w:color w:val="auto"/>
              </w:rPr>
              <w:t>($22)</w:t>
            </w:r>
          </w:p>
        </w:tc>
        <w:tc>
          <w:tcPr>
            <w:tcW w:w="900" w:type="dxa"/>
            <w:vAlign w:val="bottom"/>
            <w:gridSpan w:val="2"/>
          </w:tcPr>
          <w:p>
            <w:pPr>
              <w:jc w:val="right"/>
              <w:ind w:right="300"/>
              <w:spacing w:after="0"/>
              <w:rPr>
                <w:sz w:val="20"/>
                <w:szCs w:val="20"/>
                <w:color w:val="auto"/>
              </w:rPr>
            </w:pPr>
            <w:r>
              <w:rPr>
                <w:rFonts w:ascii="Arial" w:cs="Arial" w:eastAsia="Arial" w:hAnsi="Arial"/>
                <w:sz w:val="22"/>
                <w:szCs w:val="22"/>
                <w:color w:val="auto"/>
              </w:rPr>
              <w:t>$327</w:t>
            </w:r>
          </w:p>
        </w:tc>
        <w:tc>
          <w:tcPr>
            <w:tcW w:w="740" w:type="dxa"/>
            <w:vAlign w:val="bottom"/>
            <w:gridSpan w:val="2"/>
          </w:tcPr>
          <w:p>
            <w:pPr>
              <w:jc w:val="right"/>
              <w:ind w:right="60"/>
              <w:spacing w:after="0"/>
              <w:rPr>
                <w:sz w:val="20"/>
                <w:szCs w:val="20"/>
                <w:color w:val="auto"/>
              </w:rPr>
            </w:pPr>
            <w:r>
              <w:rPr>
                <w:rFonts w:ascii="Arial" w:cs="Arial" w:eastAsia="Arial" w:hAnsi="Arial"/>
                <w:sz w:val="22"/>
                <w:szCs w:val="22"/>
                <w:color w:val="auto"/>
              </w:rPr>
              <w:t>($319)</w:t>
            </w:r>
          </w:p>
        </w:tc>
        <w:tc>
          <w:tcPr>
            <w:tcW w:w="0" w:type="dxa"/>
            <w:vAlign w:val="bottom"/>
          </w:tcPr>
          <w:p>
            <w:pPr>
              <w:spacing w:after="0"/>
              <w:rPr>
                <w:sz w:val="1"/>
                <w:szCs w:val="1"/>
                <w:color w:val="auto"/>
              </w:rPr>
            </w:pPr>
          </w:p>
        </w:tc>
      </w:tr>
      <w:tr>
        <w:trPr>
          <w:trHeight w:val="108"/>
        </w:trPr>
        <w:tc>
          <w:tcPr>
            <w:tcW w:w="6700" w:type="dxa"/>
            <w:vAlign w:val="bottom"/>
            <w:vMerge w:val="restart"/>
          </w:tcPr>
          <w:p>
            <w:pPr>
              <w:spacing w:after="0"/>
              <w:rPr>
                <w:sz w:val="20"/>
                <w:szCs w:val="20"/>
                <w:color w:val="auto"/>
              </w:rPr>
            </w:pPr>
            <w:r>
              <w:rPr>
                <w:rFonts w:ascii="Arial" w:cs="Arial" w:eastAsia="Arial" w:hAnsi="Arial"/>
                <w:sz w:val="22"/>
                <w:szCs w:val="22"/>
                <w:color w:val="auto"/>
              </w:rPr>
              <w:t>BASIC EARNINGS (LOSS) FOR COMMON STOCKHOLDERS PER</w:t>
            </w:r>
          </w:p>
        </w:tc>
        <w:tc>
          <w:tcPr>
            <w:tcW w:w="62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6"/>
        </w:trPr>
        <w:tc>
          <w:tcPr>
            <w:tcW w:w="670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700" w:type="dxa"/>
            <w:vAlign w:val="bottom"/>
          </w:tcPr>
          <w:p>
            <w:pPr>
              <w:spacing w:after="0" w:line="243" w:lineRule="exact"/>
              <w:rPr>
                <w:sz w:val="20"/>
                <w:szCs w:val="20"/>
                <w:color w:val="auto"/>
              </w:rPr>
            </w:pPr>
            <w:r>
              <w:rPr>
                <w:rFonts w:ascii="Arial" w:cs="Arial" w:eastAsia="Arial" w:hAnsi="Arial"/>
                <w:sz w:val="22"/>
                <w:szCs w:val="22"/>
                <w:color w:val="auto"/>
              </w:rPr>
              <w:t>COMMON SHARE</w:t>
            </w:r>
          </w:p>
        </w:tc>
        <w:tc>
          <w:tcPr>
            <w:tcW w:w="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00" w:type="dxa"/>
            <w:vAlign w:val="bottom"/>
          </w:tcPr>
          <w:p>
            <w:pPr>
              <w:ind w:left="220"/>
              <w:spacing w:after="0" w:line="243" w:lineRule="exact"/>
              <w:rPr>
                <w:sz w:val="20"/>
                <w:szCs w:val="20"/>
                <w:color w:val="auto"/>
              </w:rPr>
            </w:pPr>
            <w:r>
              <w:rPr>
                <w:rFonts w:ascii="Arial" w:cs="Arial" w:eastAsia="Arial" w:hAnsi="Arial"/>
                <w:sz w:val="22"/>
                <w:szCs w:val="22"/>
                <w:color w:val="auto"/>
              </w:rPr>
              <w:t>Income (loss) from continuing operations</w:t>
            </w:r>
          </w:p>
        </w:tc>
        <w:tc>
          <w:tcPr>
            <w:tcW w:w="620" w:type="dxa"/>
            <w:vAlign w:val="bottom"/>
          </w:tcPr>
          <w:p>
            <w:pPr>
              <w:jc w:val="right"/>
              <w:spacing w:after="0" w:line="243" w:lineRule="exact"/>
              <w:rPr>
                <w:sz w:val="20"/>
                <w:szCs w:val="20"/>
                <w:color w:val="auto"/>
              </w:rPr>
            </w:pPr>
            <w:r>
              <w:rPr>
                <w:rFonts w:ascii="Arial" w:cs="Arial" w:eastAsia="Arial" w:hAnsi="Arial"/>
                <w:sz w:val="22"/>
                <w:szCs w:val="22"/>
                <w:color w:val="auto"/>
              </w:rPr>
              <w:t>$0.12</w:t>
            </w:r>
          </w:p>
        </w:tc>
        <w:tc>
          <w:tcPr>
            <w:tcW w:w="300" w:type="dxa"/>
            <w:vAlign w:val="bottom"/>
          </w:tcPr>
          <w:p>
            <w:pPr>
              <w:spacing w:after="0"/>
              <w:rPr>
                <w:sz w:val="21"/>
                <w:szCs w:val="21"/>
                <w:color w:val="auto"/>
              </w:rPr>
            </w:pPr>
          </w:p>
        </w:tc>
        <w:tc>
          <w:tcPr>
            <w:tcW w:w="940" w:type="dxa"/>
            <w:vAlign w:val="bottom"/>
            <w:gridSpan w:val="2"/>
          </w:tcPr>
          <w:p>
            <w:pPr>
              <w:jc w:val="right"/>
              <w:ind w:right="132"/>
              <w:spacing w:after="0" w:line="243" w:lineRule="exact"/>
              <w:rPr>
                <w:sz w:val="20"/>
                <w:szCs w:val="20"/>
                <w:color w:val="auto"/>
              </w:rPr>
            </w:pPr>
            <w:r>
              <w:rPr>
                <w:rFonts w:ascii="Arial" w:cs="Arial" w:eastAsia="Arial" w:hAnsi="Arial"/>
                <w:sz w:val="22"/>
                <w:szCs w:val="22"/>
                <w:color w:val="auto"/>
                <w:w w:val="97"/>
              </w:rPr>
              <w:t>($0.04)</w:t>
            </w:r>
          </w:p>
        </w:tc>
        <w:tc>
          <w:tcPr>
            <w:tcW w:w="900" w:type="dxa"/>
            <w:vAlign w:val="bottom"/>
            <w:gridSpan w:val="2"/>
          </w:tcPr>
          <w:p>
            <w:pPr>
              <w:jc w:val="right"/>
              <w:ind w:right="300"/>
              <w:spacing w:after="0" w:line="243" w:lineRule="exact"/>
              <w:rPr>
                <w:sz w:val="20"/>
                <w:szCs w:val="20"/>
                <w:color w:val="auto"/>
              </w:rPr>
            </w:pPr>
            <w:r>
              <w:rPr>
                <w:rFonts w:ascii="Arial" w:cs="Arial" w:eastAsia="Arial" w:hAnsi="Arial"/>
                <w:sz w:val="22"/>
                <w:szCs w:val="22"/>
                <w:color w:val="auto"/>
              </w:rPr>
              <w:t>$0.14</w:t>
            </w:r>
          </w:p>
        </w:tc>
        <w:tc>
          <w:tcPr>
            <w:tcW w:w="740" w:type="dxa"/>
            <w:vAlign w:val="bottom"/>
            <w:gridSpan w:val="2"/>
          </w:tcPr>
          <w:p>
            <w:pPr>
              <w:jc w:val="right"/>
              <w:ind w:right="60"/>
              <w:spacing w:after="0" w:line="243" w:lineRule="exact"/>
              <w:rPr>
                <w:sz w:val="20"/>
                <w:szCs w:val="20"/>
                <w:color w:val="auto"/>
              </w:rPr>
            </w:pPr>
            <w:r>
              <w:rPr>
                <w:rFonts w:ascii="Arial" w:cs="Arial" w:eastAsia="Arial" w:hAnsi="Arial"/>
                <w:sz w:val="22"/>
                <w:szCs w:val="22"/>
                <w:color w:val="auto"/>
                <w:w w:val="94"/>
              </w:rPr>
              <w:t>($0.20)</w:t>
            </w:r>
          </w:p>
        </w:tc>
        <w:tc>
          <w:tcPr>
            <w:tcW w:w="0" w:type="dxa"/>
            <w:vAlign w:val="bottom"/>
          </w:tcPr>
          <w:p>
            <w:pPr>
              <w:spacing w:after="0"/>
              <w:rPr>
                <w:sz w:val="1"/>
                <w:szCs w:val="1"/>
                <w:color w:val="auto"/>
              </w:rPr>
            </w:pPr>
          </w:p>
        </w:tc>
      </w:tr>
      <w:tr>
        <w:trPr>
          <w:trHeight w:val="275"/>
        </w:trPr>
        <w:tc>
          <w:tcPr>
            <w:tcW w:w="6700" w:type="dxa"/>
            <w:vAlign w:val="bottom"/>
          </w:tcPr>
          <w:p>
            <w:pPr>
              <w:ind w:left="220"/>
              <w:spacing w:after="0"/>
              <w:rPr>
                <w:sz w:val="20"/>
                <w:szCs w:val="20"/>
                <w:color w:val="auto"/>
              </w:rPr>
            </w:pPr>
            <w:r>
              <w:rPr>
                <w:rFonts w:ascii="Arial" w:cs="Arial" w:eastAsia="Arial" w:hAnsi="Arial"/>
                <w:sz w:val="22"/>
                <w:szCs w:val="22"/>
                <w:color w:val="auto"/>
              </w:rPr>
              <w:t>Income from discontinued operations</w:t>
            </w:r>
          </w:p>
        </w:tc>
        <w:tc>
          <w:tcPr>
            <w:tcW w:w="6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22"/>
                <w:szCs w:val="22"/>
                <w:color w:val="auto"/>
              </w:rPr>
              <w:t>0.03</w:t>
            </w:r>
          </w:p>
        </w:tc>
        <w:tc>
          <w:tcPr>
            <w:tcW w:w="3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22"/>
                <w:szCs w:val="22"/>
                <w:color w:val="auto"/>
              </w:rPr>
              <w:t>0.06</w:t>
            </w: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8"/>
        </w:trPr>
        <w:tc>
          <w:tcPr>
            <w:tcW w:w="670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55"/>
        </w:trPr>
        <w:tc>
          <w:tcPr>
            <w:tcW w:w="6700" w:type="dxa"/>
            <w:vAlign w:val="bottom"/>
          </w:tcPr>
          <w:p>
            <w:pPr>
              <w:ind w:left="440"/>
              <w:spacing w:after="0"/>
              <w:rPr>
                <w:sz w:val="20"/>
                <w:szCs w:val="20"/>
                <w:color w:val="auto"/>
              </w:rPr>
            </w:pPr>
            <w:r>
              <w:rPr>
                <w:rFonts w:ascii="Arial" w:cs="Arial" w:eastAsia="Arial" w:hAnsi="Arial"/>
                <w:sz w:val="22"/>
                <w:szCs w:val="22"/>
                <w:color w:val="auto"/>
              </w:rPr>
              <w:t>Net income (loss)</w:t>
            </w:r>
          </w:p>
        </w:tc>
        <w:tc>
          <w:tcPr>
            <w:tcW w:w="620" w:type="dxa"/>
            <w:vAlign w:val="bottom"/>
          </w:tcPr>
          <w:p>
            <w:pPr>
              <w:jc w:val="right"/>
              <w:spacing w:after="0"/>
              <w:rPr>
                <w:sz w:val="20"/>
                <w:szCs w:val="20"/>
                <w:color w:val="auto"/>
              </w:rPr>
            </w:pPr>
            <w:r>
              <w:rPr>
                <w:rFonts w:ascii="Arial" w:cs="Arial" w:eastAsia="Arial" w:hAnsi="Arial"/>
                <w:sz w:val="22"/>
                <w:szCs w:val="22"/>
                <w:color w:val="auto"/>
              </w:rPr>
              <w:t>$0.12</w:t>
            </w:r>
          </w:p>
        </w:tc>
        <w:tc>
          <w:tcPr>
            <w:tcW w:w="300" w:type="dxa"/>
            <w:vAlign w:val="bottom"/>
          </w:tcPr>
          <w:p>
            <w:pPr>
              <w:spacing w:after="0"/>
              <w:rPr>
                <w:sz w:val="24"/>
                <w:szCs w:val="24"/>
                <w:color w:val="auto"/>
              </w:rPr>
            </w:pPr>
          </w:p>
        </w:tc>
        <w:tc>
          <w:tcPr>
            <w:tcW w:w="940" w:type="dxa"/>
            <w:vAlign w:val="bottom"/>
            <w:gridSpan w:val="2"/>
          </w:tcPr>
          <w:p>
            <w:pPr>
              <w:jc w:val="right"/>
              <w:ind w:right="132"/>
              <w:spacing w:after="0"/>
              <w:rPr>
                <w:sz w:val="20"/>
                <w:szCs w:val="20"/>
                <w:color w:val="auto"/>
              </w:rPr>
            </w:pPr>
            <w:r>
              <w:rPr>
                <w:rFonts w:ascii="Arial" w:cs="Arial" w:eastAsia="Arial" w:hAnsi="Arial"/>
                <w:sz w:val="22"/>
                <w:szCs w:val="22"/>
                <w:color w:val="auto"/>
                <w:w w:val="97"/>
              </w:rPr>
              <w:t>($0.01)</w:t>
            </w:r>
          </w:p>
        </w:tc>
        <w:tc>
          <w:tcPr>
            <w:tcW w:w="900" w:type="dxa"/>
            <w:vAlign w:val="bottom"/>
            <w:gridSpan w:val="2"/>
          </w:tcPr>
          <w:p>
            <w:pPr>
              <w:jc w:val="right"/>
              <w:ind w:right="300"/>
              <w:spacing w:after="0"/>
              <w:rPr>
                <w:sz w:val="20"/>
                <w:szCs w:val="20"/>
                <w:color w:val="auto"/>
              </w:rPr>
            </w:pPr>
            <w:r>
              <w:rPr>
                <w:rFonts w:ascii="Arial" w:cs="Arial" w:eastAsia="Arial" w:hAnsi="Arial"/>
                <w:sz w:val="22"/>
                <w:szCs w:val="22"/>
                <w:color w:val="auto"/>
              </w:rPr>
              <w:t>$0.14</w:t>
            </w:r>
          </w:p>
        </w:tc>
        <w:tc>
          <w:tcPr>
            <w:tcW w:w="740" w:type="dxa"/>
            <w:vAlign w:val="bottom"/>
            <w:gridSpan w:val="2"/>
          </w:tcPr>
          <w:p>
            <w:pPr>
              <w:jc w:val="right"/>
              <w:ind w:right="60"/>
              <w:spacing w:after="0"/>
              <w:rPr>
                <w:sz w:val="20"/>
                <w:szCs w:val="20"/>
                <w:color w:val="auto"/>
              </w:rPr>
            </w:pPr>
            <w:r>
              <w:rPr>
                <w:rFonts w:ascii="Arial" w:cs="Arial" w:eastAsia="Arial" w:hAnsi="Arial"/>
                <w:sz w:val="22"/>
                <w:szCs w:val="22"/>
                <w:color w:val="auto"/>
                <w:w w:val="94"/>
              </w:rPr>
              <w:t>($0.14)</w:t>
            </w:r>
          </w:p>
        </w:tc>
        <w:tc>
          <w:tcPr>
            <w:tcW w:w="0" w:type="dxa"/>
            <w:vAlign w:val="bottom"/>
          </w:tcPr>
          <w:p>
            <w:pPr>
              <w:spacing w:after="0"/>
              <w:rPr>
                <w:sz w:val="1"/>
                <w:szCs w:val="1"/>
                <w:color w:val="auto"/>
              </w:rPr>
            </w:pPr>
          </w:p>
        </w:tc>
      </w:tr>
      <w:tr>
        <w:trPr>
          <w:trHeight w:val="108"/>
        </w:trPr>
        <w:tc>
          <w:tcPr>
            <w:tcW w:w="6700" w:type="dxa"/>
            <w:vAlign w:val="bottom"/>
            <w:vMerge w:val="restart"/>
          </w:tcPr>
          <w:p>
            <w:pPr>
              <w:spacing w:after="0"/>
              <w:rPr>
                <w:sz w:val="20"/>
                <w:szCs w:val="20"/>
                <w:color w:val="auto"/>
              </w:rPr>
            </w:pPr>
            <w:r>
              <w:rPr>
                <w:rFonts w:ascii="Arial" w:cs="Arial" w:eastAsia="Arial" w:hAnsi="Arial"/>
                <w:sz w:val="22"/>
                <w:szCs w:val="22"/>
                <w:color w:val="auto"/>
              </w:rPr>
              <w:t>DILUTED EARNINGS (LOSS) FOR COMMON STOCKHOLDERS</w:t>
            </w:r>
          </w:p>
        </w:tc>
        <w:tc>
          <w:tcPr>
            <w:tcW w:w="62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6"/>
        </w:trPr>
        <w:tc>
          <w:tcPr>
            <w:tcW w:w="670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700" w:type="dxa"/>
            <w:vAlign w:val="bottom"/>
          </w:tcPr>
          <w:p>
            <w:pPr>
              <w:spacing w:after="0" w:line="243" w:lineRule="exact"/>
              <w:rPr>
                <w:sz w:val="20"/>
                <w:szCs w:val="20"/>
                <w:color w:val="auto"/>
              </w:rPr>
            </w:pPr>
            <w:r>
              <w:rPr>
                <w:rFonts w:ascii="Arial" w:cs="Arial" w:eastAsia="Arial" w:hAnsi="Arial"/>
                <w:sz w:val="22"/>
                <w:szCs w:val="22"/>
                <w:color w:val="auto"/>
              </w:rPr>
              <w:t>PER COMMON SHARE</w:t>
            </w:r>
          </w:p>
        </w:tc>
        <w:tc>
          <w:tcPr>
            <w:tcW w:w="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00" w:type="dxa"/>
            <w:vAlign w:val="bottom"/>
          </w:tcPr>
          <w:p>
            <w:pPr>
              <w:ind w:left="220"/>
              <w:spacing w:after="0" w:line="243" w:lineRule="exact"/>
              <w:rPr>
                <w:sz w:val="20"/>
                <w:szCs w:val="20"/>
                <w:color w:val="auto"/>
              </w:rPr>
            </w:pPr>
            <w:r>
              <w:rPr>
                <w:rFonts w:ascii="Arial" w:cs="Arial" w:eastAsia="Arial" w:hAnsi="Arial"/>
                <w:sz w:val="22"/>
                <w:szCs w:val="22"/>
                <w:color w:val="auto"/>
              </w:rPr>
              <w:t>Income (loss) from continuing operations</w:t>
            </w:r>
          </w:p>
        </w:tc>
        <w:tc>
          <w:tcPr>
            <w:tcW w:w="620" w:type="dxa"/>
            <w:vAlign w:val="bottom"/>
          </w:tcPr>
          <w:p>
            <w:pPr>
              <w:jc w:val="right"/>
              <w:spacing w:after="0" w:line="243" w:lineRule="exact"/>
              <w:rPr>
                <w:sz w:val="20"/>
                <w:szCs w:val="20"/>
                <w:color w:val="auto"/>
              </w:rPr>
            </w:pPr>
            <w:r>
              <w:rPr>
                <w:rFonts w:ascii="Arial" w:cs="Arial" w:eastAsia="Arial" w:hAnsi="Arial"/>
                <w:sz w:val="22"/>
                <w:szCs w:val="22"/>
                <w:color w:val="auto"/>
              </w:rPr>
              <w:t>$0.12</w:t>
            </w:r>
          </w:p>
        </w:tc>
        <w:tc>
          <w:tcPr>
            <w:tcW w:w="300" w:type="dxa"/>
            <w:vAlign w:val="bottom"/>
          </w:tcPr>
          <w:p>
            <w:pPr>
              <w:spacing w:after="0"/>
              <w:rPr>
                <w:sz w:val="21"/>
                <w:szCs w:val="21"/>
                <w:color w:val="auto"/>
              </w:rPr>
            </w:pPr>
          </w:p>
        </w:tc>
        <w:tc>
          <w:tcPr>
            <w:tcW w:w="940" w:type="dxa"/>
            <w:vAlign w:val="bottom"/>
            <w:gridSpan w:val="2"/>
          </w:tcPr>
          <w:p>
            <w:pPr>
              <w:jc w:val="right"/>
              <w:ind w:right="132"/>
              <w:spacing w:after="0" w:line="243" w:lineRule="exact"/>
              <w:rPr>
                <w:sz w:val="20"/>
                <w:szCs w:val="20"/>
                <w:color w:val="auto"/>
              </w:rPr>
            </w:pPr>
            <w:r>
              <w:rPr>
                <w:rFonts w:ascii="Arial" w:cs="Arial" w:eastAsia="Arial" w:hAnsi="Arial"/>
                <w:sz w:val="22"/>
                <w:szCs w:val="22"/>
                <w:color w:val="auto"/>
                <w:w w:val="97"/>
              </w:rPr>
              <w:t>($0.04)</w:t>
            </w:r>
          </w:p>
        </w:tc>
        <w:tc>
          <w:tcPr>
            <w:tcW w:w="900" w:type="dxa"/>
            <w:vAlign w:val="bottom"/>
            <w:gridSpan w:val="2"/>
          </w:tcPr>
          <w:p>
            <w:pPr>
              <w:jc w:val="right"/>
              <w:ind w:right="300"/>
              <w:spacing w:after="0" w:line="243" w:lineRule="exact"/>
              <w:rPr>
                <w:sz w:val="20"/>
                <w:szCs w:val="20"/>
                <w:color w:val="auto"/>
              </w:rPr>
            </w:pPr>
            <w:r>
              <w:rPr>
                <w:rFonts w:ascii="Arial" w:cs="Arial" w:eastAsia="Arial" w:hAnsi="Arial"/>
                <w:sz w:val="22"/>
                <w:szCs w:val="22"/>
                <w:color w:val="auto"/>
              </w:rPr>
              <w:t>$0.14</w:t>
            </w:r>
          </w:p>
        </w:tc>
        <w:tc>
          <w:tcPr>
            <w:tcW w:w="740" w:type="dxa"/>
            <w:vAlign w:val="bottom"/>
            <w:gridSpan w:val="2"/>
          </w:tcPr>
          <w:p>
            <w:pPr>
              <w:jc w:val="right"/>
              <w:ind w:right="60"/>
              <w:spacing w:after="0" w:line="243" w:lineRule="exact"/>
              <w:rPr>
                <w:sz w:val="20"/>
                <w:szCs w:val="20"/>
                <w:color w:val="auto"/>
              </w:rPr>
            </w:pPr>
            <w:r>
              <w:rPr>
                <w:rFonts w:ascii="Arial" w:cs="Arial" w:eastAsia="Arial" w:hAnsi="Arial"/>
                <w:sz w:val="22"/>
                <w:szCs w:val="22"/>
                <w:color w:val="auto"/>
                <w:w w:val="94"/>
              </w:rPr>
              <w:t>($0.20)</w:t>
            </w:r>
          </w:p>
        </w:tc>
        <w:tc>
          <w:tcPr>
            <w:tcW w:w="0" w:type="dxa"/>
            <w:vAlign w:val="bottom"/>
          </w:tcPr>
          <w:p>
            <w:pPr>
              <w:spacing w:after="0"/>
              <w:rPr>
                <w:sz w:val="1"/>
                <w:szCs w:val="1"/>
                <w:color w:val="auto"/>
              </w:rPr>
            </w:pPr>
          </w:p>
        </w:tc>
      </w:tr>
      <w:tr>
        <w:trPr>
          <w:trHeight w:val="275"/>
        </w:trPr>
        <w:tc>
          <w:tcPr>
            <w:tcW w:w="6700" w:type="dxa"/>
            <w:vAlign w:val="bottom"/>
          </w:tcPr>
          <w:p>
            <w:pPr>
              <w:ind w:left="220"/>
              <w:spacing w:after="0"/>
              <w:rPr>
                <w:sz w:val="20"/>
                <w:szCs w:val="20"/>
                <w:color w:val="auto"/>
              </w:rPr>
            </w:pPr>
            <w:r>
              <w:rPr>
                <w:rFonts w:ascii="Arial" w:cs="Arial" w:eastAsia="Arial" w:hAnsi="Arial"/>
                <w:sz w:val="22"/>
                <w:szCs w:val="22"/>
                <w:color w:val="auto"/>
              </w:rPr>
              <w:t>Income from discontinued operations</w:t>
            </w:r>
          </w:p>
        </w:tc>
        <w:tc>
          <w:tcPr>
            <w:tcW w:w="6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22"/>
                <w:szCs w:val="22"/>
                <w:color w:val="auto"/>
              </w:rPr>
              <w:t>0.03</w:t>
            </w:r>
          </w:p>
        </w:tc>
        <w:tc>
          <w:tcPr>
            <w:tcW w:w="3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22"/>
                <w:szCs w:val="22"/>
                <w:color w:val="auto"/>
              </w:rPr>
              <w:t>0.06</w:t>
            </w: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8"/>
        </w:trPr>
        <w:tc>
          <w:tcPr>
            <w:tcW w:w="670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55"/>
        </w:trPr>
        <w:tc>
          <w:tcPr>
            <w:tcW w:w="6700" w:type="dxa"/>
            <w:vAlign w:val="bottom"/>
          </w:tcPr>
          <w:p>
            <w:pPr>
              <w:ind w:left="440"/>
              <w:spacing w:after="0"/>
              <w:rPr>
                <w:sz w:val="20"/>
                <w:szCs w:val="20"/>
                <w:color w:val="auto"/>
              </w:rPr>
            </w:pPr>
            <w:r>
              <w:rPr>
                <w:rFonts w:ascii="Arial" w:cs="Arial" w:eastAsia="Arial" w:hAnsi="Arial"/>
                <w:sz w:val="22"/>
                <w:szCs w:val="22"/>
                <w:color w:val="auto"/>
              </w:rPr>
              <w:t>Net income (loss)</w:t>
            </w:r>
          </w:p>
        </w:tc>
        <w:tc>
          <w:tcPr>
            <w:tcW w:w="620" w:type="dxa"/>
            <w:vAlign w:val="bottom"/>
          </w:tcPr>
          <w:p>
            <w:pPr>
              <w:jc w:val="right"/>
              <w:spacing w:after="0"/>
              <w:rPr>
                <w:sz w:val="20"/>
                <w:szCs w:val="20"/>
                <w:color w:val="auto"/>
              </w:rPr>
            </w:pPr>
            <w:r>
              <w:rPr>
                <w:rFonts w:ascii="Arial" w:cs="Arial" w:eastAsia="Arial" w:hAnsi="Arial"/>
                <w:sz w:val="22"/>
                <w:szCs w:val="22"/>
                <w:color w:val="auto"/>
              </w:rPr>
              <w:t>$0.12</w:t>
            </w:r>
          </w:p>
        </w:tc>
        <w:tc>
          <w:tcPr>
            <w:tcW w:w="300" w:type="dxa"/>
            <w:vAlign w:val="bottom"/>
          </w:tcPr>
          <w:p>
            <w:pPr>
              <w:spacing w:after="0"/>
              <w:rPr>
                <w:sz w:val="24"/>
                <w:szCs w:val="24"/>
                <w:color w:val="auto"/>
              </w:rPr>
            </w:pPr>
          </w:p>
        </w:tc>
        <w:tc>
          <w:tcPr>
            <w:tcW w:w="940" w:type="dxa"/>
            <w:vAlign w:val="bottom"/>
            <w:gridSpan w:val="2"/>
          </w:tcPr>
          <w:p>
            <w:pPr>
              <w:jc w:val="right"/>
              <w:ind w:right="132"/>
              <w:spacing w:after="0"/>
              <w:rPr>
                <w:sz w:val="20"/>
                <w:szCs w:val="20"/>
                <w:color w:val="auto"/>
              </w:rPr>
            </w:pPr>
            <w:r>
              <w:rPr>
                <w:rFonts w:ascii="Arial" w:cs="Arial" w:eastAsia="Arial" w:hAnsi="Arial"/>
                <w:sz w:val="22"/>
                <w:szCs w:val="22"/>
                <w:color w:val="auto"/>
                <w:w w:val="97"/>
              </w:rPr>
              <w:t>($0.01)</w:t>
            </w:r>
          </w:p>
        </w:tc>
        <w:tc>
          <w:tcPr>
            <w:tcW w:w="900" w:type="dxa"/>
            <w:vAlign w:val="bottom"/>
            <w:gridSpan w:val="2"/>
          </w:tcPr>
          <w:p>
            <w:pPr>
              <w:jc w:val="right"/>
              <w:ind w:right="300"/>
              <w:spacing w:after="0"/>
              <w:rPr>
                <w:sz w:val="20"/>
                <w:szCs w:val="20"/>
                <w:color w:val="auto"/>
              </w:rPr>
            </w:pPr>
            <w:r>
              <w:rPr>
                <w:rFonts w:ascii="Arial" w:cs="Arial" w:eastAsia="Arial" w:hAnsi="Arial"/>
                <w:sz w:val="22"/>
                <w:szCs w:val="22"/>
                <w:color w:val="auto"/>
              </w:rPr>
              <w:t>$0.14</w:t>
            </w:r>
          </w:p>
        </w:tc>
        <w:tc>
          <w:tcPr>
            <w:tcW w:w="740" w:type="dxa"/>
            <w:vAlign w:val="bottom"/>
            <w:gridSpan w:val="2"/>
          </w:tcPr>
          <w:p>
            <w:pPr>
              <w:jc w:val="right"/>
              <w:ind w:right="60"/>
              <w:spacing w:after="0"/>
              <w:rPr>
                <w:sz w:val="20"/>
                <w:szCs w:val="20"/>
                <w:color w:val="auto"/>
              </w:rPr>
            </w:pPr>
            <w:r>
              <w:rPr>
                <w:rFonts w:ascii="Arial" w:cs="Arial" w:eastAsia="Arial" w:hAnsi="Arial"/>
                <w:sz w:val="22"/>
                <w:szCs w:val="22"/>
                <w:color w:val="auto"/>
                <w:w w:val="94"/>
              </w:rPr>
              <w:t>($0.14)</w:t>
            </w:r>
          </w:p>
        </w:tc>
        <w:tc>
          <w:tcPr>
            <w:tcW w:w="0" w:type="dxa"/>
            <w:vAlign w:val="bottom"/>
          </w:tcPr>
          <w:p>
            <w:pPr>
              <w:spacing w:after="0"/>
              <w:rPr>
                <w:sz w:val="1"/>
                <w:szCs w:val="1"/>
                <w:color w:val="auto"/>
              </w:rPr>
            </w:pPr>
          </w:p>
        </w:tc>
      </w:tr>
      <w:tr>
        <w:trPr>
          <w:trHeight w:val="108"/>
        </w:trPr>
        <w:tc>
          <w:tcPr>
            <w:tcW w:w="6700" w:type="dxa"/>
            <w:vAlign w:val="bottom"/>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4634230</wp:posOffset>
            </wp:positionH>
            <wp:positionV relativeFrom="paragraph">
              <wp:posOffset>-2158365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-2158365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-2158365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-2158365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-2158365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-2158365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-2158365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-2158365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-1086485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-1086485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-1086485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-1086485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-1086485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-1086485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-1086485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-1086485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-14605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-14605</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-14605</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-14605</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-14605</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-14605</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-14605</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-14605</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79" w:lineRule="exact"/>
        <w:rPr>
          <w:sz w:val="20"/>
          <w:szCs w:val="20"/>
          <w:color w:val="auto"/>
        </w:rPr>
      </w:pPr>
    </w:p>
    <w:p>
      <w:pPr>
        <w:spacing w:after="0"/>
        <w:rPr>
          <w:sz w:val="20"/>
          <w:szCs w:val="20"/>
          <w:color w:val="auto"/>
        </w:rPr>
      </w:pPr>
      <w:r>
        <w:rPr>
          <w:rFonts w:ascii="Arial" w:cs="Arial" w:eastAsia="Arial" w:hAnsi="Arial"/>
          <w:sz w:val="22"/>
          <w:szCs w:val="22"/>
          <w:color w:val="auto"/>
        </w:rPr>
        <w:t>See notes to condensed consolidated financial statements.</w:t>
      </w:r>
    </w:p>
    <w:p>
      <w:pPr>
        <w:spacing w:after="0" w:line="206" w:lineRule="exact"/>
        <w:rPr>
          <w:sz w:val="20"/>
          <w:szCs w:val="20"/>
          <w:color w:val="auto"/>
        </w:rPr>
      </w:pPr>
    </w:p>
    <w:p>
      <w:pPr>
        <w:ind w:left="566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6376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jc w:val="center"/>
        <w:ind w:right="-1160"/>
        <w:spacing w:after="0"/>
        <w:rPr>
          <w:sz w:val="20"/>
          <w:szCs w:val="20"/>
          <w:color w:val="auto"/>
        </w:rPr>
      </w:pPr>
      <w:r>
        <w:rPr>
          <w:rFonts w:ascii="Arial" w:cs="Arial" w:eastAsia="Arial" w:hAnsi="Arial"/>
          <w:sz w:val="22"/>
          <w:szCs w:val="22"/>
          <w:color w:val="auto"/>
        </w:rPr>
        <w:t>COMCAST CORPORATION AND SUBSIDIARIES</w:t>
      </w:r>
    </w:p>
    <w:p>
      <w:pPr>
        <w:jc w:val="center"/>
        <w:ind w:right="-1160"/>
        <w:spacing w:after="0" w:line="238" w:lineRule="auto"/>
        <w:rPr>
          <w:sz w:val="20"/>
          <w:szCs w:val="20"/>
          <w:color w:val="auto"/>
        </w:rPr>
      </w:pPr>
      <w:r>
        <w:rPr>
          <w:rFonts w:ascii="Arial" w:cs="Arial" w:eastAsia="Arial" w:hAnsi="Arial"/>
          <w:sz w:val="22"/>
          <w:szCs w:val="22"/>
          <w:color w:val="auto"/>
        </w:rPr>
        <w:t>FORM 10-Q</w:t>
      </w:r>
    </w:p>
    <w:p>
      <w:pPr>
        <w:jc w:val="center"/>
        <w:ind w:right="-1160"/>
        <w:spacing w:after="0" w:line="230" w:lineRule="auto"/>
        <w:rPr>
          <w:sz w:val="20"/>
          <w:szCs w:val="20"/>
          <w:color w:val="auto"/>
        </w:rPr>
      </w:pPr>
      <w:r>
        <w:rPr>
          <w:rFonts w:ascii="Arial" w:cs="Arial" w:eastAsia="Arial" w:hAnsi="Arial"/>
          <w:sz w:val="22"/>
          <w:szCs w:val="22"/>
          <w:color w:val="auto"/>
        </w:rPr>
        <w:t>QUARTER ENDED JUNE 30, 2004</w:t>
      </w:r>
    </w:p>
    <w:p>
      <w:pPr>
        <w:jc w:val="center"/>
        <w:ind w:right="-1200"/>
        <w:spacing w:after="0" w:line="231" w:lineRule="auto"/>
        <w:rPr>
          <w:sz w:val="20"/>
          <w:szCs w:val="20"/>
          <w:color w:val="auto"/>
        </w:rPr>
      </w:pPr>
      <w:r>
        <w:rPr>
          <w:rFonts w:ascii="Arial" w:cs="Arial" w:eastAsia="Arial" w:hAnsi="Arial"/>
          <w:sz w:val="22"/>
          <w:szCs w:val="22"/>
          <w:color w:val="auto"/>
        </w:rPr>
        <w:t>CONDENSED CONSOLIDATED STATEMENT OF CASH FLOWS</w:t>
      </w:r>
    </w:p>
    <w:p>
      <w:pPr>
        <w:spacing w:after="0" w:line="1" w:lineRule="exact"/>
        <w:rPr>
          <w:sz w:val="20"/>
          <w:szCs w:val="20"/>
          <w:color w:val="auto"/>
        </w:rPr>
      </w:pPr>
    </w:p>
    <w:p>
      <w:pPr>
        <w:jc w:val="center"/>
        <w:ind w:right="-1200"/>
        <w:spacing w:after="0"/>
        <w:rPr>
          <w:sz w:val="20"/>
          <w:szCs w:val="20"/>
          <w:color w:val="auto"/>
        </w:rPr>
      </w:pPr>
      <w:r>
        <w:rPr>
          <w:rFonts w:ascii="Arial" w:cs="Arial" w:eastAsia="Arial" w:hAnsi="Arial"/>
          <w:sz w:val="22"/>
          <w:szCs w:val="22"/>
          <w:color w:val="auto"/>
        </w:rPr>
        <w:t>(Unaudited)</w:t>
      </w:r>
    </w:p>
    <w:p>
      <w:pPr>
        <w:sectPr>
          <w:pgSz w:w="11900" w:h="16890" w:orient="portrait"/>
          <w:cols w:equalWidth="0" w:num="1">
            <w:col w:w="10219"/>
          </w:cols>
          <w:pgMar w:left="240" w:top="351" w:right="1440" w:bottom="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53"/>
        </w:trPr>
        <w:tc>
          <w:tcPr>
            <w:tcW w:w="7720" w:type="dxa"/>
            <w:vAlign w:val="bottom"/>
          </w:tcPr>
          <w:p>
            <w:pPr>
              <w:spacing w:after="0"/>
              <w:rPr>
                <w:sz w:val="21"/>
                <w:szCs w:val="21"/>
                <w:color w:val="auto"/>
              </w:rPr>
            </w:pPr>
          </w:p>
        </w:tc>
        <w:tc>
          <w:tcPr>
            <w:tcW w:w="2460" w:type="dxa"/>
            <w:vAlign w:val="bottom"/>
            <w:gridSpan w:val="5"/>
          </w:tcPr>
          <w:p>
            <w:pPr>
              <w:jc w:val="right"/>
              <w:ind w:right="300"/>
              <w:spacing w:after="0"/>
              <w:rPr>
                <w:sz w:val="20"/>
                <w:szCs w:val="20"/>
                <w:color w:val="auto"/>
              </w:rPr>
            </w:pPr>
            <w:r>
              <w:rPr>
                <w:rFonts w:ascii="Arial" w:cs="Arial" w:eastAsia="Arial" w:hAnsi="Arial"/>
                <w:sz w:val="22"/>
                <w:szCs w:val="22"/>
                <w:color w:val="auto"/>
              </w:rPr>
              <w:t>(Dollars in millions)</w:t>
            </w:r>
          </w:p>
        </w:tc>
        <w:tc>
          <w:tcPr>
            <w:tcW w:w="0" w:type="dxa"/>
            <w:vAlign w:val="bottom"/>
          </w:tcPr>
          <w:p>
            <w:pPr>
              <w:spacing w:after="0"/>
              <w:rPr>
                <w:sz w:val="1"/>
                <w:szCs w:val="1"/>
                <w:color w:val="auto"/>
              </w:rPr>
            </w:pPr>
          </w:p>
        </w:tc>
      </w:tr>
      <w:tr>
        <w:trPr>
          <w:trHeight w:val="243"/>
        </w:trPr>
        <w:tc>
          <w:tcPr>
            <w:tcW w:w="7720" w:type="dxa"/>
            <w:vAlign w:val="bottom"/>
          </w:tcPr>
          <w:p>
            <w:pPr>
              <w:spacing w:after="0"/>
              <w:rPr>
                <w:sz w:val="21"/>
                <w:szCs w:val="21"/>
                <w:color w:val="auto"/>
              </w:rPr>
            </w:pPr>
          </w:p>
        </w:tc>
        <w:tc>
          <w:tcPr>
            <w:tcW w:w="2460" w:type="dxa"/>
            <w:vAlign w:val="bottom"/>
            <w:gridSpan w:val="5"/>
          </w:tcPr>
          <w:p>
            <w:pPr>
              <w:jc w:val="right"/>
              <w:spacing w:after="0" w:line="243" w:lineRule="exact"/>
              <w:rPr>
                <w:sz w:val="20"/>
                <w:szCs w:val="20"/>
                <w:color w:val="auto"/>
              </w:rPr>
            </w:pPr>
            <w:r>
              <w:rPr>
                <w:rFonts w:ascii="Arial" w:cs="Arial" w:eastAsia="Arial" w:hAnsi="Arial"/>
                <w:sz w:val="22"/>
                <w:szCs w:val="22"/>
                <w:color w:val="auto"/>
                <w:w w:val="90"/>
              </w:rPr>
              <w:t>Six Months Ended June 30,</w:t>
            </w:r>
          </w:p>
        </w:tc>
        <w:tc>
          <w:tcPr>
            <w:tcW w:w="0" w:type="dxa"/>
            <w:vAlign w:val="bottom"/>
          </w:tcPr>
          <w:p>
            <w:pPr>
              <w:spacing w:after="0"/>
              <w:rPr>
                <w:sz w:val="1"/>
                <w:szCs w:val="1"/>
                <w:color w:val="auto"/>
              </w:rPr>
            </w:pPr>
          </w:p>
        </w:tc>
      </w:tr>
      <w:tr>
        <w:trPr>
          <w:trHeight w:val="275"/>
        </w:trPr>
        <w:tc>
          <w:tcPr>
            <w:tcW w:w="7720" w:type="dxa"/>
            <w:vAlign w:val="bottom"/>
          </w:tcPr>
          <w:p>
            <w:pPr>
              <w:spacing w:after="0"/>
              <w:rPr>
                <w:sz w:val="23"/>
                <w:szCs w:val="23"/>
                <w:color w:val="auto"/>
              </w:rPr>
            </w:pPr>
          </w:p>
        </w:tc>
        <w:tc>
          <w:tcPr>
            <w:tcW w:w="1020" w:type="dxa"/>
            <w:vAlign w:val="bottom"/>
          </w:tcPr>
          <w:p>
            <w:pPr>
              <w:jc w:val="right"/>
              <w:ind w:right="192"/>
              <w:spacing w:after="0"/>
              <w:rPr>
                <w:sz w:val="20"/>
                <w:szCs w:val="20"/>
                <w:color w:val="auto"/>
              </w:rPr>
            </w:pPr>
            <w:r>
              <w:rPr>
                <w:rFonts w:ascii="Arial" w:cs="Arial" w:eastAsia="Arial" w:hAnsi="Arial"/>
                <w:sz w:val="22"/>
                <w:szCs w:val="22"/>
                <w:color w:val="auto"/>
              </w:rPr>
              <w:t>2004</w:t>
            </w: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ind w:right="172"/>
              <w:spacing w:after="0"/>
              <w:rPr>
                <w:sz w:val="20"/>
                <w:szCs w:val="20"/>
                <w:color w:val="auto"/>
              </w:rPr>
            </w:pPr>
            <w:r>
              <w:rPr>
                <w:rFonts w:ascii="Arial" w:cs="Arial" w:eastAsia="Arial" w:hAnsi="Arial"/>
                <w:sz w:val="22"/>
                <w:szCs w:val="22"/>
                <w:color w:val="auto"/>
              </w:rPr>
              <w:t>2003</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8"/>
        </w:trPr>
        <w:tc>
          <w:tcPr>
            <w:tcW w:w="7720" w:type="dxa"/>
            <w:vAlign w:val="bottom"/>
            <w:vMerge w:val="restart"/>
          </w:tcPr>
          <w:p>
            <w:pPr>
              <w:spacing w:after="0"/>
              <w:rPr>
                <w:sz w:val="20"/>
                <w:szCs w:val="20"/>
                <w:color w:val="auto"/>
              </w:rPr>
            </w:pPr>
            <w:r>
              <w:rPr>
                <w:rFonts w:ascii="Arial" w:cs="Arial" w:eastAsia="Arial" w:hAnsi="Arial"/>
                <w:sz w:val="22"/>
                <w:szCs w:val="22"/>
                <w:color w:val="auto"/>
              </w:rPr>
              <w:t>OPERATING ACTIVITIES</w:t>
            </w:r>
          </w:p>
        </w:tc>
        <w:tc>
          <w:tcPr>
            <w:tcW w:w="10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3"/>
        </w:trPr>
        <w:tc>
          <w:tcPr>
            <w:tcW w:w="772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720" w:type="dxa"/>
            <w:vAlign w:val="bottom"/>
          </w:tcPr>
          <w:p>
            <w:pPr>
              <w:ind w:left="180"/>
              <w:spacing w:after="0" w:line="243" w:lineRule="exact"/>
              <w:rPr>
                <w:sz w:val="20"/>
                <w:szCs w:val="20"/>
                <w:color w:val="auto"/>
              </w:rPr>
            </w:pPr>
            <w:r>
              <w:rPr>
                <w:rFonts w:ascii="Arial" w:cs="Arial" w:eastAsia="Arial" w:hAnsi="Arial"/>
                <w:sz w:val="22"/>
                <w:szCs w:val="22"/>
                <w:color w:val="auto"/>
              </w:rPr>
              <w:t>Net income (loss)</w:t>
            </w:r>
          </w:p>
        </w:tc>
        <w:tc>
          <w:tcPr>
            <w:tcW w:w="1040" w:type="dxa"/>
            <w:vAlign w:val="bottom"/>
            <w:gridSpan w:val="2"/>
          </w:tcPr>
          <w:p>
            <w:pPr>
              <w:jc w:val="right"/>
              <w:ind w:right="20"/>
              <w:spacing w:after="0" w:line="243" w:lineRule="exact"/>
              <w:rPr>
                <w:sz w:val="20"/>
                <w:szCs w:val="20"/>
                <w:color w:val="auto"/>
              </w:rPr>
            </w:pPr>
            <w:r>
              <w:rPr>
                <w:rFonts w:ascii="Arial" w:cs="Arial" w:eastAsia="Arial" w:hAnsi="Arial"/>
                <w:sz w:val="22"/>
                <w:szCs w:val="22"/>
                <w:color w:val="auto"/>
              </w:rPr>
              <w:t>$327</w:t>
            </w:r>
          </w:p>
        </w:tc>
        <w:tc>
          <w:tcPr>
            <w:tcW w:w="280" w:type="dxa"/>
            <w:vAlign w:val="bottom"/>
          </w:tcPr>
          <w:p>
            <w:pPr>
              <w:spacing w:after="0"/>
              <w:rPr>
                <w:sz w:val="21"/>
                <w:szCs w:val="21"/>
                <w:color w:val="auto"/>
              </w:rPr>
            </w:pPr>
          </w:p>
        </w:tc>
        <w:tc>
          <w:tcPr>
            <w:tcW w:w="1140" w:type="dxa"/>
            <w:vAlign w:val="bottom"/>
            <w:gridSpan w:val="2"/>
          </w:tcPr>
          <w:p>
            <w:pPr>
              <w:jc w:val="right"/>
              <w:ind w:right="40"/>
              <w:spacing w:after="0" w:line="243" w:lineRule="exact"/>
              <w:rPr>
                <w:sz w:val="20"/>
                <w:szCs w:val="20"/>
                <w:color w:val="auto"/>
              </w:rPr>
            </w:pPr>
            <w:r>
              <w:rPr>
                <w:rFonts w:ascii="Arial" w:cs="Arial" w:eastAsia="Arial" w:hAnsi="Arial"/>
                <w:sz w:val="22"/>
                <w:szCs w:val="22"/>
                <w:color w:val="auto"/>
              </w:rPr>
              <w:t>($319)</w:t>
            </w:r>
          </w:p>
        </w:tc>
        <w:tc>
          <w:tcPr>
            <w:tcW w:w="0" w:type="dxa"/>
            <w:vAlign w:val="bottom"/>
          </w:tcPr>
          <w:p>
            <w:pPr>
              <w:spacing w:after="0"/>
              <w:rPr>
                <w:sz w:val="1"/>
                <w:szCs w:val="1"/>
                <w:color w:val="auto"/>
              </w:rPr>
            </w:pPr>
          </w:p>
        </w:tc>
      </w:tr>
      <w:tr>
        <w:trPr>
          <w:trHeight w:val="275"/>
        </w:trPr>
        <w:tc>
          <w:tcPr>
            <w:tcW w:w="7720" w:type="dxa"/>
            <w:vAlign w:val="bottom"/>
          </w:tcPr>
          <w:p>
            <w:pPr>
              <w:ind w:left="180"/>
              <w:spacing w:after="0"/>
              <w:rPr>
                <w:sz w:val="20"/>
                <w:szCs w:val="20"/>
                <w:color w:val="auto"/>
              </w:rPr>
            </w:pPr>
            <w:r>
              <w:rPr>
                <w:rFonts w:ascii="Arial" w:cs="Arial" w:eastAsia="Arial" w:hAnsi="Arial"/>
                <w:sz w:val="22"/>
                <w:szCs w:val="22"/>
                <w:color w:val="auto"/>
              </w:rPr>
              <w:t>Income from discontinued operations</w:t>
            </w:r>
          </w:p>
        </w:tc>
        <w:tc>
          <w:tcPr>
            <w:tcW w:w="10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22"/>
                <w:szCs w:val="22"/>
                <w:color w:val="auto"/>
              </w:rPr>
              <w:t>(129)</w:t>
            </w:r>
          </w:p>
        </w:tc>
        <w:tc>
          <w:tcPr>
            <w:tcW w:w="0" w:type="dxa"/>
            <w:vAlign w:val="bottom"/>
          </w:tcPr>
          <w:p>
            <w:pPr>
              <w:spacing w:after="0"/>
              <w:rPr>
                <w:sz w:val="1"/>
                <w:szCs w:val="1"/>
                <w:color w:val="auto"/>
              </w:rPr>
            </w:pPr>
          </w:p>
        </w:tc>
      </w:tr>
      <w:tr>
        <w:trPr>
          <w:trHeight w:val="98"/>
        </w:trPr>
        <w:tc>
          <w:tcPr>
            <w:tcW w:w="772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55"/>
        </w:trPr>
        <w:tc>
          <w:tcPr>
            <w:tcW w:w="7720" w:type="dxa"/>
            <w:vAlign w:val="bottom"/>
          </w:tcPr>
          <w:p>
            <w:pPr>
              <w:ind w:left="180"/>
              <w:spacing w:after="0"/>
              <w:rPr>
                <w:sz w:val="20"/>
                <w:szCs w:val="20"/>
                <w:color w:val="auto"/>
              </w:rPr>
            </w:pPr>
            <w:r>
              <w:rPr>
                <w:rFonts w:ascii="Arial" w:cs="Arial" w:eastAsia="Arial" w:hAnsi="Arial"/>
                <w:sz w:val="22"/>
                <w:szCs w:val="22"/>
                <w:color w:val="auto"/>
              </w:rPr>
              <w:t>Income (loss) from continuing operations</w:t>
            </w:r>
          </w:p>
        </w:tc>
        <w:tc>
          <w:tcPr>
            <w:tcW w:w="1040" w:type="dxa"/>
            <w:vAlign w:val="bottom"/>
            <w:gridSpan w:val="2"/>
          </w:tcPr>
          <w:p>
            <w:pPr>
              <w:jc w:val="right"/>
              <w:ind w:right="20"/>
              <w:spacing w:after="0"/>
              <w:rPr>
                <w:sz w:val="20"/>
                <w:szCs w:val="20"/>
                <w:color w:val="auto"/>
              </w:rPr>
            </w:pPr>
            <w:r>
              <w:rPr>
                <w:rFonts w:ascii="Arial" w:cs="Arial" w:eastAsia="Arial" w:hAnsi="Arial"/>
                <w:sz w:val="22"/>
                <w:szCs w:val="22"/>
                <w:color w:val="auto"/>
              </w:rPr>
              <w:t>327</w:t>
            </w:r>
          </w:p>
        </w:tc>
        <w:tc>
          <w:tcPr>
            <w:tcW w:w="280" w:type="dxa"/>
            <w:vAlign w:val="bottom"/>
          </w:tcPr>
          <w:p>
            <w:pPr>
              <w:spacing w:after="0"/>
              <w:rPr>
                <w:sz w:val="24"/>
                <w:szCs w:val="24"/>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22"/>
                <w:szCs w:val="22"/>
                <w:color w:val="auto"/>
              </w:rPr>
              <w:t>(448)</w:t>
            </w:r>
          </w:p>
        </w:tc>
        <w:tc>
          <w:tcPr>
            <w:tcW w:w="0" w:type="dxa"/>
            <w:vAlign w:val="bottom"/>
          </w:tcPr>
          <w:p>
            <w:pPr>
              <w:spacing w:after="0"/>
              <w:rPr>
                <w:sz w:val="1"/>
                <w:szCs w:val="1"/>
                <w:color w:val="auto"/>
              </w:rPr>
            </w:pPr>
          </w:p>
        </w:tc>
      </w:tr>
      <w:tr>
        <w:trPr>
          <w:trHeight w:val="455"/>
        </w:trPr>
        <w:tc>
          <w:tcPr>
            <w:tcW w:w="7720" w:type="dxa"/>
            <w:vAlign w:val="bottom"/>
          </w:tcPr>
          <w:p>
            <w:pPr>
              <w:spacing w:after="0"/>
              <w:rPr>
                <w:sz w:val="20"/>
                <w:szCs w:val="20"/>
                <w:color w:val="auto"/>
              </w:rPr>
            </w:pPr>
            <w:r>
              <w:rPr>
                <w:rFonts w:ascii="Arial" w:cs="Arial" w:eastAsia="Arial" w:hAnsi="Arial"/>
                <w:sz w:val="22"/>
                <w:szCs w:val="22"/>
                <w:color w:val="auto"/>
                <w:w w:val="97"/>
              </w:rPr>
              <w:t>Adjustments to reconcile net income (loss) from continuing operations to net cash</w:t>
            </w: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720" w:type="dxa"/>
            <w:vAlign w:val="bottom"/>
          </w:tcPr>
          <w:p>
            <w:pPr>
              <w:spacing w:after="0" w:line="243" w:lineRule="exact"/>
              <w:rPr>
                <w:sz w:val="20"/>
                <w:szCs w:val="20"/>
                <w:color w:val="auto"/>
              </w:rPr>
            </w:pPr>
            <w:r>
              <w:rPr>
                <w:rFonts w:ascii="Arial" w:cs="Arial" w:eastAsia="Arial" w:hAnsi="Arial"/>
                <w:sz w:val="22"/>
                <w:szCs w:val="22"/>
                <w:color w:val="auto"/>
              </w:rPr>
              <w:t>provided by operating activities from continuing operations:</w:t>
            </w: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20" w:type="dxa"/>
            <w:vAlign w:val="bottom"/>
          </w:tcPr>
          <w:p>
            <w:pPr>
              <w:ind w:left="280"/>
              <w:spacing w:after="0" w:line="243" w:lineRule="exact"/>
              <w:rPr>
                <w:sz w:val="20"/>
                <w:szCs w:val="20"/>
                <w:color w:val="auto"/>
              </w:rPr>
            </w:pPr>
            <w:r>
              <w:rPr>
                <w:rFonts w:ascii="Arial" w:cs="Arial" w:eastAsia="Arial" w:hAnsi="Arial"/>
                <w:sz w:val="22"/>
                <w:szCs w:val="22"/>
                <w:color w:val="auto"/>
              </w:rPr>
              <w:t>Depreciation</w:t>
            </w:r>
          </w:p>
        </w:tc>
        <w:tc>
          <w:tcPr>
            <w:tcW w:w="1040" w:type="dxa"/>
            <w:vAlign w:val="bottom"/>
            <w:gridSpan w:val="2"/>
          </w:tcPr>
          <w:p>
            <w:pPr>
              <w:jc w:val="right"/>
              <w:ind w:right="20"/>
              <w:spacing w:after="0" w:line="243" w:lineRule="exact"/>
              <w:rPr>
                <w:sz w:val="20"/>
                <w:szCs w:val="20"/>
                <w:color w:val="auto"/>
              </w:rPr>
            </w:pPr>
            <w:r>
              <w:rPr>
                <w:rFonts w:ascii="Arial" w:cs="Arial" w:eastAsia="Arial" w:hAnsi="Arial"/>
                <w:sz w:val="22"/>
                <w:szCs w:val="22"/>
                <w:color w:val="auto"/>
              </w:rPr>
              <w:t>1,611</w:t>
            </w:r>
          </w:p>
        </w:tc>
        <w:tc>
          <w:tcPr>
            <w:tcW w:w="280" w:type="dxa"/>
            <w:vAlign w:val="bottom"/>
          </w:tcPr>
          <w:p>
            <w:pPr>
              <w:spacing w:after="0"/>
              <w:rPr>
                <w:sz w:val="21"/>
                <w:szCs w:val="21"/>
                <w:color w:val="auto"/>
              </w:rPr>
            </w:pPr>
          </w:p>
        </w:tc>
        <w:tc>
          <w:tcPr>
            <w:tcW w:w="1020" w:type="dxa"/>
            <w:vAlign w:val="bottom"/>
          </w:tcPr>
          <w:p>
            <w:pPr>
              <w:jc w:val="right"/>
              <w:spacing w:after="0" w:line="243" w:lineRule="exact"/>
              <w:rPr>
                <w:sz w:val="20"/>
                <w:szCs w:val="20"/>
                <w:color w:val="auto"/>
              </w:rPr>
            </w:pPr>
            <w:r>
              <w:rPr>
                <w:rFonts w:ascii="Arial" w:cs="Arial" w:eastAsia="Arial" w:hAnsi="Arial"/>
                <w:sz w:val="22"/>
                <w:szCs w:val="22"/>
                <w:color w:val="auto"/>
              </w:rPr>
              <w:t>1,596</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20" w:type="dxa"/>
            <w:vAlign w:val="bottom"/>
          </w:tcPr>
          <w:p>
            <w:pPr>
              <w:ind w:left="260"/>
              <w:spacing w:after="0" w:line="243" w:lineRule="exact"/>
              <w:rPr>
                <w:sz w:val="20"/>
                <w:szCs w:val="20"/>
                <w:color w:val="auto"/>
              </w:rPr>
            </w:pPr>
            <w:r>
              <w:rPr>
                <w:rFonts w:ascii="Arial" w:cs="Arial" w:eastAsia="Arial" w:hAnsi="Arial"/>
                <w:sz w:val="22"/>
                <w:szCs w:val="22"/>
                <w:color w:val="auto"/>
              </w:rPr>
              <w:t>Amortization</w:t>
            </w:r>
          </w:p>
        </w:tc>
        <w:tc>
          <w:tcPr>
            <w:tcW w:w="1040" w:type="dxa"/>
            <w:vAlign w:val="bottom"/>
            <w:gridSpan w:val="2"/>
          </w:tcPr>
          <w:p>
            <w:pPr>
              <w:jc w:val="right"/>
              <w:ind w:right="20"/>
              <w:spacing w:after="0" w:line="243" w:lineRule="exact"/>
              <w:rPr>
                <w:sz w:val="20"/>
                <w:szCs w:val="20"/>
                <w:color w:val="auto"/>
              </w:rPr>
            </w:pPr>
            <w:r>
              <w:rPr>
                <w:rFonts w:ascii="Arial" w:cs="Arial" w:eastAsia="Arial" w:hAnsi="Arial"/>
                <w:sz w:val="22"/>
                <w:szCs w:val="22"/>
                <w:color w:val="auto"/>
              </w:rPr>
              <w:t>563</w:t>
            </w:r>
          </w:p>
        </w:tc>
        <w:tc>
          <w:tcPr>
            <w:tcW w:w="280" w:type="dxa"/>
            <w:vAlign w:val="bottom"/>
          </w:tcPr>
          <w:p>
            <w:pPr>
              <w:spacing w:after="0"/>
              <w:rPr>
                <w:sz w:val="21"/>
                <w:szCs w:val="21"/>
                <w:color w:val="auto"/>
              </w:rPr>
            </w:pPr>
          </w:p>
        </w:tc>
        <w:tc>
          <w:tcPr>
            <w:tcW w:w="1020" w:type="dxa"/>
            <w:vAlign w:val="bottom"/>
          </w:tcPr>
          <w:p>
            <w:pPr>
              <w:jc w:val="right"/>
              <w:spacing w:after="0" w:line="243" w:lineRule="exact"/>
              <w:rPr>
                <w:sz w:val="20"/>
                <w:szCs w:val="20"/>
                <w:color w:val="auto"/>
              </w:rPr>
            </w:pPr>
            <w:r>
              <w:rPr>
                <w:rFonts w:ascii="Arial" w:cs="Arial" w:eastAsia="Arial" w:hAnsi="Arial"/>
                <w:sz w:val="22"/>
                <w:szCs w:val="22"/>
                <w:color w:val="auto"/>
              </w:rPr>
              <w:t>725</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20" w:type="dxa"/>
            <w:vAlign w:val="bottom"/>
          </w:tcPr>
          <w:p>
            <w:pPr>
              <w:ind w:left="280"/>
              <w:spacing w:after="0" w:line="243" w:lineRule="exact"/>
              <w:rPr>
                <w:sz w:val="20"/>
                <w:szCs w:val="20"/>
                <w:color w:val="auto"/>
              </w:rPr>
            </w:pPr>
            <w:r>
              <w:rPr>
                <w:rFonts w:ascii="Arial" w:cs="Arial" w:eastAsia="Arial" w:hAnsi="Arial"/>
                <w:sz w:val="22"/>
                <w:szCs w:val="22"/>
                <w:color w:val="auto"/>
              </w:rPr>
              <w:t>Non-cash interest (income) expense, net</w:t>
            </w:r>
          </w:p>
        </w:tc>
        <w:tc>
          <w:tcPr>
            <w:tcW w:w="1040" w:type="dxa"/>
            <w:vAlign w:val="bottom"/>
            <w:gridSpan w:val="2"/>
          </w:tcPr>
          <w:p>
            <w:pPr>
              <w:jc w:val="right"/>
              <w:ind w:right="20"/>
              <w:spacing w:after="0" w:line="243" w:lineRule="exact"/>
              <w:rPr>
                <w:sz w:val="20"/>
                <w:szCs w:val="20"/>
                <w:color w:val="auto"/>
              </w:rPr>
            </w:pPr>
            <w:r>
              <w:rPr>
                <w:rFonts w:ascii="Arial" w:cs="Arial" w:eastAsia="Arial" w:hAnsi="Arial"/>
                <w:sz w:val="22"/>
                <w:szCs w:val="22"/>
                <w:color w:val="auto"/>
              </w:rPr>
              <w:t>25</w:t>
            </w:r>
          </w:p>
        </w:tc>
        <w:tc>
          <w:tcPr>
            <w:tcW w:w="280" w:type="dxa"/>
            <w:vAlign w:val="bottom"/>
          </w:tcPr>
          <w:p>
            <w:pPr>
              <w:spacing w:after="0"/>
              <w:rPr>
                <w:sz w:val="21"/>
                <w:szCs w:val="21"/>
                <w:color w:val="auto"/>
              </w:rPr>
            </w:pPr>
          </w:p>
        </w:tc>
        <w:tc>
          <w:tcPr>
            <w:tcW w:w="1140" w:type="dxa"/>
            <w:vAlign w:val="bottom"/>
            <w:gridSpan w:val="2"/>
          </w:tcPr>
          <w:p>
            <w:pPr>
              <w:jc w:val="right"/>
              <w:ind w:right="40"/>
              <w:spacing w:after="0" w:line="243" w:lineRule="exact"/>
              <w:rPr>
                <w:sz w:val="20"/>
                <w:szCs w:val="20"/>
                <w:color w:val="auto"/>
              </w:rPr>
            </w:pPr>
            <w:r>
              <w:rPr>
                <w:rFonts w:ascii="Arial" w:cs="Arial" w:eastAsia="Arial" w:hAnsi="Arial"/>
                <w:sz w:val="22"/>
                <w:szCs w:val="22"/>
                <w:color w:val="auto"/>
              </w:rPr>
              <w:t>(61)</w:t>
            </w:r>
          </w:p>
        </w:tc>
        <w:tc>
          <w:tcPr>
            <w:tcW w:w="0" w:type="dxa"/>
            <w:vAlign w:val="bottom"/>
          </w:tcPr>
          <w:p>
            <w:pPr>
              <w:spacing w:after="0"/>
              <w:rPr>
                <w:sz w:val="1"/>
                <w:szCs w:val="1"/>
                <w:color w:val="auto"/>
              </w:rPr>
            </w:pPr>
          </w:p>
        </w:tc>
      </w:tr>
      <w:tr>
        <w:trPr>
          <w:trHeight w:val="243"/>
        </w:trPr>
        <w:tc>
          <w:tcPr>
            <w:tcW w:w="7720" w:type="dxa"/>
            <w:vAlign w:val="bottom"/>
          </w:tcPr>
          <w:p>
            <w:pPr>
              <w:ind w:left="280"/>
              <w:spacing w:after="0" w:line="243" w:lineRule="exact"/>
              <w:rPr>
                <w:sz w:val="20"/>
                <w:szCs w:val="20"/>
                <w:color w:val="auto"/>
              </w:rPr>
            </w:pPr>
            <w:r>
              <w:rPr>
                <w:rFonts w:ascii="Arial" w:cs="Arial" w:eastAsia="Arial" w:hAnsi="Arial"/>
                <w:sz w:val="22"/>
                <w:szCs w:val="22"/>
                <w:color w:val="auto"/>
              </w:rPr>
              <w:t>Equity in net losses of affiliates</w:t>
            </w:r>
          </w:p>
        </w:tc>
        <w:tc>
          <w:tcPr>
            <w:tcW w:w="1040" w:type="dxa"/>
            <w:vAlign w:val="bottom"/>
            <w:gridSpan w:val="2"/>
          </w:tcPr>
          <w:p>
            <w:pPr>
              <w:jc w:val="right"/>
              <w:ind w:right="20"/>
              <w:spacing w:after="0" w:line="243" w:lineRule="exact"/>
              <w:rPr>
                <w:sz w:val="20"/>
                <w:szCs w:val="20"/>
                <w:color w:val="auto"/>
              </w:rPr>
            </w:pPr>
            <w:r>
              <w:rPr>
                <w:rFonts w:ascii="Arial" w:cs="Arial" w:eastAsia="Arial" w:hAnsi="Arial"/>
                <w:sz w:val="22"/>
                <w:szCs w:val="22"/>
                <w:color w:val="auto"/>
              </w:rPr>
              <w:t>37</w:t>
            </w:r>
          </w:p>
        </w:tc>
        <w:tc>
          <w:tcPr>
            <w:tcW w:w="280" w:type="dxa"/>
            <w:vAlign w:val="bottom"/>
          </w:tcPr>
          <w:p>
            <w:pPr>
              <w:spacing w:after="0"/>
              <w:rPr>
                <w:sz w:val="21"/>
                <w:szCs w:val="21"/>
                <w:color w:val="auto"/>
              </w:rPr>
            </w:pPr>
          </w:p>
        </w:tc>
        <w:tc>
          <w:tcPr>
            <w:tcW w:w="1020" w:type="dxa"/>
            <w:vAlign w:val="bottom"/>
          </w:tcPr>
          <w:p>
            <w:pPr>
              <w:jc w:val="right"/>
              <w:spacing w:after="0" w:line="243" w:lineRule="exact"/>
              <w:rPr>
                <w:sz w:val="20"/>
                <w:szCs w:val="20"/>
                <w:color w:val="auto"/>
              </w:rPr>
            </w:pPr>
            <w:r>
              <w:rPr>
                <w:rFonts w:ascii="Arial" w:cs="Arial" w:eastAsia="Arial" w:hAnsi="Arial"/>
                <w:sz w:val="22"/>
                <w:szCs w:val="22"/>
                <w:color w:val="auto"/>
              </w:rPr>
              <w:t>16</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20" w:type="dxa"/>
            <w:vAlign w:val="bottom"/>
          </w:tcPr>
          <w:p>
            <w:pPr>
              <w:ind w:left="280"/>
              <w:spacing w:after="0" w:line="243" w:lineRule="exact"/>
              <w:rPr>
                <w:sz w:val="20"/>
                <w:szCs w:val="20"/>
                <w:color w:val="auto"/>
              </w:rPr>
            </w:pPr>
            <w:r>
              <w:rPr>
                <w:rFonts w:ascii="Arial" w:cs="Arial" w:eastAsia="Arial" w:hAnsi="Arial"/>
                <w:sz w:val="22"/>
                <w:szCs w:val="22"/>
                <w:color w:val="auto"/>
              </w:rPr>
              <w:t>Losses (gains) on investments and other income, net</w:t>
            </w:r>
          </w:p>
        </w:tc>
        <w:tc>
          <w:tcPr>
            <w:tcW w:w="1320" w:type="dxa"/>
            <w:vAlign w:val="bottom"/>
            <w:gridSpan w:val="3"/>
          </w:tcPr>
          <w:p>
            <w:pPr>
              <w:jc w:val="right"/>
              <w:ind w:right="220"/>
              <w:spacing w:after="0" w:line="243" w:lineRule="exact"/>
              <w:rPr>
                <w:sz w:val="20"/>
                <w:szCs w:val="20"/>
                <w:color w:val="auto"/>
              </w:rPr>
            </w:pPr>
            <w:r>
              <w:rPr>
                <w:rFonts w:ascii="Arial" w:cs="Arial" w:eastAsia="Arial" w:hAnsi="Arial"/>
                <w:sz w:val="22"/>
                <w:szCs w:val="22"/>
                <w:color w:val="auto"/>
              </w:rPr>
              <w:t>(125)</w:t>
            </w:r>
          </w:p>
        </w:tc>
        <w:tc>
          <w:tcPr>
            <w:tcW w:w="1020" w:type="dxa"/>
            <w:vAlign w:val="bottom"/>
          </w:tcPr>
          <w:p>
            <w:pPr>
              <w:jc w:val="right"/>
              <w:spacing w:after="0" w:line="243" w:lineRule="exact"/>
              <w:rPr>
                <w:sz w:val="20"/>
                <w:szCs w:val="20"/>
                <w:color w:val="auto"/>
              </w:rPr>
            </w:pPr>
            <w:r>
              <w:rPr>
                <w:rFonts w:ascii="Arial" w:cs="Arial" w:eastAsia="Arial" w:hAnsi="Arial"/>
                <w:sz w:val="22"/>
                <w:szCs w:val="22"/>
                <w:color w:val="auto"/>
              </w:rPr>
              <w:t>257</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20" w:type="dxa"/>
            <w:vAlign w:val="bottom"/>
          </w:tcPr>
          <w:p>
            <w:pPr>
              <w:ind w:left="280"/>
              <w:spacing w:after="0" w:line="243" w:lineRule="exact"/>
              <w:rPr>
                <w:sz w:val="20"/>
                <w:szCs w:val="20"/>
                <w:color w:val="auto"/>
              </w:rPr>
            </w:pPr>
            <w:r>
              <w:rPr>
                <w:rFonts w:ascii="Arial" w:cs="Arial" w:eastAsia="Arial" w:hAnsi="Arial"/>
                <w:sz w:val="22"/>
                <w:szCs w:val="22"/>
                <w:color w:val="auto"/>
              </w:rPr>
              <w:t>Non-cash contribution expense</w:t>
            </w:r>
          </w:p>
        </w:tc>
        <w:tc>
          <w:tcPr>
            <w:tcW w:w="1040" w:type="dxa"/>
            <w:vAlign w:val="bottom"/>
            <w:gridSpan w:val="2"/>
          </w:tcPr>
          <w:p>
            <w:pPr>
              <w:jc w:val="right"/>
              <w:ind w:right="20"/>
              <w:spacing w:after="0" w:line="243" w:lineRule="exact"/>
              <w:rPr>
                <w:sz w:val="20"/>
                <w:szCs w:val="20"/>
                <w:color w:val="auto"/>
              </w:rPr>
            </w:pPr>
            <w:r>
              <w:rPr>
                <w:rFonts w:ascii="Arial" w:cs="Arial" w:eastAsia="Arial" w:hAnsi="Arial"/>
                <w:sz w:val="22"/>
                <w:szCs w:val="22"/>
                <w:color w:val="auto"/>
              </w:rPr>
              <w:t>23</w:t>
            </w: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20" w:type="dxa"/>
            <w:vAlign w:val="bottom"/>
          </w:tcPr>
          <w:p>
            <w:pPr>
              <w:ind w:left="280"/>
              <w:spacing w:after="0" w:line="243" w:lineRule="exact"/>
              <w:rPr>
                <w:sz w:val="20"/>
                <w:szCs w:val="20"/>
                <w:color w:val="auto"/>
              </w:rPr>
            </w:pPr>
            <w:r>
              <w:rPr>
                <w:rFonts w:ascii="Arial" w:cs="Arial" w:eastAsia="Arial" w:hAnsi="Arial"/>
                <w:sz w:val="22"/>
                <w:szCs w:val="22"/>
                <w:color w:val="auto"/>
              </w:rPr>
              <w:t>Minority interest</w:t>
            </w:r>
          </w:p>
        </w:tc>
        <w:tc>
          <w:tcPr>
            <w:tcW w:w="1040" w:type="dxa"/>
            <w:vAlign w:val="bottom"/>
            <w:gridSpan w:val="2"/>
          </w:tcPr>
          <w:p>
            <w:pPr>
              <w:jc w:val="right"/>
              <w:ind w:right="20"/>
              <w:spacing w:after="0" w:line="243" w:lineRule="exact"/>
              <w:rPr>
                <w:sz w:val="20"/>
                <w:szCs w:val="20"/>
                <w:color w:val="auto"/>
              </w:rPr>
            </w:pPr>
            <w:r>
              <w:rPr>
                <w:rFonts w:ascii="Arial" w:cs="Arial" w:eastAsia="Arial" w:hAnsi="Arial"/>
                <w:sz w:val="22"/>
                <w:szCs w:val="22"/>
                <w:color w:val="auto"/>
              </w:rPr>
              <w:t>14</w:t>
            </w:r>
          </w:p>
        </w:tc>
        <w:tc>
          <w:tcPr>
            <w:tcW w:w="280" w:type="dxa"/>
            <w:vAlign w:val="bottom"/>
          </w:tcPr>
          <w:p>
            <w:pPr>
              <w:spacing w:after="0"/>
              <w:rPr>
                <w:sz w:val="21"/>
                <w:szCs w:val="21"/>
                <w:color w:val="auto"/>
              </w:rPr>
            </w:pPr>
          </w:p>
        </w:tc>
        <w:tc>
          <w:tcPr>
            <w:tcW w:w="1020" w:type="dxa"/>
            <w:vAlign w:val="bottom"/>
          </w:tcPr>
          <w:p>
            <w:pPr>
              <w:jc w:val="right"/>
              <w:spacing w:after="0" w:line="243" w:lineRule="exact"/>
              <w:rPr>
                <w:sz w:val="20"/>
                <w:szCs w:val="20"/>
                <w:color w:val="auto"/>
              </w:rPr>
            </w:pPr>
            <w:r>
              <w:rPr>
                <w:rFonts w:ascii="Arial" w:cs="Arial" w:eastAsia="Arial" w:hAnsi="Arial"/>
                <w:sz w:val="22"/>
                <w:szCs w:val="22"/>
                <w:color w:val="auto"/>
              </w:rPr>
              <w:t>20</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20" w:type="dxa"/>
            <w:vAlign w:val="bottom"/>
          </w:tcPr>
          <w:p>
            <w:pPr>
              <w:ind w:left="280"/>
              <w:spacing w:after="0" w:line="243" w:lineRule="exact"/>
              <w:rPr>
                <w:sz w:val="20"/>
                <w:szCs w:val="20"/>
                <w:color w:val="auto"/>
              </w:rPr>
            </w:pPr>
            <w:r>
              <w:rPr>
                <w:rFonts w:ascii="Arial" w:cs="Arial" w:eastAsia="Arial" w:hAnsi="Arial"/>
                <w:sz w:val="22"/>
                <w:szCs w:val="22"/>
                <w:color w:val="auto"/>
              </w:rPr>
              <w:t>Deferred income taxes</w:t>
            </w:r>
          </w:p>
        </w:tc>
        <w:tc>
          <w:tcPr>
            <w:tcW w:w="1040" w:type="dxa"/>
            <w:vAlign w:val="bottom"/>
            <w:gridSpan w:val="2"/>
          </w:tcPr>
          <w:p>
            <w:pPr>
              <w:jc w:val="right"/>
              <w:ind w:right="20"/>
              <w:spacing w:after="0" w:line="243" w:lineRule="exact"/>
              <w:rPr>
                <w:sz w:val="20"/>
                <w:szCs w:val="20"/>
                <w:color w:val="auto"/>
              </w:rPr>
            </w:pPr>
            <w:r>
              <w:rPr>
                <w:rFonts w:ascii="Arial" w:cs="Arial" w:eastAsia="Arial" w:hAnsi="Arial"/>
                <w:sz w:val="22"/>
                <w:szCs w:val="22"/>
                <w:color w:val="auto"/>
              </w:rPr>
              <w:t>155</w:t>
            </w:r>
          </w:p>
        </w:tc>
        <w:tc>
          <w:tcPr>
            <w:tcW w:w="280" w:type="dxa"/>
            <w:vAlign w:val="bottom"/>
          </w:tcPr>
          <w:p>
            <w:pPr>
              <w:spacing w:after="0"/>
              <w:rPr>
                <w:sz w:val="21"/>
                <w:szCs w:val="21"/>
                <w:color w:val="auto"/>
              </w:rPr>
            </w:pPr>
          </w:p>
        </w:tc>
        <w:tc>
          <w:tcPr>
            <w:tcW w:w="1140" w:type="dxa"/>
            <w:vAlign w:val="bottom"/>
            <w:gridSpan w:val="2"/>
          </w:tcPr>
          <w:p>
            <w:pPr>
              <w:jc w:val="right"/>
              <w:ind w:right="40"/>
              <w:spacing w:after="0" w:line="243" w:lineRule="exact"/>
              <w:rPr>
                <w:sz w:val="20"/>
                <w:szCs w:val="20"/>
                <w:color w:val="auto"/>
              </w:rPr>
            </w:pPr>
            <w:r>
              <w:rPr>
                <w:rFonts w:ascii="Arial" w:cs="Arial" w:eastAsia="Arial" w:hAnsi="Arial"/>
                <w:sz w:val="22"/>
                <w:szCs w:val="22"/>
                <w:color w:val="auto"/>
              </w:rPr>
              <w:t>(226)</w:t>
            </w:r>
          </w:p>
        </w:tc>
        <w:tc>
          <w:tcPr>
            <w:tcW w:w="0" w:type="dxa"/>
            <w:vAlign w:val="bottom"/>
          </w:tcPr>
          <w:p>
            <w:pPr>
              <w:spacing w:after="0"/>
              <w:rPr>
                <w:sz w:val="1"/>
                <w:szCs w:val="1"/>
                <w:color w:val="auto"/>
              </w:rPr>
            </w:pPr>
          </w:p>
        </w:tc>
      </w:tr>
      <w:tr>
        <w:trPr>
          <w:trHeight w:val="275"/>
        </w:trPr>
        <w:tc>
          <w:tcPr>
            <w:tcW w:w="7720" w:type="dxa"/>
            <w:vAlign w:val="bottom"/>
          </w:tcPr>
          <w:p>
            <w:pPr>
              <w:ind w:left="280"/>
              <w:spacing w:after="0"/>
              <w:rPr>
                <w:sz w:val="20"/>
                <w:szCs w:val="20"/>
                <w:color w:val="auto"/>
              </w:rPr>
            </w:pPr>
            <w:r>
              <w:rPr>
                <w:rFonts w:ascii="Arial" w:cs="Arial" w:eastAsia="Arial" w:hAnsi="Arial"/>
                <w:sz w:val="22"/>
                <w:szCs w:val="22"/>
                <w:color w:val="auto"/>
              </w:rPr>
              <w:t>Proceeds from sales of trading securities</w:t>
            </w:r>
          </w:p>
        </w:tc>
        <w:tc>
          <w:tcPr>
            <w:tcW w:w="10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22"/>
                <w:szCs w:val="22"/>
                <w:color w:val="auto"/>
              </w:rPr>
              <w:t>85</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5"/>
        </w:trPr>
        <w:tc>
          <w:tcPr>
            <w:tcW w:w="7720" w:type="dxa"/>
            <w:vAlign w:val="bottom"/>
          </w:tcPr>
          <w:p>
            <w:pPr>
              <w:spacing w:after="0"/>
              <w:rPr>
                <w:sz w:val="20"/>
                <w:szCs w:val="20"/>
                <w:color w:val="auto"/>
              </w:rPr>
            </w:pPr>
            <w:r>
              <w:rPr>
                <w:rFonts w:ascii="Arial" w:cs="Arial" w:eastAsia="Arial" w:hAnsi="Arial"/>
                <w:sz w:val="22"/>
                <w:szCs w:val="22"/>
                <w:color w:val="auto"/>
              </w:rPr>
              <w:t>Changes in operating assets and liabilities, net of effects of acquisitions and</w:t>
            </w: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720" w:type="dxa"/>
            <w:vAlign w:val="bottom"/>
          </w:tcPr>
          <w:p>
            <w:pPr>
              <w:spacing w:after="0" w:line="243" w:lineRule="exact"/>
              <w:rPr>
                <w:sz w:val="20"/>
                <w:szCs w:val="20"/>
                <w:color w:val="auto"/>
              </w:rPr>
            </w:pPr>
            <w:r>
              <w:rPr>
                <w:rFonts w:ascii="Arial" w:cs="Arial" w:eastAsia="Arial" w:hAnsi="Arial"/>
                <w:sz w:val="22"/>
                <w:szCs w:val="22"/>
                <w:color w:val="auto"/>
              </w:rPr>
              <w:t>divestitures:</w:t>
            </w: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20" w:type="dxa"/>
            <w:vAlign w:val="bottom"/>
          </w:tcPr>
          <w:p>
            <w:pPr>
              <w:ind w:left="380"/>
              <w:spacing w:after="0" w:line="243" w:lineRule="exact"/>
              <w:rPr>
                <w:sz w:val="20"/>
                <w:szCs w:val="20"/>
                <w:color w:val="auto"/>
              </w:rPr>
            </w:pPr>
            <w:r>
              <w:rPr>
                <w:rFonts w:ascii="Arial" w:cs="Arial" w:eastAsia="Arial" w:hAnsi="Arial"/>
                <w:sz w:val="22"/>
                <w:szCs w:val="22"/>
                <w:color w:val="auto"/>
              </w:rPr>
              <w:t>Change in accounts receivable, net</w:t>
            </w:r>
          </w:p>
        </w:tc>
        <w:tc>
          <w:tcPr>
            <w:tcW w:w="1320" w:type="dxa"/>
            <w:vAlign w:val="bottom"/>
            <w:gridSpan w:val="3"/>
          </w:tcPr>
          <w:p>
            <w:pPr>
              <w:jc w:val="right"/>
              <w:ind w:right="220"/>
              <w:spacing w:after="0" w:line="243" w:lineRule="exact"/>
              <w:rPr>
                <w:sz w:val="20"/>
                <w:szCs w:val="20"/>
                <w:color w:val="auto"/>
              </w:rPr>
            </w:pPr>
            <w:r>
              <w:rPr>
                <w:rFonts w:ascii="Arial" w:cs="Arial" w:eastAsia="Arial" w:hAnsi="Arial"/>
                <w:sz w:val="22"/>
                <w:szCs w:val="22"/>
                <w:color w:val="auto"/>
              </w:rPr>
              <w:t>(8)</w:t>
            </w:r>
          </w:p>
        </w:tc>
        <w:tc>
          <w:tcPr>
            <w:tcW w:w="1140" w:type="dxa"/>
            <w:vAlign w:val="bottom"/>
            <w:gridSpan w:val="2"/>
          </w:tcPr>
          <w:p>
            <w:pPr>
              <w:jc w:val="right"/>
              <w:ind w:right="40"/>
              <w:spacing w:after="0" w:line="243" w:lineRule="exact"/>
              <w:rPr>
                <w:sz w:val="20"/>
                <w:szCs w:val="20"/>
                <w:color w:val="auto"/>
              </w:rPr>
            </w:pPr>
            <w:r>
              <w:rPr>
                <w:rFonts w:ascii="Arial" w:cs="Arial" w:eastAsia="Arial" w:hAnsi="Arial"/>
                <w:sz w:val="22"/>
                <w:szCs w:val="22"/>
                <w:color w:val="auto"/>
              </w:rPr>
              <w:t>(6)</w:t>
            </w:r>
          </w:p>
        </w:tc>
        <w:tc>
          <w:tcPr>
            <w:tcW w:w="0" w:type="dxa"/>
            <w:vAlign w:val="bottom"/>
          </w:tcPr>
          <w:p>
            <w:pPr>
              <w:spacing w:after="0"/>
              <w:rPr>
                <w:sz w:val="1"/>
                <w:szCs w:val="1"/>
                <w:color w:val="auto"/>
              </w:rPr>
            </w:pPr>
          </w:p>
        </w:tc>
      </w:tr>
      <w:tr>
        <w:trPr>
          <w:trHeight w:val="243"/>
        </w:trPr>
        <w:tc>
          <w:tcPr>
            <w:tcW w:w="7720" w:type="dxa"/>
            <w:vAlign w:val="bottom"/>
          </w:tcPr>
          <w:p>
            <w:pPr>
              <w:ind w:left="380"/>
              <w:spacing w:after="0" w:line="243" w:lineRule="exact"/>
              <w:rPr>
                <w:sz w:val="20"/>
                <w:szCs w:val="20"/>
                <w:color w:val="auto"/>
              </w:rPr>
            </w:pPr>
            <w:r>
              <w:rPr>
                <w:rFonts w:ascii="Arial" w:cs="Arial" w:eastAsia="Arial" w:hAnsi="Arial"/>
                <w:sz w:val="22"/>
                <w:szCs w:val="22"/>
                <w:color w:val="auto"/>
              </w:rPr>
              <w:t>Change in accounts payable</w:t>
            </w:r>
          </w:p>
        </w:tc>
        <w:tc>
          <w:tcPr>
            <w:tcW w:w="1320" w:type="dxa"/>
            <w:vAlign w:val="bottom"/>
            <w:gridSpan w:val="3"/>
          </w:tcPr>
          <w:p>
            <w:pPr>
              <w:jc w:val="right"/>
              <w:ind w:right="220"/>
              <w:spacing w:after="0" w:line="243" w:lineRule="exact"/>
              <w:rPr>
                <w:sz w:val="20"/>
                <w:szCs w:val="20"/>
                <w:color w:val="auto"/>
              </w:rPr>
            </w:pPr>
            <w:r>
              <w:rPr>
                <w:rFonts w:ascii="Arial" w:cs="Arial" w:eastAsia="Arial" w:hAnsi="Arial"/>
                <w:sz w:val="22"/>
                <w:szCs w:val="22"/>
                <w:color w:val="auto"/>
              </w:rPr>
              <w:t>(263)</w:t>
            </w:r>
          </w:p>
        </w:tc>
        <w:tc>
          <w:tcPr>
            <w:tcW w:w="1140" w:type="dxa"/>
            <w:vAlign w:val="bottom"/>
            <w:gridSpan w:val="2"/>
          </w:tcPr>
          <w:p>
            <w:pPr>
              <w:jc w:val="right"/>
              <w:ind w:right="40"/>
              <w:spacing w:after="0" w:line="243" w:lineRule="exact"/>
              <w:rPr>
                <w:sz w:val="20"/>
                <w:szCs w:val="20"/>
                <w:color w:val="auto"/>
              </w:rPr>
            </w:pPr>
            <w:r>
              <w:rPr>
                <w:rFonts w:ascii="Arial" w:cs="Arial" w:eastAsia="Arial" w:hAnsi="Arial"/>
                <w:sz w:val="22"/>
                <w:szCs w:val="22"/>
                <w:color w:val="auto"/>
              </w:rPr>
              <w:t>(183)</w:t>
            </w:r>
          </w:p>
        </w:tc>
        <w:tc>
          <w:tcPr>
            <w:tcW w:w="0" w:type="dxa"/>
            <w:vAlign w:val="bottom"/>
          </w:tcPr>
          <w:p>
            <w:pPr>
              <w:spacing w:after="0"/>
              <w:rPr>
                <w:sz w:val="1"/>
                <w:szCs w:val="1"/>
                <w:color w:val="auto"/>
              </w:rPr>
            </w:pPr>
          </w:p>
        </w:tc>
      </w:tr>
      <w:tr>
        <w:trPr>
          <w:trHeight w:val="275"/>
        </w:trPr>
        <w:tc>
          <w:tcPr>
            <w:tcW w:w="7720" w:type="dxa"/>
            <w:vAlign w:val="bottom"/>
          </w:tcPr>
          <w:p>
            <w:pPr>
              <w:ind w:left="380"/>
              <w:spacing w:after="0"/>
              <w:rPr>
                <w:sz w:val="20"/>
                <w:szCs w:val="20"/>
                <w:color w:val="auto"/>
              </w:rPr>
            </w:pPr>
            <w:r>
              <w:rPr>
                <w:rFonts w:ascii="Arial" w:cs="Arial" w:eastAsia="Arial" w:hAnsi="Arial"/>
                <w:sz w:val="22"/>
                <w:szCs w:val="22"/>
                <w:color w:val="auto"/>
              </w:rPr>
              <w:t>Change in other operating assets and liabilities</w:t>
            </w:r>
          </w:p>
        </w:tc>
        <w:tc>
          <w:tcPr>
            <w:tcW w:w="1040" w:type="dxa"/>
            <w:vAlign w:val="bottom"/>
            <w:gridSpan w:val="2"/>
          </w:tcPr>
          <w:p>
            <w:pPr>
              <w:jc w:val="right"/>
              <w:ind w:right="20"/>
              <w:spacing w:after="0"/>
              <w:rPr>
                <w:sz w:val="20"/>
                <w:szCs w:val="20"/>
                <w:color w:val="auto"/>
              </w:rPr>
            </w:pPr>
            <w:r>
              <w:rPr>
                <w:rFonts w:ascii="Arial" w:cs="Arial" w:eastAsia="Arial" w:hAnsi="Arial"/>
                <w:sz w:val="22"/>
                <w:szCs w:val="22"/>
                <w:color w:val="auto"/>
              </w:rPr>
              <w:t>274</w:t>
            </w:r>
          </w:p>
        </w:tc>
        <w:tc>
          <w:tcPr>
            <w:tcW w:w="280" w:type="dxa"/>
            <w:vAlign w:val="bottom"/>
          </w:tcPr>
          <w:p>
            <w:pPr>
              <w:spacing w:after="0"/>
              <w:rPr>
                <w:sz w:val="23"/>
                <w:szCs w:val="23"/>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22"/>
                <w:szCs w:val="22"/>
                <w:color w:val="auto"/>
              </w:rPr>
              <w:t>(64)</w:t>
            </w:r>
          </w:p>
        </w:tc>
        <w:tc>
          <w:tcPr>
            <w:tcW w:w="0" w:type="dxa"/>
            <w:vAlign w:val="bottom"/>
          </w:tcPr>
          <w:p>
            <w:pPr>
              <w:spacing w:after="0"/>
              <w:rPr>
                <w:sz w:val="1"/>
                <w:szCs w:val="1"/>
                <w:color w:val="auto"/>
              </w:rPr>
            </w:pPr>
          </w:p>
        </w:tc>
      </w:tr>
      <w:tr>
        <w:trPr>
          <w:trHeight w:val="98"/>
        </w:trPr>
        <w:tc>
          <w:tcPr>
            <w:tcW w:w="7720" w:type="dxa"/>
            <w:vAlign w:val="bottom"/>
          </w:tcPr>
          <w:p>
            <w:pPr>
              <w:spacing w:after="0"/>
              <w:rPr>
                <w:sz w:val="8"/>
                <w:szCs w:val="8"/>
                <w:color w:val="auto"/>
              </w:rPr>
            </w:pPr>
          </w:p>
        </w:tc>
        <w:tc>
          <w:tcPr>
            <w:tcW w:w="1040" w:type="dxa"/>
            <w:vAlign w:val="bottom"/>
            <w:tcBorders>
              <w:bottom w:val="single" w:sz="8" w:color="808080"/>
            </w:tcBorders>
            <w:gridSpan w:val="2"/>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55"/>
        </w:trPr>
        <w:tc>
          <w:tcPr>
            <w:tcW w:w="7720" w:type="dxa"/>
            <w:vAlign w:val="bottom"/>
          </w:tcPr>
          <w:p>
            <w:pPr>
              <w:ind w:left="380"/>
              <w:spacing w:after="0"/>
              <w:rPr>
                <w:sz w:val="20"/>
                <w:szCs w:val="20"/>
                <w:color w:val="auto"/>
              </w:rPr>
            </w:pPr>
            <w:r>
              <w:rPr>
                <w:rFonts w:ascii="Arial" w:cs="Arial" w:eastAsia="Arial" w:hAnsi="Arial"/>
                <w:sz w:val="22"/>
                <w:szCs w:val="22"/>
                <w:color w:val="auto"/>
              </w:rPr>
              <w:t>Net cash provided by operating activities from continuing operations</w:t>
            </w:r>
          </w:p>
        </w:tc>
        <w:tc>
          <w:tcPr>
            <w:tcW w:w="1040" w:type="dxa"/>
            <w:vAlign w:val="bottom"/>
            <w:gridSpan w:val="2"/>
          </w:tcPr>
          <w:p>
            <w:pPr>
              <w:jc w:val="right"/>
              <w:ind w:right="20"/>
              <w:spacing w:after="0"/>
              <w:rPr>
                <w:sz w:val="20"/>
                <w:szCs w:val="20"/>
                <w:color w:val="auto"/>
              </w:rPr>
            </w:pPr>
            <w:r>
              <w:rPr>
                <w:rFonts w:ascii="Arial" w:cs="Arial" w:eastAsia="Arial" w:hAnsi="Arial"/>
                <w:sz w:val="22"/>
                <w:szCs w:val="22"/>
                <w:color w:val="auto"/>
              </w:rPr>
              <w:t>2,633</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2"/>
                <w:szCs w:val="22"/>
                <w:color w:val="auto"/>
              </w:rPr>
              <w:t>1,711</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7720" w:type="dxa"/>
            <w:vAlign w:val="bottom"/>
            <w:vMerge w:val="restart"/>
          </w:tcPr>
          <w:p>
            <w:pPr>
              <w:spacing w:after="0"/>
              <w:rPr>
                <w:sz w:val="20"/>
                <w:szCs w:val="20"/>
                <w:color w:val="auto"/>
              </w:rPr>
            </w:pPr>
            <w:r>
              <w:rPr>
                <w:rFonts w:ascii="Arial" w:cs="Arial" w:eastAsia="Arial" w:hAnsi="Arial"/>
                <w:sz w:val="22"/>
                <w:szCs w:val="22"/>
                <w:color w:val="auto"/>
              </w:rPr>
              <w:t>FINANCING ACTIVITIES</w:t>
            </w:r>
          </w:p>
        </w:tc>
        <w:tc>
          <w:tcPr>
            <w:tcW w:w="10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3"/>
        </w:trPr>
        <w:tc>
          <w:tcPr>
            <w:tcW w:w="772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720" w:type="dxa"/>
            <w:vAlign w:val="bottom"/>
          </w:tcPr>
          <w:p>
            <w:pPr>
              <w:ind w:left="180"/>
              <w:spacing w:after="0" w:line="243" w:lineRule="exact"/>
              <w:rPr>
                <w:sz w:val="20"/>
                <w:szCs w:val="20"/>
                <w:color w:val="auto"/>
              </w:rPr>
            </w:pPr>
            <w:r>
              <w:rPr>
                <w:rFonts w:ascii="Arial" w:cs="Arial" w:eastAsia="Arial" w:hAnsi="Arial"/>
                <w:sz w:val="22"/>
                <w:szCs w:val="22"/>
                <w:color w:val="auto"/>
              </w:rPr>
              <w:t>Proceeds from borrowings</w:t>
            </w:r>
          </w:p>
        </w:tc>
        <w:tc>
          <w:tcPr>
            <w:tcW w:w="1040" w:type="dxa"/>
            <w:vAlign w:val="bottom"/>
            <w:gridSpan w:val="2"/>
          </w:tcPr>
          <w:p>
            <w:pPr>
              <w:jc w:val="right"/>
              <w:ind w:right="20"/>
              <w:spacing w:after="0" w:line="243" w:lineRule="exact"/>
              <w:rPr>
                <w:sz w:val="20"/>
                <w:szCs w:val="20"/>
                <w:color w:val="auto"/>
              </w:rPr>
            </w:pPr>
            <w:r>
              <w:rPr>
                <w:rFonts w:ascii="Arial" w:cs="Arial" w:eastAsia="Arial" w:hAnsi="Arial"/>
                <w:sz w:val="22"/>
                <w:szCs w:val="22"/>
                <w:color w:val="auto"/>
              </w:rPr>
              <w:t>1,058</w:t>
            </w:r>
          </w:p>
        </w:tc>
        <w:tc>
          <w:tcPr>
            <w:tcW w:w="280" w:type="dxa"/>
            <w:vAlign w:val="bottom"/>
          </w:tcPr>
          <w:p>
            <w:pPr>
              <w:spacing w:after="0"/>
              <w:rPr>
                <w:sz w:val="21"/>
                <w:szCs w:val="21"/>
                <w:color w:val="auto"/>
              </w:rPr>
            </w:pPr>
          </w:p>
        </w:tc>
        <w:tc>
          <w:tcPr>
            <w:tcW w:w="1020" w:type="dxa"/>
            <w:vAlign w:val="bottom"/>
          </w:tcPr>
          <w:p>
            <w:pPr>
              <w:jc w:val="right"/>
              <w:spacing w:after="0" w:line="243" w:lineRule="exact"/>
              <w:rPr>
                <w:sz w:val="20"/>
                <w:szCs w:val="20"/>
                <w:color w:val="auto"/>
              </w:rPr>
            </w:pPr>
            <w:r>
              <w:rPr>
                <w:rFonts w:ascii="Arial" w:cs="Arial" w:eastAsia="Arial" w:hAnsi="Arial"/>
                <w:sz w:val="22"/>
                <w:szCs w:val="22"/>
                <w:color w:val="auto"/>
              </w:rPr>
              <w:t>8,848</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20" w:type="dxa"/>
            <w:vAlign w:val="bottom"/>
          </w:tcPr>
          <w:p>
            <w:pPr>
              <w:ind w:left="180"/>
              <w:spacing w:after="0" w:line="243" w:lineRule="exact"/>
              <w:rPr>
                <w:sz w:val="20"/>
                <w:szCs w:val="20"/>
                <w:color w:val="auto"/>
              </w:rPr>
            </w:pPr>
            <w:r>
              <w:rPr>
                <w:rFonts w:ascii="Arial" w:cs="Arial" w:eastAsia="Arial" w:hAnsi="Arial"/>
                <w:sz w:val="22"/>
                <w:szCs w:val="22"/>
                <w:color w:val="auto"/>
              </w:rPr>
              <w:t>Retirements and repayments of debt</w:t>
            </w:r>
          </w:p>
        </w:tc>
        <w:tc>
          <w:tcPr>
            <w:tcW w:w="1320" w:type="dxa"/>
            <w:vAlign w:val="bottom"/>
            <w:gridSpan w:val="3"/>
          </w:tcPr>
          <w:p>
            <w:pPr>
              <w:jc w:val="right"/>
              <w:ind w:right="220"/>
              <w:spacing w:after="0" w:line="243" w:lineRule="exact"/>
              <w:rPr>
                <w:sz w:val="20"/>
                <w:szCs w:val="20"/>
                <w:color w:val="auto"/>
              </w:rPr>
            </w:pPr>
            <w:r>
              <w:rPr>
                <w:rFonts w:ascii="Arial" w:cs="Arial" w:eastAsia="Arial" w:hAnsi="Arial"/>
                <w:sz w:val="22"/>
                <w:szCs w:val="22"/>
                <w:color w:val="auto"/>
              </w:rPr>
              <w:t>(1,617)</w:t>
            </w:r>
          </w:p>
        </w:tc>
        <w:tc>
          <w:tcPr>
            <w:tcW w:w="1140" w:type="dxa"/>
            <w:vAlign w:val="bottom"/>
            <w:gridSpan w:val="2"/>
          </w:tcPr>
          <w:p>
            <w:pPr>
              <w:jc w:val="right"/>
              <w:ind w:right="40"/>
              <w:spacing w:after="0" w:line="243" w:lineRule="exact"/>
              <w:rPr>
                <w:sz w:val="20"/>
                <w:szCs w:val="20"/>
                <w:color w:val="auto"/>
              </w:rPr>
            </w:pPr>
            <w:r>
              <w:rPr>
                <w:rFonts w:ascii="Arial" w:cs="Arial" w:eastAsia="Arial" w:hAnsi="Arial"/>
                <w:sz w:val="22"/>
                <w:szCs w:val="22"/>
                <w:color w:val="auto"/>
              </w:rPr>
              <w:t>(11,543)</w:t>
            </w:r>
          </w:p>
        </w:tc>
        <w:tc>
          <w:tcPr>
            <w:tcW w:w="0" w:type="dxa"/>
            <w:vAlign w:val="bottom"/>
          </w:tcPr>
          <w:p>
            <w:pPr>
              <w:spacing w:after="0"/>
              <w:rPr>
                <w:sz w:val="1"/>
                <w:szCs w:val="1"/>
                <w:color w:val="auto"/>
              </w:rPr>
            </w:pPr>
          </w:p>
        </w:tc>
      </w:tr>
      <w:tr>
        <w:trPr>
          <w:trHeight w:val="243"/>
        </w:trPr>
        <w:tc>
          <w:tcPr>
            <w:tcW w:w="7720" w:type="dxa"/>
            <w:vAlign w:val="bottom"/>
          </w:tcPr>
          <w:p>
            <w:pPr>
              <w:ind w:left="180"/>
              <w:spacing w:after="0" w:line="243" w:lineRule="exact"/>
              <w:rPr>
                <w:sz w:val="20"/>
                <w:szCs w:val="20"/>
                <w:color w:val="auto"/>
              </w:rPr>
            </w:pPr>
            <w:r>
              <w:rPr>
                <w:rFonts w:ascii="Arial" w:cs="Arial" w:eastAsia="Arial" w:hAnsi="Arial"/>
                <w:sz w:val="22"/>
                <w:szCs w:val="22"/>
                <w:color w:val="auto"/>
              </w:rPr>
              <w:t>Repurchases of common stock</w:t>
            </w:r>
          </w:p>
        </w:tc>
        <w:tc>
          <w:tcPr>
            <w:tcW w:w="1320" w:type="dxa"/>
            <w:vAlign w:val="bottom"/>
            <w:gridSpan w:val="3"/>
          </w:tcPr>
          <w:p>
            <w:pPr>
              <w:jc w:val="right"/>
              <w:ind w:right="220"/>
              <w:spacing w:after="0" w:line="243" w:lineRule="exact"/>
              <w:rPr>
                <w:sz w:val="20"/>
                <w:szCs w:val="20"/>
                <w:color w:val="auto"/>
              </w:rPr>
            </w:pPr>
            <w:r>
              <w:rPr>
                <w:rFonts w:ascii="Arial" w:cs="Arial" w:eastAsia="Arial" w:hAnsi="Arial"/>
                <w:sz w:val="22"/>
                <w:szCs w:val="22"/>
                <w:color w:val="auto"/>
              </w:rPr>
              <w:t>(511)</w:t>
            </w: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7720" w:type="dxa"/>
            <w:vAlign w:val="bottom"/>
          </w:tcPr>
          <w:p>
            <w:pPr>
              <w:ind w:left="180"/>
              <w:spacing w:after="0"/>
              <w:rPr>
                <w:sz w:val="20"/>
                <w:szCs w:val="20"/>
                <w:color w:val="auto"/>
              </w:rPr>
            </w:pPr>
            <w:r>
              <w:rPr>
                <w:rFonts w:ascii="Arial" w:cs="Arial" w:eastAsia="Arial" w:hAnsi="Arial"/>
                <w:sz w:val="22"/>
                <w:szCs w:val="22"/>
                <w:color w:val="auto"/>
              </w:rPr>
              <w:t>Other</w:t>
            </w:r>
          </w:p>
        </w:tc>
        <w:tc>
          <w:tcPr>
            <w:tcW w:w="1040" w:type="dxa"/>
            <w:vAlign w:val="bottom"/>
            <w:gridSpan w:val="2"/>
          </w:tcPr>
          <w:p>
            <w:pPr>
              <w:jc w:val="right"/>
              <w:ind w:right="20"/>
              <w:spacing w:after="0"/>
              <w:rPr>
                <w:sz w:val="20"/>
                <w:szCs w:val="20"/>
                <w:color w:val="auto"/>
              </w:rPr>
            </w:pPr>
            <w:r>
              <w:rPr>
                <w:rFonts w:ascii="Arial" w:cs="Arial" w:eastAsia="Arial" w:hAnsi="Arial"/>
                <w:sz w:val="22"/>
                <w:szCs w:val="22"/>
                <w:color w:val="auto"/>
              </w:rPr>
              <w:t>46</w:t>
            </w:r>
          </w:p>
        </w:tc>
        <w:tc>
          <w:tcPr>
            <w:tcW w:w="280" w:type="dxa"/>
            <w:vAlign w:val="bottom"/>
          </w:tcPr>
          <w:p>
            <w:pPr>
              <w:spacing w:after="0"/>
              <w:rPr>
                <w:sz w:val="23"/>
                <w:szCs w:val="23"/>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22"/>
                <w:szCs w:val="22"/>
                <w:color w:val="auto"/>
              </w:rPr>
              <w:t>(3)</w:t>
            </w:r>
          </w:p>
        </w:tc>
        <w:tc>
          <w:tcPr>
            <w:tcW w:w="0" w:type="dxa"/>
            <w:vAlign w:val="bottom"/>
          </w:tcPr>
          <w:p>
            <w:pPr>
              <w:spacing w:after="0"/>
              <w:rPr>
                <w:sz w:val="1"/>
                <w:szCs w:val="1"/>
                <w:color w:val="auto"/>
              </w:rPr>
            </w:pPr>
          </w:p>
        </w:tc>
      </w:tr>
      <w:tr>
        <w:trPr>
          <w:trHeight w:val="98"/>
        </w:trPr>
        <w:tc>
          <w:tcPr>
            <w:tcW w:w="7720" w:type="dxa"/>
            <w:vAlign w:val="bottom"/>
          </w:tcPr>
          <w:p>
            <w:pPr>
              <w:spacing w:after="0"/>
              <w:rPr>
                <w:sz w:val="8"/>
                <w:szCs w:val="8"/>
                <w:color w:val="auto"/>
              </w:rPr>
            </w:pPr>
          </w:p>
        </w:tc>
        <w:tc>
          <w:tcPr>
            <w:tcW w:w="1040" w:type="dxa"/>
            <w:vAlign w:val="bottom"/>
            <w:tcBorders>
              <w:bottom w:val="single" w:sz="8" w:color="808080"/>
            </w:tcBorders>
            <w:gridSpan w:val="2"/>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55"/>
        </w:trPr>
        <w:tc>
          <w:tcPr>
            <w:tcW w:w="7720" w:type="dxa"/>
            <w:vAlign w:val="bottom"/>
          </w:tcPr>
          <w:p>
            <w:pPr>
              <w:ind w:left="380"/>
              <w:spacing w:after="0"/>
              <w:rPr>
                <w:sz w:val="20"/>
                <w:szCs w:val="20"/>
                <w:color w:val="auto"/>
              </w:rPr>
            </w:pPr>
            <w:r>
              <w:rPr>
                <w:rFonts w:ascii="Arial" w:cs="Arial" w:eastAsia="Arial" w:hAnsi="Arial"/>
                <w:sz w:val="22"/>
                <w:szCs w:val="22"/>
                <w:color w:val="auto"/>
              </w:rPr>
              <w:t>Net cash used in financing activities from continuing operations</w:t>
            </w:r>
          </w:p>
        </w:tc>
        <w:tc>
          <w:tcPr>
            <w:tcW w:w="1320" w:type="dxa"/>
            <w:vAlign w:val="bottom"/>
            <w:gridSpan w:val="3"/>
          </w:tcPr>
          <w:p>
            <w:pPr>
              <w:jc w:val="right"/>
              <w:ind w:right="220"/>
              <w:spacing w:after="0"/>
              <w:rPr>
                <w:sz w:val="20"/>
                <w:szCs w:val="20"/>
                <w:color w:val="auto"/>
              </w:rPr>
            </w:pPr>
            <w:r>
              <w:rPr>
                <w:rFonts w:ascii="Arial" w:cs="Arial" w:eastAsia="Arial" w:hAnsi="Arial"/>
                <w:sz w:val="22"/>
                <w:szCs w:val="22"/>
                <w:color w:val="auto"/>
              </w:rPr>
              <w:t>(1,024)</w:t>
            </w:r>
          </w:p>
        </w:tc>
        <w:tc>
          <w:tcPr>
            <w:tcW w:w="1140" w:type="dxa"/>
            <w:vAlign w:val="bottom"/>
            <w:gridSpan w:val="2"/>
          </w:tcPr>
          <w:p>
            <w:pPr>
              <w:jc w:val="right"/>
              <w:ind w:right="40"/>
              <w:spacing w:after="0"/>
              <w:rPr>
                <w:sz w:val="20"/>
                <w:szCs w:val="20"/>
                <w:color w:val="auto"/>
              </w:rPr>
            </w:pPr>
            <w:r>
              <w:rPr>
                <w:rFonts w:ascii="Arial" w:cs="Arial" w:eastAsia="Arial" w:hAnsi="Arial"/>
                <w:sz w:val="22"/>
                <w:szCs w:val="22"/>
                <w:color w:val="auto"/>
              </w:rPr>
              <w:t>(2,698)</w:t>
            </w:r>
          </w:p>
        </w:tc>
        <w:tc>
          <w:tcPr>
            <w:tcW w:w="0" w:type="dxa"/>
            <w:vAlign w:val="bottom"/>
          </w:tcPr>
          <w:p>
            <w:pPr>
              <w:spacing w:after="0"/>
              <w:rPr>
                <w:sz w:val="1"/>
                <w:szCs w:val="1"/>
                <w:color w:val="auto"/>
              </w:rPr>
            </w:pPr>
          </w:p>
        </w:tc>
      </w:tr>
      <w:tr>
        <w:trPr>
          <w:trHeight w:val="98"/>
        </w:trPr>
        <w:tc>
          <w:tcPr>
            <w:tcW w:w="7720" w:type="dxa"/>
            <w:vAlign w:val="bottom"/>
            <w:vMerge w:val="restart"/>
          </w:tcPr>
          <w:p>
            <w:pPr>
              <w:spacing w:after="0"/>
              <w:rPr>
                <w:sz w:val="20"/>
                <w:szCs w:val="20"/>
                <w:color w:val="auto"/>
              </w:rPr>
            </w:pPr>
            <w:r>
              <w:rPr>
                <w:rFonts w:ascii="Arial" w:cs="Arial" w:eastAsia="Arial" w:hAnsi="Arial"/>
                <w:sz w:val="22"/>
                <w:szCs w:val="22"/>
                <w:color w:val="auto"/>
              </w:rPr>
              <w:t>INVESTING ACTIVITIES</w:t>
            </w:r>
          </w:p>
        </w:tc>
        <w:tc>
          <w:tcPr>
            <w:tcW w:w="10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3"/>
        </w:trPr>
        <w:tc>
          <w:tcPr>
            <w:tcW w:w="772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720" w:type="dxa"/>
            <w:vAlign w:val="bottom"/>
          </w:tcPr>
          <w:p>
            <w:pPr>
              <w:ind w:left="160"/>
              <w:spacing w:after="0" w:line="243" w:lineRule="exact"/>
              <w:rPr>
                <w:sz w:val="20"/>
                <w:szCs w:val="20"/>
                <w:color w:val="auto"/>
              </w:rPr>
            </w:pPr>
            <w:r>
              <w:rPr>
                <w:rFonts w:ascii="Arial" w:cs="Arial" w:eastAsia="Arial" w:hAnsi="Arial"/>
                <w:sz w:val="22"/>
                <w:szCs w:val="22"/>
                <w:color w:val="auto"/>
              </w:rPr>
              <w:t>Acquisitions, net of cash acquired</w:t>
            </w:r>
          </w:p>
        </w:tc>
        <w:tc>
          <w:tcPr>
            <w:tcW w:w="1320" w:type="dxa"/>
            <w:vAlign w:val="bottom"/>
            <w:gridSpan w:val="3"/>
          </w:tcPr>
          <w:p>
            <w:pPr>
              <w:jc w:val="right"/>
              <w:ind w:right="220"/>
              <w:spacing w:after="0" w:line="243" w:lineRule="exact"/>
              <w:rPr>
                <w:sz w:val="20"/>
                <w:szCs w:val="20"/>
                <w:color w:val="auto"/>
              </w:rPr>
            </w:pPr>
            <w:r>
              <w:rPr>
                <w:rFonts w:ascii="Arial" w:cs="Arial" w:eastAsia="Arial" w:hAnsi="Arial"/>
                <w:sz w:val="22"/>
                <w:szCs w:val="22"/>
                <w:color w:val="auto"/>
              </w:rPr>
              <w:t>(336)</w:t>
            </w:r>
          </w:p>
        </w:tc>
        <w:tc>
          <w:tcPr>
            <w:tcW w:w="1140" w:type="dxa"/>
            <w:vAlign w:val="bottom"/>
            <w:gridSpan w:val="2"/>
          </w:tcPr>
          <w:p>
            <w:pPr>
              <w:jc w:val="right"/>
              <w:ind w:right="40"/>
              <w:spacing w:after="0" w:line="243" w:lineRule="exact"/>
              <w:rPr>
                <w:sz w:val="20"/>
                <w:szCs w:val="20"/>
                <w:color w:val="auto"/>
              </w:rPr>
            </w:pPr>
            <w:r>
              <w:rPr>
                <w:rFonts w:ascii="Arial" w:cs="Arial" w:eastAsia="Arial" w:hAnsi="Arial"/>
                <w:sz w:val="22"/>
                <w:szCs w:val="22"/>
                <w:color w:val="auto"/>
              </w:rPr>
              <w:t>(22)</w:t>
            </w:r>
          </w:p>
        </w:tc>
        <w:tc>
          <w:tcPr>
            <w:tcW w:w="0" w:type="dxa"/>
            <w:vAlign w:val="bottom"/>
          </w:tcPr>
          <w:p>
            <w:pPr>
              <w:spacing w:after="0"/>
              <w:rPr>
                <w:sz w:val="1"/>
                <w:szCs w:val="1"/>
                <w:color w:val="auto"/>
              </w:rPr>
            </w:pPr>
          </w:p>
        </w:tc>
      </w:tr>
      <w:tr>
        <w:trPr>
          <w:trHeight w:val="243"/>
        </w:trPr>
        <w:tc>
          <w:tcPr>
            <w:tcW w:w="7720" w:type="dxa"/>
            <w:vAlign w:val="bottom"/>
          </w:tcPr>
          <w:p>
            <w:pPr>
              <w:ind w:left="180"/>
              <w:spacing w:after="0" w:line="243" w:lineRule="exact"/>
              <w:rPr>
                <w:sz w:val="20"/>
                <w:szCs w:val="20"/>
                <w:color w:val="auto"/>
              </w:rPr>
            </w:pPr>
            <w:r>
              <w:rPr>
                <w:rFonts w:ascii="Arial" w:cs="Arial" w:eastAsia="Arial" w:hAnsi="Arial"/>
                <w:sz w:val="22"/>
                <w:szCs w:val="22"/>
                <w:color w:val="auto"/>
              </w:rPr>
              <w:t>Proceeds from sales (purchases) of short-term investments, net</w:t>
            </w:r>
          </w:p>
        </w:tc>
        <w:tc>
          <w:tcPr>
            <w:tcW w:w="1320" w:type="dxa"/>
            <w:vAlign w:val="bottom"/>
            <w:gridSpan w:val="3"/>
          </w:tcPr>
          <w:p>
            <w:pPr>
              <w:jc w:val="right"/>
              <w:ind w:right="220"/>
              <w:spacing w:after="0" w:line="243" w:lineRule="exact"/>
              <w:rPr>
                <w:sz w:val="20"/>
                <w:szCs w:val="20"/>
                <w:color w:val="auto"/>
              </w:rPr>
            </w:pPr>
            <w:r>
              <w:rPr>
                <w:rFonts w:ascii="Arial" w:cs="Arial" w:eastAsia="Arial" w:hAnsi="Arial"/>
                <w:sz w:val="22"/>
                <w:szCs w:val="22"/>
                <w:color w:val="auto"/>
              </w:rPr>
              <w:t>(15)</w:t>
            </w:r>
          </w:p>
        </w:tc>
        <w:tc>
          <w:tcPr>
            <w:tcW w:w="1140" w:type="dxa"/>
            <w:vAlign w:val="bottom"/>
            <w:gridSpan w:val="2"/>
          </w:tcPr>
          <w:p>
            <w:pPr>
              <w:jc w:val="right"/>
              <w:ind w:right="40"/>
              <w:spacing w:after="0" w:line="243" w:lineRule="exact"/>
              <w:rPr>
                <w:sz w:val="20"/>
                <w:szCs w:val="20"/>
                <w:color w:val="auto"/>
              </w:rPr>
            </w:pPr>
            <w:r>
              <w:rPr>
                <w:rFonts w:ascii="Arial" w:cs="Arial" w:eastAsia="Arial" w:hAnsi="Arial"/>
                <w:sz w:val="22"/>
                <w:szCs w:val="22"/>
                <w:color w:val="auto"/>
              </w:rPr>
              <w:t>(20)</w:t>
            </w:r>
          </w:p>
        </w:tc>
        <w:tc>
          <w:tcPr>
            <w:tcW w:w="0" w:type="dxa"/>
            <w:vAlign w:val="bottom"/>
          </w:tcPr>
          <w:p>
            <w:pPr>
              <w:spacing w:after="0"/>
              <w:rPr>
                <w:sz w:val="1"/>
                <w:szCs w:val="1"/>
                <w:color w:val="auto"/>
              </w:rPr>
            </w:pPr>
          </w:p>
        </w:tc>
      </w:tr>
      <w:tr>
        <w:trPr>
          <w:trHeight w:val="243"/>
        </w:trPr>
        <w:tc>
          <w:tcPr>
            <w:tcW w:w="7720" w:type="dxa"/>
            <w:vAlign w:val="bottom"/>
          </w:tcPr>
          <w:p>
            <w:pPr>
              <w:ind w:left="180"/>
              <w:spacing w:after="0" w:line="243" w:lineRule="exact"/>
              <w:rPr>
                <w:sz w:val="20"/>
                <w:szCs w:val="20"/>
                <w:color w:val="auto"/>
              </w:rPr>
            </w:pPr>
            <w:r>
              <w:rPr>
                <w:rFonts w:ascii="Arial" w:cs="Arial" w:eastAsia="Arial" w:hAnsi="Arial"/>
                <w:sz w:val="22"/>
                <w:szCs w:val="22"/>
                <w:color w:val="auto"/>
                <w:w w:val="99"/>
              </w:rPr>
              <w:t>Proceeds from sales and restructuring of investments and assets held for sale</w:t>
            </w:r>
          </w:p>
        </w:tc>
        <w:tc>
          <w:tcPr>
            <w:tcW w:w="1040" w:type="dxa"/>
            <w:vAlign w:val="bottom"/>
            <w:gridSpan w:val="2"/>
          </w:tcPr>
          <w:p>
            <w:pPr>
              <w:jc w:val="right"/>
              <w:ind w:right="20"/>
              <w:spacing w:after="0" w:line="243" w:lineRule="exact"/>
              <w:rPr>
                <w:sz w:val="20"/>
                <w:szCs w:val="20"/>
                <w:color w:val="auto"/>
              </w:rPr>
            </w:pPr>
            <w:r>
              <w:rPr>
                <w:rFonts w:ascii="Arial" w:cs="Arial" w:eastAsia="Arial" w:hAnsi="Arial"/>
                <w:sz w:val="22"/>
                <w:szCs w:val="22"/>
                <w:color w:val="auto"/>
              </w:rPr>
              <w:t>51</w:t>
            </w:r>
          </w:p>
        </w:tc>
        <w:tc>
          <w:tcPr>
            <w:tcW w:w="280" w:type="dxa"/>
            <w:vAlign w:val="bottom"/>
          </w:tcPr>
          <w:p>
            <w:pPr>
              <w:spacing w:after="0"/>
              <w:rPr>
                <w:sz w:val="21"/>
                <w:szCs w:val="21"/>
                <w:color w:val="auto"/>
              </w:rPr>
            </w:pPr>
          </w:p>
        </w:tc>
        <w:tc>
          <w:tcPr>
            <w:tcW w:w="1020" w:type="dxa"/>
            <w:vAlign w:val="bottom"/>
          </w:tcPr>
          <w:p>
            <w:pPr>
              <w:jc w:val="right"/>
              <w:spacing w:after="0" w:line="243" w:lineRule="exact"/>
              <w:rPr>
                <w:sz w:val="20"/>
                <w:szCs w:val="20"/>
                <w:color w:val="auto"/>
              </w:rPr>
            </w:pPr>
            <w:r>
              <w:rPr>
                <w:rFonts w:ascii="Arial" w:cs="Arial" w:eastAsia="Arial" w:hAnsi="Arial"/>
                <w:sz w:val="22"/>
                <w:szCs w:val="22"/>
                <w:color w:val="auto"/>
              </w:rPr>
              <w:t>3,592</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20" w:type="dxa"/>
            <w:vAlign w:val="bottom"/>
          </w:tcPr>
          <w:p>
            <w:pPr>
              <w:ind w:left="180"/>
              <w:spacing w:after="0" w:line="243" w:lineRule="exact"/>
              <w:rPr>
                <w:sz w:val="20"/>
                <w:szCs w:val="20"/>
                <w:color w:val="auto"/>
              </w:rPr>
            </w:pPr>
            <w:r>
              <w:rPr>
                <w:rFonts w:ascii="Arial" w:cs="Arial" w:eastAsia="Arial" w:hAnsi="Arial"/>
                <w:sz w:val="22"/>
                <w:szCs w:val="22"/>
                <w:color w:val="auto"/>
              </w:rPr>
              <w:t>Purchases of investments</w:t>
            </w:r>
          </w:p>
        </w:tc>
        <w:tc>
          <w:tcPr>
            <w:tcW w:w="1320" w:type="dxa"/>
            <w:vAlign w:val="bottom"/>
            <w:gridSpan w:val="3"/>
          </w:tcPr>
          <w:p>
            <w:pPr>
              <w:jc w:val="right"/>
              <w:ind w:right="220"/>
              <w:spacing w:after="0" w:line="243" w:lineRule="exact"/>
              <w:rPr>
                <w:sz w:val="20"/>
                <w:szCs w:val="20"/>
                <w:color w:val="auto"/>
              </w:rPr>
            </w:pPr>
            <w:r>
              <w:rPr>
                <w:rFonts w:ascii="Arial" w:cs="Arial" w:eastAsia="Arial" w:hAnsi="Arial"/>
                <w:sz w:val="22"/>
                <w:szCs w:val="22"/>
                <w:color w:val="auto"/>
              </w:rPr>
              <w:t>(106)</w:t>
            </w:r>
          </w:p>
        </w:tc>
        <w:tc>
          <w:tcPr>
            <w:tcW w:w="1140" w:type="dxa"/>
            <w:vAlign w:val="bottom"/>
            <w:gridSpan w:val="2"/>
          </w:tcPr>
          <w:p>
            <w:pPr>
              <w:jc w:val="right"/>
              <w:ind w:right="40"/>
              <w:spacing w:after="0" w:line="243" w:lineRule="exact"/>
              <w:rPr>
                <w:sz w:val="20"/>
                <w:szCs w:val="20"/>
                <w:color w:val="auto"/>
              </w:rPr>
            </w:pPr>
            <w:r>
              <w:rPr>
                <w:rFonts w:ascii="Arial" w:cs="Arial" w:eastAsia="Arial" w:hAnsi="Arial"/>
                <w:sz w:val="22"/>
                <w:szCs w:val="22"/>
                <w:color w:val="auto"/>
              </w:rPr>
              <w:t>(130)</w:t>
            </w:r>
          </w:p>
        </w:tc>
        <w:tc>
          <w:tcPr>
            <w:tcW w:w="0" w:type="dxa"/>
            <w:vAlign w:val="bottom"/>
          </w:tcPr>
          <w:p>
            <w:pPr>
              <w:spacing w:after="0"/>
              <w:rPr>
                <w:sz w:val="1"/>
                <w:szCs w:val="1"/>
                <w:color w:val="auto"/>
              </w:rPr>
            </w:pPr>
          </w:p>
        </w:tc>
      </w:tr>
      <w:tr>
        <w:trPr>
          <w:trHeight w:val="243"/>
        </w:trPr>
        <w:tc>
          <w:tcPr>
            <w:tcW w:w="7720" w:type="dxa"/>
            <w:vAlign w:val="bottom"/>
          </w:tcPr>
          <w:p>
            <w:pPr>
              <w:ind w:left="180"/>
              <w:spacing w:after="0" w:line="243" w:lineRule="exact"/>
              <w:rPr>
                <w:sz w:val="20"/>
                <w:szCs w:val="20"/>
                <w:color w:val="auto"/>
              </w:rPr>
            </w:pPr>
            <w:r>
              <w:rPr>
                <w:rFonts w:ascii="Arial" w:cs="Arial" w:eastAsia="Arial" w:hAnsi="Arial"/>
                <w:sz w:val="22"/>
                <w:szCs w:val="22"/>
                <w:color w:val="auto"/>
              </w:rPr>
              <w:t>Capital expenditures</w:t>
            </w:r>
          </w:p>
        </w:tc>
        <w:tc>
          <w:tcPr>
            <w:tcW w:w="1320" w:type="dxa"/>
            <w:vAlign w:val="bottom"/>
            <w:gridSpan w:val="3"/>
          </w:tcPr>
          <w:p>
            <w:pPr>
              <w:jc w:val="right"/>
              <w:ind w:right="220"/>
              <w:spacing w:after="0" w:line="243" w:lineRule="exact"/>
              <w:rPr>
                <w:sz w:val="20"/>
                <w:szCs w:val="20"/>
                <w:color w:val="auto"/>
              </w:rPr>
            </w:pPr>
            <w:r>
              <w:rPr>
                <w:rFonts w:ascii="Arial" w:cs="Arial" w:eastAsia="Arial" w:hAnsi="Arial"/>
                <w:sz w:val="22"/>
                <w:szCs w:val="22"/>
                <w:color w:val="auto"/>
              </w:rPr>
              <w:t>(1,732)</w:t>
            </w:r>
          </w:p>
        </w:tc>
        <w:tc>
          <w:tcPr>
            <w:tcW w:w="1140" w:type="dxa"/>
            <w:vAlign w:val="bottom"/>
            <w:gridSpan w:val="2"/>
          </w:tcPr>
          <w:p>
            <w:pPr>
              <w:jc w:val="right"/>
              <w:ind w:right="40"/>
              <w:spacing w:after="0" w:line="243" w:lineRule="exact"/>
              <w:rPr>
                <w:sz w:val="20"/>
                <w:szCs w:val="20"/>
                <w:color w:val="auto"/>
              </w:rPr>
            </w:pPr>
            <w:r>
              <w:rPr>
                <w:rFonts w:ascii="Arial" w:cs="Arial" w:eastAsia="Arial" w:hAnsi="Arial"/>
                <w:sz w:val="22"/>
                <w:szCs w:val="22"/>
                <w:color w:val="auto"/>
              </w:rPr>
              <w:t>(2,012)</w:t>
            </w:r>
          </w:p>
        </w:tc>
        <w:tc>
          <w:tcPr>
            <w:tcW w:w="0" w:type="dxa"/>
            <w:vAlign w:val="bottom"/>
          </w:tcPr>
          <w:p>
            <w:pPr>
              <w:spacing w:after="0"/>
              <w:rPr>
                <w:sz w:val="1"/>
                <w:szCs w:val="1"/>
                <w:color w:val="auto"/>
              </w:rPr>
            </w:pPr>
          </w:p>
        </w:tc>
      </w:tr>
      <w:tr>
        <w:trPr>
          <w:trHeight w:val="243"/>
        </w:trPr>
        <w:tc>
          <w:tcPr>
            <w:tcW w:w="7720" w:type="dxa"/>
            <w:vAlign w:val="bottom"/>
          </w:tcPr>
          <w:p>
            <w:pPr>
              <w:ind w:left="160"/>
              <w:spacing w:after="0" w:line="243" w:lineRule="exact"/>
              <w:rPr>
                <w:sz w:val="20"/>
                <w:szCs w:val="20"/>
                <w:color w:val="auto"/>
              </w:rPr>
            </w:pPr>
            <w:r>
              <w:rPr>
                <w:rFonts w:ascii="Arial" w:cs="Arial" w:eastAsia="Arial" w:hAnsi="Arial"/>
                <w:sz w:val="22"/>
                <w:szCs w:val="22"/>
                <w:color w:val="auto"/>
              </w:rPr>
              <w:t>Additions to intangible and other noncurrent assets</w:t>
            </w:r>
          </w:p>
        </w:tc>
        <w:tc>
          <w:tcPr>
            <w:tcW w:w="1320" w:type="dxa"/>
            <w:vAlign w:val="bottom"/>
            <w:gridSpan w:val="3"/>
          </w:tcPr>
          <w:p>
            <w:pPr>
              <w:jc w:val="right"/>
              <w:ind w:right="220"/>
              <w:spacing w:after="0" w:line="243" w:lineRule="exact"/>
              <w:rPr>
                <w:sz w:val="20"/>
                <w:szCs w:val="20"/>
                <w:color w:val="auto"/>
              </w:rPr>
            </w:pPr>
            <w:r>
              <w:rPr>
                <w:rFonts w:ascii="Arial" w:cs="Arial" w:eastAsia="Arial" w:hAnsi="Arial"/>
                <w:sz w:val="22"/>
                <w:szCs w:val="22"/>
                <w:color w:val="auto"/>
              </w:rPr>
              <w:t>(453)</w:t>
            </w:r>
          </w:p>
        </w:tc>
        <w:tc>
          <w:tcPr>
            <w:tcW w:w="1140" w:type="dxa"/>
            <w:vAlign w:val="bottom"/>
            <w:gridSpan w:val="2"/>
          </w:tcPr>
          <w:p>
            <w:pPr>
              <w:jc w:val="right"/>
              <w:ind w:right="40"/>
              <w:spacing w:after="0" w:line="243" w:lineRule="exact"/>
              <w:rPr>
                <w:sz w:val="20"/>
                <w:szCs w:val="20"/>
                <w:color w:val="auto"/>
              </w:rPr>
            </w:pPr>
            <w:r>
              <w:rPr>
                <w:rFonts w:ascii="Arial" w:cs="Arial" w:eastAsia="Arial" w:hAnsi="Arial"/>
                <w:sz w:val="22"/>
                <w:szCs w:val="22"/>
                <w:color w:val="auto"/>
              </w:rPr>
              <w:t>(110)</w:t>
            </w:r>
          </w:p>
        </w:tc>
        <w:tc>
          <w:tcPr>
            <w:tcW w:w="0" w:type="dxa"/>
            <w:vAlign w:val="bottom"/>
          </w:tcPr>
          <w:p>
            <w:pPr>
              <w:spacing w:after="0"/>
              <w:rPr>
                <w:sz w:val="1"/>
                <w:szCs w:val="1"/>
                <w:color w:val="auto"/>
              </w:rPr>
            </w:pPr>
          </w:p>
        </w:tc>
      </w:tr>
      <w:tr>
        <w:trPr>
          <w:trHeight w:val="275"/>
        </w:trPr>
        <w:tc>
          <w:tcPr>
            <w:tcW w:w="7720" w:type="dxa"/>
            <w:vAlign w:val="bottom"/>
          </w:tcPr>
          <w:p>
            <w:pPr>
              <w:ind w:left="180"/>
              <w:spacing w:after="0"/>
              <w:rPr>
                <w:sz w:val="20"/>
                <w:szCs w:val="20"/>
                <w:color w:val="auto"/>
              </w:rPr>
            </w:pPr>
            <w:r>
              <w:rPr>
                <w:rFonts w:ascii="Arial" w:cs="Arial" w:eastAsia="Arial" w:hAnsi="Arial"/>
                <w:sz w:val="22"/>
                <w:szCs w:val="22"/>
                <w:color w:val="auto"/>
              </w:rPr>
              <w:t>Proceeds from settlement of contract of acquired company</w:t>
            </w:r>
          </w:p>
        </w:tc>
        <w:tc>
          <w:tcPr>
            <w:tcW w:w="1040" w:type="dxa"/>
            <w:vAlign w:val="bottom"/>
            <w:gridSpan w:val="2"/>
          </w:tcPr>
          <w:p>
            <w:pPr>
              <w:jc w:val="right"/>
              <w:ind w:right="20"/>
              <w:spacing w:after="0"/>
              <w:rPr>
                <w:sz w:val="20"/>
                <w:szCs w:val="20"/>
                <w:color w:val="auto"/>
              </w:rPr>
            </w:pPr>
            <w:r>
              <w:rPr>
                <w:rFonts w:ascii="Arial" w:cs="Arial" w:eastAsia="Arial" w:hAnsi="Arial"/>
                <w:sz w:val="22"/>
                <w:szCs w:val="22"/>
                <w:color w:val="auto"/>
              </w:rPr>
              <w:t>26</w:t>
            </w:r>
          </w:p>
        </w:tc>
        <w:tc>
          <w:tcPr>
            <w:tcW w:w="2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8"/>
        </w:trPr>
        <w:tc>
          <w:tcPr>
            <w:tcW w:w="7720" w:type="dxa"/>
            <w:vAlign w:val="bottom"/>
          </w:tcPr>
          <w:p>
            <w:pPr>
              <w:spacing w:after="0"/>
              <w:rPr>
                <w:sz w:val="8"/>
                <w:szCs w:val="8"/>
                <w:color w:val="auto"/>
              </w:rPr>
            </w:pPr>
          </w:p>
        </w:tc>
        <w:tc>
          <w:tcPr>
            <w:tcW w:w="1040" w:type="dxa"/>
            <w:vAlign w:val="bottom"/>
            <w:tcBorders>
              <w:bottom w:val="single" w:sz="8" w:color="808080"/>
            </w:tcBorders>
            <w:gridSpan w:val="2"/>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55"/>
        </w:trPr>
        <w:tc>
          <w:tcPr>
            <w:tcW w:w="7720" w:type="dxa"/>
            <w:vAlign w:val="bottom"/>
          </w:tcPr>
          <w:p>
            <w:pPr>
              <w:ind w:left="380"/>
              <w:spacing w:after="0"/>
              <w:rPr>
                <w:sz w:val="20"/>
                <w:szCs w:val="20"/>
                <w:color w:val="auto"/>
              </w:rPr>
            </w:pPr>
            <w:r>
              <w:rPr>
                <w:rFonts w:ascii="Arial" w:cs="Arial" w:eastAsia="Arial" w:hAnsi="Arial"/>
                <w:sz w:val="22"/>
                <w:szCs w:val="22"/>
                <w:color w:val="auto"/>
                <w:w w:val="97"/>
              </w:rPr>
              <w:t>Net cash (used in) provided by investing activities from continuing operations</w:t>
            </w:r>
          </w:p>
        </w:tc>
        <w:tc>
          <w:tcPr>
            <w:tcW w:w="1320" w:type="dxa"/>
            <w:vAlign w:val="bottom"/>
            <w:gridSpan w:val="3"/>
          </w:tcPr>
          <w:p>
            <w:pPr>
              <w:jc w:val="right"/>
              <w:ind w:right="220"/>
              <w:spacing w:after="0"/>
              <w:rPr>
                <w:sz w:val="20"/>
                <w:szCs w:val="20"/>
                <w:color w:val="auto"/>
              </w:rPr>
            </w:pPr>
            <w:r>
              <w:rPr>
                <w:rFonts w:ascii="Arial" w:cs="Arial" w:eastAsia="Arial" w:hAnsi="Arial"/>
                <w:sz w:val="22"/>
                <w:szCs w:val="22"/>
                <w:color w:val="auto"/>
              </w:rPr>
              <w:t>(2,565)</w:t>
            </w:r>
          </w:p>
        </w:tc>
        <w:tc>
          <w:tcPr>
            <w:tcW w:w="1020" w:type="dxa"/>
            <w:vAlign w:val="bottom"/>
          </w:tcPr>
          <w:p>
            <w:pPr>
              <w:jc w:val="right"/>
              <w:spacing w:after="0"/>
              <w:rPr>
                <w:sz w:val="20"/>
                <w:szCs w:val="20"/>
                <w:color w:val="auto"/>
              </w:rPr>
            </w:pPr>
            <w:r>
              <w:rPr>
                <w:rFonts w:ascii="Arial" w:cs="Arial" w:eastAsia="Arial" w:hAnsi="Arial"/>
                <w:sz w:val="22"/>
                <w:szCs w:val="22"/>
                <w:color w:val="auto"/>
              </w:rPr>
              <w:t>1,298</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772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300" w:type="dxa"/>
            <w:vAlign w:val="bottom"/>
            <w:gridSpan w:val="2"/>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55"/>
        </w:trPr>
        <w:tc>
          <w:tcPr>
            <w:tcW w:w="7720" w:type="dxa"/>
            <w:vAlign w:val="bottom"/>
          </w:tcPr>
          <w:p>
            <w:pPr>
              <w:spacing w:after="0"/>
              <w:rPr>
                <w:sz w:val="20"/>
                <w:szCs w:val="20"/>
                <w:color w:val="auto"/>
              </w:rPr>
            </w:pPr>
            <w:r>
              <w:rPr>
                <w:rFonts w:ascii="Arial" w:cs="Arial" w:eastAsia="Arial" w:hAnsi="Arial"/>
                <w:sz w:val="22"/>
                <w:szCs w:val="22"/>
                <w:color w:val="auto"/>
              </w:rPr>
              <w:t>(DECREASE) INCREASE IN CASH AND CASH EQUIVALENTS</w:t>
            </w:r>
          </w:p>
        </w:tc>
        <w:tc>
          <w:tcPr>
            <w:tcW w:w="1320" w:type="dxa"/>
            <w:vAlign w:val="bottom"/>
            <w:gridSpan w:val="3"/>
          </w:tcPr>
          <w:p>
            <w:pPr>
              <w:jc w:val="right"/>
              <w:ind w:right="220"/>
              <w:spacing w:after="0"/>
              <w:rPr>
                <w:sz w:val="20"/>
                <w:szCs w:val="20"/>
                <w:color w:val="auto"/>
              </w:rPr>
            </w:pPr>
            <w:r>
              <w:rPr>
                <w:rFonts w:ascii="Arial" w:cs="Arial" w:eastAsia="Arial" w:hAnsi="Arial"/>
                <w:sz w:val="22"/>
                <w:szCs w:val="22"/>
                <w:color w:val="auto"/>
              </w:rPr>
              <w:t>(956)</w:t>
            </w:r>
          </w:p>
        </w:tc>
        <w:tc>
          <w:tcPr>
            <w:tcW w:w="1020" w:type="dxa"/>
            <w:vAlign w:val="bottom"/>
          </w:tcPr>
          <w:p>
            <w:pPr>
              <w:jc w:val="right"/>
              <w:spacing w:after="0"/>
              <w:rPr>
                <w:sz w:val="20"/>
                <w:szCs w:val="20"/>
                <w:color w:val="auto"/>
              </w:rPr>
            </w:pPr>
            <w:r>
              <w:rPr>
                <w:rFonts w:ascii="Arial" w:cs="Arial" w:eastAsia="Arial" w:hAnsi="Arial"/>
                <w:sz w:val="22"/>
                <w:szCs w:val="22"/>
                <w:color w:val="auto"/>
              </w:rPr>
              <w:t>311</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7720" w:type="dxa"/>
            <w:vAlign w:val="bottom"/>
          </w:tcPr>
          <w:p>
            <w:pPr>
              <w:spacing w:after="0"/>
              <w:rPr>
                <w:sz w:val="20"/>
                <w:szCs w:val="20"/>
                <w:color w:val="auto"/>
              </w:rPr>
            </w:pPr>
            <w:r>
              <w:rPr>
                <w:rFonts w:ascii="Arial" w:cs="Arial" w:eastAsia="Arial" w:hAnsi="Arial"/>
                <w:sz w:val="22"/>
                <w:szCs w:val="22"/>
                <w:color w:val="auto"/>
              </w:rPr>
              <w:t>CASH AND CASH EQUIVALENTS, beginning of period</w:t>
            </w:r>
          </w:p>
        </w:tc>
        <w:tc>
          <w:tcPr>
            <w:tcW w:w="1040" w:type="dxa"/>
            <w:vAlign w:val="bottom"/>
            <w:gridSpan w:val="2"/>
          </w:tcPr>
          <w:p>
            <w:pPr>
              <w:jc w:val="right"/>
              <w:ind w:right="20"/>
              <w:spacing w:after="0"/>
              <w:rPr>
                <w:sz w:val="20"/>
                <w:szCs w:val="20"/>
                <w:color w:val="auto"/>
              </w:rPr>
            </w:pPr>
            <w:r>
              <w:rPr>
                <w:rFonts w:ascii="Arial" w:cs="Arial" w:eastAsia="Arial" w:hAnsi="Arial"/>
                <w:sz w:val="22"/>
                <w:szCs w:val="22"/>
                <w:color w:val="auto"/>
              </w:rPr>
              <w:t>1,550</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2"/>
                <w:szCs w:val="22"/>
                <w:color w:val="auto"/>
              </w:rPr>
              <w:t>505</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7720" w:type="dxa"/>
            <w:vAlign w:val="bottom"/>
          </w:tcPr>
          <w:p>
            <w:pPr>
              <w:spacing w:after="0"/>
              <w:rPr>
                <w:sz w:val="8"/>
                <w:szCs w:val="8"/>
                <w:color w:val="auto"/>
              </w:rPr>
            </w:pPr>
          </w:p>
        </w:tc>
        <w:tc>
          <w:tcPr>
            <w:tcW w:w="1040" w:type="dxa"/>
            <w:vAlign w:val="bottom"/>
            <w:tcBorders>
              <w:bottom w:val="single" w:sz="8" w:color="808080"/>
            </w:tcBorders>
            <w:gridSpan w:val="2"/>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55"/>
        </w:trPr>
        <w:tc>
          <w:tcPr>
            <w:tcW w:w="7720" w:type="dxa"/>
            <w:vAlign w:val="bottom"/>
          </w:tcPr>
          <w:p>
            <w:pPr>
              <w:spacing w:after="0"/>
              <w:rPr>
                <w:sz w:val="20"/>
                <w:szCs w:val="20"/>
                <w:color w:val="auto"/>
              </w:rPr>
            </w:pPr>
            <w:r>
              <w:rPr>
                <w:rFonts w:ascii="Arial" w:cs="Arial" w:eastAsia="Arial" w:hAnsi="Arial"/>
                <w:sz w:val="22"/>
                <w:szCs w:val="22"/>
                <w:color w:val="auto"/>
              </w:rPr>
              <w:t>CASH AND CASH EQUIVALENTS, end of period</w:t>
            </w:r>
          </w:p>
        </w:tc>
        <w:tc>
          <w:tcPr>
            <w:tcW w:w="1040" w:type="dxa"/>
            <w:vAlign w:val="bottom"/>
            <w:gridSpan w:val="2"/>
          </w:tcPr>
          <w:p>
            <w:pPr>
              <w:jc w:val="right"/>
              <w:ind w:right="20"/>
              <w:spacing w:after="0"/>
              <w:rPr>
                <w:sz w:val="20"/>
                <w:szCs w:val="20"/>
                <w:color w:val="auto"/>
              </w:rPr>
            </w:pPr>
            <w:r>
              <w:rPr>
                <w:rFonts w:ascii="Arial" w:cs="Arial" w:eastAsia="Arial" w:hAnsi="Arial"/>
                <w:sz w:val="22"/>
                <w:szCs w:val="22"/>
                <w:color w:val="auto"/>
              </w:rPr>
              <w:t>$594</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2"/>
                <w:szCs w:val="22"/>
                <w:color w:val="auto"/>
              </w:rPr>
              <w:t>$816</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7720" w:type="dxa"/>
            <w:vAlign w:val="bottom"/>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-14605</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-14605</wp:posOffset>
            </wp:positionV>
            <wp:extent cx="12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-14605</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-14605</wp:posOffset>
            </wp:positionV>
            <wp:extent cx="12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79" w:lineRule="exact"/>
        <w:rPr>
          <w:sz w:val="20"/>
          <w:szCs w:val="20"/>
          <w:color w:val="auto"/>
        </w:rPr>
      </w:pPr>
    </w:p>
    <w:p>
      <w:pPr>
        <w:spacing w:after="0"/>
        <w:rPr>
          <w:sz w:val="20"/>
          <w:szCs w:val="20"/>
          <w:color w:val="auto"/>
        </w:rPr>
      </w:pPr>
      <w:r>
        <w:rPr>
          <w:rFonts w:ascii="Arial" w:cs="Arial" w:eastAsia="Arial" w:hAnsi="Arial"/>
          <w:sz w:val="22"/>
          <w:szCs w:val="22"/>
          <w:color w:val="auto"/>
        </w:rPr>
        <w:t>See notes to condensed consolidated financial statements.</w:t>
      </w:r>
    </w:p>
    <w:p>
      <w:pPr>
        <w:spacing w:after="0" w:line="206" w:lineRule="exact"/>
        <w:rPr>
          <w:sz w:val="20"/>
          <w:szCs w:val="20"/>
          <w:color w:val="auto"/>
        </w:rPr>
      </w:pPr>
    </w:p>
    <w:p>
      <w:pPr>
        <w:ind w:left="5660"/>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6376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jc w:val="center"/>
        <w:ind w:right="-1160"/>
        <w:spacing w:after="0"/>
        <w:rPr>
          <w:sz w:val="20"/>
          <w:szCs w:val="20"/>
          <w:color w:val="auto"/>
        </w:rPr>
      </w:pPr>
      <w:r>
        <w:rPr>
          <w:rFonts w:ascii="Arial" w:cs="Arial" w:eastAsia="Arial" w:hAnsi="Arial"/>
          <w:sz w:val="22"/>
          <w:szCs w:val="22"/>
          <w:color w:val="auto"/>
        </w:rPr>
        <w:t>COMCAST CORPORATION AND SUBSIDIARIES</w:t>
      </w:r>
    </w:p>
    <w:p>
      <w:pPr>
        <w:jc w:val="center"/>
        <w:ind w:right="-1160"/>
        <w:spacing w:after="0" w:line="238" w:lineRule="auto"/>
        <w:rPr>
          <w:sz w:val="20"/>
          <w:szCs w:val="20"/>
          <w:color w:val="auto"/>
        </w:rPr>
      </w:pPr>
      <w:r>
        <w:rPr>
          <w:rFonts w:ascii="Arial" w:cs="Arial" w:eastAsia="Arial" w:hAnsi="Arial"/>
          <w:sz w:val="22"/>
          <w:szCs w:val="22"/>
          <w:color w:val="auto"/>
        </w:rPr>
        <w:t>FORM 10-Q</w:t>
      </w:r>
    </w:p>
    <w:p>
      <w:pPr>
        <w:jc w:val="center"/>
        <w:ind w:right="-1160"/>
        <w:spacing w:after="0" w:line="230" w:lineRule="auto"/>
        <w:rPr>
          <w:sz w:val="20"/>
          <w:szCs w:val="20"/>
          <w:color w:val="auto"/>
        </w:rPr>
      </w:pPr>
      <w:r>
        <w:rPr>
          <w:rFonts w:ascii="Arial" w:cs="Arial" w:eastAsia="Arial" w:hAnsi="Arial"/>
          <w:sz w:val="22"/>
          <w:szCs w:val="22"/>
          <w:color w:val="auto"/>
        </w:rPr>
        <w:t>QUARTER ENDED JUNE 30, 2004</w:t>
      </w:r>
    </w:p>
    <w:p>
      <w:pPr>
        <w:jc w:val="center"/>
        <w:ind w:right="-1160"/>
        <w:spacing w:after="0" w:line="231" w:lineRule="auto"/>
        <w:rPr>
          <w:sz w:val="20"/>
          <w:szCs w:val="20"/>
          <w:color w:val="auto"/>
        </w:rPr>
      </w:pPr>
      <w:r>
        <w:rPr>
          <w:rFonts w:ascii="Arial" w:cs="Arial" w:eastAsia="Arial" w:hAnsi="Arial"/>
          <w:sz w:val="22"/>
          <w:szCs w:val="22"/>
          <w:color w:val="auto"/>
        </w:rPr>
        <w:t>NOTES TO CONDENSED CONSOLIDATED FINANCIAL STATEMENTS</w:t>
      </w:r>
    </w:p>
    <w:p>
      <w:pPr>
        <w:spacing w:after="0" w:line="1" w:lineRule="exact"/>
        <w:rPr>
          <w:sz w:val="20"/>
          <w:szCs w:val="20"/>
          <w:color w:val="auto"/>
        </w:rPr>
      </w:pPr>
    </w:p>
    <w:p>
      <w:pPr>
        <w:jc w:val="center"/>
        <w:ind w:right="-1200"/>
        <w:spacing w:after="0"/>
        <w:rPr>
          <w:sz w:val="20"/>
          <w:szCs w:val="20"/>
          <w:color w:val="auto"/>
        </w:rPr>
      </w:pPr>
      <w:r>
        <w:rPr>
          <w:rFonts w:ascii="Arial" w:cs="Arial" w:eastAsia="Arial" w:hAnsi="Arial"/>
          <w:sz w:val="22"/>
          <w:szCs w:val="22"/>
          <w:color w:val="auto"/>
        </w:rPr>
        <w:t>(Unaudited)</w:t>
      </w:r>
    </w:p>
    <w:p>
      <w:pPr>
        <w:spacing w:after="0" w:line="188" w:lineRule="exact"/>
        <w:rPr>
          <w:sz w:val="20"/>
          <w:szCs w:val="20"/>
          <w:color w:val="auto"/>
        </w:rPr>
      </w:pPr>
    </w:p>
    <w:p>
      <w:pPr>
        <w:ind w:left="460" w:hanging="452"/>
        <w:spacing w:after="0"/>
        <w:tabs>
          <w:tab w:leader="none" w:pos="460" w:val="left"/>
        </w:tabs>
        <w:numPr>
          <w:ilvl w:val="0"/>
          <w:numId w:val="3"/>
        </w:numPr>
        <w:rPr>
          <w:rFonts w:ascii="Arial" w:cs="Arial" w:eastAsia="Arial" w:hAnsi="Arial"/>
          <w:sz w:val="22"/>
          <w:szCs w:val="22"/>
          <w:color w:val="auto"/>
        </w:rPr>
      </w:pPr>
      <w:r>
        <w:rPr>
          <w:rFonts w:ascii="Arial" w:cs="Arial" w:eastAsia="Arial" w:hAnsi="Arial"/>
          <w:sz w:val="22"/>
          <w:szCs w:val="22"/>
          <w:color w:val="auto"/>
        </w:rPr>
        <w:t>CONDENSED CONSOLIDATED FINANCIAL STATEMENTS</w:t>
      </w:r>
    </w:p>
    <w:p>
      <w:pPr>
        <w:sectPr>
          <w:pgSz w:w="11900" w:h="16838" w:orient="portrait"/>
          <w:cols w:equalWidth="0" w:num="1">
            <w:col w:w="10219"/>
          </w:cols>
          <w:pgMar w:left="240" w:top="108" w:right="1440" w:bottom="0" w:gutter="0" w:footer="0" w:header="0"/>
        </w:sectPr>
      </w:pPr>
    </w:p>
    <w:bookmarkStart w:id="5" w:name="page6"/>
    <w:bookmarkEnd w:id="5"/>
    <w:p>
      <w:pPr>
        <w:ind w:left="460"/>
        <w:spacing w:after="0"/>
        <w:rPr>
          <w:sz w:val="20"/>
          <w:szCs w:val="20"/>
          <w:color w:val="auto"/>
        </w:rPr>
      </w:pPr>
      <w:r>
        <w:rPr>
          <w:rFonts w:ascii="Arial" w:cs="Arial" w:eastAsia="Arial" w:hAnsi="Arial"/>
          <w:sz w:val="22"/>
          <w:szCs w:val="22"/>
          <w:i w:val="1"/>
          <w:iCs w:val="1"/>
          <w:color w:val="auto"/>
        </w:rPr>
        <w:t>Basis of Presentation</w:t>
      </w:r>
    </w:p>
    <w:p>
      <w:pPr>
        <w:spacing w:after="0" w:line="9" w:lineRule="exact"/>
        <w:rPr>
          <w:sz w:val="20"/>
          <w:szCs w:val="20"/>
          <w:color w:val="auto"/>
        </w:rPr>
      </w:pPr>
    </w:p>
    <w:p>
      <w:pPr>
        <w:ind w:left="460" w:right="880"/>
        <w:spacing w:after="0" w:line="237" w:lineRule="auto"/>
        <w:rPr>
          <w:sz w:val="20"/>
          <w:szCs w:val="20"/>
          <w:color w:val="auto"/>
        </w:rPr>
      </w:pPr>
      <w:r>
        <w:rPr>
          <w:rFonts w:ascii="Arial" w:cs="Arial" w:eastAsia="Arial" w:hAnsi="Arial"/>
          <w:sz w:val="22"/>
          <w:szCs w:val="22"/>
          <w:color w:val="auto"/>
        </w:rPr>
        <w:t>We have prepared these unaudited condensed consolidated financial statements based upon Securities and Exchange Commission (“SEC”) rules that permit reduced disclosure for interim periods.</w:t>
      </w:r>
    </w:p>
    <w:p>
      <w:pPr>
        <w:spacing w:after="0" w:line="212" w:lineRule="exact"/>
        <w:rPr>
          <w:sz w:val="20"/>
          <w:szCs w:val="20"/>
          <w:color w:val="auto"/>
        </w:rPr>
      </w:pPr>
    </w:p>
    <w:p>
      <w:pPr>
        <w:ind w:left="460" w:right="340"/>
        <w:spacing w:after="0" w:line="297" w:lineRule="auto"/>
        <w:rPr>
          <w:sz w:val="20"/>
          <w:szCs w:val="20"/>
          <w:color w:val="auto"/>
        </w:rPr>
      </w:pPr>
      <w:r>
        <w:rPr>
          <w:rFonts w:ascii="Arial" w:cs="Arial" w:eastAsia="Arial" w:hAnsi="Arial"/>
          <w:sz w:val="19"/>
          <w:szCs w:val="19"/>
          <w:color w:val="auto"/>
        </w:rPr>
        <w:t>These financial statements include all adjustments that are necessary for a fair presentation of our results of operations and financial condition for the interim periods shown, including normal recurring accruals and other items. The results of operations for the interim periods presented are not necessarily indicative of results for the full year.</w:t>
      </w:r>
    </w:p>
    <w:p>
      <w:pPr>
        <w:spacing w:after="0" w:line="161" w:lineRule="exact"/>
        <w:rPr>
          <w:sz w:val="20"/>
          <w:szCs w:val="20"/>
          <w:color w:val="auto"/>
        </w:rPr>
      </w:pPr>
    </w:p>
    <w:p>
      <w:pPr>
        <w:ind w:left="460" w:right="160"/>
        <w:spacing w:after="0"/>
        <w:rPr>
          <w:sz w:val="20"/>
          <w:szCs w:val="20"/>
          <w:color w:val="auto"/>
        </w:rPr>
      </w:pPr>
      <w:r>
        <w:rPr>
          <w:rFonts w:ascii="Arial" w:cs="Arial" w:eastAsia="Arial" w:hAnsi="Arial"/>
          <w:sz w:val="22"/>
          <w:szCs w:val="22"/>
          <w:color w:val="auto"/>
        </w:rPr>
        <w:t>Effective in the first quarter of 2004, we changed the unit of accounting used for testing impairment of our indefinite-lived franchise rights to geographic regions and performed impairment testing of our cable franchise rights. We did not record any impairment charges in connection with this impairment testing.</w:t>
      </w:r>
    </w:p>
    <w:p>
      <w:pPr>
        <w:spacing w:after="0" w:line="213" w:lineRule="exact"/>
        <w:rPr>
          <w:sz w:val="20"/>
          <w:szCs w:val="20"/>
          <w:color w:val="auto"/>
        </w:rPr>
      </w:pPr>
    </w:p>
    <w:p>
      <w:pPr>
        <w:ind w:left="460" w:right="460"/>
        <w:spacing w:after="0" w:line="251" w:lineRule="auto"/>
        <w:rPr>
          <w:sz w:val="20"/>
          <w:szCs w:val="20"/>
          <w:color w:val="auto"/>
        </w:rPr>
      </w:pPr>
      <w:r>
        <w:rPr>
          <w:rFonts w:ascii="Arial" w:cs="Arial" w:eastAsia="Arial" w:hAnsi="Arial"/>
          <w:sz w:val="22"/>
          <w:szCs w:val="22"/>
          <w:color w:val="auto"/>
        </w:rPr>
        <w:t>For a more complete discussion of our accounting policies and certain other information, refer to the financial statements included in our Annual Report on Form 10-K for the year ended December 31, 2003.</w:t>
      </w:r>
    </w:p>
    <w:p>
      <w:pPr>
        <w:spacing w:after="0" w:line="200" w:lineRule="exact"/>
        <w:rPr>
          <w:sz w:val="20"/>
          <w:szCs w:val="20"/>
          <w:color w:val="auto"/>
        </w:rPr>
      </w:pPr>
    </w:p>
    <w:p>
      <w:pPr>
        <w:ind w:left="460" w:right="360"/>
        <w:spacing w:after="0"/>
        <w:rPr>
          <w:sz w:val="20"/>
          <w:szCs w:val="20"/>
          <w:color w:val="auto"/>
        </w:rPr>
      </w:pPr>
      <w:r>
        <w:rPr>
          <w:rFonts w:ascii="Arial" w:cs="Arial" w:eastAsia="Arial" w:hAnsi="Arial"/>
          <w:sz w:val="22"/>
          <w:szCs w:val="22"/>
          <w:color w:val="auto"/>
        </w:rPr>
        <w:t>On September 17, 2003, we completed the sale of our approximate 57% interest in QVC, Inc. Accordingly, QVC has been presented as a discontinued operation pursuant to Statement of Financial Accounting Standards (“SFAS”) No. 144, “Accounting for the Impairment or Disposal of Long-Lived Assets.”</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9"/>
          <w:szCs w:val="19"/>
          <w:color w:val="auto"/>
        </w:rPr>
        <w:t>The results of operations of QVC included within income from discontinued operations, net of tax are as follows (in millions):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780" w:type="dxa"/>
            <w:vAlign w:val="bottom"/>
          </w:tcPr>
          <w:p>
            <w:pPr>
              <w:spacing w:after="0"/>
              <w:rPr>
                <w:sz w:val="21"/>
                <w:szCs w:val="21"/>
                <w:color w:val="auto"/>
              </w:rPr>
            </w:pPr>
          </w:p>
        </w:tc>
        <w:tc>
          <w:tcPr>
            <w:tcW w:w="2000" w:type="dxa"/>
            <w:vAlign w:val="bottom"/>
            <w:gridSpan w:val="3"/>
          </w:tcPr>
          <w:p>
            <w:pPr>
              <w:jc w:val="center"/>
              <w:ind w:left="112"/>
              <w:spacing w:after="0"/>
              <w:rPr>
                <w:sz w:val="20"/>
                <w:szCs w:val="20"/>
                <w:color w:val="auto"/>
              </w:rPr>
            </w:pPr>
            <w:r>
              <w:rPr>
                <w:rFonts w:ascii="Arial" w:cs="Arial" w:eastAsia="Arial" w:hAnsi="Arial"/>
                <w:sz w:val="22"/>
                <w:szCs w:val="22"/>
                <w:color w:val="auto"/>
                <w:w w:val="89"/>
              </w:rPr>
              <w:t>Three Months</w:t>
            </w:r>
          </w:p>
        </w:tc>
        <w:tc>
          <w:tcPr>
            <w:tcW w:w="1200" w:type="dxa"/>
            <w:vAlign w:val="bottom"/>
          </w:tcPr>
          <w:p>
            <w:pPr>
              <w:jc w:val="center"/>
              <w:spacing w:after="0"/>
              <w:rPr>
                <w:sz w:val="20"/>
                <w:szCs w:val="20"/>
                <w:color w:val="auto"/>
              </w:rPr>
            </w:pPr>
            <w:r>
              <w:rPr>
                <w:rFonts w:ascii="Arial" w:cs="Arial" w:eastAsia="Arial" w:hAnsi="Arial"/>
                <w:sz w:val="22"/>
                <w:szCs w:val="22"/>
                <w:color w:val="auto"/>
                <w:w w:val="91"/>
              </w:rPr>
              <w:t>Six Months</w:t>
            </w:r>
          </w:p>
        </w:tc>
        <w:tc>
          <w:tcPr>
            <w:tcW w:w="0" w:type="dxa"/>
            <w:vAlign w:val="bottom"/>
          </w:tcPr>
          <w:p>
            <w:pPr>
              <w:spacing w:after="0"/>
              <w:rPr>
                <w:sz w:val="1"/>
                <w:szCs w:val="1"/>
                <w:color w:val="auto"/>
              </w:rPr>
            </w:pPr>
          </w:p>
        </w:tc>
      </w:tr>
      <w:tr>
        <w:trPr>
          <w:trHeight w:val="243"/>
        </w:trPr>
        <w:tc>
          <w:tcPr>
            <w:tcW w:w="47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500" w:type="dxa"/>
            <w:vAlign w:val="bottom"/>
            <w:gridSpan w:val="2"/>
          </w:tcPr>
          <w:p>
            <w:pPr>
              <w:jc w:val="center"/>
              <w:ind w:right="300"/>
              <w:spacing w:after="0" w:line="243" w:lineRule="exact"/>
              <w:rPr>
                <w:sz w:val="20"/>
                <w:szCs w:val="20"/>
                <w:color w:val="auto"/>
              </w:rPr>
            </w:pPr>
            <w:r>
              <w:rPr>
                <w:rFonts w:ascii="Arial" w:cs="Arial" w:eastAsia="Arial" w:hAnsi="Arial"/>
                <w:sz w:val="22"/>
                <w:szCs w:val="22"/>
                <w:color w:val="auto"/>
                <w:w w:val="87"/>
              </w:rPr>
              <w:t>Ended</w:t>
            </w:r>
          </w:p>
        </w:tc>
        <w:tc>
          <w:tcPr>
            <w:tcW w:w="1200" w:type="dxa"/>
            <w:vAlign w:val="bottom"/>
          </w:tcPr>
          <w:p>
            <w:pPr>
              <w:jc w:val="center"/>
              <w:spacing w:after="0" w:line="243" w:lineRule="exact"/>
              <w:rPr>
                <w:sz w:val="20"/>
                <w:szCs w:val="20"/>
                <w:color w:val="auto"/>
              </w:rPr>
            </w:pPr>
            <w:r>
              <w:rPr>
                <w:rFonts w:ascii="Arial" w:cs="Arial" w:eastAsia="Arial" w:hAnsi="Arial"/>
                <w:sz w:val="22"/>
                <w:szCs w:val="22"/>
                <w:color w:val="auto"/>
                <w:w w:val="87"/>
              </w:rPr>
              <w:t>Ended</w:t>
            </w:r>
          </w:p>
        </w:tc>
        <w:tc>
          <w:tcPr>
            <w:tcW w:w="0" w:type="dxa"/>
            <w:vAlign w:val="bottom"/>
          </w:tcPr>
          <w:p>
            <w:pPr>
              <w:spacing w:after="0"/>
              <w:rPr>
                <w:sz w:val="1"/>
                <w:szCs w:val="1"/>
                <w:color w:val="auto"/>
              </w:rPr>
            </w:pPr>
          </w:p>
        </w:tc>
      </w:tr>
      <w:tr>
        <w:trPr>
          <w:trHeight w:val="224"/>
        </w:trPr>
        <w:tc>
          <w:tcPr>
            <w:tcW w:w="4780" w:type="dxa"/>
            <w:vAlign w:val="bottom"/>
            <w:vMerge w:val="restart"/>
          </w:tcPr>
          <w:p>
            <w:pPr>
              <w:spacing w:after="0"/>
              <w:rPr>
                <w:sz w:val="20"/>
                <w:szCs w:val="20"/>
                <w:color w:val="auto"/>
              </w:rPr>
            </w:pPr>
            <w:r>
              <w:rPr>
                <w:rFonts w:ascii="Arial" w:cs="Arial" w:eastAsia="Arial" w:hAnsi="Arial"/>
                <w:sz w:val="22"/>
                <w:szCs w:val="22"/>
                <w:color w:val="auto"/>
              </w:rPr>
              <w:t>Revenues</w:t>
            </w:r>
          </w:p>
        </w:tc>
        <w:tc>
          <w:tcPr>
            <w:tcW w:w="500" w:type="dxa"/>
            <w:vAlign w:val="bottom"/>
          </w:tcPr>
          <w:p>
            <w:pPr>
              <w:spacing w:after="0"/>
              <w:rPr>
                <w:sz w:val="19"/>
                <w:szCs w:val="19"/>
                <w:color w:val="auto"/>
              </w:rPr>
            </w:pPr>
          </w:p>
        </w:tc>
        <w:tc>
          <w:tcPr>
            <w:tcW w:w="1500" w:type="dxa"/>
            <w:vAlign w:val="bottom"/>
            <w:gridSpan w:val="2"/>
          </w:tcPr>
          <w:p>
            <w:pPr>
              <w:jc w:val="center"/>
              <w:ind w:right="300"/>
              <w:spacing w:after="0" w:line="224" w:lineRule="exact"/>
              <w:rPr>
                <w:sz w:val="20"/>
                <w:szCs w:val="20"/>
                <w:color w:val="auto"/>
              </w:rPr>
            </w:pPr>
            <w:r>
              <w:rPr>
                <w:rFonts w:ascii="Arial" w:cs="Arial" w:eastAsia="Arial" w:hAnsi="Arial"/>
                <w:sz w:val="22"/>
                <w:szCs w:val="22"/>
                <w:color w:val="auto"/>
                <w:w w:val="86"/>
              </w:rPr>
              <w:t>June 30, 2003</w:t>
            </w:r>
          </w:p>
        </w:tc>
        <w:tc>
          <w:tcPr>
            <w:tcW w:w="1200" w:type="dxa"/>
            <w:vAlign w:val="bottom"/>
          </w:tcPr>
          <w:p>
            <w:pPr>
              <w:jc w:val="center"/>
              <w:spacing w:after="0" w:line="224" w:lineRule="exact"/>
              <w:rPr>
                <w:sz w:val="20"/>
                <w:szCs w:val="20"/>
                <w:color w:val="auto"/>
              </w:rPr>
            </w:pPr>
            <w:r>
              <w:rPr>
                <w:rFonts w:ascii="Arial" w:cs="Arial" w:eastAsia="Arial" w:hAnsi="Arial"/>
                <w:sz w:val="22"/>
                <w:szCs w:val="22"/>
                <w:color w:val="auto"/>
                <w:w w:val="86"/>
              </w:rPr>
              <w:t>June 30, 2003</w:t>
            </w:r>
          </w:p>
        </w:tc>
        <w:tc>
          <w:tcPr>
            <w:tcW w:w="0" w:type="dxa"/>
            <w:vAlign w:val="bottom"/>
          </w:tcPr>
          <w:p>
            <w:pPr>
              <w:spacing w:after="0"/>
              <w:rPr>
                <w:sz w:val="1"/>
                <w:szCs w:val="1"/>
                <w:color w:val="auto"/>
              </w:rPr>
            </w:pPr>
          </w:p>
        </w:tc>
      </w:tr>
      <w:tr>
        <w:trPr>
          <w:trHeight w:val="242"/>
        </w:trPr>
        <w:tc>
          <w:tcPr>
            <w:tcW w:w="4780" w:type="dxa"/>
            <w:vAlign w:val="bottom"/>
            <w:vMerge w:val="continue"/>
          </w:tcPr>
          <w:p>
            <w:pPr>
              <w:spacing w:after="0"/>
              <w:rPr>
                <w:sz w:val="21"/>
                <w:szCs w:val="21"/>
                <w:color w:val="auto"/>
              </w:rPr>
            </w:pPr>
          </w:p>
        </w:tc>
        <w:tc>
          <w:tcPr>
            <w:tcW w:w="500" w:type="dxa"/>
            <w:vAlign w:val="bottom"/>
          </w:tcPr>
          <w:p>
            <w:pPr>
              <w:spacing w:after="0"/>
              <w:rPr>
                <w:sz w:val="21"/>
                <w:szCs w:val="21"/>
                <w:color w:val="auto"/>
              </w:rPr>
            </w:pPr>
          </w:p>
        </w:tc>
        <w:tc>
          <w:tcPr>
            <w:tcW w:w="1200" w:type="dxa"/>
            <w:vAlign w:val="bottom"/>
            <w:tcBorders>
              <w:top w:val="single" w:sz="8" w:color="auto"/>
            </w:tcBorders>
          </w:tcPr>
          <w:p>
            <w:pPr>
              <w:jc w:val="right"/>
              <w:spacing w:after="0" w:line="242" w:lineRule="exact"/>
              <w:rPr>
                <w:sz w:val="20"/>
                <w:szCs w:val="20"/>
                <w:color w:val="auto"/>
              </w:rPr>
            </w:pPr>
            <w:r>
              <w:rPr>
                <w:rFonts w:ascii="Arial" w:cs="Arial" w:eastAsia="Arial" w:hAnsi="Arial"/>
                <w:sz w:val="22"/>
                <w:szCs w:val="22"/>
                <w:color w:val="auto"/>
              </w:rPr>
              <w:t>$1,101</w:t>
            </w:r>
          </w:p>
        </w:tc>
        <w:tc>
          <w:tcPr>
            <w:tcW w:w="300" w:type="dxa"/>
            <w:vAlign w:val="bottom"/>
          </w:tcPr>
          <w:p>
            <w:pPr>
              <w:spacing w:after="0"/>
              <w:rPr>
                <w:sz w:val="21"/>
                <w:szCs w:val="21"/>
                <w:color w:val="auto"/>
              </w:rPr>
            </w:pPr>
          </w:p>
        </w:tc>
        <w:tc>
          <w:tcPr>
            <w:tcW w:w="1200" w:type="dxa"/>
            <w:vAlign w:val="bottom"/>
            <w:tcBorders>
              <w:top w:val="single" w:sz="8" w:color="auto"/>
            </w:tcBorders>
          </w:tcPr>
          <w:p>
            <w:pPr>
              <w:jc w:val="right"/>
              <w:spacing w:after="0" w:line="242" w:lineRule="exact"/>
              <w:rPr>
                <w:sz w:val="20"/>
                <w:szCs w:val="20"/>
                <w:color w:val="auto"/>
              </w:rPr>
            </w:pPr>
            <w:r>
              <w:rPr>
                <w:rFonts w:ascii="Arial" w:cs="Arial" w:eastAsia="Arial" w:hAnsi="Arial"/>
                <w:sz w:val="22"/>
                <w:szCs w:val="22"/>
                <w:color w:val="auto"/>
              </w:rPr>
              <w:t>$2,163</w:t>
            </w:r>
          </w:p>
        </w:tc>
        <w:tc>
          <w:tcPr>
            <w:tcW w:w="0" w:type="dxa"/>
            <w:vAlign w:val="bottom"/>
          </w:tcPr>
          <w:p>
            <w:pPr>
              <w:spacing w:after="0"/>
              <w:rPr>
                <w:sz w:val="1"/>
                <w:szCs w:val="1"/>
                <w:color w:val="auto"/>
              </w:rPr>
            </w:pPr>
          </w:p>
        </w:tc>
      </w:tr>
      <w:tr>
        <w:trPr>
          <w:trHeight w:val="243"/>
        </w:trPr>
        <w:tc>
          <w:tcPr>
            <w:tcW w:w="4780" w:type="dxa"/>
            <w:vAlign w:val="bottom"/>
          </w:tcPr>
          <w:p>
            <w:pPr>
              <w:spacing w:after="0" w:line="243" w:lineRule="exact"/>
              <w:rPr>
                <w:sz w:val="20"/>
                <w:szCs w:val="20"/>
                <w:color w:val="auto"/>
              </w:rPr>
            </w:pPr>
            <w:r>
              <w:rPr>
                <w:rFonts w:ascii="Arial" w:cs="Arial" w:eastAsia="Arial" w:hAnsi="Arial"/>
                <w:sz w:val="22"/>
                <w:szCs w:val="22"/>
                <w:color w:val="auto"/>
                <w:w w:val="99"/>
              </w:rPr>
              <w:t>Income before income taxes and minority interest</w:t>
            </w:r>
          </w:p>
        </w:tc>
        <w:tc>
          <w:tcPr>
            <w:tcW w:w="170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$199</w:t>
            </w:r>
          </w:p>
        </w:tc>
        <w:tc>
          <w:tcPr>
            <w:tcW w:w="300" w:type="dxa"/>
            <w:vAlign w:val="bottom"/>
          </w:tcPr>
          <w:p>
            <w:pPr>
              <w:spacing w:after="0"/>
              <w:rPr>
                <w:sz w:val="21"/>
                <w:szCs w:val="21"/>
                <w:color w:val="auto"/>
              </w:rPr>
            </w:pPr>
          </w:p>
        </w:tc>
        <w:tc>
          <w:tcPr>
            <w:tcW w:w="1200" w:type="dxa"/>
            <w:vAlign w:val="bottom"/>
          </w:tcPr>
          <w:p>
            <w:pPr>
              <w:jc w:val="right"/>
              <w:spacing w:after="0" w:line="243" w:lineRule="exact"/>
              <w:rPr>
                <w:sz w:val="20"/>
                <w:szCs w:val="20"/>
                <w:color w:val="auto"/>
              </w:rPr>
            </w:pPr>
            <w:r>
              <w:rPr>
                <w:rFonts w:ascii="Arial" w:cs="Arial" w:eastAsia="Arial" w:hAnsi="Arial"/>
                <w:sz w:val="22"/>
                <w:szCs w:val="22"/>
                <w:color w:val="auto"/>
              </w:rPr>
              <w:t>$371</w:t>
            </w:r>
          </w:p>
        </w:tc>
        <w:tc>
          <w:tcPr>
            <w:tcW w:w="0" w:type="dxa"/>
            <w:vAlign w:val="bottom"/>
          </w:tcPr>
          <w:p>
            <w:pPr>
              <w:spacing w:after="0"/>
              <w:rPr>
                <w:sz w:val="1"/>
                <w:szCs w:val="1"/>
                <w:color w:val="auto"/>
              </w:rPr>
            </w:pPr>
          </w:p>
        </w:tc>
      </w:tr>
      <w:tr>
        <w:trPr>
          <w:trHeight w:val="275"/>
        </w:trPr>
        <w:tc>
          <w:tcPr>
            <w:tcW w:w="4780" w:type="dxa"/>
            <w:vAlign w:val="bottom"/>
          </w:tcPr>
          <w:p>
            <w:pPr>
              <w:spacing w:after="0"/>
              <w:rPr>
                <w:sz w:val="20"/>
                <w:szCs w:val="20"/>
                <w:color w:val="auto"/>
              </w:rPr>
            </w:pPr>
            <w:r>
              <w:rPr>
                <w:rFonts w:ascii="Arial" w:cs="Arial" w:eastAsia="Arial" w:hAnsi="Arial"/>
                <w:sz w:val="22"/>
                <w:szCs w:val="22"/>
                <w:color w:val="auto"/>
              </w:rPr>
              <w:t>Income tax expense</w:t>
            </w:r>
          </w:p>
        </w:tc>
        <w:tc>
          <w:tcPr>
            <w:tcW w:w="1700" w:type="dxa"/>
            <w:vAlign w:val="bottom"/>
            <w:gridSpan w:val="2"/>
          </w:tcPr>
          <w:p>
            <w:pPr>
              <w:jc w:val="right"/>
              <w:spacing w:after="0"/>
              <w:rPr>
                <w:sz w:val="20"/>
                <w:szCs w:val="20"/>
                <w:color w:val="auto"/>
              </w:rPr>
            </w:pPr>
            <w:r>
              <w:rPr>
                <w:rFonts w:ascii="Arial" w:cs="Arial" w:eastAsia="Arial" w:hAnsi="Arial"/>
                <w:sz w:val="22"/>
                <w:szCs w:val="22"/>
                <w:color w:val="auto"/>
              </w:rPr>
              <w:t>$64</w:t>
            </w:r>
          </w:p>
        </w:tc>
        <w:tc>
          <w:tcPr>
            <w:tcW w:w="30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22"/>
                <w:szCs w:val="22"/>
                <w:color w:val="auto"/>
              </w:rPr>
              <w:t>$137</w:t>
            </w:r>
          </w:p>
        </w:tc>
        <w:tc>
          <w:tcPr>
            <w:tcW w:w="0" w:type="dxa"/>
            <w:vAlign w:val="bottom"/>
          </w:tcPr>
          <w:p>
            <w:pPr>
              <w:spacing w:after="0"/>
              <w:rPr>
                <w:sz w:val="1"/>
                <w:szCs w:val="1"/>
                <w:color w:val="auto"/>
              </w:rPr>
            </w:pPr>
          </w:p>
        </w:tc>
      </w:tr>
    </w:tbl>
    <w:p>
      <w:pPr>
        <w:spacing w:after="0" w:line="212" w:lineRule="exact"/>
        <w:rPr>
          <w:sz w:val="20"/>
          <w:szCs w:val="20"/>
          <w:color w:val="auto"/>
        </w:rPr>
      </w:pPr>
    </w:p>
    <w:p>
      <w:pPr>
        <w:ind w:left="460"/>
        <w:spacing w:after="0"/>
        <w:rPr>
          <w:sz w:val="20"/>
          <w:szCs w:val="20"/>
          <w:color w:val="auto"/>
        </w:rPr>
      </w:pPr>
      <w:r>
        <w:rPr>
          <w:rFonts w:ascii="Arial" w:cs="Arial" w:eastAsia="Arial" w:hAnsi="Arial"/>
          <w:sz w:val="22"/>
          <w:szCs w:val="22"/>
          <w:i w:val="1"/>
          <w:iCs w:val="1"/>
          <w:color w:val="auto"/>
        </w:rPr>
        <w:t>Reclassifications</w:t>
      </w:r>
    </w:p>
    <w:p>
      <w:pPr>
        <w:spacing w:after="0" w:line="8" w:lineRule="exact"/>
        <w:rPr>
          <w:sz w:val="20"/>
          <w:szCs w:val="20"/>
          <w:color w:val="auto"/>
        </w:rPr>
      </w:pPr>
    </w:p>
    <w:p>
      <w:pPr>
        <w:ind w:left="460" w:right="500"/>
        <w:spacing w:after="0" w:line="237" w:lineRule="auto"/>
        <w:rPr>
          <w:sz w:val="20"/>
          <w:szCs w:val="20"/>
          <w:color w:val="auto"/>
        </w:rPr>
      </w:pPr>
      <w:r>
        <w:rPr>
          <w:rFonts w:ascii="Arial" w:cs="Arial" w:eastAsia="Arial" w:hAnsi="Arial"/>
          <w:sz w:val="22"/>
          <w:szCs w:val="22"/>
          <w:color w:val="auto"/>
        </w:rPr>
        <w:t>Certain reclassifications have been made to the prior year financial statements to conform to those classifications used in 2004.</w:t>
      </w:r>
    </w:p>
    <w:p>
      <w:pPr>
        <w:spacing w:after="0" w:line="212" w:lineRule="exact"/>
        <w:rPr>
          <w:sz w:val="20"/>
          <w:szCs w:val="20"/>
          <w:color w:val="auto"/>
        </w:rPr>
      </w:pPr>
    </w:p>
    <w:p>
      <w:pPr>
        <w:ind w:left="460" w:hanging="452"/>
        <w:spacing w:after="0"/>
        <w:tabs>
          <w:tab w:leader="none" w:pos="460" w:val="left"/>
        </w:tabs>
        <w:numPr>
          <w:ilvl w:val="0"/>
          <w:numId w:val="4"/>
        </w:numPr>
        <w:rPr>
          <w:rFonts w:ascii="Arial" w:cs="Arial" w:eastAsia="Arial" w:hAnsi="Arial"/>
          <w:sz w:val="22"/>
          <w:szCs w:val="22"/>
          <w:color w:val="auto"/>
        </w:rPr>
      </w:pPr>
      <w:r>
        <w:rPr>
          <w:rFonts w:ascii="Arial" w:cs="Arial" w:eastAsia="Arial" w:hAnsi="Arial"/>
          <w:sz w:val="22"/>
          <w:szCs w:val="22"/>
          <w:color w:val="auto"/>
        </w:rPr>
        <w:t>RECENT ACCOUNTING PRONOUNCEMENTS</w:t>
      </w:r>
    </w:p>
    <w:p>
      <w:pPr>
        <w:spacing w:after="0" w:line="233" w:lineRule="exact"/>
        <w:rPr>
          <w:rFonts w:ascii="Arial" w:cs="Arial" w:eastAsia="Arial" w:hAnsi="Arial"/>
          <w:sz w:val="22"/>
          <w:szCs w:val="22"/>
          <w:color w:val="auto"/>
        </w:rPr>
      </w:pPr>
    </w:p>
    <w:p>
      <w:pPr>
        <w:ind w:left="460"/>
        <w:spacing w:after="0"/>
        <w:rPr>
          <w:rFonts w:ascii="Arial" w:cs="Arial" w:eastAsia="Arial" w:hAnsi="Arial"/>
          <w:sz w:val="22"/>
          <w:szCs w:val="22"/>
          <w:color w:val="auto"/>
        </w:rPr>
      </w:pPr>
      <w:r>
        <w:rPr>
          <w:rFonts w:ascii="Arial" w:cs="Arial" w:eastAsia="Arial" w:hAnsi="Arial"/>
          <w:sz w:val="22"/>
          <w:szCs w:val="22"/>
          <w:i w:val="1"/>
          <w:iCs w:val="1"/>
          <w:color w:val="auto"/>
        </w:rPr>
        <w:t>FIN 46/FIN 46R</w:t>
      </w:r>
    </w:p>
    <w:p>
      <w:pPr>
        <w:spacing w:after="0" w:line="8" w:lineRule="exact"/>
        <w:rPr>
          <w:rFonts w:ascii="Arial" w:cs="Arial" w:eastAsia="Arial" w:hAnsi="Arial"/>
          <w:sz w:val="22"/>
          <w:szCs w:val="22"/>
          <w:color w:val="auto"/>
        </w:rPr>
      </w:pPr>
    </w:p>
    <w:p>
      <w:pPr>
        <w:ind w:left="460" w:right="40"/>
        <w:spacing w:after="0" w:line="275" w:lineRule="auto"/>
        <w:rPr>
          <w:rFonts w:ascii="Arial" w:cs="Arial" w:eastAsia="Arial" w:hAnsi="Arial"/>
          <w:sz w:val="22"/>
          <w:szCs w:val="22"/>
          <w:color w:val="auto"/>
        </w:rPr>
      </w:pPr>
      <w:r>
        <w:rPr>
          <w:rFonts w:ascii="Arial" w:cs="Arial" w:eastAsia="Arial" w:hAnsi="Arial"/>
          <w:sz w:val="19"/>
          <w:szCs w:val="19"/>
          <w:color w:val="auto"/>
        </w:rPr>
        <w:t>In January 2003, the Financial Accounting Standards Board (“FASB”) issued Interpretation No. 46, “Consolidation of Variable Interest Entities” (“FIN 46”). We adopted the provisions of FIN 46 effective January 1, 2002. Since our initial application of FIN 46, the FASB addressed various implementation issues regarding the application of FIN 46 to entities outside its originally interpreted scope, focusing on Special Purpose Entities, or SPEs. In December 2003, the FASB revised FIN 46 (“FIN 46R”), which delayed the required implementation date until March 31, 2004 for entities that are not SPEs. The adoption of FIN 46R did not have a material impact on our financial condition or results of operations.</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6376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COMCAST CORPORATION AND SUBSIDIARIES</w:t>
      </w:r>
    </w:p>
    <w:p>
      <w:pPr>
        <w:jc w:val="center"/>
        <w:ind w:right="20"/>
        <w:spacing w:after="0" w:line="238" w:lineRule="auto"/>
        <w:rPr>
          <w:sz w:val="20"/>
          <w:szCs w:val="20"/>
          <w:color w:val="auto"/>
        </w:rPr>
      </w:pPr>
      <w:r>
        <w:rPr>
          <w:rFonts w:ascii="Arial" w:cs="Arial" w:eastAsia="Arial" w:hAnsi="Arial"/>
          <w:sz w:val="22"/>
          <w:szCs w:val="22"/>
          <w:color w:val="auto"/>
        </w:rPr>
        <w:t>FORM 10-Q</w:t>
      </w:r>
    </w:p>
    <w:p>
      <w:pPr>
        <w:jc w:val="center"/>
        <w:ind w:right="20"/>
        <w:spacing w:after="0" w:line="230" w:lineRule="auto"/>
        <w:rPr>
          <w:sz w:val="20"/>
          <w:szCs w:val="20"/>
          <w:color w:val="auto"/>
        </w:rPr>
      </w:pPr>
      <w:r>
        <w:rPr>
          <w:rFonts w:ascii="Arial" w:cs="Arial" w:eastAsia="Arial" w:hAnsi="Arial"/>
          <w:sz w:val="22"/>
          <w:szCs w:val="22"/>
          <w:color w:val="auto"/>
        </w:rPr>
        <w:t>QUARTER ENDED JUNE 30, 2004</w:t>
      </w:r>
    </w:p>
    <w:p>
      <w:pPr>
        <w:jc w:val="center"/>
        <w:ind w:right="20"/>
        <w:spacing w:after="0" w:line="231" w:lineRule="auto"/>
        <w:rPr>
          <w:sz w:val="20"/>
          <w:szCs w:val="20"/>
          <w:color w:val="auto"/>
        </w:rPr>
      </w:pPr>
      <w:r>
        <w:rPr>
          <w:rFonts w:ascii="Arial" w:cs="Arial" w:eastAsia="Arial" w:hAnsi="Arial"/>
          <w:sz w:val="22"/>
          <w:szCs w:val="22"/>
          <w:color w:val="auto"/>
        </w:rPr>
        <w:t>NOTES TO CONDENSED CONSOLIDATED FINANCIAL STATEMENTS - CONTINUED</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(Unaudited)</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22"/>
          <w:szCs w:val="22"/>
          <w:i w:val="1"/>
          <w:iCs w:val="1"/>
          <w:color w:val="auto"/>
        </w:rPr>
        <w:t>EITF 03-16</w:t>
      </w:r>
    </w:p>
    <w:p>
      <w:pPr>
        <w:spacing w:after="0" w:line="8" w:lineRule="exact"/>
        <w:rPr>
          <w:sz w:val="20"/>
          <w:szCs w:val="20"/>
          <w:color w:val="auto"/>
        </w:rPr>
      </w:pPr>
    </w:p>
    <w:p>
      <w:pPr>
        <w:ind w:left="460"/>
        <w:spacing w:after="0" w:line="273" w:lineRule="auto"/>
        <w:rPr>
          <w:sz w:val="20"/>
          <w:szCs w:val="20"/>
          <w:color w:val="auto"/>
        </w:rPr>
      </w:pPr>
      <w:r>
        <w:rPr>
          <w:rFonts w:ascii="Arial" w:cs="Arial" w:eastAsia="Arial" w:hAnsi="Arial"/>
          <w:sz w:val="19"/>
          <w:szCs w:val="19"/>
          <w:color w:val="auto"/>
        </w:rPr>
        <w:t>In March 2004, the Emerging Issues Task Force (“EITF”) reached a consensus regarding Issue No. 03-16, “Accounting for Investments in Limited Liability Companies” (“EITF 03-16”). EITF 03-16 requires investments in limited liability companies (“LLCs”) that have separate ownership accounts for each investor to be accounted for similar to a limited partnership investment under Statement of Position No. 78-9, “Accounting for Investments in Real Estate Ventures.” Investors would be required to apply the equity method of accounting to their investments at a much lower ownership threshold than the 20% threshold applied under Accounting Principles Board (“APB”) No. 18, “The Equity Method of Accounting for Investments in Common Stock.” EITF 03-16 is effective for the first period beginning after June 15, 2004. The adoption of EITF 03-16 will not have a material impact on our financial condition or results of operations.</w:t>
      </w:r>
    </w:p>
    <w:p>
      <w:pPr>
        <w:spacing w:after="0" w:line="182" w:lineRule="exact"/>
        <w:rPr>
          <w:sz w:val="20"/>
          <w:szCs w:val="20"/>
          <w:color w:val="auto"/>
        </w:rPr>
      </w:pPr>
    </w:p>
    <w:p>
      <w:pPr>
        <w:ind w:left="460" w:hanging="452"/>
        <w:spacing w:after="0"/>
        <w:tabs>
          <w:tab w:leader="none" w:pos="460" w:val="left"/>
        </w:tabs>
        <w:numPr>
          <w:ilvl w:val="0"/>
          <w:numId w:val="5"/>
        </w:numPr>
        <w:rPr>
          <w:rFonts w:ascii="Arial" w:cs="Arial" w:eastAsia="Arial" w:hAnsi="Arial"/>
          <w:sz w:val="22"/>
          <w:szCs w:val="22"/>
          <w:color w:val="auto"/>
        </w:rPr>
      </w:pPr>
      <w:r>
        <w:rPr>
          <w:rFonts w:ascii="Arial" w:cs="Arial" w:eastAsia="Arial" w:hAnsi="Arial"/>
          <w:sz w:val="22"/>
          <w:szCs w:val="22"/>
          <w:color w:val="auto"/>
        </w:rPr>
        <w:t>EARNINGS PER SHARE</w:t>
      </w:r>
    </w:p>
    <w:p>
      <w:pPr>
        <w:spacing w:after="0" w:line="233" w:lineRule="exact"/>
        <w:rPr>
          <w:rFonts w:ascii="Arial" w:cs="Arial" w:eastAsia="Arial" w:hAnsi="Arial"/>
          <w:sz w:val="22"/>
          <w:szCs w:val="22"/>
          <w:color w:val="auto"/>
        </w:rPr>
      </w:pPr>
    </w:p>
    <w:p>
      <w:pPr>
        <w:ind w:left="460"/>
        <w:spacing w:after="0" w:line="328" w:lineRule="auto"/>
        <w:rPr>
          <w:rFonts w:ascii="Arial" w:cs="Arial" w:eastAsia="Arial" w:hAnsi="Arial"/>
          <w:sz w:val="22"/>
          <w:szCs w:val="22"/>
          <w:color w:val="auto"/>
        </w:rPr>
      </w:pPr>
      <w:r>
        <w:rPr>
          <w:rFonts w:ascii="Arial" w:cs="Arial" w:eastAsia="Arial" w:hAnsi="Arial"/>
          <w:sz w:val="19"/>
          <w:szCs w:val="19"/>
          <w:color w:val="auto"/>
        </w:rPr>
        <w:t>Earnings (loss) per common share (“EPS”) is computed by dividing net income (loss) from continuing operations for common stockholders by the weighted average number of common shares outstanding during the period on a basic and diluted basis.</w:t>
      </w:r>
    </w:p>
    <w:p>
      <w:pPr>
        <w:spacing w:after="0" w:line="132" w:lineRule="exact"/>
        <w:rPr>
          <w:rFonts w:ascii="Arial" w:cs="Arial" w:eastAsia="Arial" w:hAnsi="Arial"/>
          <w:sz w:val="22"/>
          <w:szCs w:val="22"/>
          <w:color w:val="auto"/>
        </w:rPr>
      </w:pPr>
    </w:p>
    <w:p>
      <w:pPr>
        <w:ind w:left="460"/>
        <w:spacing w:after="0"/>
        <w:rPr>
          <w:rFonts w:ascii="Arial" w:cs="Arial" w:eastAsia="Arial" w:hAnsi="Arial"/>
          <w:sz w:val="22"/>
          <w:szCs w:val="22"/>
          <w:color w:val="auto"/>
        </w:rPr>
      </w:pPr>
      <w:r>
        <w:rPr>
          <w:rFonts w:ascii="Arial" w:cs="Arial" w:eastAsia="Arial" w:hAnsi="Arial"/>
          <w:sz w:val="19"/>
          <w:szCs w:val="19"/>
          <w:color w:val="auto"/>
        </w:rPr>
        <w:t>Our potentially dilutive securities include potential common shares related to our stock options, restricted stock and Comcast</w:t>
      </w:r>
    </w:p>
    <w:p>
      <w:pPr>
        <w:sectPr>
          <w:pgSz w:w="11900" w:h="16838" w:orient="portrait"/>
          <w:cols w:equalWidth="0" w:num="1">
            <w:col w:w="11400"/>
          </w:cols>
          <w:pgMar w:left="240" w:top="118" w:right="259" w:bottom="0" w:gutter="0" w:footer="0" w:header="0"/>
        </w:sectPr>
      </w:pPr>
    </w:p>
    <w:bookmarkStart w:id="6" w:name="page7"/>
    <w:bookmarkEnd w:id="6"/>
    <w:p>
      <w:pPr>
        <w:ind w:left="460"/>
        <w:spacing w:after="0" w:line="279" w:lineRule="auto"/>
        <w:rPr>
          <w:rFonts w:ascii="Arial" w:cs="Arial" w:eastAsia="Arial" w:hAnsi="Arial"/>
          <w:sz w:val="19"/>
          <w:szCs w:val="19"/>
          <w:color w:val="auto"/>
        </w:rPr>
      </w:pPr>
      <w:r>
        <w:rPr>
          <w:rFonts w:ascii="Arial" w:cs="Arial" w:eastAsia="Arial" w:hAnsi="Arial"/>
          <w:sz w:val="19"/>
          <w:szCs w:val="19"/>
          <w:color w:val="auto"/>
        </w:rPr>
        <w:t xml:space="preserve">exchangeable notes (see </w:t>
      </w:r>
      <w:hyperlink w:anchor="page10">
        <w:r>
          <w:rPr>
            <w:rFonts w:ascii="Arial" w:cs="Arial" w:eastAsia="Arial" w:hAnsi="Arial"/>
            <w:sz w:val="19"/>
            <w:szCs w:val="19"/>
            <w:u w:val="single" w:color="auto"/>
            <w:color w:val="0000EE"/>
          </w:rPr>
          <w:t>Note 6</w:t>
        </w:r>
      </w:hyperlink>
      <w:r>
        <w:rPr>
          <w:rFonts w:ascii="Arial" w:cs="Arial" w:eastAsia="Arial" w:hAnsi="Arial"/>
          <w:sz w:val="19"/>
          <w:szCs w:val="19"/>
          <w:color w:val="auto"/>
        </w:rPr>
        <w:t>). Diluted earnings for common stockholders per common share (“Diluted EPS”) considers the impact of potentially dilutive securities except in periods in which there is a loss because the inclusion of the potential common shares would have an antidilutive effect. Diluted EPS excludes the impact of potential common shares related to our stock options in periods in which the option exercise price is greater than the average market price of our common stock for the period. Diluted EPS for the interim periods in 2004 excludes the impact of potential common shares related to our Class A Special common stock held in treasury because it is our intent to settle the related Comcast exchangeable notes using cash.</w:t>
      </w:r>
    </w:p>
    <w:p>
      <w:pPr>
        <w:spacing w:after="0" w:line="178" w:lineRule="exact"/>
        <w:rPr>
          <w:sz w:val="20"/>
          <w:szCs w:val="20"/>
          <w:color w:val="auto"/>
        </w:rPr>
      </w:pPr>
    </w:p>
    <w:p>
      <w:pPr>
        <w:ind w:left="460" w:right="120"/>
        <w:spacing w:after="0" w:line="279" w:lineRule="auto"/>
        <w:rPr>
          <w:sz w:val="20"/>
          <w:szCs w:val="20"/>
          <w:color w:val="auto"/>
        </w:rPr>
      </w:pPr>
      <w:r>
        <w:rPr>
          <w:rFonts w:ascii="Arial" w:cs="Arial" w:eastAsia="Arial" w:hAnsi="Arial"/>
          <w:sz w:val="19"/>
          <w:szCs w:val="19"/>
          <w:color w:val="auto"/>
        </w:rPr>
        <w:t>Diluted EPS for the three and six months ended June 30, 2004 excludes approximately 108 million and 93 million potential common shares, respectively, related to our stock option plans because the option exercise price was greater than the average market price of our Class A common stock and our Class A Special common stock for the period. Diluted EPS for the three and six months ended June 30, 2003 excludes approximately 197 million and 190 million potential common shares, respectively, primarily related to our stock option and restricted stock plans and our common stock held in treasury because the assumed issuance of such potential common shares is antidilutive in periods in which there is a loss.</w:t>
      </w:r>
    </w:p>
    <w:p>
      <w:pPr>
        <w:spacing w:after="0" w:line="178" w:lineRule="exact"/>
        <w:rPr>
          <w:sz w:val="20"/>
          <w:szCs w:val="20"/>
          <w:color w:val="auto"/>
        </w:rPr>
      </w:pPr>
    </w:p>
    <w:p>
      <w:pPr>
        <w:ind w:left="460" w:right="120"/>
        <w:spacing w:after="0" w:line="251" w:lineRule="auto"/>
        <w:rPr>
          <w:sz w:val="20"/>
          <w:szCs w:val="20"/>
          <w:color w:val="auto"/>
        </w:rPr>
      </w:pPr>
      <w:r>
        <w:rPr>
          <w:rFonts w:ascii="Arial" w:cs="Arial" w:eastAsia="Arial" w:hAnsi="Arial"/>
          <w:sz w:val="22"/>
          <w:szCs w:val="22"/>
          <w:color w:val="auto"/>
        </w:rPr>
        <w:t>The following table reconciles the numerator and denominator of the computations of Diluted EPS for common stockholders from continuing operations for the interim periods presented:</w:t>
      </w:r>
    </w:p>
    <w:p>
      <w:pPr>
        <w:spacing w:after="0" w:line="200" w:lineRule="exact"/>
        <w:rPr>
          <w:sz w:val="20"/>
          <w:szCs w:val="20"/>
          <w:color w:val="auto"/>
        </w:rPr>
      </w:pPr>
    </w:p>
    <w:p>
      <w:pPr>
        <w:spacing w:after="0" w:line="216"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6376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COMCAST CORPORATION AND SUBSIDIARIES</w:t>
      </w:r>
    </w:p>
    <w:p>
      <w:pPr>
        <w:jc w:val="center"/>
        <w:spacing w:after="0" w:line="238" w:lineRule="auto"/>
        <w:rPr>
          <w:sz w:val="20"/>
          <w:szCs w:val="20"/>
          <w:color w:val="auto"/>
        </w:rPr>
      </w:pPr>
      <w:r>
        <w:rPr>
          <w:rFonts w:ascii="Arial" w:cs="Arial" w:eastAsia="Arial" w:hAnsi="Arial"/>
          <w:sz w:val="22"/>
          <w:szCs w:val="22"/>
          <w:color w:val="auto"/>
        </w:rPr>
        <w:t>FORM 10-Q</w:t>
      </w:r>
    </w:p>
    <w:p>
      <w:pPr>
        <w:jc w:val="center"/>
        <w:spacing w:after="0" w:line="230" w:lineRule="auto"/>
        <w:rPr>
          <w:sz w:val="20"/>
          <w:szCs w:val="20"/>
          <w:color w:val="auto"/>
        </w:rPr>
      </w:pPr>
      <w:r>
        <w:rPr>
          <w:rFonts w:ascii="Arial" w:cs="Arial" w:eastAsia="Arial" w:hAnsi="Arial"/>
          <w:sz w:val="22"/>
          <w:szCs w:val="22"/>
          <w:color w:val="auto"/>
        </w:rPr>
        <w:t>QUARTER ENDED JUNE 30, 2004</w:t>
      </w:r>
    </w:p>
    <w:p>
      <w:pPr>
        <w:jc w:val="center"/>
        <w:spacing w:after="0" w:line="231" w:lineRule="auto"/>
        <w:rPr>
          <w:sz w:val="20"/>
          <w:szCs w:val="20"/>
          <w:color w:val="auto"/>
        </w:rPr>
      </w:pPr>
      <w:r>
        <w:rPr>
          <w:rFonts w:ascii="Arial" w:cs="Arial" w:eastAsia="Arial" w:hAnsi="Arial"/>
          <w:sz w:val="22"/>
          <w:szCs w:val="22"/>
          <w:color w:val="auto"/>
        </w:rPr>
        <w:t>NOTES TO CONDENSED CONSOLIDATED FINANCIAL STATEMENTS - CONTINUED</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(Unaudited)</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9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160" w:type="dxa"/>
            <w:vAlign w:val="bottom"/>
            <w:gridSpan w:val="9"/>
          </w:tcPr>
          <w:p>
            <w:pPr>
              <w:jc w:val="center"/>
              <w:spacing w:after="0"/>
              <w:rPr>
                <w:sz w:val="20"/>
                <w:szCs w:val="20"/>
                <w:color w:val="auto"/>
              </w:rPr>
            </w:pPr>
            <w:r>
              <w:rPr>
                <w:rFonts w:ascii="Arial" w:cs="Arial" w:eastAsia="Arial" w:hAnsi="Arial"/>
                <w:sz w:val="22"/>
                <w:szCs w:val="22"/>
                <w:color w:val="auto"/>
                <w:w w:val="89"/>
              </w:rPr>
              <w:t>(Amounts in millions, except per share data)</w:t>
            </w: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00" w:type="dxa"/>
            <w:vAlign w:val="bottom"/>
            <w:gridSpan w:val="7"/>
          </w:tcPr>
          <w:p>
            <w:pPr>
              <w:jc w:val="center"/>
              <w:ind w:right="680"/>
              <w:spacing w:after="0" w:line="243" w:lineRule="exact"/>
              <w:rPr>
                <w:sz w:val="20"/>
                <w:szCs w:val="20"/>
                <w:color w:val="auto"/>
              </w:rPr>
            </w:pPr>
            <w:r>
              <w:rPr>
                <w:rFonts w:ascii="Arial" w:cs="Arial" w:eastAsia="Arial" w:hAnsi="Arial"/>
                <w:sz w:val="22"/>
                <w:szCs w:val="22"/>
                <w:color w:val="auto"/>
                <w:w w:val="87"/>
              </w:rPr>
              <w:t>Three Months Ended June 30,</w:t>
            </w: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39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22"/>
                <w:szCs w:val="22"/>
                <w:color w:val="auto"/>
              </w:rPr>
              <w:t>2004</w:t>
            </w:r>
          </w:p>
        </w:tc>
        <w:tc>
          <w:tcPr>
            <w:tcW w:w="1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22"/>
                <w:szCs w:val="22"/>
                <w:color w:val="auto"/>
              </w:rPr>
              <w:t>2003</w:t>
            </w:r>
          </w:p>
        </w:tc>
        <w:tc>
          <w:tcPr>
            <w:tcW w:w="10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8"/>
        </w:trPr>
        <w:tc>
          <w:tcPr>
            <w:tcW w:w="394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3"/>
        </w:trPr>
        <w:tc>
          <w:tcPr>
            <w:tcW w:w="39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22"/>
                <w:szCs w:val="22"/>
                <w:color w:val="auto"/>
                <w:w w:val="84"/>
              </w:rPr>
              <w:t>Per Share</w:t>
            </w: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gridSpan w:val="2"/>
          </w:tcPr>
          <w:p>
            <w:pPr>
              <w:jc w:val="center"/>
              <w:ind w:right="60"/>
              <w:spacing w:after="0"/>
              <w:rPr>
                <w:sz w:val="20"/>
                <w:szCs w:val="20"/>
                <w:color w:val="auto"/>
              </w:rPr>
            </w:pPr>
            <w:r>
              <w:rPr>
                <w:rFonts w:ascii="Arial" w:cs="Arial" w:eastAsia="Arial" w:hAnsi="Arial"/>
                <w:sz w:val="22"/>
                <w:szCs w:val="22"/>
                <w:color w:val="auto"/>
                <w:w w:val="84"/>
              </w:rPr>
              <w:t>Per Share</w:t>
            </w:r>
          </w:p>
        </w:tc>
        <w:tc>
          <w:tcPr>
            <w:tcW w:w="0" w:type="dxa"/>
            <w:vAlign w:val="bottom"/>
          </w:tcPr>
          <w:p>
            <w:pPr>
              <w:spacing w:after="0"/>
              <w:rPr>
                <w:sz w:val="1"/>
                <w:szCs w:val="1"/>
                <w:color w:val="auto"/>
              </w:rPr>
            </w:pPr>
          </w:p>
        </w:tc>
      </w:tr>
      <w:tr>
        <w:trPr>
          <w:trHeight w:val="275"/>
        </w:trPr>
        <w:tc>
          <w:tcPr>
            <w:tcW w:w="3940" w:type="dxa"/>
            <w:vAlign w:val="bottom"/>
          </w:tcPr>
          <w:p>
            <w:pPr>
              <w:spacing w:after="0"/>
              <w:rPr>
                <w:sz w:val="23"/>
                <w:szCs w:val="23"/>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22"/>
                <w:szCs w:val="22"/>
                <w:color w:val="auto"/>
                <w:w w:val="85"/>
              </w:rPr>
              <w:t>Income</w:t>
            </w:r>
          </w:p>
        </w:tc>
        <w:tc>
          <w:tcPr>
            <w:tcW w:w="760" w:type="dxa"/>
            <w:vAlign w:val="bottom"/>
            <w:gridSpan w:val="2"/>
          </w:tcPr>
          <w:p>
            <w:pPr>
              <w:jc w:val="right"/>
              <w:ind w:right="160"/>
              <w:spacing w:after="0"/>
              <w:rPr>
                <w:sz w:val="20"/>
                <w:szCs w:val="20"/>
                <w:color w:val="auto"/>
              </w:rPr>
            </w:pPr>
            <w:r>
              <w:rPr>
                <w:rFonts w:ascii="Arial" w:cs="Arial" w:eastAsia="Arial" w:hAnsi="Arial"/>
                <w:sz w:val="22"/>
                <w:szCs w:val="22"/>
                <w:color w:val="auto"/>
                <w:w w:val="83"/>
              </w:rPr>
              <w:t>Shares</w:t>
            </w:r>
          </w:p>
        </w:tc>
        <w:tc>
          <w:tcPr>
            <w:tcW w:w="140" w:type="dxa"/>
            <w:vAlign w:val="bottom"/>
          </w:tcPr>
          <w:p>
            <w:pPr>
              <w:spacing w:after="0"/>
              <w:rPr>
                <w:sz w:val="23"/>
                <w:szCs w:val="23"/>
                <w:color w:val="auto"/>
              </w:rPr>
            </w:pPr>
          </w:p>
        </w:tc>
        <w:tc>
          <w:tcPr>
            <w:tcW w:w="1040" w:type="dxa"/>
            <w:vAlign w:val="bottom"/>
          </w:tcPr>
          <w:p>
            <w:pPr>
              <w:jc w:val="center"/>
              <w:spacing w:after="0"/>
              <w:rPr>
                <w:sz w:val="20"/>
                <w:szCs w:val="20"/>
                <w:color w:val="auto"/>
              </w:rPr>
            </w:pPr>
            <w:r>
              <w:rPr>
                <w:rFonts w:ascii="Arial" w:cs="Arial" w:eastAsia="Arial" w:hAnsi="Arial"/>
                <w:sz w:val="22"/>
                <w:szCs w:val="22"/>
                <w:color w:val="auto"/>
                <w:w w:val="94"/>
              </w:rPr>
              <w:t>Amount</w:t>
            </w:r>
          </w:p>
        </w:tc>
        <w:tc>
          <w:tcPr>
            <w:tcW w:w="300" w:type="dxa"/>
            <w:vAlign w:val="bottom"/>
          </w:tcPr>
          <w:p>
            <w:pPr>
              <w:spacing w:after="0"/>
              <w:rPr>
                <w:sz w:val="23"/>
                <w:szCs w:val="23"/>
                <w:color w:val="auto"/>
              </w:rPr>
            </w:pPr>
          </w:p>
        </w:tc>
        <w:tc>
          <w:tcPr>
            <w:tcW w:w="1020" w:type="dxa"/>
            <w:vAlign w:val="bottom"/>
            <w:gridSpan w:val="2"/>
          </w:tcPr>
          <w:p>
            <w:pPr>
              <w:jc w:val="right"/>
              <w:ind w:right="560"/>
              <w:spacing w:after="0"/>
              <w:rPr>
                <w:sz w:val="20"/>
                <w:szCs w:val="20"/>
                <w:color w:val="auto"/>
              </w:rPr>
            </w:pPr>
            <w:r>
              <w:rPr>
                <w:rFonts w:ascii="Arial" w:cs="Arial" w:eastAsia="Arial" w:hAnsi="Arial"/>
                <w:sz w:val="22"/>
                <w:szCs w:val="22"/>
                <w:color w:val="auto"/>
                <w:w w:val="94"/>
              </w:rPr>
              <w:t>Loss</w:t>
            </w:r>
          </w:p>
        </w:tc>
        <w:tc>
          <w:tcPr>
            <w:tcW w:w="900" w:type="dxa"/>
            <w:vAlign w:val="bottom"/>
            <w:gridSpan w:val="2"/>
          </w:tcPr>
          <w:p>
            <w:pPr>
              <w:jc w:val="right"/>
              <w:ind w:right="300"/>
              <w:spacing w:after="0"/>
              <w:rPr>
                <w:sz w:val="20"/>
                <w:szCs w:val="20"/>
                <w:color w:val="auto"/>
              </w:rPr>
            </w:pPr>
            <w:r>
              <w:rPr>
                <w:rFonts w:ascii="Arial" w:cs="Arial" w:eastAsia="Arial" w:hAnsi="Arial"/>
                <w:sz w:val="22"/>
                <w:szCs w:val="22"/>
                <w:color w:val="auto"/>
                <w:w w:val="83"/>
              </w:rPr>
              <w:t>Shares</w:t>
            </w:r>
          </w:p>
        </w:tc>
        <w:tc>
          <w:tcPr>
            <w:tcW w:w="1100" w:type="dxa"/>
            <w:vAlign w:val="bottom"/>
            <w:gridSpan w:val="2"/>
          </w:tcPr>
          <w:p>
            <w:pPr>
              <w:jc w:val="center"/>
              <w:ind w:right="60"/>
              <w:spacing w:after="0"/>
              <w:rPr>
                <w:sz w:val="20"/>
                <w:szCs w:val="20"/>
                <w:color w:val="auto"/>
              </w:rPr>
            </w:pPr>
            <w:r>
              <w:rPr>
                <w:rFonts w:ascii="Arial" w:cs="Arial" w:eastAsia="Arial" w:hAnsi="Arial"/>
                <w:sz w:val="22"/>
                <w:szCs w:val="22"/>
                <w:color w:val="auto"/>
                <w:w w:val="94"/>
              </w:rPr>
              <w:t>Amount</w:t>
            </w:r>
          </w:p>
        </w:tc>
        <w:tc>
          <w:tcPr>
            <w:tcW w:w="0" w:type="dxa"/>
            <w:vAlign w:val="bottom"/>
          </w:tcPr>
          <w:p>
            <w:pPr>
              <w:spacing w:after="0"/>
              <w:rPr>
                <w:sz w:val="1"/>
                <w:szCs w:val="1"/>
                <w:color w:val="auto"/>
              </w:rPr>
            </w:pPr>
          </w:p>
        </w:tc>
      </w:tr>
      <w:tr>
        <w:trPr>
          <w:trHeight w:val="98"/>
        </w:trPr>
        <w:tc>
          <w:tcPr>
            <w:tcW w:w="3940" w:type="dxa"/>
            <w:vAlign w:val="bottom"/>
            <w:vMerge w:val="restart"/>
          </w:tcPr>
          <w:p>
            <w:pPr>
              <w:spacing w:after="0"/>
              <w:rPr>
                <w:sz w:val="20"/>
                <w:szCs w:val="20"/>
                <w:color w:val="auto"/>
              </w:rPr>
            </w:pPr>
            <w:r>
              <w:rPr>
                <w:rFonts w:ascii="Arial" w:cs="Arial" w:eastAsia="Arial" w:hAnsi="Arial"/>
                <w:sz w:val="22"/>
                <w:szCs w:val="22"/>
                <w:color w:val="auto"/>
              </w:rPr>
              <w:t>Basic EPS for common</w:t>
            </w:r>
          </w:p>
        </w:tc>
        <w:tc>
          <w:tcPr>
            <w:tcW w:w="64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3"/>
        </w:trPr>
        <w:tc>
          <w:tcPr>
            <w:tcW w:w="3940" w:type="dxa"/>
            <w:vAlign w:val="bottom"/>
            <w:vMerge w:val="continue"/>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940" w:type="dxa"/>
            <w:vAlign w:val="bottom"/>
          </w:tcPr>
          <w:p>
            <w:pPr>
              <w:ind w:left="120"/>
              <w:spacing w:after="0" w:line="243" w:lineRule="exact"/>
              <w:rPr>
                <w:sz w:val="20"/>
                <w:szCs w:val="20"/>
                <w:color w:val="auto"/>
              </w:rPr>
            </w:pPr>
            <w:r>
              <w:rPr>
                <w:rFonts w:ascii="Arial" w:cs="Arial" w:eastAsia="Arial" w:hAnsi="Arial"/>
                <w:sz w:val="22"/>
                <w:szCs w:val="22"/>
                <w:color w:val="auto"/>
              </w:rPr>
              <w:t>stockholders</w:t>
            </w:r>
          </w:p>
        </w:tc>
        <w:tc>
          <w:tcPr>
            <w:tcW w:w="640" w:type="dxa"/>
            <w:vAlign w:val="bottom"/>
          </w:tcPr>
          <w:p>
            <w:pPr>
              <w:jc w:val="right"/>
              <w:spacing w:after="0" w:line="243" w:lineRule="exact"/>
              <w:rPr>
                <w:sz w:val="20"/>
                <w:szCs w:val="20"/>
                <w:color w:val="auto"/>
              </w:rPr>
            </w:pPr>
            <w:r>
              <w:rPr>
                <w:rFonts w:ascii="Arial" w:cs="Arial" w:eastAsia="Arial" w:hAnsi="Arial"/>
                <w:sz w:val="22"/>
                <w:szCs w:val="22"/>
                <w:color w:val="auto"/>
              </w:rPr>
              <w:t>$262</w:t>
            </w:r>
          </w:p>
        </w:tc>
        <w:tc>
          <w:tcPr>
            <w:tcW w:w="300" w:type="dxa"/>
            <w:vAlign w:val="bottom"/>
          </w:tcPr>
          <w:p>
            <w:pPr>
              <w:spacing w:after="0"/>
              <w:rPr>
                <w:sz w:val="21"/>
                <w:szCs w:val="21"/>
                <w:color w:val="auto"/>
              </w:rPr>
            </w:pPr>
          </w:p>
        </w:tc>
        <w:tc>
          <w:tcPr>
            <w:tcW w:w="76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2,257</w:t>
            </w:r>
          </w:p>
        </w:tc>
        <w:tc>
          <w:tcPr>
            <w:tcW w:w="118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$0.12</w:t>
            </w:r>
          </w:p>
        </w:tc>
        <w:tc>
          <w:tcPr>
            <w:tcW w:w="1320" w:type="dxa"/>
            <w:vAlign w:val="bottom"/>
            <w:gridSpan w:val="3"/>
          </w:tcPr>
          <w:p>
            <w:pPr>
              <w:jc w:val="right"/>
              <w:ind w:right="440"/>
              <w:spacing w:after="0" w:line="243" w:lineRule="exact"/>
              <w:rPr>
                <w:sz w:val="20"/>
                <w:szCs w:val="20"/>
                <w:color w:val="auto"/>
              </w:rPr>
            </w:pPr>
            <w:r>
              <w:rPr>
                <w:rFonts w:ascii="Arial" w:cs="Arial" w:eastAsia="Arial" w:hAnsi="Arial"/>
                <w:sz w:val="22"/>
                <w:szCs w:val="22"/>
                <w:color w:val="auto"/>
              </w:rPr>
              <w:t>($93)</w:t>
            </w:r>
          </w:p>
        </w:tc>
        <w:tc>
          <w:tcPr>
            <w:tcW w:w="900" w:type="dxa"/>
            <w:vAlign w:val="bottom"/>
            <w:gridSpan w:val="2"/>
          </w:tcPr>
          <w:p>
            <w:pPr>
              <w:jc w:val="right"/>
              <w:ind w:right="300"/>
              <w:spacing w:after="0" w:line="243" w:lineRule="exact"/>
              <w:rPr>
                <w:sz w:val="20"/>
                <w:szCs w:val="20"/>
                <w:color w:val="auto"/>
              </w:rPr>
            </w:pPr>
            <w:r>
              <w:rPr>
                <w:rFonts w:ascii="Arial" w:cs="Arial" w:eastAsia="Arial" w:hAnsi="Arial"/>
                <w:sz w:val="22"/>
                <w:szCs w:val="22"/>
                <w:color w:val="auto"/>
              </w:rPr>
              <w:t>2,255</w:t>
            </w:r>
          </w:p>
        </w:tc>
        <w:tc>
          <w:tcPr>
            <w:tcW w:w="110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($0.04)</w:t>
            </w:r>
          </w:p>
        </w:tc>
        <w:tc>
          <w:tcPr>
            <w:tcW w:w="0" w:type="dxa"/>
            <w:vAlign w:val="bottom"/>
          </w:tcPr>
          <w:p>
            <w:pPr>
              <w:spacing w:after="0"/>
              <w:rPr>
                <w:sz w:val="1"/>
                <w:szCs w:val="1"/>
                <w:color w:val="auto"/>
              </w:rPr>
            </w:pPr>
          </w:p>
        </w:tc>
      </w:tr>
      <w:tr>
        <w:trPr>
          <w:trHeight w:val="243"/>
        </w:trPr>
        <w:tc>
          <w:tcPr>
            <w:tcW w:w="3940" w:type="dxa"/>
            <w:vAlign w:val="bottom"/>
          </w:tcPr>
          <w:p>
            <w:pPr>
              <w:spacing w:after="0" w:line="243" w:lineRule="exact"/>
              <w:rPr>
                <w:sz w:val="20"/>
                <w:szCs w:val="20"/>
                <w:color w:val="auto"/>
              </w:rPr>
            </w:pPr>
            <w:r>
              <w:rPr>
                <w:rFonts w:ascii="Arial" w:cs="Arial" w:eastAsia="Arial" w:hAnsi="Arial"/>
                <w:sz w:val="22"/>
                <w:szCs w:val="22"/>
                <w:color w:val="auto"/>
              </w:rPr>
              <w:t>Effect of Dilutive</w:t>
            </w:r>
          </w:p>
        </w:tc>
        <w:tc>
          <w:tcPr>
            <w:tcW w:w="6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40" w:type="dxa"/>
            <w:vAlign w:val="bottom"/>
          </w:tcPr>
          <w:p>
            <w:pPr>
              <w:spacing w:after="0" w:line="243" w:lineRule="exact"/>
              <w:rPr>
                <w:sz w:val="20"/>
                <w:szCs w:val="20"/>
                <w:color w:val="auto"/>
              </w:rPr>
            </w:pPr>
            <w:r>
              <w:rPr>
                <w:rFonts w:ascii="Arial" w:cs="Arial" w:eastAsia="Arial" w:hAnsi="Arial"/>
                <w:sz w:val="22"/>
                <w:szCs w:val="22"/>
                <w:color w:val="auto"/>
              </w:rPr>
              <w:t>Securities</w:t>
            </w:r>
          </w:p>
        </w:tc>
        <w:tc>
          <w:tcPr>
            <w:tcW w:w="6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40" w:type="dxa"/>
            <w:vAlign w:val="bottom"/>
          </w:tcPr>
          <w:p>
            <w:pPr>
              <w:ind w:left="100"/>
              <w:spacing w:after="0" w:line="243" w:lineRule="exact"/>
              <w:rPr>
                <w:sz w:val="20"/>
                <w:szCs w:val="20"/>
                <w:color w:val="auto"/>
              </w:rPr>
            </w:pPr>
            <w:r>
              <w:rPr>
                <w:rFonts w:ascii="Arial" w:cs="Arial" w:eastAsia="Arial" w:hAnsi="Arial"/>
                <w:sz w:val="22"/>
                <w:szCs w:val="22"/>
                <w:color w:val="auto"/>
              </w:rPr>
              <w:t>Assumed exercise of</w:t>
            </w:r>
          </w:p>
        </w:tc>
        <w:tc>
          <w:tcPr>
            <w:tcW w:w="6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40" w:type="dxa"/>
            <w:vAlign w:val="bottom"/>
          </w:tcPr>
          <w:p>
            <w:pPr>
              <w:ind w:left="180"/>
              <w:spacing w:after="0" w:line="243" w:lineRule="exact"/>
              <w:rPr>
                <w:sz w:val="20"/>
                <w:szCs w:val="20"/>
                <w:color w:val="auto"/>
              </w:rPr>
            </w:pPr>
            <w:r>
              <w:rPr>
                <w:rFonts w:ascii="Arial" w:cs="Arial" w:eastAsia="Arial" w:hAnsi="Arial"/>
                <w:sz w:val="22"/>
                <w:szCs w:val="22"/>
                <w:color w:val="auto"/>
              </w:rPr>
              <w:t>stock option and</w:t>
            </w:r>
          </w:p>
        </w:tc>
        <w:tc>
          <w:tcPr>
            <w:tcW w:w="6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3940" w:type="dxa"/>
            <w:vAlign w:val="bottom"/>
          </w:tcPr>
          <w:p>
            <w:pPr>
              <w:ind w:left="180"/>
              <w:spacing w:after="0"/>
              <w:rPr>
                <w:sz w:val="20"/>
                <w:szCs w:val="20"/>
                <w:color w:val="auto"/>
              </w:rPr>
            </w:pPr>
            <w:r>
              <w:rPr>
                <w:rFonts w:ascii="Arial" w:cs="Arial" w:eastAsia="Arial" w:hAnsi="Arial"/>
                <w:sz w:val="22"/>
                <w:szCs w:val="22"/>
                <w:color w:val="auto"/>
              </w:rPr>
              <w:t>restricted stock plans</w:t>
            </w:r>
          </w:p>
        </w:tc>
        <w:tc>
          <w:tcPr>
            <w:tcW w:w="6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22"/>
                <w:szCs w:val="22"/>
                <w:color w:val="auto"/>
              </w:rPr>
              <w:t>10</w:t>
            </w:r>
          </w:p>
        </w:tc>
        <w:tc>
          <w:tcPr>
            <w:tcW w:w="1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8"/>
        </w:trPr>
        <w:tc>
          <w:tcPr>
            <w:tcW w:w="394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55"/>
        </w:trPr>
        <w:tc>
          <w:tcPr>
            <w:tcW w:w="3940" w:type="dxa"/>
            <w:vAlign w:val="bottom"/>
          </w:tcPr>
          <w:p>
            <w:pPr>
              <w:spacing w:after="0"/>
              <w:rPr>
                <w:sz w:val="20"/>
                <w:szCs w:val="20"/>
                <w:color w:val="auto"/>
              </w:rPr>
            </w:pPr>
            <w:r>
              <w:rPr>
                <w:rFonts w:ascii="Arial" w:cs="Arial" w:eastAsia="Arial" w:hAnsi="Arial"/>
                <w:sz w:val="22"/>
                <w:szCs w:val="22"/>
                <w:color w:val="auto"/>
              </w:rPr>
              <w:t>Diluted EPS</w:t>
            </w:r>
          </w:p>
        </w:tc>
        <w:tc>
          <w:tcPr>
            <w:tcW w:w="640" w:type="dxa"/>
            <w:vAlign w:val="bottom"/>
          </w:tcPr>
          <w:p>
            <w:pPr>
              <w:jc w:val="right"/>
              <w:spacing w:after="0"/>
              <w:rPr>
                <w:sz w:val="20"/>
                <w:szCs w:val="20"/>
                <w:color w:val="auto"/>
              </w:rPr>
            </w:pPr>
            <w:r>
              <w:rPr>
                <w:rFonts w:ascii="Arial" w:cs="Arial" w:eastAsia="Arial" w:hAnsi="Arial"/>
                <w:sz w:val="22"/>
                <w:szCs w:val="22"/>
                <w:color w:val="auto"/>
              </w:rPr>
              <w:t>$262</w:t>
            </w:r>
          </w:p>
        </w:tc>
        <w:tc>
          <w:tcPr>
            <w:tcW w:w="300" w:type="dxa"/>
            <w:vAlign w:val="bottom"/>
          </w:tcPr>
          <w:p>
            <w:pPr>
              <w:spacing w:after="0"/>
              <w:rPr>
                <w:sz w:val="24"/>
                <w:szCs w:val="2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22"/>
                <w:szCs w:val="22"/>
                <w:color w:val="auto"/>
              </w:rPr>
              <w:t>2,267</w:t>
            </w:r>
          </w:p>
        </w:tc>
        <w:tc>
          <w:tcPr>
            <w:tcW w:w="1180" w:type="dxa"/>
            <w:vAlign w:val="bottom"/>
            <w:gridSpan w:val="2"/>
          </w:tcPr>
          <w:p>
            <w:pPr>
              <w:jc w:val="right"/>
              <w:spacing w:after="0"/>
              <w:rPr>
                <w:sz w:val="20"/>
                <w:szCs w:val="20"/>
                <w:color w:val="auto"/>
              </w:rPr>
            </w:pPr>
            <w:r>
              <w:rPr>
                <w:rFonts w:ascii="Arial" w:cs="Arial" w:eastAsia="Arial" w:hAnsi="Arial"/>
                <w:sz w:val="22"/>
                <w:szCs w:val="22"/>
                <w:color w:val="auto"/>
              </w:rPr>
              <w:t>$0.12</w:t>
            </w:r>
          </w:p>
        </w:tc>
        <w:tc>
          <w:tcPr>
            <w:tcW w:w="1320" w:type="dxa"/>
            <w:vAlign w:val="bottom"/>
            <w:gridSpan w:val="3"/>
          </w:tcPr>
          <w:p>
            <w:pPr>
              <w:jc w:val="right"/>
              <w:ind w:right="440"/>
              <w:spacing w:after="0"/>
              <w:rPr>
                <w:sz w:val="20"/>
                <w:szCs w:val="20"/>
                <w:color w:val="auto"/>
              </w:rPr>
            </w:pPr>
            <w:r>
              <w:rPr>
                <w:rFonts w:ascii="Arial" w:cs="Arial" w:eastAsia="Arial" w:hAnsi="Arial"/>
                <w:sz w:val="22"/>
                <w:szCs w:val="22"/>
                <w:color w:val="auto"/>
              </w:rPr>
              <w:t>($93)</w:t>
            </w:r>
          </w:p>
        </w:tc>
        <w:tc>
          <w:tcPr>
            <w:tcW w:w="900" w:type="dxa"/>
            <w:vAlign w:val="bottom"/>
            <w:gridSpan w:val="2"/>
          </w:tcPr>
          <w:p>
            <w:pPr>
              <w:jc w:val="right"/>
              <w:ind w:right="300"/>
              <w:spacing w:after="0"/>
              <w:rPr>
                <w:sz w:val="20"/>
                <w:szCs w:val="20"/>
                <w:color w:val="auto"/>
              </w:rPr>
            </w:pPr>
            <w:r>
              <w:rPr>
                <w:rFonts w:ascii="Arial" w:cs="Arial" w:eastAsia="Arial" w:hAnsi="Arial"/>
                <w:sz w:val="22"/>
                <w:szCs w:val="22"/>
                <w:color w:val="auto"/>
              </w:rPr>
              <w:t>2,255</w:t>
            </w:r>
          </w:p>
        </w:tc>
        <w:tc>
          <w:tcPr>
            <w:tcW w:w="1100" w:type="dxa"/>
            <w:vAlign w:val="bottom"/>
            <w:gridSpan w:val="2"/>
          </w:tcPr>
          <w:p>
            <w:pPr>
              <w:jc w:val="right"/>
              <w:spacing w:after="0"/>
              <w:rPr>
                <w:sz w:val="20"/>
                <w:szCs w:val="20"/>
                <w:color w:val="auto"/>
              </w:rPr>
            </w:pPr>
            <w:r>
              <w:rPr>
                <w:rFonts w:ascii="Arial" w:cs="Arial" w:eastAsia="Arial" w:hAnsi="Arial"/>
                <w:sz w:val="22"/>
                <w:szCs w:val="22"/>
                <w:color w:val="auto"/>
              </w:rPr>
              <w:t>($0.04)</w:t>
            </w:r>
          </w:p>
        </w:tc>
        <w:tc>
          <w:tcPr>
            <w:tcW w:w="0" w:type="dxa"/>
            <w:vAlign w:val="bottom"/>
          </w:tcPr>
          <w:p>
            <w:pPr>
              <w:spacing w:after="0"/>
              <w:rPr>
                <w:sz w:val="1"/>
                <w:szCs w:val="1"/>
                <w:color w:val="auto"/>
              </w:rPr>
            </w:pPr>
          </w:p>
        </w:tc>
      </w:tr>
      <w:tr>
        <w:trPr>
          <w:trHeight w:val="108"/>
        </w:trPr>
        <w:tc>
          <w:tcPr>
            <w:tcW w:w="394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280" w:type="dxa"/>
            <w:vAlign w:val="bottom"/>
            <w:gridSpan w:val="2"/>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6"/>
        </w:trPr>
        <w:tc>
          <w:tcPr>
            <w:tcW w:w="39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160" w:type="dxa"/>
            <w:vAlign w:val="bottom"/>
            <w:gridSpan w:val="9"/>
          </w:tcPr>
          <w:p>
            <w:pPr>
              <w:jc w:val="center"/>
              <w:spacing w:after="0"/>
              <w:rPr>
                <w:sz w:val="20"/>
                <w:szCs w:val="20"/>
                <w:color w:val="auto"/>
              </w:rPr>
            </w:pPr>
            <w:r>
              <w:rPr>
                <w:rFonts w:ascii="Arial" w:cs="Arial" w:eastAsia="Arial" w:hAnsi="Arial"/>
                <w:sz w:val="22"/>
                <w:szCs w:val="22"/>
                <w:color w:val="auto"/>
                <w:w w:val="89"/>
              </w:rPr>
              <w:t>(Amounts in millions, except per share data)</w:t>
            </w: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9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60" w:type="dxa"/>
            <w:vAlign w:val="bottom"/>
            <w:gridSpan w:val="6"/>
          </w:tcPr>
          <w:p>
            <w:pPr>
              <w:jc w:val="center"/>
              <w:ind w:right="800"/>
              <w:spacing w:after="0" w:line="243" w:lineRule="exact"/>
              <w:rPr>
                <w:sz w:val="20"/>
                <w:szCs w:val="20"/>
                <w:color w:val="auto"/>
              </w:rPr>
            </w:pPr>
            <w:r>
              <w:rPr>
                <w:rFonts w:ascii="Arial" w:cs="Arial" w:eastAsia="Arial" w:hAnsi="Arial"/>
                <w:sz w:val="22"/>
                <w:szCs w:val="22"/>
                <w:color w:val="auto"/>
                <w:w w:val="88"/>
              </w:rPr>
              <w:t>Six Months Ended June 30,</w:t>
            </w: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39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22"/>
                <w:szCs w:val="22"/>
                <w:color w:val="auto"/>
              </w:rPr>
              <w:t>2004</w:t>
            </w:r>
          </w:p>
        </w:tc>
        <w:tc>
          <w:tcPr>
            <w:tcW w:w="1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22"/>
                <w:szCs w:val="22"/>
                <w:color w:val="auto"/>
              </w:rPr>
              <w:t>2003</w:t>
            </w:r>
          </w:p>
        </w:tc>
        <w:tc>
          <w:tcPr>
            <w:tcW w:w="10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8"/>
        </w:trPr>
        <w:tc>
          <w:tcPr>
            <w:tcW w:w="394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3"/>
        </w:trPr>
        <w:tc>
          <w:tcPr>
            <w:tcW w:w="39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22"/>
                <w:szCs w:val="22"/>
                <w:color w:val="auto"/>
                <w:w w:val="84"/>
              </w:rPr>
              <w:t>Per Share</w:t>
            </w: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gridSpan w:val="2"/>
          </w:tcPr>
          <w:p>
            <w:pPr>
              <w:jc w:val="center"/>
              <w:ind w:right="60"/>
              <w:spacing w:after="0"/>
              <w:rPr>
                <w:sz w:val="20"/>
                <w:szCs w:val="20"/>
                <w:color w:val="auto"/>
              </w:rPr>
            </w:pPr>
            <w:r>
              <w:rPr>
                <w:rFonts w:ascii="Arial" w:cs="Arial" w:eastAsia="Arial" w:hAnsi="Arial"/>
                <w:sz w:val="22"/>
                <w:szCs w:val="22"/>
                <w:color w:val="auto"/>
                <w:w w:val="84"/>
              </w:rPr>
              <w:t>Per Share</w:t>
            </w:r>
          </w:p>
        </w:tc>
        <w:tc>
          <w:tcPr>
            <w:tcW w:w="0" w:type="dxa"/>
            <w:vAlign w:val="bottom"/>
          </w:tcPr>
          <w:p>
            <w:pPr>
              <w:spacing w:after="0"/>
              <w:rPr>
                <w:sz w:val="1"/>
                <w:szCs w:val="1"/>
                <w:color w:val="auto"/>
              </w:rPr>
            </w:pPr>
          </w:p>
        </w:tc>
      </w:tr>
      <w:tr>
        <w:trPr>
          <w:trHeight w:val="275"/>
        </w:trPr>
        <w:tc>
          <w:tcPr>
            <w:tcW w:w="3940" w:type="dxa"/>
            <w:vAlign w:val="bottom"/>
          </w:tcPr>
          <w:p>
            <w:pPr>
              <w:spacing w:after="0"/>
              <w:rPr>
                <w:sz w:val="23"/>
                <w:szCs w:val="23"/>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22"/>
                <w:szCs w:val="22"/>
                <w:color w:val="auto"/>
                <w:w w:val="85"/>
              </w:rPr>
              <w:t>Income</w:t>
            </w:r>
          </w:p>
        </w:tc>
        <w:tc>
          <w:tcPr>
            <w:tcW w:w="760" w:type="dxa"/>
            <w:vAlign w:val="bottom"/>
            <w:gridSpan w:val="2"/>
          </w:tcPr>
          <w:p>
            <w:pPr>
              <w:jc w:val="right"/>
              <w:ind w:right="160"/>
              <w:spacing w:after="0"/>
              <w:rPr>
                <w:sz w:val="20"/>
                <w:szCs w:val="20"/>
                <w:color w:val="auto"/>
              </w:rPr>
            </w:pPr>
            <w:r>
              <w:rPr>
                <w:rFonts w:ascii="Arial" w:cs="Arial" w:eastAsia="Arial" w:hAnsi="Arial"/>
                <w:sz w:val="22"/>
                <w:szCs w:val="22"/>
                <w:color w:val="auto"/>
                <w:w w:val="83"/>
              </w:rPr>
              <w:t>Shares</w:t>
            </w:r>
          </w:p>
        </w:tc>
        <w:tc>
          <w:tcPr>
            <w:tcW w:w="140" w:type="dxa"/>
            <w:vAlign w:val="bottom"/>
          </w:tcPr>
          <w:p>
            <w:pPr>
              <w:spacing w:after="0"/>
              <w:rPr>
                <w:sz w:val="23"/>
                <w:szCs w:val="23"/>
                <w:color w:val="auto"/>
              </w:rPr>
            </w:pPr>
          </w:p>
        </w:tc>
        <w:tc>
          <w:tcPr>
            <w:tcW w:w="1040" w:type="dxa"/>
            <w:vAlign w:val="bottom"/>
          </w:tcPr>
          <w:p>
            <w:pPr>
              <w:jc w:val="center"/>
              <w:spacing w:after="0"/>
              <w:rPr>
                <w:sz w:val="20"/>
                <w:szCs w:val="20"/>
                <w:color w:val="auto"/>
              </w:rPr>
            </w:pPr>
            <w:r>
              <w:rPr>
                <w:rFonts w:ascii="Arial" w:cs="Arial" w:eastAsia="Arial" w:hAnsi="Arial"/>
                <w:sz w:val="22"/>
                <w:szCs w:val="22"/>
                <w:color w:val="auto"/>
                <w:w w:val="94"/>
              </w:rPr>
              <w:t>Amount</w:t>
            </w:r>
          </w:p>
        </w:tc>
        <w:tc>
          <w:tcPr>
            <w:tcW w:w="300" w:type="dxa"/>
            <w:vAlign w:val="bottom"/>
          </w:tcPr>
          <w:p>
            <w:pPr>
              <w:spacing w:after="0"/>
              <w:rPr>
                <w:sz w:val="23"/>
                <w:szCs w:val="23"/>
                <w:color w:val="auto"/>
              </w:rPr>
            </w:pPr>
          </w:p>
        </w:tc>
        <w:tc>
          <w:tcPr>
            <w:tcW w:w="1020" w:type="dxa"/>
            <w:vAlign w:val="bottom"/>
            <w:gridSpan w:val="2"/>
          </w:tcPr>
          <w:p>
            <w:pPr>
              <w:jc w:val="right"/>
              <w:ind w:right="560"/>
              <w:spacing w:after="0"/>
              <w:rPr>
                <w:sz w:val="20"/>
                <w:szCs w:val="20"/>
                <w:color w:val="auto"/>
              </w:rPr>
            </w:pPr>
            <w:r>
              <w:rPr>
                <w:rFonts w:ascii="Arial" w:cs="Arial" w:eastAsia="Arial" w:hAnsi="Arial"/>
                <w:sz w:val="22"/>
                <w:szCs w:val="22"/>
                <w:color w:val="auto"/>
                <w:w w:val="94"/>
              </w:rPr>
              <w:t>Loss</w:t>
            </w:r>
          </w:p>
        </w:tc>
        <w:tc>
          <w:tcPr>
            <w:tcW w:w="900" w:type="dxa"/>
            <w:vAlign w:val="bottom"/>
            <w:gridSpan w:val="2"/>
          </w:tcPr>
          <w:p>
            <w:pPr>
              <w:jc w:val="right"/>
              <w:ind w:right="300"/>
              <w:spacing w:after="0"/>
              <w:rPr>
                <w:sz w:val="20"/>
                <w:szCs w:val="20"/>
                <w:color w:val="auto"/>
              </w:rPr>
            </w:pPr>
            <w:r>
              <w:rPr>
                <w:rFonts w:ascii="Arial" w:cs="Arial" w:eastAsia="Arial" w:hAnsi="Arial"/>
                <w:sz w:val="22"/>
                <w:szCs w:val="22"/>
                <w:color w:val="auto"/>
                <w:w w:val="83"/>
              </w:rPr>
              <w:t>Shares</w:t>
            </w:r>
          </w:p>
        </w:tc>
        <w:tc>
          <w:tcPr>
            <w:tcW w:w="1100" w:type="dxa"/>
            <w:vAlign w:val="bottom"/>
            <w:gridSpan w:val="2"/>
          </w:tcPr>
          <w:p>
            <w:pPr>
              <w:jc w:val="center"/>
              <w:ind w:right="60"/>
              <w:spacing w:after="0"/>
              <w:rPr>
                <w:sz w:val="20"/>
                <w:szCs w:val="20"/>
                <w:color w:val="auto"/>
              </w:rPr>
            </w:pPr>
            <w:r>
              <w:rPr>
                <w:rFonts w:ascii="Arial" w:cs="Arial" w:eastAsia="Arial" w:hAnsi="Arial"/>
                <w:sz w:val="22"/>
                <w:szCs w:val="22"/>
                <w:color w:val="auto"/>
                <w:w w:val="94"/>
              </w:rPr>
              <w:t>Amount</w:t>
            </w:r>
          </w:p>
        </w:tc>
        <w:tc>
          <w:tcPr>
            <w:tcW w:w="0" w:type="dxa"/>
            <w:vAlign w:val="bottom"/>
          </w:tcPr>
          <w:p>
            <w:pPr>
              <w:spacing w:after="0"/>
              <w:rPr>
                <w:sz w:val="1"/>
                <w:szCs w:val="1"/>
                <w:color w:val="auto"/>
              </w:rPr>
            </w:pPr>
          </w:p>
        </w:tc>
      </w:tr>
      <w:tr>
        <w:trPr>
          <w:trHeight w:val="98"/>
        </w:trPr>
        <w:tc>
          <w:tcPr>
            <w:tcW w:w="3940" w:type="dxa"/>
            <w:vAlign w:val="bottom"/>
            <w:vMerge w:val="restart"/>
          </w:tcPr>
          <w:p>
            <w:pPr>
              <w:spacing w:after="0"/>
              <w:rPr>
                <w:sz w:val="20"/>
                <w:szCs w:val="20"/>
                <w:color w:val="auto"/>
              </w:rPr>
            </w:pPr>
            <w:r>
              <w:rPr>
                <w:rFonts w:ascii="Arial" w:cs="Arial" w:eastAsia="Arial" w:hAnsi="Arial"/>
                <w:sz w:val="22"/>
                <w:szCs w:val="22"/>
                <w:color w:val="auto"/>
              </w:rPr>
              <w:t>Basic EPS for common</w:t>
            </w:r>
          </w:p>
        </w:tc>
        <w:tc>
          <w:tcPr>
            <w:tcW w:w="64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3"/>
        </w:trPr>
        <w:tc>
          <w:tcPr>
            <w:tcW w:w="3940" w:type="dxa"/>
            <w:vAlign w:val="bottom"/>
            <w:vMerge w:val="continue"/>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940" w:type="dxa"/>
            <w:vAlign w:val="bottom"/>
          </w:tcPr>
          <w:p>
            <w:pPr>
              <w:ind w:left="120"/>
              <w:spacing w:after="0" w:line="243" w:lineRule="exact"/>
              <w:rPr>
                <w:sz w:val="20"/>
                <w:szCs w:val="20"/>
                <w:color w:val="auto"/>
              </w:rPr>
            </w:pPr>
            <w:r>
              <w:rPr>
                <w:rFonts w:ascii="Arial" w:cs="Arial" w:eastAsia="Arial" w:hAnsi="Arial"/>
                <w:sz w:val="22"/>
                <w:szCs w:val="22"/>
                <w:color w:val="auto"/>
              </w:rPr>
              <w:t>stockholders</w:t>
            </w:r>
          </w:p>
        </w:tc>
        <w:tc>
          <w:tcPr>
            <w:tcW w:w="640" w:type="dxa"/>
            <w:vAlign w:val="bottom"/>
          </w:tcPr>
          <w:p>
            <w:pPr>
              <w:jc w:val="right"/>
              <w:spacing w:after="0" w:line="243" w:lineRule="exact"/>
              <w:rPr>
                <w:sz w:val="20"/>
                <w:szCs w:val="20"/>
                <w:color w:val="auto"/>
              </w:rPr>
            </w:pPr>
            <w:r>
              <w:rPr>
                <w:rFonts w:ascii="Arial" w:cs="Arial" w:eastAsia="Arial" w:hAnsi="Arial"/>
                <w:sz w:val="22"/>
                <w:szCs w:val="22"/>
                <w:color w:val="auto"/>
              </w:rPr>
              <w:t>$327</w:t>
            </w:r>
          </w:p>
        </w:tc>
        <w:tc>
          <w:tcPr>
            <w:tcW w:w="300" w:type="dxa"/>
            <w:vAlign w:val="bottom"/>
          </w:tcPr>
          <w:p>
            <w:pPr>
              <w:spacing w:after="0"/>
              <w:rPr>
                <w:sz w:val="21"/>
                <w:szCs w:val="21"/>
                <w:color w:val="auto"/>
              </w:rPr>
            </w:pPr>
          </w:p>
        </w:tc>
        <w:tc>
          <w:tcPr>
            <w:tcW w:w="76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2,257</w:t>
            </w:r>
          </w:p>
        </w:tc>
        <w:tc>
          <w:tcPr>
            <w:tcW w:w="118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$0.14</w:t>
            </w:r>
          </w:p>
        </w:tc>
        <w:tc>
          <w:tcPr>
            <w:tcW w:w="1320" w:type="dxa"/>
            <w:vAlign w:val="bottom"/>
            <w:gridSpan w:val="3"/>
          </w:tcPr>
          <w:p>
            <w:pPr>
              <w:jc w:val="right"/>
              <w:ind w:right="440"/>
              <w:spacing w:after="0" w:line="243" w:lineRule="exact"/>
              <w:rPr>
                <w:sz w:val="20"/>
                <w:szCs w:val="20"/>
                <w:color w:val="auto"/>
              </w:rPr>
            </w:pPr>
            <w:r>
              <w:rPr>
                <w:rFonts w:ascii="Arial" w:cs="Arial" w:eastAsia="Arial" w:hAnsi="Arial"/>
                <w:sz w:val="22"/>
                <w:szCs w:val="22"/>
                <w:color w:val="auto"/>
              </w:rPr>
              <w:t>($448)</w:t>
            </w:r>
          </w:p>
        </w:tc>
        <w:tc>
          <w:tcPr>
            <w:tcW w:w="900" w:type="dxa"/>
            <w:vAlign w:val="bottom"/>
            <w:gridSpan w:val="2"/>
          </w:tcPr>
          <w:p>
            <w:pPr>
              <w:jc w:val="right"/>
              <w:ind w:right="300"/>
              <w:spacing w:after="0" w:line="243" w:lineRule="exact"/>
              <w:rPr>
                <w:sz w:val="20"/>
                <w:szCs w:val="20"/>
                <w:color w:val="auto"/>
              </w:rPr>
            </w:pPr>
            <w:r>
              <w:rPr>
                <w:rFonts w:ascii="Arial" w:cs="Arial" w:eastAsia="Arial" w:hAnsi="Arial"/>
                <w:sz w:val="22"/>
                <w:szCs w:val="22"/>
                <w:color w:val="auto"/>
              </w:rPr>
              <w:t>2,255</w:t>
            </w:r>
          </w:p>
        </w:tc>
        <w:tc>
          <w:tcPr>
            <w:tcW w:w="110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($0.20)</w:t>
            </w:r>
          </w:p>
        </w:tc>
        <w:tc>
          <w:tcPr>
            <w:tcW w:w="0" w:type="dxa"/>
            <w:vAlign w:val="bottom"/>
          </w:tcPr>
          <w:p>
            <w:pPr>
              <w:spacing w:after="0"/>
              <w:rPr>
                <w:sz w:val="1"/>
                <w:szCs w:val="1"/>
                <w:color w:val="auto"/>
              </w:rPr>
            </w:pPr>
          </w:p>
        </w:tc>
      </w:tr>
      <w:tr>
        <w:trPr>
          <w:trHeight w:val="243"/>
        </w:trPr>
        <w:tc>
          <w:tcPr>
            <w:tcW w:w="3940" w:type="dxa"/>
            <w:vAlign w:val="bottom"/>
          </w:tcPr>
          <w:p>
            <w:pPr>
              <w:spacing w:after="0" w:line="243" w:lineRule="exact"/>
              <w:rPr>
                <w:sz w:val="20"/>
                <w:szCs w:val="20"/>
                <w:color w:val="auto"/>
              </w:rPr>
            </w:pPr>
            <w:r>
              <w:rPr>
                <w:rFonts w:ascii="Arial" w:cs="Arial" w:eastAsia="Arial" w:hAnsi="Arial"/>
                <w:sz w:val="22"/>
                <w:szCs w:val="22"/>
                <w:color w:val="auto"/>
              </w:rPr>
              <w:t>Effect of Dilutive</w:t>
            </w:r>
          </w:p>
        </w:tc>
        <w:tc>
          <w:tcPr>
            <w:tcW w:w="6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40" w:type="dxa"/>
            <w:vAlign w:val="bottom"/>
          </w:tcPr>
          <w:p>
            <w:pPr>
              <w:spacing w:after="0" w:line="243" w:lineRule="exact"/>
              <w:rPr>
                <w:sz w:val="20"/>
                <w:szCs w:val="20"/>
                <w:color w:val="auto"/>
              </w:rPr>
            </w:pPr>
            <w:r>
              <w:rPr>
                <w:rFonts w:ascii="Arial" w:cs="Arial" w:eastAsia="Arial" w:hAnsi="Arial"/>
                <w:sz w:val="22"/>
                <w:szCs w:val="22"/>
                <w:color w:val="auto"/>
              </w:rPr>
              <w:t>Securities</w:t>
            </w:r>
          </w:p>
        </w:tc>
        <w:tc>
          <w:tcPr>
            <w:tcW w:w="6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40" w:type="dxa"/>
            <w:vAlign w:val="bottom"/>
          </w:tcPr>
          <w:p>
            <w:pPr>
              <w:ind w:left="100"/>
              <w:spacing w:after="0" w:line="243" w:lineRule="exact"/>
              <w:rPr>
                <w:sz w:val="20"/>
                <w:szCs w:val="20"/>
                <w:color w:val="auto"/>
              </w:rPr>
            </w:pPr>
            <w:r>
              <w:rPr>
                <w:rFonts w:ascii="Arial" w:cs="Arial" w:eastAsia="Arial" w:hAnsi="Arial"/>
                <w:sz w:val="22"/>
                <w:szCs w:val="22"/>
                <w:color w:val="auto"/>
              </w:rPr>
              <w:t>Assumed exercise of</w:t>
            </w:r>
          </w:p>
        </w:tc>
        <w:tc>
          <w:tcPr>
            <w:tcW w:w="6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40" w:type="dxa"/>
            <w:vAlign w:val="bottom"/>
          </w:tcPr>
          <w:p>
            <w:pPr>
              <w:ind w:left="180"/>
              <w:spacing w:after="0" w:line="243" w:lineRule="exact"/>
              <w:rPr>
                <w:sz w:val="20"/>
                <w:szCs w:val="20"/>
                <w:color w:val="auto"/>
              </w:rPr>
            </w:pPr>
            <w:r>
              <w:rPr>
                <w:rFonts w:ascii="Arial" w:cs="Arial" w:eastAsia="Arial" w:hAnsi="Arial"/>
                <w:sz w:val="22"/>
                <w:szCs w:val="22"/>
                <w:color w:val="auto"/>
              </w:rPr>
              <w:t>stock option and</w:t>
            </w:r>
          </w:p>
        </w:tc>
        <w:tc>
          <w:tcPr>
            <w:tcW w:w="6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3940" w:type="dxa"/>
            <w:vAlign w:val="bottom"/>
          </w:tcPr>
          <w:p>
            <w:pPr>
              <w:ind w:left="180"/>
              <w:spacing w:after="0"/>
              <w:rPr>
                <w:sz w:val="20"/>
                <w:szCs w:val="20"/>
                <w:color w:val="auto"/>
              </w:rPr>
            </w:pPr>
            <w:r>
              <w:rPr>
                <w:rFonts w:ascii="Arial" w:cs="Arial" w:eastAsia="Arial" w:hAnsi="Arial"/>
                <w:sz w:val="22"/>
                <w:szCs w:val="22"/>
                <w:color w:val="auto"/>
              </w:rPr>
              <w:t>restricted stock plans</w:t>
            </w:r>
          </w:p>
        </w:tc>
        <w:tc>
          <w:tcPr>
            <w:tcW w:w="6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22"/>
                <w:szCs w:val="22"/>
                <w:color w:val="auto"/>
              </w:rPr>
              <w:t>11</w:t>
            </w:r>
          </w:p>
        </w:tc>
        <w:tc>
          <w:tcPr>
            <w:tcW w:w="1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8"/>
        </w:trPr>
        <w:tc>
          <w:tcPr>
            <w:tcW w:w="394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55"/>
        </w:trPr>
        <w:tc>
          <w:tcPr>
            <w:tcW w:w="3940" w:type="dxa"/>
            <w:vAlign w:val="bottom"/>
          </w:tcPr>
          <w:p>
            <w:pPr>
              <w:spacing w:after="0"/>
              <w:rPr>
                <w:sz w:val="20"/>
                <w:szCs w:val="20"/>
                <w:color w:val="auto"/>
              </w:rPr>
            </w:pPr>
            <w:r>
              <w:rPr>
                <w:rFonts w:ascii="Arial" w:cs="Arial" w:eastAsia="Arial" w:hAnsi="Arial"/>
                <w:sz w:val="22"/>
                <w:szCs w:val="22"/>
                <w:color w:val="auto"/>
              </w:rPr>
              <w:t>Diluted EPS</w:t>
            </w:r>
          </w:p>
        </w:tc>
        <w:tc>
          <w:tcPr>
            <w:tcW w:w="640" w:type="dxa"/>
            <w:vAlign w:val="bottom"/>
          </w:tcPr>
          <w:p>
            <w:pPr>
              <w:jc w:val="right"/>
              <w:spacing w:after="0"/>
              <w:rPr>
                <w:sz w:val="20"/>
                <w:szCs w:val="20"/>
                <w:color w:val="auto"/>
              </w:rPr>
            </w:pPr>
            <w:r>
              <w:rPr>
                <w:rFonts w:ascii="Arial" w:cs="Arial" w:eastAsia="Arial" w:hAnsi="Arial"/>
                <w:sz w:val="22"/>
                <w:szCs w:val="22"/>
                <w:color w:val="auto"/>
              </w:rPr>
              <w:t>$327</w:t>
            </w:r>
          </w:p>
        </w:tc>
        <w:tc>
          <w:tcPr>
            <w:tcW w:w="300" w:type="dxa"/>
            <w:vAlign w:val="bottom"/>
          </w:tcPr>
          <w:p>
            <w:pPr>
              <w:spacing w:after="0"/>
              <w:rPr>
                <w:sz w:val="24"/>
                <w:szCs w:val="2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22"/>
                <w:szCs w:val="22"/>
                <w:color w:val="auto"/>
              </w:rPr>
              <w:t>2,268</w:t>
            </w:r>
          </w:p>
        </w:tc>
        <w:tc>
          <w:tcPr>
            <w:tcW w:w="1180" w:type="dxa"/>
            <w:vAlign w:val="bottom"/>
            <w:gridSpan w:val="2"/>
          </w:tcPr>
          <w:p>
            <w:pPr>
              <w:jc w:val="right"/>
              <w:spacing w:after="0"/>
              <w:rPr>
                <w:sz w:val="20"/>
                <w:szCs w:val="20"/>
                <w:color w:val="auto"/>
              </w:rPr>
            </w:pPr>
            <w:r>
              <w:rPr>
                <w:rFonts w:ascii="Arial" w:cs="Arial" w:eastAsia="Arial" w:hAnsi="Arial"/>
                <w:sz w:val="22"/>
                <w:szCs w:val="22"/>
                <w:color w:val="auto"/>
              </w:rPr>
              <w:t>$0.14</w:t>
            </w:r>
          </w:p>
        </w:tc>
        <w:tc>
          <w:tcPr>
            <w:tcW w:w="1320" w:type="dxa"/>
            <w:vAlign w:val="bottom"/>
            <w:gridSpan w:val="3"/>
          </w:tcPr>
          <w:p>
            <w:pPr>
              <w:jc w:val="right"/>
              <w:ind w:right="440"/>
              <w:spacing w:after="0"/>
              <w:rPr>
                <w:sz w:val="20"/>
                <w:szCs w:val="20"/>
                <w:color w:val="auto"/>
              </w:rPr>
            </w:pPr>
            <w:r>
              <w:rPr>
                <w:rFonts w:ascii="Arial" w:cs="Arial" w:eastAsia="Arial" w:hAnsi="Arial"/>
                <w:sz w:val="22"/>
                <w:szCs w:val="22"/>
                <w:color w:val="auto"/>
              </w:rPr>
              <w:t>($448)</w:t>
            </w:r>
          </w:p>
        </w:tc>
        <w:tc>
          <w:tcPr>
            <w:tcW w:w="900" w:type="dxa"/>
            <w:vAlign w:val="bottom"/>
            <w:gridSpan w:val="2"/>
          </w:tcPr>
          <w:p>
            <w:pPr>
              <w:jc w:val="right"/>
              <w:ind w:right="300"/>
              <w:spacing w:after="0"/>
              <w:rPr>
                <w:sz w:val="20"/>
                <w:szCs w:val="20"/>
                <w:color w:val="auto"/>
              </w:rPr>
            </w:pPr>
            <w:r>
              <w:rPr>
                <w:rFonts w:ascii="Arial" w:cs="Arial" w:eastAsia="Arial" w:hAnsi="Arial"/>
                <w:sz w:val="22"/>
                <w:szCs w:val="22"/>
                <w:color w:val="auto"/>
              </w:rPr>
              <w:t>2,255</w:t>
            </w:r>
          </w:p>
        </w:tc>
        <w:tc>
          <w:tcPr>
            <w:tcW w:w="1100" w:type="dxa"/>
            <w:vAlign w:val="bottom"/>
            <w:gridSpan w:val="2"/>
          </w:tcPr>
          <w:p>
            <w:pPr>
              <w:jc w:val="right"/>
              <w:spacing w:after="0"/>
              <w:rPr>
                <w:sz w:val="20"/>
                <w:szCs w:val="20"/>
                <w:color w:val="auto"/>
              </w:rPr>
            </w:pPr>
            <w:r>
              <w:rPr>
                <w:rFonts w:ascii="Arial" w:cs="Arial" w:eastAsia="Arial" w:hAnsi="Arial"/>
                <w:sz w:val="22"/>
                <w:szCs w:val="22"/>
                <w:color w:val="auto"/>
              </w:rPr>
              <w:t>($0.20)</w:t>
            </w:r>
          </w:p>
        </w:tc>
        <w:tc>
          <w:tcPr>
            <w:tcW w:w="0" w:type="dxa"/>
            <w:vAlign w:val="bottom"/>
          </w:tcPr>
          <w:p>
            <w:pPr>
              <w:spacing w:after="0"/>
              <w:rPr>
                <w:sz w:val="1"/>
                <w:szCs w:val="1"/>
                <w:color w:val="auto"/>
              </w:rPr>
            </w:pPr>
          </w:p>
        </w:tc>
      </w:tr>
      <w:tr>
        <w:trPr>
          <w:trHeight w:val="108"/>
        </w:trPr>
        <w:tc>
          <w:tcPr>
            <w:tcW w:w="394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2901950</wp:posOffset>
            </wp:positionH>
            <wp:positionV relativeFrom="paragraph">
              <wp:posOffset>-2613025</wp:posOffset>
            </wp:positionV>
            <wp:extent cx="127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2498725</wp:posOffset>
            </wp:positionH>
            <wp:positionV relativeFrom="paragraph">
              <wp:posOffset>-2613025</wp:posOffset>
            </wp:positionV>
            <wp:extent cx="127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3475990</wp:posOffset>
            </wp:positionH>
            <wp:positionV relativeFrom="paragraph">
              <wp:posOffset>-2613025</wp:posOffset>
            </wp:positionV>
            <wp:extent cx="12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3098800</wp:posOffset>
            </wp:positionH>
            <wp:positionV relativeFrom="paragraph">
              <wp:posOffset>-2613025</wp:posOffset>
            </wp:positionV>
            <wp:extent cx="127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-2613025</wp:posOffset>
            </wp:positionV>
            <wp:extent cx="12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3673475</wp:posOffset>
            </wp:positionH>
            <wp:positionV relativeFrom="paragraph">
              <wp:posOffset>-2613025</wp:posOffset>
            </wp:positionV>
            <wp:extent cx="127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-2613025</wp:posOffset>
            </wp:positionV>
            <wp:extent cx="127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-2613025</wp:posOffset>
            </wp:positionV>
            <wp:extent cx="127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-2613025</wp:posOffset>
            </wp:positionV>
            <wp:extent cx="12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-2613025</wp:posOffset>
            </wp:positionV>
            <wp:extent cx="12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-2613025</wp:posOffset>
            </wp:positionV>
            <wp:extent cx="127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-2613025</wp:posOffset>
            </wp:positionV>
            <wp:extent cx="127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2901950</wp:posOffset>
            </wp:positionH>
            <wp:positionV relativeFrom="paragraph">
              <wp:posOffset>-14605</wp:posOffset>
            </wp:positionV>
            <wp:extent cx="127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2498725</wp:posOffset>
            </wp:positionH>
            <wp:positionV relativeFrom="paragraph">
              <wp:posOffset>-14605</wp:posOffset>
            </wp:positionV>
            <wp:extent cx="127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3475990</wp:posOffset>
            </wp:positionH>
            <wp:positionV relativeFrom="paragraph">
              <wp:posOffset>-14605</wp:posOffset>
            </wp:positionV>
            <wp:extent cx="127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3098800</wp:posOffset>
            </wp:positionH>
            <wp:positionV relativeFrom="paragraph">
              <wp:posOffset>-14605</wp:posOffset>
            </wp:positionV>
            <wp:extent cx="127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-14605</wp:posOffset>
            </wp:positionV>
            <wp:extent cx="127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3673475</wp:posOffset>
            </wp:positionH>
            <wp:positionV relativeFrom="paragraph">
              <wp:posOffset>-14605</wp:posOffset>
            </wp:positionV>
            <wp:extent cx="127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-14605</wp:posOffset>
            </wp:positionV>
            <wp:extent cx="127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-14605</wp:posOffset>
            </wp:positionV>
            <wp:extent cx="127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-14605</wp:posOffset>
            </wp:positionV>
            <wp:extent cx="127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-14605</wp:posOffset>
            </wp:positionV>
            <wp:extent cx="127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-14605</wp:posOffset>
            </wp:positionV>
            <wp:extent cx="127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-14605</wp:posOffset>
            </wp:positionV>
            <wp:extent cx="127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06" w:lineRule="exact"/>
        <w:rPr>
          <w:sz w:val="20"/>
          <w:szCs w:val="20"/>
          <w:color w:val="auto"/>
        </w:rPr>
      </w:pPr>
    </w:p>
    <w:p>
      <w:pPr>
        <w:ind w:left="460" w:hanging="452"/>
        <w:spacing w:after="0"/>
        <w:tabs>
          <w:tab w:leader="none" w:pos="460" w:val="left"/>
        </w:tabs>
        <w:numPr>
          <w:ilvl w:val="0"/>
          <w:numId w:val="6"/>
        </w:numPr>
        <w:rPr>
          <w:rFonts w:ascii="Arial" w:cs="Arial" w:eastAsia="Arial" w:hAnsi="Arial"/>
          <w:sz w:val="22"/>
          <w:szCs w:val="22"/>
          <w:color w:val="auto"/>
        </w:rPr>
      </w:pPr>
      <w:r>
        <w:rPr>
          <w:rFonts w:ascii="Arial" w:cs="Arial" w:eastAsia="Arial" w:hAnsi="Arial"/>
          <w:sz w:val="22"/>
          <w:szCs w:val="22"/>
          <w:color w:val="auto"/>
        </w:rPr>
        <w:t>ACQUISITIONS AND OTHER SIGNIFICANT EVENTS</w:t>
      </w:r>
    </w:p>
    <w:p>
      <w:pPr>
        <w:spacing w:after="0" w:line="233" w:lineRule="exact"/>
        <w:rPr>
          <w:rFonts w:ascii="Arial" w:cs="Arial" w:eastAsia="Arial" w:hAnsi="Arial"/>
          <w:sz w:val="22"/>
          <w:szCs w:val="22"/>
          <w:color w:val="auto"/>
        </w:rPr>
      </w:pPr>
    </w:p>
    <w:p>
      <w:pPr>
        <w:ind w:left="460"/>
        <w:spacing w:after="0"/>
        <w:rPr>
          <w:rFonts w:ascii="Arial" w:cs="Arial" w:eastAsia="Arial" w:hAnsi="Arial"/>
          <w:sz w:val="22"/>
          <w:szCs w:val="22"/>
          <w:color w:val="auto"/>
        </w:rPr>
      </w:pPr>
      <w:r>
        <w:rPr>
          <w:rFonts w:ascii="Arial" w:cs="Arial" w:eastAsia="Arial" w:hAnsi="Arial"/>
          <w:sz w:val="22"/>
          <w:szCs w:val="22"/>
          <w:i w:val="1"/>
          <w:iCs w:val="1"/>
          <w:color w:val="auto"/>
        </w:rPr>
        <w:t>Acquisition of Broadband</w:t>
      </w:r>
    </w:p>
    <w:p>
      <w:pPr>
        <w:spacing w:after="0" w:line="8" w:lineRule="exact"/>
        <w:rPr>
          <w:rFonts w:ascii="Arial" w:cs="Arial" w:eastAsia="Arial" w:hAnsi="Arial"/>
          <w:sz w:val="22"/>
          <w:szCs w:val="22"/>
          <w:color w:val="auto"/>
        </w:rPr>
      </w:pPr>
    </w:p>
    <w:p>
      <w:pPr>
        <w:jc w:val="both"/>
        <w:ind w:left="460" w:right="60"/>
        <w:spacing w:after="0" w:line="234" w:lineRule="auto"/>
        <w:rPr>
          <w:rFonts w:ascii="Arial" w:cs="Arial" w:eastAsia="Arial" w:hAnsi="Arial"/>
          <w:sz w:val="22"/>
          <w:szCs w:val="22"/>
          <w:color w:val="auto"/>
        </w:rPr>
      </w:pPr>
      <w:r>
        <w:rPr>
          <w:rFonts w:ascii="Arial" w:cs="Arial" w:eastAsia="Arial" w:hAnsi="Arial"/>
          <w:sz w:val="22"/>
          <w:szCs w:val="22"/>
          <w:color w:val="auto"/>
        </w:rPr>
        <w:t>On November 18, 2002, we completed the acquisition of AT&amp;T Corp.‘s (“AT&amp;T”) broadband business, which we refer to as “Broadband.” The acquisition created the largest cable operator in the United States by combining Broadband’s and our cable networks.</w:t>
      </w:r>
    </w:p>
    <w:p>
      <w:pPr>
        <w:sectPr>
          <w:pgSz w:w="11900" w:h="16838" w:orient="portrait"/>
          <w:cols w:equalWidth="0" w:num="1">
            <w:col w:w="11380"/>
          </w:cols>
          <w:pgMar w:left="240" w:top="118" w:right="279" w:bottom="0" w:gutter="0" w:footer="0" w:header="0"/>
        </w:sectPr>
      </w:pPr>
    </w:p>
    <w:bookmarkStart w:id="7" w:name="page8"/>
    <w:bookmarkEnd w:id="7"/>
    <w:p>
      <w:pPr>
        <w:ind w:left="460" w:right="80"/>
        <w:spacing w:after="0" w:line="248" w:lineRule="auto"/>
        <w:rPr>
          <w:rFonts w:ascii="Arial" w:cs="Arial" w:eastAsia="Arial" w:hAnsi="Arial"/>
          <w:sz w:val="21"/>
          <w:szCs w:val="21"/>
          <w:color w:val="0000EE"/>
        </w:rPr>
      </w:pPr>
      <w:r>
        <w:rPr>
          <w:rFonts w:ascii="Arial" w:cs="Arial" w:eastAsia="Arial" w:hAnsi="Arial"/>
          <w:sz w:val="21"/>
          <w:szCs w:val="21"/>
          <w:color w:val="auto"/>
        </w:rPr>
        <w:t xml:space="preserve">The application of purchase accounting under SFAS No. 141, “Business Combinations,” requires that the total purchase price of an acquisition be allocated to the fair value of the assets acquired and liabilities assumed based on their fair values at the acquisition date. During 2003, we finalized the Broadband purchase price allocation, except for certain litigation </w:t>
      </w:r>
      <w:hyperlink w:anchor="page14">
        <w:r>
          <w:rPr>
            <w:rFonts w:ascii="Arial" w:cs="Arial" w:eastAsia="Arial" w:hAnsi="Arial"/>
            <w:sz w:val="21"/>
            <w:szCs w:val="21"/>
            <w:color w:val="auto"/>
          </w:rPr>
          <w:t xml:space="preserve">contingencies relating to our share of AT&amp;T’s potential liability associated with the At Home Corporation litigation (see </w:t>
        </w:r>
        <w:r>
          <w:rPr>
            <w:rFonts w:ascii="Arial" w:cs="Arial" w:eastAsia="Arial" w:hAnsi="Arial"/>
            <w:sz w:val="21"/>
            <w:szCs w:val="21"/>
            <w:u w:val="single" w:color="auto"/>
            <w:color w:val="0000EE"/>
          </w:rPr>
          <w:t>Note</w:t>
        </w:r>
      </w:hyperlink>
      <w:r>
        <w:rPr>
          <w:rFonts w:ascii="Arial" w:cs="Arial" w:eastAsia="Arial" w:hAnsi="Arial"/>
          <w:sz w:val="21"/>
          <w:szCs w:val="21"/>
          <w:color w:val="auto"/>
        </w:rPr>
        <w:t xml:space="preserve"> </w:t>
      </w:r>
      <w:hyperlink w:anchor="page14">
        <w:r>
          <w:rPr>
            <w:rFonts w:ascii="Arial" w:cs="Arial" w:eastAsia="Arial" w:hAnsi="Arial"/>
            <w:sz w:val="21"/>
            <w:szCs w:val="21"/>
            <w:u w:val="single" w:color="auto"/>
            <w:color w:val="0000EE"/>
          </w:rPr>
          <w:t>9</w:t>
        </w:r>
        <w:r>
          <w:rPr>
            <w:rFonts w:ascii="Arial" w:cs="Arial" w:eastAsia="Arial" w:hAnsi="Arial"/>
            <w:sz w:val="21"/>
            <w:szCs w:val="21"/>
            <w:color w:val="000000"/>
          </w:rPr>
          <w:t>). We are waiting for additional information to complete the Broadband purchase price allocation, which we have arranged</w:t>
        </w:r>
      </w:hyperlink>
      <w:r>
        <w:rPr>
          <w:rFonts w:ascii="Arial" w:cs="Arial" w:eastAsia="Arial" w:hAnsi="Arial"/>
          <w:sz w:val="21"/>
          <w:szCs w:val="21"/>
          <w:color w:val="0000EE"/>
        </w:rPr>
        <w:t xml:space="preserve"> </w:t>
      </w:r>
      <w:r>
        <w:rPr>
          <w:rFonts w:ascii="Arial" w:cs="Arial" w:eastAsia="Arial" w:hAnsi="Arial"/>
          <w:sz w:val="21"/>
          <w:szCs w:val="21"/>
          <w:color w:val="000000"/>
        </w:rPr>
        <w:t>with AT&amp;T to obtain and expect to receive during 2004.</w:t>
      </w:r>
    </w:p>
    <w:p>
      <w:pPr>
        <w:spacing w:after="0" w:line="204" w:lineRule="exact"/>
        <w:rPr>
          <w:sz w:val="20"/>
          <w:szCs w:val="20"/>
          <w:color w:val="auto"/>
        </w:rPr>
      </w:pPr>
    </w:p>
    <w:p>
      <w:pPr>
        <w:ind w:left="460" w:right="320"/>
        <w:spacing w:after="0" w:line="287" w:lineRule="auto"/>
        <w:rPr>
          <w:sz w:val="20"/>
          <w:szCs w:val="20"/>
          <w:color w:val="auto"/>
        </w:rPr>
      </w:pPr>
      <w:r>
        <w:rPr>
          <w:rFonts w:ascii="Arial" w:cs="Arial" w:eastAsia="Arial" w:hAnsi="Arial"/>
          <w:sz w:val="19"/>
          <w:szCs w:val="19"/>
          <w:color w:val="auto"/>
        </w:rPr>
        <w:t>Liabilities associated with exit activities recorded in the purchase price allocation consist of $602 million associated with accrued employee termination and related costs and $929 million associated with either the cost of terminating contracts or the present value of remaining amounts payable under non-cancelable contracts. Amounts paid, adjustments made against these accruals and interest accretion during the six months ended June 30, 2004 were as follows (in millions):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6376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COMCAST CORPORATION AND SUBSIDIARIES</w:t>
      </w:r>
    </w:p>
    <w:p>
      <w:pPr>
        <w:jc w:val="center"/>
        <w:ind w:right="40"/>
        <w:spacing w:after="0" w:line="238" w:lineRule="auto"/>
        <w:rPr>
          <w:sz w:val="20"/>
          <w:szCs w:val="20"/>
          <w:color w:val="auto"/>
        </w:rPr>
      </w:pPr>
      <w:r>
        <w:rPr>
          <w:rFonts w:ascii="Arial" w:cs="Arial" w:eastAsia="Arial" w:hAnsi="Arial"/>
          <w:sz w:val="22"/>
          <w:szCs w:val="22"/>
          <w:color w:val="auto"/>
        </w:rPr>
        <w:t>FORM 10-Q</w:t>
      </w:r>
    </w:p>
    <w:p>
      <w:pPr>
        <w:jc w:val="center"/>
        <w:ind w:right="40"/>
        <w:spacing w:after="0" w:line="230" w:lineRule="auto"/>
        <w:rPr>
          <w:sz w:val="20"/>
          <w:szCs w:val="20"/>
          <w:color w:val="auto"/>
        </w:rPr>
      </w:pPr>
      <w:r>
        <w:rPr>
          <w:rFonts w:ascii="Arial" w:cs="Arial" w:eastAsia="Arial" w:hAnsi="Arial"/>
          <w:sz w:val="22"/>
          <w:szCs w:val="22"/>
          <w:color w:val="auto"/>
        </w:rPr>
        <w:t>QUARTER ENDED JUNE 30, 2004</w:t>
      </w:r>
    </w:p>
    <w:p>
      <w:pPr>
        <w:jc w:val="center"/>
        <w:ind w:right="40"/>
        <w:spacing w:after="0" w:line="231" w:lineRule="auto"/>
        <w:rPr>
          <w:sz w:val="20"/>
          <w:szCs w:val="20"/>
          <w:color w:val="auto"/>
        </w:rPr>
      </w:pPr>
      <w:r>
        <w:rPr>
          <w:rFonts w:ascii="Arial" w:cs="Arial" w:eastAsia="Arial" w:hAnsi="Arial"/>
          <w:sz w:val="22"/>
          <w:szCs w:val="22"/>
          <w:color w:val="auto"/>
        </w:rPr>
        <w:t>NOTES TO CONDENSED CONSOLIDATED FINANCIAL STATEMENTS - CONTINUED</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(Unaudited)</w:t>
      </w:r>
    </w:p>
    <w:p>
      <w:pPr>
        <w:spacing w:after="0" w:line="178" w:lineRule="exact"/>
        <w:rPr>
          <w:sz w:val="20"/>
          <w:szCs w:val="20"/>
          <w:color w:val="auto"/>
        </w:rPr>
      </w:pPr>
    </w:p>
    <w:tbl>
      <w:tblPr>
        <w:tblLayout w:type="fixed"/>
        <w:tblInd w:w="1040" w:type="dxa"/>
        <w:tblCellMar>
          <w:top w:w="0" w:type="dxa"/>
          <w:left w:w="0" w:type="dxa"/>
          <w:bottom w:w="0" w:type="dxa"/>
          <w:right w:w="0" w:type="dxa"/>
        </w:tblCellMar>
      </w:tblPr>
      <w:tr>
        <w:trPr>
          <w:trHeight w:val="253"/>
        </w:trPr>
        <w:tc>
          <w:tcPr>
            <w:tcW w:w="6140" w:type="dxa"/>
            <w:vAlign w:val="bottom"/>
          </w:tcPr>
          <w:p>
            <w:pPr>
              <w:spacing w:after="0"/>
              <w:rPr>
                <w:sz w:val="21"/>
                <w:szCs w:val="21"/>
                <w:color w:val="auto"/>
              </w:rPr>
            </w:pPr>
          </w:p>
        </w:tc>
        <w:tc>
          <w:tcPr>
            <w:tcW w:w="1860" w:type="dxa"/>
            <w:vAlign w:val="bottom"/>
            <w:gridSpan w:val="2"/>
          </w:tcPr>
          <w:p>
            <w:pPr>
              <w:jc w:val="center"/>
              <w:ind w:right="820"/>
              <w:spacing w:after="0"/>
              <w:rPr>
                <w:sz w:val="20"/>
                <w:szCs w:val="20"/>
                <w:color w:val="auto"/>
              </w:rPr>
            </w:pPr>
            <w:r>
              <w:rPr>
                <w:rFonts w:ascii="Arial" w:cs="Arial" w:eastAsia="Arial" w:hAnsi="Arial"/>
                <w:sz w:val="22"/>
                <w:szCs w:val="22"/>
                <w:color w:val="auto"/>
                <w:w w:val="89"/>
              </w:rPr>
              <w:t>Employee</w:t>
            </w: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3"/>
        </w:trPr>
        <w:tc>
          <w:tcPr>
            <w:tcW w:w="6140" w:type="dxa"/>
            <w:vAlign w:val="bottom"/>
          </w:tcPr>
          <w:p>
            <w:pPr>
              <w:spacing w:after="0"/>
              <w:rPr>
                <w:sz w:val="21"/>
                <w:szCs w:val="21"/>
                <w:color w:val="auto"/>
              </w:rPr>
            </w:pPr>
          </w:p>
        </w:tc>
        <w:tc>
          <w:tcPr>
            <w:tcW w:w="1860" w:type="dxa"/>
            <w:vAlign w:val="bottom"/>
            <w:gridSpan w:val="2"/>
          </w:tcPr>
          <w:p>
            <w:pPr>
              <w:jc w:val="center"/>
              <w:ind w:right="800"/>
              <w:spacing w:after="0" w:line="243" w:lineRule="exact"/>
              <w:rPr>
                <w:sz w:val="20"/>
                <w:szCs w:val="20"/>
                <w:color w:val="auto"/>
              </w:rPr>
            </w:pPr>
            <w:r>
              <w:rPr>
                <w:rFonts w:ascii="Arial" w:cs="Arial" w:eastAsia="Arial" w:hAnsi="Arial"/>
                <w:sz w:val="22"/>
                <w:szCs w:val="22"/>
                <w:color w:val="auto"/>
                <w:w w:val="91"/>
              </w:rPr>
              <w:t>Termination</w:t>
            </w: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3"/>
        </w:trPr>
        <w:tc>
          <w:tcPr>
            <w:tcW w:w="6140" w:type="dxa"/>
            <w:vAlign w:val="bottom"/>
          </w:tcPr>
          <w:p>
            <w:pPr>
              <w:spacing w:after="0"/>
              <w:rPr>
                <w:sz w:val="21"/>
                <w:szCs w:val="21"/>
                <w:color w:val="auto"/>
              </w:rPr>
            </w:pPr>
          </w:p>
        </w:tc>
        <w:tc>
          <w:tcPr>
            <w:tcW w:w="1860" w:type="dxa"/>
            <w:vAlign w:val="bottom"/>
            <w:gridSpan w:val="2"/>
          </w:tcPr>
          <w:p>
            <w:pPr>
              <w:jc w:val="center"/>
              <w:ind w:right="860"/>
              <w:spacing w:after="0" w:line="243" w:lineRule="exact"/>
              <w:rPr>
                <w:sz w:val="20"/>
                <w:szCs w:val="20"/>
                <w:color w:val="auto"/>
              </w:rPr>
            </w:pPr>
            <w:r>
              <w:rPr>
                <w:rFonts w:ascii="Arial" w:cs="Arial" w:eastAsia="Arial" w:hAnsi="Arial"/>
                <w:sz w:val="22"/>
                <w:szCs w:val="22"/>
                <w:color w:val="auto"/>
                <w:w w:val="87"/>
              </w:rPr>
              <w:t>and</w:t>
            </w:r>
          </w:p>
        </w:tc>
        <w:tc>
          <w:tcPr>
            <w:tcW w:w="1100" w:type="dxa"/>
            <w:vAlign w:val="bottom"/>
            <w:gridSpan w:val="2"/>
          </w:tcPr>
          <w:p>
            <w:pPr>
              <w:jc w:val="center"/>
              <w:ind w:right="80"/>
              <w:spacing w:after="0" w:line="243" w:lineRule="exact"/>
              <w:rPr>
                <w:sz w:val="20"/>
                <w:szCs w:val="20"/>
                <w:color w:val="auto"/>
              </w:rPr>
            </w:pPr>
            <w:r>
              <w:rPr>
                <w:rFonts w:ascii="Arial" w:cs="Arial" w:eastAsia="Arial" w:hAnsi="Arial"/>
                <w:sz w:val="22"/>
                <w:szCs w:val="22"/>
                <w:color w:val="auto"/>
                <w:w w:val="88"/>
              </w:rPr>
              <w:t>Contract</w:t>
            </w:r>
          </w:p>
        </w:tc>
      </w:tr>
      <w:tr>
        <w:trPr>
          <w:trHeight w:val="243"/>
        </w:trPr>
        <w:tc>
          <w:tcPr>
            <w:tcW w:w="6140" w:type="dxa"/>
            <w:vAlign w:val="bottom"/>
          </w:tcPr>
          <w:p>
            <w:pPr>
              <w:spacing w:after="0"/>
              <w:rPr>
                <w:sz w:val="21"/>
                <w:szCs w:val="21"/>
                <w:color w:val="auto"/>
              </w:rPr>
            </w:pPr>
          </w:p>
        </w:tc>
        <w:tc>
          <w:tcPr>
            <w:tcW w:w="1860" w:type="dxa"/>
            <w:vAlign w:val="bottom"/>
            <w:gridSpan w:val="2"/>
          </w:tcPr>
          <w:p>
            <w:pPr>
              <w:jc w:val="center"/>
              <w:ind w:right="800"/>
              <w:spacing w:after="0" w:line="243" w:lineRule="exact"/>
              <w:rPr>
                <w:sz w:val="20"/>
                <w:szCs w:val="20"/>
                <w:color w:val="auto"/>
              </w:rPr>
            </w:pPr>
            <w:r>
              <w:rPr>
                <w:rFonts w:ascii="Arial" w:cs="Arial" w:eastAsia="Arial" w:hAnsi="Arial"/>
                <w:sz w:val="22"/>
                <w:szCs w:val="22"/>
                <w:color w:val="auto"/>
                <w:w w:val="86"/>
              </w:rPr>
              <w:t>Related</w:t>
            </w:r>
          </w:p>
        </w:tc>
        <w:tc>
          <w:tcPr>
            <w:tcW w:w="1100" w:type="dxa"/>
            <w:vAlign w:val="bottom"/>
            <w:gridSpan w:val="2"/>
          </w:tcPr>
          <w:p>
            <w:pPr>
              <w:jc w:val="center"/>
              <w:ind w:right="60"/>
              <w:spacing w:after="0" w:line="243" w:lineRule="exact"/>
              <w:rPr>
                <w:sz w:val="20"/>
                <w:szCs w:val="20"/>
                <w:color w:val="auto"/>
              </w:rPr>
            </w:pPr>
            <w:r>
              <w:rPr>
                <w:rFonts w:ascii="Arial" w:cs="Arial" w:eastAsia="Arial" w:hAnsi="Arial"/>
                <w:sz w:val="22"/>
                <w:szCs w:val="22"/>
                <w:color w:val="auto"/>
                <w:w w:val="98"/>
              </w:rPr>
              <w:t>Exit</w:t>
            </w:r>
          </w:p>
        </w:tc>
      </w:tr>
      <w:tr>
        <w:trPr>
          <w:trHeight w:val="275"/>
        </w:trPr>
        <w:tc>
          <w:tcPr>
            <w:tcW w:w="6140" w:type="dxa"/>
            <w:vAlign w:val="bottom"/>
          </w:tcPr>
          <w:p>
            <w:pPr>
              <w:spacing w:after="0"/>
              <w:rPr>
                <w:sz w:val="23"/>
                <w:szCs w:val="23"/>
                <w:color w:val="auto"/>
              </w:rPr>
            </w:pPr>
          </w:p>
        </w:tc>
        <w:tc>
          <w:tcPr>
            <w:tcW w:w="1860" w:type="dxa"/>
            <w:vAlign w:val="bottom"/>
            <w:gridSpan w:val="2"/>
          </w:tcPr>
          <w:p>
            <w:pPr>
              <w:jc w:val="center"/>
              <w:ind w:right="820"/>
              <w:spacing w:after="0"/>
              <w:rPr>
                <w:sz w:val="20"/>
                <w:szCs w:val="20"/>
                <w:color w:val="auto"/>
              </w:rPr>
            </w:pPr>
            <w:r>
              <w:rPr>
                <w:rFonts w:ascii="Arial" w:cs="Arial" w:eastAsia="Arial" w:hAnsi="Arial"/>
                <w:sz w:val="22"/>
                <w:szCs w:val="22"/>
                <w:color w:val="auto"/>
                <w:w w:val="85"/>
              </w:rPr>
              <w:t>Costs</w:t>
            </w:r>
          </w:p>
        </w:tc>
        <w:tc>
          <w:tcPr>
            <w:tcW w:w="1100" w:type="dxa"/>
            <w:vAlign w:val="bottom"/>
            <w:gridSpan w:val="2"/>
          </w:tcPr>
          <w:p>
            <w:pPr>
              <w:jc w:val="center"/>
              <w:ind w:right="60"/>
              <w:spacing w:after="0"/>
              <w:rPr>
                <w:sz w:val="20"/>
                <w:szCs w:val="20"/>
                <w:color w:val="auto"/>
              </w:rPr>
            </w:pPr>
            <w:r>
              <w:rPr>
                <w:rFonts w:ascii="Arial" w:cs="Arial" w:eastAsia="Arial" w:hAnsi="Arial"/>
                <w:sz w:val="22"/>
                <w:szCs w:val="22"/>
                <w:color w:val="auto"/>
                <w:w w:val="85"/>
              </w:rPr>
              <w:t>Costs</w:t>
            </w:r>
          </w:p>
        </w:tc>
      </w:tr>
      <w:tr>
        <w:trPr>
          <w:trHeight w:val="98"/>
        </w:trPr>
        <w:tc>
          <w:tcPr>
            <w:tcW w:w="6140" w:type="dxa"/>
            <w:vAlign w:val="bottom"/>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80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r>
      <w:tr>
        <w:trPr>
          <w:trHeight w:val="323"/>
        </w:trPr>
        <w:tc>
          <w:tcPr>
            <w:tcW w:w="6140" w:type="dxa"/>
            <w:vAlign w:val="bottom"/>
          </w:tcPr>
          <w:p>
            <w:pPr>
              <w:spacing w:after="0"/>
              <w:rPr>
                <w:sz w:val="20"/>
                <w:szCs w:val="20"/>
                <w:color w:val="auto"/>
              </w:rPr>
            </w:pPr>
            <w:r>
              <w:rPr>
                <w:rFonts w:ascii="Arial" w:cs="Arial" w:eastAsia="Arial" w:hAnsi="Arial"/>
                <w:sz w:val="22"/>
                <w:szCs w:val="22"/>
                <w:color w:val="auto"/>
              </w:rPr>
              <w:t>Balance, December 31, 2003</w:t>
            </w:r>
          </w:p>
        </w:tc>
        <w:tc>
          <w:tcPr>
            <w:tcW w:w="1860" w:type="dxa"/>
            <w:vAlign w:val="bottom"/>
            <w:gridSpan w:val="2"/>
          </w:tcPr>
          <w:p>
            <w:pPr>
              <w:jc w:val="right"/>
              <w:ind w:right="800"/>
              <w:spacing w:after="0"/>
              <w:rPr>
                <w:sz w:val="20"/>
                <w:szCs w:val="20"/>
                <w:color w:val="auto"/>
              </w:rPr>
            </w:pPr>
            <w:r>
              <w:rPr>
                <w:rFonts w:ascii="Arial" w:cs="Arial" w:eastAsia="Arial" w:hAnsi="Arial"/>
                <w:sz w:val="22"/>
                <w:szCs w:val="22"/>
                <w:color w:val="auto"/>
              </w:rPr>
              <w:t>$135</w:t>
            </w:r>
          </w:p>
        </w:tc>
        <w:tc>
          <w:tcPr>
            <w:tcW w:w="1020" w:type="dxa"/>
            <w:vAlign w:val="bottom"/>
          </w:tcPr>
          <w:p>
            <w:pPr>
              <w:jc w:val="right"/>
              <w:spacing w:after="0"/>
              <w:rPr>
                <w:sz w:val="20"/>
                <w:szCs w:val="20"/>
                <w:color w:val="auto"/>
              </w:rPr>
            </w:pPr>
            <w:r>
              <w:rPr>
                <w:rFonts w:ascii="Arial" w:cs="Arial" w:eastAsia="Arial" w:hAnsi="Arial"/>
                <w:sz w:val="22"/>
                <w:szCs w:val="22"/>
                <w:color w:val="auto"/>
              </w:rPr>
              <w:t>$461</w:t>
            </w:r>
          </w:p>
        </w:tc>
        <w:tc>
          <w:tcPr>
            <w:tcW w:w="80" w:type="dxa"/>
            <w:vAlign w:val="bottom"/>
          </w:tcPr>
          <w:p>
            <w:pPr>
              <w:spacing w:after="0"/>
              <w:rPr>
                <w:sz w:val="24"/>
                <w:szCs w:val="24"/>
                <w:color w:val="auto"/>
              </w:rPr>
            </w:pPr>
          </w:p>
        </w:tc>
      </w:tr>
      <w:tr>
        <w:trPr>
          <w:trHeight w:val="243"/>
        </w:trPr>
        <w:tc>
          <w:tcPr>
            <w:tcW w:w="6140" w:type="dxa"/>
            <w:vAlign w:val="bottom"/>
          </w:tcPr>
          <w:p>
            <w:pPr>
              <w:spacing w:after="0" w:line="243" w:lineRule="exact"/>
              <w:rPr>
                <w:sz w:val="20"/>
                <w:szCs w:val="20"/>
                <w:color w:val="auto"/>
              </w:rPr>
            </w:pPr>
            <w:r>
              <w:rPr>
                <w:rFonts w:ascii="Arial" w:cs="Arial" w:eastAsia="Arial" w:hAnsi="Arial"/>
                <w:sz w:val="22"/>
                <w:szCs w:val="22"/>
                <w:color w:val="auto"/>
              </w:rPr>
              <w:t>Payments</w:t>
            </w:r>
          </w:p>
        </w:tc>
        <w:tc>
          <w:tcPr>
            <w:tcW w:w="1860" w:type="dxa"/>
            <w:vAlign w:val="bottom"/>
            <w:gridSpan w:val="2"/>
          </w:tcPr>
          <w:p>
            <w:pPr>
              <w:jc w:val="right"/>
              <w:ind w:right="740"/>
              <w:spacing w:after="0" w:line="243" w:lineRule="exact"/>
              <w:rPr>
                <w:sz w:val="20"/>
                <w:szCs w:val="20"/>
                <w:color w:val="auto"/>
              </w:rPr>
            </w:pPr>
            <w:r>
              <w:rPr>
                <w:rFonts w:ascii="Arial" w:cs="Arial" w:eastAsia="Arial" w:hAnsi="Arial"/>
                <w:sz w:val="22"/>
                <w:szCs w:val="22"/>
                <w:color w:val="auto"/>
              </w:rPr>
              <w:t>(38)</w:t>
            </w:r>
          </w:p>
        </w:tc>
        <w:tc>
          <w:tcPr>
            <w:tcW w:w="110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(12)</w:t>
            </w:r>
          </w:p>
        </w:tc>
      </w:tr>
      <w:tr>
        <w:trPr>
          <w:trHeight w:val="275"/>
        </w:trPr>
        <w:tc>
          <w:tcPr>
            <w:tcW w:w="6140" w:type="dxa"/>
            <w:vAlign w:val="bottom"/>
          </w:tcPr>
          <w:p>
            <w:pPr>
              <w:spacing w:after="0"/>
              <w:rPr>
                <w:sz w:val="20"/>
                <w:szCs w:val="20"/>
                <w:color w:val="auto"/>
              </w:rPr>
            </w:pPr>
            <w:r>
              <w:rPr>
                <w:rFonts w:ascii="Arial" w:cs="Arial" w:eastAsia="Arial" w:hAnsi="Arial"/>
                <w:sz w:val="22"/>
                <w:szCs w:val="22"/>
                <w:color w:val="auto"/>
              </w:rPr>
              <w:t>Interest accretion</w:t>
            </w:r>
          </w:p>
        </w:tc>
        <w:tc>
          <w:tcPr>
            <w:tcW w:w="10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22"/>
                <w:szCs w:val="22"/>
                <w:color w:val="auto"/>
              </w:rPr>
              <w:t>2</w:t>
            </w:r>
          </w:p>
        </w:tc>
        <w:tc>
          <w:tcPr>
            <w:tcW w:w="80" w:type="dxa"/>
            <w:vAlign w:val="bottom"/>
          </w:tcPr>
          <w:p>
            <w:pPr>
              <w:spacing w:after="0"/>
              <w:rPr>
                <w:sz w:val="23"/>
                <w:szCs w:val="23"/>
                <w:color w:val="auto"/>
              </w:rPr>
            </w:pPr>
          </w:p>
        </w:tc>
      </w:tr>
      <w:tr>
        <w:trPr>
          <w:trHeight w:val="98"/>
        </w:trPr>
        <w:tc>
          <w:tcPr>
            <w:tcW w:w="6140" w:type="dxa"/>
            <w:vAlign w:val="bottom"/>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80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r>
      <w:tr>
        <w:trPr>
          <w:trHeight w:val="355"/>
        </w:trPr>
        <w:tc>
          <w:tcPr>
            <w:tcW w:w="6140" w:type="dxa"/>
            <w:vAlign w:val="bottom"/>
          </w:tcPr>
          <w:p>
            <w:pPr>
              <w:spacing w:after="0"/>
              <w:rPr>
                <w:sz w:val="20"/>
                <w:szCs w:val="20"/>
                <w:color w:val="auto"/>
              </w:rPr>
            </w:pPr>
            <w:r>
              <w:rPr>
                <w:rFonts w:ascii="Arial" w:cs="Arial" w:eastAsia="Arial" w:hAnsi="Arial"/>
                <w:sz w:val="22"/>
                <w:szCs w:val="22"/>
                <w:color w:val="auto"/>
              </w:rPr>
              <w:t>Balance, June 30, 2004</w:t>
            </w:r>
          </w:p>
        </w:tc>
        <w:tc>
          <w:tcPr>
            <w:tcW w:w="1860" w:type="dxa"/>
            <w:vAlign w:val="bottom"/>
            <w:gridSpan w:val="2"/>
          </w:tcPr>
          <w:p>
            <w:pPr>
              <w:jc w:val="right"/>
              <w:ind w:right="800"/>
              <w:spacing w:after="0"/>
              <w:rPr>
                <w:sz w:val="20"/>
                <w:szCs w:val="20"/>
                <w:color w:val="auto"/>
              </w:rPr>
            </w:pPr>
            <w:r>
              <w:rPr>
                <w:rFonts w:ascii="Arial" w:cs="Arial" w:eastAsia="Arial" w:hAnsi="Arial"/>
                <w:sz w:val="22"/>
                <w:szCs w:val="22"/>
                <w:color w:val="auto"/>
              </w:rPr>
              <w:t>$97</w:t>
            </w:r>
          </w:p>
        </w:tc>
        <w:tc>
          <w:tcPr>
            <w:tcW w:w="1020" w:type="dxa"/>
            <w:vAlign w:val="bottom"/>
          </w:tcPr>
          <w:p>
            <w:pPr>
              <w:jc w:val="right"/>
              <w:spacing w:after="0"/>
              <w:rPr>
                <w:sz w:val="20"/>
                <w:szCs w:val="20"/>
                <w:color w:val="auto"/>
              </w:rPr>
            </w:pPr>
            <w:r>
              <w:rPr>
                <w:rFonts w:ascii="Arial" w:cs="Arial" w:eastAsia="Arial" w:hAnsi="Arial"/>
                <w:sz w:val="22"/>
                <w:szCs w:val="22"/>
                <w:color w:val="auto"/>
              </w:rPr>
              <w:t>$451</w:t>
            </w:r>
          </w:p>
        </w:tc>
        <w:tc>
          <w:tcPr>
            <w:tcW w:w="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62230</wp:posOffset>
            </wp:positionV>
            <wp:extent cx="66865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68655" cy="8890"/>
                    </a:xfrm>
                    <a:prstGeom prst="rect">
                      <a:avLst/>
                    </a:prstGeom>
                    <a:noFill/>
                  </pic:spPr>
                </pic:pic>
              </a:graphicData>
            </a:graphic>
          </wp:anchor>
        </w:drawing>
        <w:drawing>
          <wp:anchor simplePos="0" relativeHeight="251657728" behindDoc="1" locked="0" layoutInCell="0" allowOverlap="1">
            <wp:simplePos x="0" y="0"/>
            <wp:positionH relativeFrom="column">
              <wp:posOffset>5742305</wp:posOffset>
            </wp:positionH>
            <wp:positionV relativeFrom="paragraph">
              <wp:posOffset>62230</wp:posOffset>
            </wp:positionV>
            <wp:extent cx="65151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51510" cy="8890"/>
                    </a:xfrm>
                    <a:prstGeom prst="rect">
                      <a:avLst/>
                    </a:prstGeom>
                    <a:noFill/>
                  </pic:spPr>
                </pic:pic>
              </a:graphicData>
            </a:graphic>
          </wp:anchor>
        </w:drawing>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22"/>
          <w:szCs w:val="22"/>
          <w:i w:val="1"/>
          <w:iCs w:val="1"/>
          <w:color w:val="auto"/>
        </w:rPr>
        <w:t>Gemstar</w:t>
      </w:r>
    </w:p>
    <w:p>
      <w:pPr>
        <w:spacing w:after="0" w:line="8" w:lineRule="exact"/>
        <w:rPr>
          <w:sz w:val="20"/>
          <w:szCs w:val="20"/>
          <w:color w:val="auto"/>
        </w:rPr>
      </w:pPr>
    </w:p>
    <w:p>
      <w:pPr>
        <w:ind w:left="460" w:right="160"/>
        <w:spacing w:after="0" w:line="232" w:lineRule="auto"/>
        <w:rPr>
          <w:sz w:val="20"/>
          <w:szCs w:val="20"/>
          <w:color w:val="auto"/>
        </w:rPr>
      </w:pPr>
      <w:r>
        <w:rPr>
          <w:rFonts w:ascii="Arial" w:cs="Arial" w:eastAsia="Arial" w:hAnsi="Arial"/>
          <w:sz w:val="22"/>
          <w:szCs w:val="22"/>
          <w:color w:val="auto"/>
        </w:rPr>
        <w:t>On March 31, 2004, we entered into a long-term, non-exclusive patent license and distribution agreement with Gemstar-TV Guide International (“Gemstar”) in exchange for a one-time payment of $250 million to Gemstar. This amount is included in other intangible assets in our condensed consolidated balance sheet and is being amortized based on a preliminary allocation of value. This agreement allows us to utilize Gemstar’s intellectual property and technology and the TV Guide brand and content on our interactive program guides. In addition, we formed an entity along with Gemstar to develop and enhance interactive programming guides.</w:t>
      </w:r>
    </w:p>
    <w:p>
      <w:pPr>
        <w:spacing w:after="0" w:line="216" w:lineRule="exact"/>
        <w:rPr>
          <w:sz w:val="20"/>
          <w:szCs w:val="20"/>
          <w:color w:val="auto"/>
        </w:rPr>
      </w:pPr>
    </w:p>
    <w:p>
      <w:pPr>
        <w:ind w:left="460"/>
        <w:spacing w:after="0"/>
        <w:rPr>
          <w:sz w:val="20"/>
          <w:szCs w:val="20"/>
          <w:color w:val="auto"/>
        </w:rPr>
      </w:pPr>
      <w:r>
        <w:rPr>
          <w:rFonts w:ascii="Arial" w:cs="Arial" w:eastAsia="Arial" w:hAnsi="Arial"/>
          <w:sz w:val="22"/>
          <w:szCs w:val="22"/>
          <w:i w:val="1"/>
          <w:iCs w:val="1"/>
          <w:color w:val="auto"/>
        </w:rPr>
        <w:t>TechTV</w:t>
      </w:r>
    </w:p>
    <w:p>
      <w:pPr>
        <w:spacing w:after="0" w:line="8" w:lineRule="exact"/>
        <w:rPr>
          <w:sz w:val="20"/>
          <w:szCs w:val="20"/>
          <w:color w:val="auto"/>
        </w:rPr>
      </w:pPr>
    </w:p>
    <w:p>
      <w:pPr>
        <w:ind w:left="460"/>
        <w:spacing w:after="0" w:line="244" w:lineRule="auto"/>
        <w:rPr>
          <w:rFonts w:ascii="Arial" w:cs="Arial" w:eastAsia="Arial" w:hAnsi="Arial"/>
          <w:sz w:val="21"/>
          <w:szCs w:val="21"/>
          <w:color w:val="auto"/>
        </w:rPr>
      </w:pPr>
      <w:r>
        <w:rPr>
          <w:rFonts w:ascii="Arial" w:cs="Arial" w:eastAsia="Arial" w:hAnsi="Arial"/>
          <w:sz w:val="21"/>
          <w:szCs w:val="21"/>
          <w:color w:val="auto"/>
        </w:rPr>
        <w:t xml:space="preserve">On May 10, 2004, we completed the purchase of TechTV, Inc. (“TechTV”) by acquiring all outstanding common and preferred stock of TechTV from Vulcan Programming, Inc. for approximately $300 million in cash. Substantially all of the purchase price has been recorded as an intangible asset pending the completion of a formal valuation. The results of TechTV are not material for pro forma presentation. On May 28, 2004, G4 and TechTV began operating as one network called G4techTV, which is available to approximately 42 million cable and satellite homes nationwide. We have classified G4techTV as part of our content business segment (see </w:t>
      </w:r>
      <w:hyperlink w:anchor="page16">
        <w:r>
          <w:rPr>
            <w:rFonts w:ascii="Arial" w:cs="Arial" w:eastAsia="Arial" w:hAnsi="Arial"/>
            <w:sz w:val="21"/>
            <w:szCs w:val="21"/>
            <w:u w:val="single" w:color="auto"/>
            <w:color w:val="0000EE"/>
          </w:rPr>
          <w:t>Note 10</w:t>
        </w:r>
      </w:hyperlink>
      <w:r>
        <w:rPr>
          <w:rFonts w:ascii="Arial" w:cs="Arial" w:eastAsia="Arial" w:hAnsi="Arial"/>
          <w:sz w:val="21"/>
          <w:szCs w:val="21"/>
          <w:color w:val="auto"/>
        </w:rPr>
        <w:t>).</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7100" w:type="dxa"/>
            <w:vAlign w:val="bottom"/>
          </w:tcPr>
          <w:p>
            <w:pPr>
              <w:spacing w:after="0"/>
              <w:rPr>
                <w:sz w:val="20"/>
                <w:szCs w:val="20"/>
                <w:color w:val="auto"/>
              </w:rPr>
            </w:pPr>
            <w:r>
              <w:rPr>
                <w:rFonts w:ascii="Arial" w:cs="Arial" w:eastAsia="Arial" w:hAnsi="Arial"/>
                <w:sz w:val="22"/>
                <w:szCs w:val="22"/>
                <w:color w:val="auto"/>
              </w:rPr>
              <w:t>5.   INVESTMENTS</w:t>
            </w:r>
          </w:p>
        </w:tc>
        <w:tc>
          <w:tcPr>
            <w:tcW w:w="12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5"/>
        </w:trPr>
        <w:tc>
          <w:tcPr>
            <w:tcW w:w="7100" w:type="dxa"/>
            <w:vAlign w:val="bottom"/>
          </w:tcPr>
          <w:p>
            <w:pPr>
              <w:spacing w:after="0"/>
              <w:rPr>
                <w:sz w:val="24"/>
                <w:szCs w:val="24"/>
                <w:color w:val="auto"/>
              </w:rPr>
            </w:pPr>
          </w:p>
        </w:tc>
        <w:tc>
          <w:tcPr>
            <w:tcW w:w="1220" w:type="dxa"/>
            <w:vAlign w:val="bottom"/>
          </w:tcPr>
          <w:p>
            <w:pPr>
              <w:jc w:val="right"/>
              <w:ind w:right="172"/>
              <w:spacing w:after="0"/>
              <w:rPr>
                <w:sz w:val="20"/>
                <w:szCs w:val="20"/>
                <w:color w:val="auto"/>
              </w:rPr>
            </w:pPr>
            <w:r>
              <w:rPr>
                <w:rFonts w:ascii="Arial" w:cs="Arial" w:eastAsia="Arial" w:hAnsi="Arial"/>
                <w:sz w:val="22"/>
                <w:szCs w:val="22"/>
                <w:color w:val="auto"/>
              </w:rPr>
              <w:t>June 30,</w:t>
            </w:r>
          </w:p>
        </w:tc>
        <w:tc>
          <w:tcPr>
            <w:tcW w:w="52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22"/>
                <w:szCs w:val="22"/>
                <w:color w:val="auto"/>
                <w:w w:val="86"/>
              </w:rPr>
              <w:t>December 31,</w:t>
            </w:r>
          </w:p>
        </w:tc>
        <w:tc>
          <w:tcPr>
            <w:tcW w:w="0" w:type="dxa"/>
            <w:vAlign w:val="bottom"/>
          </w:tcPr>
          <w:p>
            <w:pPr>
              <w:spacing w:after="0"/>
              <w:rPr>
                <w:sz w:val="1"/>
                <w:szCs w:val="1"/>
                <w:color w:val="auto"/>
              </w:rPr>
            </w:pPr>
          </w:p>
        </w:tc>
      </w:tr>
      <w:tr>
        <w:trPr>
          <w:trHeight w:val="275"/>
        </w:trPr>
        <w:tc>
          <w:tcPr>
            <w:tcW w:w="7100" w:type="dxa"/>
            <w:vAlign w:val="bottom"/>
          </w:tcPr>
          <w:p>
            <w:pPr>
              <w:spacing w:after="0"/>
              <w:rPr>
                <w:sz w:val="23"/>
                <w:szCs w:val="23"/>
                <w:color w:val="auto"/>
              </w:rPr>
            </w:pPr>
          </w:p>
        </w:tc>
        <w:tc>
          <w:tcPr>
            <w:tcW w:w="1220" w:type="dxa"/>
            <w:vAlign w:val="bottom"/>
          </w:tcPr>
          <w:p>
            <w:pPr>
              <w:jc w:val="right"/>
              <w:ind w:right="292"/>
              <w:spacing w:after="0"/>
              <w:rPr>
                <w:sz w:val="20"/>
                <w:szCs w:val="20"/>
                <w:color w:val="auto"/>
              </w:rPr>
            </w:pPr>
            <w:r>
              <w:rPr>
                <w:rFonts w:ascii="Arial" w:cs="Arial" w:eastAsia="Arial" w:hAnsi="Arial"/>
                <w:sz w:val="22"/>
                <w:szCs w:val="22"/>
                <w:color w:val="auto"/>
              </w:rPr>
              <w:t>2004</w:t>
            </w:r>
          </w:p>
        </w:tc>
        <w:tc>
          <w:tcPr>
            <w:tcW w:w="1740" w:type="dxa"/>
            <w:vAlign w:val="bottom"/>
            <w:gridSpan w:val="2"/>
          </w:tcPr>
          <w:p>
            <w:pPr>
              <w:jc w:val="right"/>
              <w:ind w:right="272"/>
              <w:spacing w:after="0"/>
              <w:rPr>
                <w:sz w:val="20"/>
                <w:szCs w:val="20"/>
                <w:color w:val="auto"/>
              </w:rPr>
            </w:pPr>
            <w:r>
              <w:rPr>
                <w:rFonts w:ascii="Arial" w:cs="Arial" w:eastAsia="Arial" w:hAnsi="Arial"/>
                <w:sz w:val="22"/>
                <w:szCs w:val="22"/>
                <w:color w:val="auto"/>
              </w:rPr>
              <w:t>2003</w:t>
            </w:r>
          </w:p>
        </w:tc>
        <w:tc>
          <w:tcPr>
            <w:tcW w:w="0" w:type="dxa"/>
            <w:vAlign w:val="bottom"/>
          </w:tcPr>
          <w:p>
            <w:pPr>
              <w:spacing w:after="0"/>
              <w:rPr>
                <w:sz w:val="1"/>
                <w:szCs w:val="1"/>
                <w:color w:val="auto"/>
              </w:rPr>
            </w:pPr>
          </w:p>
        </w:tc>
      </w:tr>
      <w:tr>
        <w:trPr>
          <w:trHeight w:val="98"/>
        </w:trPr>
        <w:tc>
          <w:tcPr>
            <w:tcW w:w="7100" w:type="dxa"/>
            <w:vAlign w:val="bottom"/>
          </w:tcPr>
          <w:p>
            <w:pPr>
              <w:spacing w:after="0"/>
              <w:rPr>
                <w:sz w:val="8"/>
                <w:szCs w:val="8"/>
                <w:color w:val="auto"/>
              </w:rPr>
            </w:pPr>
          </w:p>
        </w:tc>
        <w:tc>
          <w:tcPr>
            <w:tcW w:w="122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12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55"/>
        </w:trPr>
        <w:tc>
          <w:tcPr>
            <w:tcW w:w="7100" w:type="dxa"/>
            <w:vAlign w:val="bottom"/>
            <w:vMerge w:val="restart"/>
          </w:tcPr>
          <w:p>
            <w:pPr>
              <w:spacing w:after="0"/>
              <w:rPr>
                <w:sz w:val="20"/>
                <w:szCs w:val="20"/>
                <w:color w:val="auto"/>
              </w:rPr>
            </w:pPr>
            <w:r>
              <w:rPr>
                <w:rFonts w:ascii="Arial" w:cs="Arial" w:eastAsia="Arial" w:hAnsi="Arial"/>
                <w:sz w:val="22"/>
                <w:szCs w:val="22"/>
                <w:color w:val="auto"/>
              </w:rPr>
              <w:t>Fair value method</w:t>
            </w:r>
          </w:p>
        </w:tc>
        <w:tc>
          <w:tcPr>
            <w:tcW w:w="2960" w:type="dxa"/>
            <w:vAlign w:val="bottom"/>
            <w:gridSpan w:val="3"/>
          </w:tcPr>
          <w:p>
            <w:pPr>
              <w:jc w:val="right"/>
              <w:ind w:right="832"/>
              <w:spacing w:after="0"/>
              <w:rPr>
                <w:sz w:val="20"/>
                <w:szCs w:val="20"/>
                <w:color w:val="auto"/>
              </w:rPr>
            </w:pPr>
            <w:r>
              <w:rPr>
                <w:rFonts w:ascii="Arial" w:cs="Arial" w:eastAsia="Arial" w:hAnsi="Arial"/>
                <w:sz w:val="22"/>
                <w:szCs w:val="22"/>
                <w:color w:val="auto"/>
              </w:rPr>
              <w:t>(in millions)</w:t>
            </w:r>
          </w:p>
        </w:tc>
        <w:tc>
          <w:tcPr>
            <w:tcW w:w="0" w:type="dxa"/>
            <w:vAlign w:val="bottom"/>
          </w:tcPr>
          <w:p>
            <w:pPr>
              <w:spacing w:after="0"/>
              <w:rPr>
                <w:sz w:val="1"/>
                <w:szCs w:val="1"/>
                <w:color w:val="auto"/>
              </w:rPr>
            </w:pPr>
          </w:p>
        </w:tc>
      </w:tr>
      <w:tr>
        <w:trPr>
          <w:trHeight w:val="212"/>
        </w:trPr>
        <w:tc>
          <w:tcPr>
            <w:tcW w:w="7100" w:type="dxa"/>
            <w:vAlign w:val="bottom"/>
            <w:vMerge w:val="continue"/>
          </w:tcPr>
          <w:p>
            <w:pPr>
              <w:spacing w:after="0"/>
              <w:rPr>
                <w:sz w:val="18"/>
                <w:szCs w:val="18"/>
                <w:color w:val="auto"/>
              </w:rPr>
            </w:pPr>
          </w:p>
        </w:tc>
        <w:tc>
          <w:tcPr>
            <w:tcW w:w="1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7100" w:type="dxa"/>
            <w:vAlign w:val="bottom"/>
          </w:tcPr>
          <w:p>
            <w:pPr>
              <w:ind w:left="540"/>
              <w:spacing w:after="0" w:line="243" w:lineRule="exact"/>
              <w:rPr>
                <w:sz w:val="20"/>
                <w:szCs w:val="20"/>
                <w:color w:val="auto"/>
              </w:rPr>
            </w:pPr>
            <w:r>
              <w:rPr>
                <w:rFonts w:ascii="Arial" w:cs="Arial" w:eastAsia="Arial" w:hAnsi="Arial"/>
                <w:sz w:val="22"/>
                <w:szCs w:val="22"/>
                <w:color w:val="auto"/>
              </w:rPr>
              <w:t>Cablevision</w:t>
            </w:r>
          </w:p>
        </w:tc>
        <w:tc>
          <w:tcPr>
            <w:tcW w:w="1220" w:type="dxa"/>
            <w:vAlign w:val="bottom"/>
          </w:tcPr>
          <w:p>
            <w:pPr>
              <w:jc w:val="right"/>
              <w:spacing w:after="0" w:line="243" w:lineRule="exact"/>
              <w:rPr>
                <w:sz w:val="20"/>
                <w:szCs w:val="20"/>
                <w:color w:val="auto"/>
              </w:rPr>
            </w:pPr>
            <w:r>
              <w:rPr>
                <w:rFonts w:ascii="Arial" w:cs="Arial" w:eastAsia="Arial" w:hAnsi="Arial"/>
                <w:sz w:val="22"/>
                <w:szCs w:val="22"/>
                <w:color w:val="auto"/>
              </w:rPr>
              <w:t>$815</w:t>
            </w:r>
          </w:p>
        </w:tc>
        <w:tc>
          <w:tcPr>
            <w:tcW w:w="174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$970</w:t>
            </w:r>
          </w:p>
        </w:tc>
        <w:tc>
          <w:tcPr>
            <w:tcW w:w="0" w:type="dxa"/>
            <w:vAlign w:val="bottom"/>
          </w:tcPr>
          <w:p>
            <w:pPr>
              <w:spacing w:after="0"/>
              <w:rPr>
                <w:sz w:val="1"/>
                <w:szCs w:val="1"/>
                <w:color w:val="auto"/>
              </w:rPr>
            </w:pPr>
          </w:p>
        </w:tc>
      </w:tr>
      <w:tr>
        <w:trPr>
          <w:trHeight w:val="243"/>
        </w:trPr>
        <w:tc>
          <w:tcPr>
            <w:tcW w:w="7100" w:type="dxa"/>
            <w:vAlign w:val="bottom"/>
          </w:tcPr>
          <w:p>
            <w:pPr>
              <w:ind w:left="540"/>
              <w:spacing w:after="0" w:line="243" w:lineRule="exact"/>
              <w:rPr>
                <w:sz w:val="20"/>
                <w:szCs w:val="20"/>
                <w:color w:val="auto"/>
              </w:rPr>
            </w:pPr>
            <w:r>
              <w:rPr>
                <w:rFonts w:ascii="Arial" w:cs="Arial" w:eastAsia="Arial" w:hAnsi="Arial"/>
                <w:sz w:val="22"/>
                <w:szCs w:val="22"/>
                <w:color w:val="auto"/>
              </w:rPr>
              <w:t>Liberty Media Corporation</w:t>
            </w:r>
          </w:p>
        </w:tc>
        <w:tc>
          <w:tcPr>
            <w:tcW w:w="1220" w:type="dxa"/>
            <w:vAlign w:val="bottom"/>
          </w:tcPr>
          <w:p>
            <w:pPr>
              <w:jc w:val="right"/>
              <w:spacing w:after="0" w:line="243" w:lineRule="exact"/>
              <w:rPr>
                <w:sz w:val="20"/>
                <w:szCs w:val="20"/>
                <w:color w:val="auto"/>
              </w:rPr>
            </w:pPr>
            <w:r>
              <w:rPr>
                <w:rFonts w:ascii="Arial" w:cs="Arial" w:eastAsia="Arial" w:hAnsi="Arial"/>
                <w:sz w:val="22"/>
                <w:szCs w:val="22"/>
                <w:color w:val="auto"/>
              </w:rPr>
              <w:t>1,981</w:t>
            </w:r>
          </w:p>
        </w:tc>
        <w:tc>
          <w:tcPr>
            <w:tcW w:w="174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2,644</w:t>
            </w:r>
          </w:p>
        </w:tc>
        <w:tc>
          <w:tcPr>
            <w:tcW w:w="0" w:type="dxa"/>
            <w:vAlign w:val="bottom"/>
          </w:tcPr>
          <w:p>
            <w:pPr>
              <w:spacing w:after="0"/>
              <w:rPr>
                <w:sz w:val="1"/>
                <w:szCs w:val="1"/>
                <w:color w:val="auto"/>
              </w:rPr>
            </w:pPr>
          </w:p>
        </w:tc>
      </w:tr>
      <w:tr>
        <w:trPr>
          <w:trHeight w:val="243"/>
        </w:trPr>
        <w:tc>
          <w:tcPr>
            <w:tcW w:w="7100" w:type="dxa"/>
            <w:vAlign w:val="bottom"/>
          </w:tcPr>
          <w:p>
            <w:pPr>
              <w:ind w:left="540"/>
              <w:spacing w:after="0" w:line="243" w:lineRule="exact"/>
              <w:rPr>
                <w:sz w:val="20"/>
                <w:szCs w:val="20"/>
                <w:color w:val="auto"/>
              </w:rPr>
            </w:pPr>
            <w:r>
              <w:rPr>
                <w:rFonts w:ascii="Arial" w:cs="Arial" w:eastAsia="Arial" w:hAnsi="Arial"/>
                <w:sz w:val="22"/>
                <w:szCs w:val="22"/>
                <w:color w:val="auto"/>
              </w:rPr>
              <w:t>Liberty Media International</w:t>
            </w:r>
          </w:p>
        </w:tc>
        <w:tc>
          <w:tcPr>
            <w:tcW w:w="1220" w:type="dxa"/>
            <w:vAlign w:val="bottom"/>
          </w:tcPr>
          <w:p>
            <w:pPr>
              <w:jc w:val="right"/>
              <w:spacing w:after="0" w:line="243" w:lineRule="exact"/>
              <w:rPr>
                <w:sz w:val="20"/>
                <w:szCs w:val="20"/>
                <w:color w:val="auto"/>
              </w:rPr>
            </w:pPr>
            <w:r>
              <w:rPr>
                <w:rFonts w:ascii="Arial" w:cs="Arial" w:eastAsia="Arial" w:hAnsi="Arial"/>
                <w:sz w:val="22"/>
                <w:szCs w:val="22"/>
                <w:color w:val="auto"/>
              </w:rPr>
              <w:t>407</w:t>
            </w:r>
          </w:p>
        </w:tc>
        <w:tc>
          <w:tcPr>
            <w:tcW w:w="5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100" w:type="dxa"/>
            <w:vAlign w:val="bottom"/>
          </w:tcPr>
          <w:p>
            <w:pPr>
              <w:ind w:left="540"/>
              <w:spacing w:after="0" w:line="243" w:lineRule="exact"/>
              <w:rPr>
                <w:sz w:val="20"/>
                <w:szCs w:val="20"/>
                <w:color w:val="auto"/>
              </w:rPr>
            </w:pPr>
            <w:r>
              <w:rPr>
                <w:rFonts w:ascii="Arial" w:cs="Arial" w:eastAsia="Arial" w:hAnsi="Arial"/>
                <w:sz w:val="22"/>
                <w:szCs w:val="22"/>
                <w:color w:val="auto"/>
              </w:rPr>
              <w:t>Microsoft</w:t>
            </w:r>
          </w:p>
        </w:tc>
        <w:tc>
          <w:tcPr>
            <w:tcW w:w="1220" w:type="dxa"/>
            <w:vAlign w:val="bottom"/>
          </w:tcPr>
          <w:p>
            <w:pPr>
              <w:jc w:val="right"/>
              <w:spacing w:after="0" w:line="243" w:lineRule="exact"/>
              <w:rPr>
                <w:sz w:val="20"/>
                <w:szCs w:val="20"/>
                <w:color w:val="auto"/>
              </w:rPr>
            </w:pPr>
            <w:r>
              <w:rPr>
                <w:rFonts w:ascii="Arial" w:cs="Arial" w:eastAsia="Arial" w:hAnsi="Arial"/>
                <w:sz w:val="22"/>
                <w:szCs w:val="22"/>
                <w:color w:val="auto"/>
              </w:rPr>
              <w:t>1,334</w:t>
            </w:r>
          </w:p>
        </w:tc>
        <w:tc>
          <w:tcPr>
            <w:tcW w:w="174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1,331</w:t>
            </w:r>
          </w:p>
        </w:tc>
        <w:tc>
          <w:tcPr>
            <w:tcW w:w="0" w:type="dxa"/>
            <w:vAlign w:val="bottom"/>
          </w:tcPr>
          <w:p>
            <w:pPr>
              <w:spacing w:after="0"/>
              <w:rPr>
                <w:sz w:val="1"/>
                <w:szCs w:val="1"/>
                <w:color w:val="auto"/>
              </w:rPr>
            </w:pPr>
          </w:p>
        </w:tc>
      </w:tr>
      <w:tr>
        <w:trPr>
          <w:trHeight w:val="243"/>
        </w:trPr>
        <w:tc>
          <w:tcPr>
            <w:tcW w:w="7100" w:type="dxa"/>
            <w:vAlign w:val="bottom"/>
          </w:tcPr>
          <w:p>
            <w:pPr>
              <w:ind w:left="540"/>
              <w:spacing w:after="0" w:line="243" w:lineRule="exact"/>
              <w:rPr>
                <w:sz w:val="20"/>
                <w:szCs w:val="20"/>
                <w:color w:val="auto"/>
              </w:rPr>
            </w:pPr>
            <w:r>
              <w:rPr>
                <w:rFonts w:ascii="Arial" w:cs="Arial" w:eastAsia="Arial" w:hAnsi="Arial"/>
                <w:sz w:val="22"/>
                <w:szCs w:val="22"/>
                <w:color w:val="auto"/>
              </w:rPr>
              <w:t>Sprint</w:t>
            </w:r>
          </w:p>
        </w:tc>
        <w:tc>
          <w:tcPr>
            <w:tcW w:w="1220" w:type="dxa"/>
            <w:vAlign w:val="bottom"/>
          </w:tcPr>
          <w:p>
            <w:pPr>
              <w:jc w:val="right"/>
              <w:spacing w:after="0" w:line="243" w:lineRule="exact"/>
              <w:rPr>
                <w:sz w:val="20"/>
                <w:szCs w:val="20"/>
                <w:color w:val="auto"/>
              </w:rPr>
            </w:pPr>
            <w:r>
              <w:rPr>
                <w:rFonts w:ascii="Arial" w:cs="Arial" w:eastAsia="Arial" w:hAnsi="Arial"/>
                <w:sz w:val="22"/>
                <w:szCs w:val="22"/>
                <w:color w:val="auto"/>
              </w:rPr>
              <w:t>515</w:t>
            </w:r>
          </w:p>
        </w:tc>
        <w:tc>
          <w:tcPr>
            <w:tcW w:w="174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349</w:t>
            </w:r>
          </w:p>
        </w:tc>
        <w:tc>
          <w:tcPr>
            <w:tcW w:w="0" w:type="dxa"/>
            <w:vAlign w:val="bottom"/>
          </w:tcPr>
          <w:p>
            <w:pPr>
              <w:spacing w:after="0"/>
              <w:rPr>
                <w:sz w:val="1"/>
                <w:szCs w:val="1"/>
                <w:color w:val="auto"/>
              </w:rPr>
            </w:pPr>
          </w:p>
        </w:tc>
      </w:tr>
      <w:tr>
        <w:trPr>
          <w:trHeight w:val="243"/>
        </w:trPr>
        <w:tc>
          <w:tcPr>
            <w:tcW w:w="7100" w:type="dxa"/>
            <w:vAlign w:val="bottom"/>
          </w:tcPr>
          <w:p>
            <w:pPr>
              <w:ind w:left="540"/>
              <w:spacing w:after="0" w:line="243" w:lineRule="exact"/>
              <w:rPr>
                <w:sz w:val="20"/>
                <w:szCs w:val="20"/>
                <w:color w:val="auto"/>
              </w:rPr>
            </w:pPr>
            <w:r>
              <w:rPr>
                <w:rFonts w:ascii="Arial" w:cs="Arial" w:eastAsia="Arial" w:hAnsi="Arial"/>
                <w:sz w:val="22"/>
                <w:szCs w:val="22"/>
                <w:color w:val="auto"/>
              </w:rPr>
              <w:t>Vodafone</w:t>
            </w:r>
          </w:p>
        </w:tc>
        <w:tc>
          <w:tcPr>
            <w:tcW w:w="1220" w:type="dxa"/>
            <w:vAlign w:val="bottom"/>
          </w:tcPr>
          <w:p>
            <w:pPr>
              <w:jc w:val="right"/>
              <w:spacing w:after="0" w:line="243" w:lineRule="exact"/>
              <w:rPr>
                <w:sz w:val="20"/>
                <w:szCs w:val="20"/>
                <w:color w:val="auto"/>
              </w:rPr>
            </w:pPr>
            <w:r>
              <w:rPr>
                <w:rFonts w:ascii="Arial" w:cs="Arial" w:eastAsia="Arial" w:hAnsi="Arial"/>
                <w:sz w:val="22"/>
                <w:szCs w:val="22"/>
                <w:color w:val="auto"/>
              </w:rPr>
              <w:t>871</w:t>
            </w:r>
          </w:p>
        </w:tc>
        <w:tc>
          <w:tcPr>
            <w:tcW w:w="174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1,245</w:t>
            </w:r>
          </w:p>
        </w:tc>
        <w:tc>
          <w:tcPr>
            <w:tcW w:w="0" w:type="dxa"/>
            <w:vAlign w:val="bottom"/>
          </w:tcPr>
          <w:p>
            <w:pPr>
              <w:spacing w:after="0"/>
              <w:rPr>
                <w:sz w:val="1"/>
                <w:szCs w:val="1"/>
                <w:color w:val="auto"/>
              </w:rPr>
            </w:pPr>
          </w:p>
        </w:tc>
      </w:tr>
      <w:tr>
        <w:trPr>
          <w:trHeight w:val="275"/>
        </w:trPr>
        <w:tc>
          <w:tcPr>
            <w:tcW w:w="7100" w:type="dxa"/>
            <w:vAlign w:val="bottom"/>
          </w:tcPr>
          <w:p>
            <w:pPr>
              <w:ind w:left="540"/>
              <w:spacing w:after="0"/>
              <w:rPr>
                <w:sz w:val="20"/>
                <w:szCs w:val="20"/>
                <w:color w:val="auto"/>
              </w:rPr>
            </w:pPr>
            <w:r>
              <w:rPr>
                <w:rFonts w:ascii="Arial" w:cs="Arial" w:eastAsia="Arial" w:hAnsi="Arial"/>
                <w:sz w:val="22"/>
                <w:szCs w:val="22"/>
                <w:color w:val="auto"/>
              </w:rPr>
              <w:t>Other</w:t>
            </w:r>
          </w:p>
        </w:tc>
        <w:tc>
          <w:tcPr>
            <w:tcW w:w="1220" w:type="dxa"/>
            <w:vAlign w:val="bottom"/>
          </w:tcPr>
          <w:p>
            <w:pPr>
              <w:jc w:val="right"/>
              <w:spacing w:after="0"/>
              <w:rPr>
                <w:sz w:val="20"/>
                <w:szCs w:val="20"/>
                <w:color w:val="auto"/>
              </w:rPr>
            </w:pPr>
            <w:r>
              <w:rPr>
                <w:rFonts w:ascii="Arial" w:cs="Arial" w:eastAsia="Arial" w:hAnsi="Arial"/>
                <w:sz w:val="22"/>
                <w:szCs w:val="22"/>
                <w:color w:val="auto"/>
              </w:rPr>
              <w:t>45</w:t>
            </w:r>
          </w:p>
        </w:tc>
        <w:tc>
          <w:tcPr>
            <w:tcW w:w="1740" w:type="dxa"/>
            <w:vAlign w:val="bottom"/>
            <w:gridSpan w:val="2"/>
          </w:tcPr>
          <w:p>
            <w:pPr>
              <w:jc w:val="right"/>
              <w:spacing w:after="0"/>
              <w:rPr>
                <w:sz w:val="20"/>
                <w:szCs w:val="20"/>
                <w:color w:val="auto"/>
              </w:rPr>
            </w:pPr>
            <w:r>
              <w:rPr>
                <w:rFonts w:ascii="Arial" w:cs="Arial" w:eastAsia="Arial" w:hAnsi="Arial"/>
                <w:sz w:val="22"/>
                <w:szCs w:val="22"/>
                <w:color w:val="auto"/>
              </w:rPr>
              <w:t>44</w:t>
            </w:r>
          </w:p>
        </w:tc>
        <w:tc>
          <w:tcPr>
            <w:tcW w:w="0" w:type="dxa"/>
            <w:vAlign w:val="bottom"/>
          </w:tcPr>
          <w:p>
            <w:pPr>
              <w:spacing w:after="0"/>
              <w:rPr>
                <w:sz w:val="1"/>
                <w:szCs w:val="1"/>
                <w:color w:val="auto"/>
              </w:rPr>
            </w:pPr>
          </w:p>
        </w:tc>
      </w:tr>
      <w:tr>
        <w:trPr>
          <w:trHeight w:val="98"/>
        </w:trPr>
        <w:tc>
          <w:tcPr>
            <w:tcW w:w="7100" w:type="dxa"/>
            <w:vAlign w:val="bottom"/>
          </w:tcPr>
          <w:p>
            <w:pPr>
              <w:spacing w:after="0"/>
              <w:rPr>
                <w:sz w:val="8"/>
                <w:szCs w:val="8"/>
                <w:color w:val="auto"/>
              </w:rPr>
            </w:pPr>
          </w:p>
        </w:tc>
        <w:tc>
          <w:tcPr>
            <w:tcW w:w="122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12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55"/>
        </w:trPr>
        <w:tc>
          <w:tcPr>
            <w:tcW w:w="710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22"/>
                <w:szCs w:val="22"/>
                <w:color w:val="auto"/>
              </w:rPr>
              <w:t>5,968</w:t>
            </w:r>
          </w:p>
        </w:tc>
        <w:tc>
          <w:tcPr>
            <w:tcW w:w="1740" w:type="dxa"/>
            <w:vAlign w:val="bottom"/>
            <w:gridSpan w:val="2"/>
          </w:tcPr>
          <w:p>
            <w:pPr>
              <w:jc w:val="right"/>
              <w:spacing w:after="0"/>
              <w:rPr>
                <w:sz w:val="20"/>
                <w:szCs w:val="20"/>
                <w:color w:val="auto"/>
              </w:rPr>
            </w:pPr>
            <w:r>
              <w:rPr>
                <w:rFonts w:ascii="Arial" w:cs="Arial" w:eastAsia="Arial" w:hAnsi="Arial"/>
                <w:sz w:val="22"/>
                <w:szCs w:val="22"/>
                <w:color w:val="auto"/>
              </w:rPr>
              <w:t>6,583</w:t>
            </w:r>
          </w:p>
        </w:tc>
        <w:tc>
          <w:tcPr>
            <w:tcW w:w="0" w:type="dxa"/>
            <w:vAlign w:val="bottom"/>
          </w:tcPr>
          <w:p>
            <w:pPr>
              <w:spacing w:after="0"/>
              <w:rPr>
                <w:sz w:val="1"/>
                <w:szCs w:val="1"/>
                <w:color w:val="auto"/>
              </w:rPr>
            </w:pPr>
          </w:p>
        </w:tc>
      </w:tr>
      <w:tr>
        <w:trPr>
          <w:trHeight w:val="98"/>
        </w:trPr>
        <w:tc>
          <w:tcPr>
            <w:tcW w:w="7100" w:type="dxa"/>
            <w:vAlign w:val="bottom"/>
          </w:tcPr>
          <w:p>
            <w:pPr>
              <w:spacing w:after="0"/>
              <w:rPr>
                <w:sz w:val="8"/>
                <w:szCs w:val="8"/>
                <w:color w:val="auto"/>
              </w:rPr>
            </w:pPr>
          </w:p>
        </w:tc>
        <w:tc>
          <w:tcPr>
            <w:tcW w:w="122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12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1" w:right="239" w:bottom="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7100" w:type="dxa"/>
            <w:vAlign w:val="bottom"/>
          </w:tcPr>
          <w:p>
            <w:pPr>
              <w:spacing w:after="0"/>
              <w:rPr>
                <w:sz w:val="20"/>
                <w:szCs w:val="20"/>
                <w:color w:val="auto"/>
              </w:rPr>
            </w:pPr>
            <w:r>
              <w:rPr>
                <w:rFonts w:ascii="Arial" w:cs="Arial" w:eastAsia="Arial" w:hAnsi="Arial"/>
                <w:sz w:val="22"/>
                <w:szCs w:val="22"/>
                <w:color w:val="auto"/>
              </w:rPr>
              <w:t>Equity Method</w:t>
            </w:r>
          </w:p>
        </w:tc>
        <w:tc>
          <w:tcPr>
            <w:tcW w:w="12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100" w:type="dxa"/>
            <w:vAlign w:val="bottom"/>
          </w:tcPr>
          <w:p>
            <w:pPr>
              <w:ind w:left="540"/>
              <w:spacing w:after="0" w:line="243" w:lineRule="exact"/>
              <w:rPr>
                <w:sz w:val="20"/>
                <w:szCs w:val="20"/>
                <w:color w:val="auto"/>
              </w:rPr>
            </w:pPr>
            <w:r>
              <w:rPr>
                <w:rFonts w:ascii="Arial" w:cs="Arial" w:eastAsia="Arial" w:hAnsi="Arial"/>
                <w:sz w:val="22"/>
                <w:szCs w:val="22"/>
                <w:color w:val="auto"/>
              </w:rPr>
              <w:t>Cable related</w:t>
            </w:r>
          </w:p>
        </w:tc>
        <w:tc>
          <w:tcPr>
            <w:tcW w:w="1220" w:type="dxa"/>
            <w:vAlign w:val="bottom"/>
          </w:tcPr>
          <w:p>
            <w:pPr>
              <w:jc w:val="right"/>
              <w:spacing w:after="0" w:line="243" w:lineRule="exact"/>
              <w:rPr>
                <w:sz w:val="20"/>
                <w:szCs w:val="20"/>
                <w:color w:val="auto"/>
              </w:rPr>
            </w:pPr>
            <w:r>
              <w:rPr>
                <w:rFonts w:ascii="Arial" w:cs="Arial" w:eastAsia="Arial" w:hAnsi="Arial"/>
                <w:sz w:val="22"/>
                <w:szCs w:val="22"/>
                <w:color w:val="auto"/>
              </w:rPr>
              <w:t>2,183</w:t>
            </w:r>
          </w:p>
        </w:tc>
        <w:tc>
          <w:tcPr>
            <w:tcW w:w="174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2,145</w:t>
            </w:r>
          </w:p>
        </w:tc>
        <w:tc>
          <w:tcPr>
            <w:tcW w:w="0" w:type="dxa"/>
            <w:vAlign w:val="bottom"/>
          </w:tcPr>
          <w:p>
            <w:pPr>
              <w:spacing w:after="0"/>
              <w:rPr>
                <w:sz w:val="1"/>
                <w:szCs w:val="1"/>
                <w:color w:val="auto"/>
              </w:rPr>
            </w:pPr>
          </w:p>
        </w:tc>
      </w:tr>
      <w:tr>
        <w:trPr>
          <w:trHeight w:val="275"/>
        </w:trPr>
        <w:tc>
          <w:tcPr>
            <w:tcW w:w="7100" w:type="dxa"/>
            <w:vAlign w:val="bottom"/>
          </w:tcPr>
          <w:p>
            <w:pPr>
              <w:ind w:left="540"/>
              <w:spacing w:after="0"/>
              <w:rPr>
                <w:sz w:val="20"/>
                <w:szCs w:val="20"/>
                <w:color w:val="auto"/>
              </w:rPr>
            </w:pPr>
            <w:r>
              <w:rPr>
                <w:rFonts w:ascii="Arial" w:cs="Arial" w:eastAsia="Arial" w:hAnsi="Arial"/>
                <w:sz w:val="22"/>
                <w:szCs w:val="22"/>
                <w:color w:val="auto"/>
              </w:rPr>
              <w:t>Other</w:t>
            </w:r>
          </w:p>
        </w:tc>
        <w:tc>
          <w:tcPr>
            <w:tcW w:w="1220" w:type="dxa"/>
            <w:vAlign w:val="bottom"/>
          </w:tcPr>
          <w:p>
            <w:pPr>
              <w:jc w:val="right"/>
              <w:spacing w:after="0"/>
              <w:rPr>
                <w:sz w:val="20"/>
                <w:szCs w:val="20"/>
                <w:color w:val="auto"/>
              </w:rPr>
            </w:pPr>
            <w:r>
              <w:rPr>
                <w:rFonts w:ascii="Arial" w:cs="Arial" w:eastAsia="Arial" w:hAnsi="Arial"/>
                <w:sz w:val="22"/>
                <w:szCs w:val="22"/>
                <w:color w:val="auto"/>
              </w:rPr>
              <w:t>238</w:t>
            </w:r>
          </w:p>
        </w:tc>
        <w:tc>
          <w:tcPr>
            <w:tcW w:w="1740" w:type="dxa"/>
            <w:vAlign w:val="bottom"/>
            <w:gridSpan w:val="2"/>
          </w:tcPr>
          <w:p>
            <w:pPr>
              <w:jc w:val="right"/>
              <w:spacing w:after="0"/>
              <w:rPr>
                <w:sz w:val="20"/>
                <w:szCs w:val="20"/>
                <w:color w:val="auto"/>
              </w:rPr>
            </w:pPr>
            <w:r>
              <w:rPr>
                <w:rFonts w:ascii="Arial" w:cs="Arial" w:eastAsia="Arial" w:hAnsi="Arial"/>
                <w:sz w:val="22"/>
                <w:szCs w:val="22"/>
                <w:color w:val="auto"/>
              </w:rPr>
              <w:t>242</w:t>
            </w:r>
          </w:p>
        </w:tc>
        <w:tc>
          <w:tcPr>
            <w:tcW w:w="0" w:type="dxa"/>
            <w:vAlign w:val="bottom"/>
          </w:tcPr>
          <w:p>
            <w:pPr>
              <w:spacing w:after="0"/>
              <w:rPr>
                <w:sz w:val="1"/>
                <w:szCs w:val="1"/>
                <w:color w:val="auto"/>
              </w:rPr>
            </w:pPr>
          </w:p>
        </w:tc>
      </w:tr>
      <w:tr>
        <w:trPr>
          <w:trHeight w:val="98"/>
        </w:trPr>
        <w:tc>
          <w:tcPr>
            <w:tcW w:w="7100" w:type="dxa"/>
            <w:vAlign w:val="bottom"/>
          </w:tcPr>
          <w:p>
            <w:pPr>
              <w:spacing w:after="0"/>
              <w:rPr>
                <w:sz w:val="8"/>
                <w:szCs w:val="8"/>
                <w:color w:val="auto"/>
              </w:rPr>
            </w:pPr>
          </w:p>
        </w:tc>
        <w:tc>
          <w:tcPr>
            <w:tcW w:w="122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12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55"/>
        </w:trPr>
        <w:tc>
          <w:tcPr>
            <w:tcW w:w="710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22"/>
                <w:szCs w:val="22"/>
                <w:color w:val="auto"/>
              </w:rPr>
              <w:t>2,421</w:t>
            </w:r>
          </w:p>
        </w:tc>
        <w:tc>
          <w:tcPr>
            <w:tcW w:w="1740" w:type="dxa"/>
            <w:vAlign w:val="bottom"/>
            <w:gridSpan w:val="2"/>
          </w:tcPr>
          <w:p>
            <w:pPr>
              <w:jc w:val="right"/>
              <w:spacing w:after="0"/>
              <w:rPr>
                <w:sz w:val="20"/>
                <w:szCs w:val="20"/>
                <w:color w:val="auto"/>
              </w:rPr>
            </w:pPr>
            <w:r>
              <w:rPr>
                <w:rFonts w:ascii="Arial" w:cs="Arial" w:eastAsia="Arial" w:hAnsi="Arial"/>
                <w:sz w:val="22"/>
                <w:szCs w:val="22"/>
                <w:color w:val="auto"/>
              </w:rPr>
              <w:t>2,387</w:t>
            </w:r>
          </w:p>
        </w:tc>
        <w:tc>
          <w:tcPr>
            <w:tcW w:w="0" w:type="dxa"/>
            <w:vAlign w:val="bottom"/>
          </w:tcPr>
          <w:p>
            <w:pPr>
              <w:spacing w:after="0"/>
              <w:rPr>
                <w:sz w:val="1"/>
                <w:szCs w:val="1"/>
                <w:color w:val="auto"/>
              </w:rPr>
            </w:pPr>
          </w:p>
        </w:tc>
      </w:tr>
      <w:tr>
        <w:trPr>
          <w:trHeight w:val="98"/>
        </w:trPr>
        <w:tc>
          <w:tcPr>
            <w:tcW w:w="7100" w:type="dxa"/>
            <w:vAlign w:val="bottom"/>
          </w:tcPr>
          <w:p>
            <w:pPr>
              <w:spacing w:after="0"/>
              <w:rPr>
                <w:sz w:val="8"/>
                <w:szCs w:val="8"/>
                <w:color w:val="auto"/>
              </w:rPr>
            </w:pPr>
          </w:p>
        </w:tc>
        <w:tc>
          <w:tcPr>
            <w:tcW w:w="122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12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55"/>
        </w:trPr>
        <w:tc>
          <w:tcPr>
            <w:tcW w:w="7100" w:type="dxa"/>
            <w:vAlign w:val="bottom"/>
          </w:tcPr>
          <w:p>
            <w:pPr>
              <w:ind w:left="280"/>
              <w:spacing w:after="0"/>
              <w:rPr>
                <w:sz w:val="20"/>
                <w:szCs w:val="20"/>
                <w:color w:val="auto"/>
              </w:rPr>
            </w:pPr>
            <w:r>
              <w:rPr>
                <w:rFonts w:ascii="Arial" w:cs="Arial" w:eastAsia="Arial" w:hAnsi="Arial"/>
                <w:sz w:val="22"/>
                <w:szCs w:val="22"/>
                <w:color w:val="auto"/>
              </w:rPr>
              <w:t>Cost method, principally Time Warner Cable and Time Warner</w:t>
            </w:r>
          </w:p>
        </w:tc>
        <w:tc>
          <w:tcPr>
            <w:tcW w:w="1220" w:type="dxa"/>
            <w:vAlign w:val="bottom"/>
          </w:tcPr>
          <w:p>
            <w:pPr>
              <w:jc w:val="right"/>
              <w:spacing w:after="0"/>
              <w:rPr>
                <w:sz w:val="20"/>
                <w:szCs w:val="20"/>
                <w:color w:val="auto"/>
              </w:rPr>
            </w:pPr>
            <w:r>
              <w:rPr>
                <w:rFonts w:ascii="Arial" w:cs="Arial" w:eastAsia="Arial" w:hAnsi="Arial"/>
                <w:sz w:val="22"/>
                <w:szCs w:val="22"/>
                <w:color w:val="auto"/>
              </w:rPr>
              <w:t>8,296</w:t>
            </w:r>
          </w:p>
        </w:tc>
        <w:tc>
          <w:tcPr>
            <w:tcW w:w="1740" w:type="dxa"/>
            <w:vAlign w:val="bottom"/>
            <w:gridSpan w:val="2"/>
          </w:tcPr>
          <w:p>
            <w:pPr>
              <w:jc w:val="right"/>
              <w:spacing w:after="0"/>
              <w:rPr>
                <w:sz w:val="20"/>
                <w:szCs w:val="20"/>
                <w:color w:val="auto"/>
              </w:rPr>
            </w:pPr>
            <w:r>
              <w:rPr>
                <w:rFonts w:ascii="Arial" w:cs="Arial" w:eastAsia="Arial" w:hAnsi="Arial"/>
                <w:sz w:val="22"/>
                <w:szCs w:val="22"/>
                <w:color w:val="auto"/>
              </w:rPr>
              <w:t>8,341</w:t>
            </w:r>
          </w:p>
        </w:tc>
        <w:tc>
          <w:tcPr>
            <w:tcW w:w="0" w:type="dxa"/>
            <w:vAlign w:val="bottom"/>
          </w:tcPr>
          <w:p>
            <w:pPr>
              <w:spacing w:after="0"/>
              <w:rPr>
                <w:sz w:val="1"/>
                <w:szCs w:val="1"/>
                <w:color w:val="auto"/>
              </w:rPr>
            </w:pPr>
          </w:p>
        </w:tc>
      </w:tr>
      <w:tr>
        <w:trPr>
          <w:trHeight w:val="98"/>
        </w:trPr>
        <w:tc>
          <w:tcPr>
            <w:tcW w:w="7100" w:type="dxa"/>
            <w:vAlign w:val="bottom"/>
          </w:tcPr>
          <w:p>
            <w:pPr>
              <w:spacing w:after="0"/>
              <w:rPr>
                <w:sz w:val="8"/>
                <w:szCs w:val="8"/>
                <w:color w:val="auto"/>
              </w:rPr>
            </w:pPr>
          </w:p>
        </w:tc>
        <w:tc>
          <w:tcPr>
            <w:tcW w:w="122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12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23"/>
        </w:trPr>
        <w:tc>
          <w:tcPr>
            <w:tcW w:w="7100" w:type="dxa"/>
            <w:vAlign w:val="bottom"/>
          </w:tcPr>
          <w:p>
            <w:pPr>
              <w:ind w:left="540"/>
              <w:spacing w:after="0"/>
              <w:rPr>
                <w:sz w:val="20"/>
                <w:szCs w:val="20"/>
                <w:color w:val="auto"/>
              </w:rPr>
            </w:pPr>
            <w:r>
              <w:rPr>
                <w:rFonts w:ascii="Arial" w:cs="Arial" w:eastAsia="Arial" w:hAnsi="Arial"/>
                <w:sz w:val="22"/>
                <w:szCs w:val="22"/>
                <w:color w:val="auto"/>
              </w:rPr>
              <w:t>Total investments</w:t>
            </w:r>
          </w:p>
        </w:tc>
        <w:tc>
          <w:tcPr>
            <w:tcW w:w="1220" w:type="dxa"/>
            <w:vAlign w:val="bottom"/>
          </w:tcPr>
          <w:p>
            <w:pPr>
              <w:jc w:val="right"/>
              <w:spacing w:after="0"/>
              <w:rPr>
                <w:sz w:val="20"/>
                <w:szCs w:val="20"/>
                <w:color w:val="auto"/>
              </w:rPr>
            </w:pPr>
            <w:r>
              <w:rPr>
                <w:rFonts w:ascii="Arial" w:cs="Arial" w:eastAsia="Arial" w:hAnsi="Arial"/>
                <w:sz w:val="22"/>
                <w:szCs w:val="22"/>
                <w:color w:val="auto"/>
              </w:rPr>
              <w:t>16,685</w:t>
            </w:r>
          </w:p>
        </w:tc>
        <w:tc>
          <w:tcPr>
            <w:tcW w:w="1740" w:type="dxa"/>
            <w:vAlign w:val="bottom"/>
            <w:gridSpan w:val="2"/>
          </w:tcPr>
          <w:p>
            <w:pPr>
              <w:jc w:val="right"/>
              <w:spacing w:after="0"/>
              <w:rPr>
                <w:sz w:val="20"/>
                <w:szCs w:val="20"/>
                <w:color w:val="auto"/>
              </w:rPr>
            </w:pPr>
            <w:r>
              <w:rPr>
                <w:rFonts w:ascii="Arial" w:cs="Arial" w:eastAsia="Arial" w:hAnsi="Arial"/>
                <w:sz w:val="22"/>
                <w:szCs w:val="22"/>
                <w:color w:val="auto"/>
              </w:rPr>
              <w:t>17,311</w:t>
            </w:r>
          </w:p>
        </w:tc>
        <w:tc>
          <w:tcPr>
            <w:tcW w:w="0" w:type="dxa"/>
            <w:vAlign w:val="bottom"/>
          </w:tcPr>
          <w:p>
            <w:pPr>
              <w:spacing w:after="0"/>
              <w:rPr>
                <w:sz w:val="1"/>
                <w:szCs w:val="1"/>
                <w:color w:val="auto"/>
              </w:rPr>
            </w:pPr>
          </w:p>
        </w:tc>
      </w:tr>
      <w:tr>
        <w:trPr>
          <w:trHeight w:val="275"/>
        </w:trPr>
        <w:tc>
          <w:tcPr>
            <w:tcW w:w="7100" w:type="dxa"/>
            <w:vAlign w:val="bottom"/>
          </w:tcPr>
          <w:p>
            <w:pPr>
              <w:ind w:left="280"/>
              <w:spacing w:after="0"/>
              <w:rPr>
                <w:sz w:val="20"/>
                <w:szCs w:val="20"/>
                <w:color w:val="auto"/>
              </w:rPr>
            </w:pPr>
            <w:r>
              <w:rPr>
                <w:rFonts w:ascii="Arial" w:cs="Arial" w:eastAsia="Arial" w:hAnsi="Arial"/>
                <w:sz w:val="22"/>
                <w:szCs w:val="22"/>
                <w:color w:val="auto"/>
              </w:rPr>
              <w:t>Less, current investments</w:t>
            </w:r>
          </w:p>
        </w:tc>
        <w:tc>
          <w:tcPr>
            <w:tcW w:w="1220" w:type="dxa"/>
            <w:vAlign w:val="bottom"/>
          </w:tcPr>
          <w:p>
            <w:pPr>
              <w:jc w:val="right"/>
              <w:spacing w:after="0"/>
              <w:rPr>
                <w:sz w:val="20"/>
                <w:szCs w:val="20"/>
                <w:color w:val="auto"/>
              </w:rPr>
            </w:pPr>
            <w:r>
              <w:rPr>
                <w:rFonts w:ascii="Arial" w:cs="Arial" w:eastAsia="Arial" w:hAnsi="Arial"/>
                <w:sz w:val="22"/>
                <w:szCs w:val="22"/>
                <w:color w:val="auto"/>
              </w:rPr>
              <w:t>2,481</w:t>
            </w:r>
          </w:p>
        </w:tc>
        <w:tc>
          <w:tcPr>
            <w:tcW w:w="1740" w:type="dxa"/>
            <w:vAlign w:val="bottom"/>
            <w:gridSpan w:val="2"/>
          </w:tcPr>
          <w:p>
            <w:pPr>
              <w:jc w:val="right"/>
              <w:spacing w:after="0"/>
              <w:rPr>
                <w:sz w:val="20"/>
                <w:szCs w:val="20"/>
                <w:color w:val="auto"/>
              </w:rPr>
            </w:pPr>
            <w:r>
              <w:rPr>
                <w:rFonts w:ascii="Arial" w:cs="Arial" w:eastAsia="Arial" w:hAnsi="Arial"/>
                <w:sz w:val="22"/>
                <w:szCs w:val="22"/>
                <w:color w:val="auto"/>
              </w:rPr>
              <w:t>2,493</w:t>
            </w:r>
          </w:p>
        </w:tc>
        <w:tc>
          <w:tcPr>
            <w:tcW w:w="0" w:type="dxa"/>
            <w:vAlign w:val="bottom"/>
          </w:tcPr>
          <w:p>
            <w:pPr>
              <w:spacing w:after="0"/>
              <w:rPr>
                <w:sz w:val="1"/>
                <w:szCs w:val="1"/>
                <w:color w:val="auto"/>
              </w:rPr>
            </w:pPr>
          </w:p>
        </w:tc>
      </w:tr>
      <w:tr>
        <w:trPr>
          <w:trHeight w:val="98"/>
        </w:trPr>
        <w:tc>
          <w:tcPr>
            <w:tcW w:w="7100" w:type="dxa"/>
            <w:vAlign w:val="bottom"/>
          </w:tcPr>
          <w:p>
            <w:pPr>
              <w:spacing w:after="0"/>
              <w:rPr>
                <w:sz w:val="8"/>
                <w:szCs w:val="8"/>
                <w:color w:val="auto"/>
              </w:rPr>
            </w:pPr>
          </w:p>
        </w:tc>
        <w:tc>
          <w:tcPr>
            <w:tcW w:w="122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12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55"/>
        </w:trPr>
        <w:tc>
          <w:tcPr>
            <w:tcW w:w="7100" w:type="dxa"/>
            <w:vAlign w:val="bottom"/>
          </w:tcPr>
          <w:p>
            <w:pPr>
              <w:ind w:left="280"/>
              <w:spacing w:after="0"/>
              <w:rPr>
                <w:sz w:val="20"/>
                <w:szCs w:val="20"/>
                <w:color w:val="auto"/>
              </w:rPr>
            </w:pPr>
            <w:r>
              <w:rPr>
                <w:rFonts w:ascii="Arial" w:cs="Arial" w:eastAsia="Arial" w:hAnsi="Arial"/>
                <w:sz w:val="22"/>
                <w:szCs w:val="22"/>
                <w:color w:val="auto"/>
              </w:rPr>
              <w:t>Non-current investments</w:t>
            </w:r>
          </w:p>
        </w:tc>
        <w:tc>
          <w:tcPr>
            <w:tcW w:w="1220" w:type="dxa"/>
            <w:vAlign w:val="bottom"/>
          </w:tcPr>
          <w:p>
            <w:pPr>
              <w:jc w:val="right"/>
              <w:spacing w:after="0"/>
              <w:rPr>
                <w:sz w:val="20"/>
                <w:szCs w:val="20"/>
                <w:color w:val="auto"/>
              </w:rPr>
            </w:pPr>
            <w:r>
              <w:rPr>
                <w:rFonts w:ascii="Arial" w:cs="Arial" w:eastAsia="Arial" w:hAnsi="Arial"/>
                <w:sz w:val="22"/>
                <w:szCs w:val="22"/>
                <w:color w:val="auto"/>
              </w:rPr>
              <w:t>$14,204</w:t>
            </w:r>
          </w:p>
        </w:tc>
        <w:tc>
          <w:tcPr>
            <w:tcW w:w="1740" w:type="dxa"/>
            <w:vAlign w:val="bottom"/>
            <w:gridSpan w:val="2"/>
          </w:tcPr>
          <w:p>
            <w:pPr>
              <w:jc w:val="right"/>
              <w:spacing w:after="0"/>
              <w:rPr>
                <w:sz w:val="20"/>
                <w:szCs w:val="20"/>
                <w:color w:val="auto"/>
              </w:rPr>
            </w:pPr>
            <w:r>
              <w:rPr>
                <w:rFonts w:ascii="Arial" w:cs="Arial" w:eastAsia="Arial" w:hAnsi="Arial"/>
                <w:sz w:val="22"/>
                <w:szCs w:val="22"/>
                <w:color w:val="auto"/>
              </w:rPr>
              <w:t>$14,818</w:t>
            </w:r>
          </w:p>
        </w:tc>
        <w:tc>
          <w:tcPr>
            <w:tcW w:w="0" w:type="dxa"/>
            <w:vAlign w:val="bottom"/>
          </w:tcPr>
          <w:p>
            <w:pPr>
              <w:spacing w:after="0"/>
              <w:rPr>
                <w:sz w:val="1"/>
                <w:szCs w:val="1"/>
                <w:color w:val="auto"/>
              </w:rPr>
            </w:pPr>
          </w:p>
        </w:tc>
      </w:tr>
      <w:tr>
        <w:trPr>
          <w:trHeight w:val="108"/>
        </w:trPr>
        <w:tc>
          <w:tcPr>
            <w:tcW w:w="7100" w:type="dxa"/>
            <w:vAlign w:val="bottom"/>
            <w:vMerge w:val="restart"/>
          </w:tcPr>
          <w:p>
            <w:pPr>
              <w:ind w:left="5660"/>
              <w:spacing w:after="0"/>
              <w:rPr>
                <w:sz w:val="20"/>
                <w:szCs w:val="20"/>
                <w:color w:val="auto"/>
              </w:rPr>
            </w:pPr>
            <w:r>
              <w:rPr>
                <w:rFonts w:ascii="Arial" w:cs="Arial" w:eastAsia="Arial" w:hAnsi="Arial"/>
                <w:sz w:val="22"/>
                <w:szCs w:val="22"/>
                <w:color w:val="auto"/>
              </w:rPr>
              <w:t>8</w:t>
            </w:r>
          </w:p>
        </w:tc>
        <w:tc>
          <w:tcPr>
            <w:tcW w:w="122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574"/>
        </w:trPr>
        <w:tc>
          <w:tcPr>
            <w:tcW w:w="7100" w:type="dxa"/>
            <w:vAlign w:val="bottom"/>
            <w:vMerge w:val="continue"/>
          </w:tcPr>
          <w:p>
            <w:pPr>
              <w:spacing w:after="0"/>
              <w:rPr>
                <w:sz w:val="24"/>
                <w:szCs w:val="24"/>
                <w:color w:val="auto"/>
              </w:rPr>
            </w:pPr>
          </w:p>
        </w:tc>
        <w:tc>
          <w:tcPr>
            <w:tcW w:w="1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5277485</wp:posOffset>
            </wp:positionH>
            <wp:positionV relativeFrom="paragraph">
              <wp:posOffset>-378460</wp:posOffset>
            </wp:positionV>
            <wp:extent cx="127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-378460</wp:posOffset>
            </wp:positionV>
            <wp:extent cx="127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-378460</wp:posOffset>
            </wp:positionV>
            <wp:extent cx="127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-378460</wp:posOffset>
            </wp:positionV>
            <wp:extent cx="127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130810</wp:posOffset>
            </wp:positionV>
            <wp:extent cx="726376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COMCAST CORPORATION AND SUBSIDIARIES</w:t>
      </w:r>
    </w:p>
    <w:p>
      <w:pPr>
        <w:jc w:val="center"/>
        <w:ind w:right="-19"/>
        <w:spacing w:after="0" w:line="238" w:lineRule="auto"/>
        <w:rPr>
          <w:sz w:val="20"/>
          <w:szCs w:val="20"/>
          <w:color w:val="auto"/>
        </w:rPr>
      </w:pPr>
      <w:r>
        <w:rPr>
          <w:rFonts w:ascii="Arial" w:cs="Arial" w:eastAsia="Arial" w:hAnsi="Arial"/>
          <w:sz w:val="22"/>
          <w:szCs w:val="22"/>
          <w:color w:val="auto"/>
        </w:rPr>
        <w:t>FORM 10-Q</w:t>
      </w:r>
    </w:p>
    <w:p>
      <w:pPr>
        <w:jc w:val="center"/>
        <w:ind w:right="-19"/>
        <w:spacing w:after="0" w:line="230" w:lineRule="auto"/>
        <w:rPr>
          <w:sz w:val="20"/>
          <w:szCs w:val="20"/>
          <w:color w:val="auto"/>
        </w:rPr>
      </w:pPr>
      <w:r>
        <w:rPr>
          <w:rFonts w:ascii="Arial" w:cs="Arial" w:eastAsia="Arial" w:hAnsi="Arial"/>
          <w:sz w:val="22"/>
          <w:szCs w:val="22"/>
          <w:color w:val="auto"/>
        </w:rPr>
        <w:t>QUARTER ENDED JUNE 30, 2004</w:t>
      </w:r>
    </w:p>
    <w:p>
      <w:pPr>
        <w:jc w:val="center"/>
        <w:ind w:right="-19"/>
        <w:spacing w:after="0" w:line="231" w:lineRule="auto"/>
        <w:rPr>
          <w:sz w:val="20"/>
          <w:szCs w:val="20"/>
          <w:color w:val="auto"/>
        </w:rPr>
      </w:pPr>
      <w:r>
        <w:rPr>
          <w:rFonts w:ascii="Arial" w:cs="Arial" w:eastAsia="Arial" w:hAnsi="Arial"/>
          <w:sz w:val="22"/>
          <w:szCs w:val="22"/>
          <w:color w:val="auto"/>
        </w:rPr>
        <w:t>NOTES TO CONDENSED CONSOLIDATED FINANCIAL STATEMENTS - CONTINUED</w:t>
      </w:r>
    </w:p>
    <w:p>
      <w:pPr>
        <w:spacing w:after="0" w:line="1"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(Unaudited)</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22"/>
          <w:szCs w:val="22"/>
          <w:i w:val="1"/>
          <w:iCs w:val="1"/>
          <w:color w:val="auto"/>
        </w:rPr>
        <w:t>Fair Value Method</w:t>
      </w:r>
    </w:p>
    <w:p>
      <w:pPr>
        <w:spacing w:after="0" w:line="8" w:lineRule="exact"/>
        <w:rPr>
          <w:sz w:val="20"/>
          <w:szCs w:val="20"/>
          <w:color w:val="auto"/>
        </w:rPr>
      </w:pPr>
    </w:p>
    <w:p>
      <w:pPr>
        <w:ind w:left="460"/>
        <w:spacing w:after="0" w:line="233" w:lineRule="auto"/>
        <w:rPr>
          <w:sz w:val="20"/>
          <w:szCs w:val="20"/>
          <w:color w:val="auto"/>
        </w:rPr>
      </w:pPr>
      <w:r>
        <w:rPr>
          <w:rFonts w:ascii="Arial" w:cs="Arial" w:eastAsia="Arial" w:hAnsi="Arial"/>
          <w:sz w:val="22"/>
          <w:szCs w:val="22"/>
          <w:color w:val="auto"/>
        </w:rPr>
        <w:t>We hold unrestricted equity investments, which we account for as available for sale or trading securities, in certain publicly traded companies. The net unrealized pre-tax gains on investments accounted for as available for sale securities as of June 30, 2004 and December 31, 2003 of $49 million and $65 million, respectively, have been reported in our consolidated balance sheet principally as a component of accumulated other comprehensive loss, net of related deferred income taxes of $17 million and $23 million, respectively.</w:t>
      </w:r>
    </w:p>
    <w:p>
      <w:pPr>
        <w:spacing w:after="0" w:line="213" w:lineRule="exact"/>
        <w:rPr>
          <w:sz w:val="20"/>
          <w:szCs w:val="20"/>
          <w:color w:val="auto"/>
        </w:rPr>
      </w:pPr>
    </w:p>
    <w:p>
      <w:pPr>
        <w:ind w:left="460" w:right="40"/>
        <w:spacing w:after="0" w:line="234" w:lineRule="auto"/>
        <w:rPr>
          <w:sz w:val="20"/>
          <w:szCs w:val="20"/>
          <w:color w:val="auto"/>
        </w:rPr>
      </w:pPr>
      <w:r>
        <w:rPr>
          <w:rFonts w:ascii="Arial" w:cs="Arial" w:eastAsia="Arial" w:hAnsi="Arial"/>
          <w:sz w:val="22"/>
          <w:szCs w:val="22"/>
          <w:color w:val="auto"/>
        </w:rPr>
        <w:t>On June 7, 2004, we received approximately 11 million shares of Liberty Media International, Inc. (“Liberty International”) Series A common stock in connection with the spin-off by Liberty Media Corporation (“Liberty”) of Liberty International. In the spin-off, each share of Liberty Series A and Series B common stock received 0.05 shares of the new Liberty International Series A common stock. As of June 30, 2004, we have classified all of the shares of Liberty International Series A common stock that we received as trading securities recorded at fair value within noncurrent investments. Approximately 5 million of these shares collateralize a portion of the ten year prepaid forward sale of Liberty common stock that we entered into in December 2003.</w:t>
      </w:r>
    </w:p>
    <w:p>
      <w:pPr>
        <w:spacing w:after="0" w:line="218" w:lineRule="exact"/>
        <w:rPr>
          <w:sz w:val="20"/>
          <w:szCs w:val="20"/>
          <w:color w:val="auto"/>
        </w:rPr>
      </w:pPr>
    </w:p>
    <w:p>
      <w:pPr>
        <w:ind w:left="460"/>
        <w:spacing w:after="0"/>
        <w:rPr>
          <w:sz w:val="20"/>
          <w:szCs w:val="20"/>
          <w:color w:val="auto"/>
        </w:rPr>
      </w:pPr>
      <w:r>
        <w:rPr>
          <w:rFonts w:ascii="Arial" w:cs="Arial" w:eastAsia="Arial" w:hAnsi="Arial"/>
          <w:sz w:val="19"/>
          <w:szCs w:val="19"/>
          <w:color w:val="auto"/>
        </w:rPr>
        <w:t>The cost, fair value and unrealized gains and losses related to our available for sale securities are as follows (in millions):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7100" w:type="dxa"/>
            <w:vAlign w:val="bottom"/>
          </w:tcPr>
          <w:p>
            <w:pPr>
              <w:spacing w:after="0"/>
              <w:rPr>
                <w:sz w:val="21"/>
                <w:szCs w:val="21"/>
                <w:color w:val="auto"/>
              </w:rPr>
            </w:pPr>
          </w:p>
        </w:tc>
        <w:tc>
          <w:tcPr>
            <w:tcW w:w="1220" w:type="dxa"/>
            <w:vAlign w:val="bottom"/>
          </w:tcPr>
          <w:p>
            <w:pPr>
              <w:jc w:val="right"/>
              <w:ind w:right="172"/>
              <w:spacing w:after="0"/>
              <w:rPr>
                <w:sz w:val="20"/>
                <w:szCs w:val="20"/>
                <w:color w:val="auto"/>
              </w:rPr>
            </w:pPr>
            <w:r>
              <w:rPr>
                <w:rFonts w:ascii="Arial" w:cs="Arial" w:eastAsia="Arial" w:hAnsi="Arial"/>
                <w:sz w:val="22"/>
                <w:szCs w:val="22"/>
                <w:color w:val="auto"/>
              </w:rPr>
              <w:t>June 30,</w:t>
            </w:r>
          </w:p>
        </w:tc>
        <w:tc>
          <w:tcPr>
            <w:tcW w:w="520" w:type="dxa"/>
            <w:vAlign w:val="bottom"/>
          </w:tcPr>
          <w:p>
            <w:pPr>
              <w:spacing w:after="0"/>
              <w:rPr>
                <w:sz w:val="21"/>
                <w:szCs w:val="21"/>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22"/>
                <w:szCs w:val="22"/>
                <w:color w:val="auto"/>
                <w:w w:val="86"/>
              </w:rPr>
              <w:t>December 31,</w:t>
            </w:r>
          </w:p>
        </w:tc>
      </w:tr>
      <w:tr>
        <w:trPr>
          <w:trHeight w:val="275"/>
        </w:trPr>
        <w:tc>
          <w:tcPr>
            <w:tcW w:w="7100" w:type="dxa"/>
            <w:vAlign w:val="bottom"/>
          </w:tcPr>
          <w:p>
            <w:pPr>
              <w:spacing w:after="0"/>
              <w:rPr>
                <w:sz w:val="23"/>
                <w:szCs w:val="23"/>
                <w:color w:val="auto"/>
              </w:rPr>
            </w:pPr>
          </w:p>
        </w:tc>
        <w:tc>
          <w:tcPr>
            <w:tcW w:w="1220" w:type="dxa"/>
            <w:vAlign w:val="bottom"/>
          </w:tcPr>
          <w:p>
            <w:pPr>
              <w:jc w:val="right"/>
              <w:ind w:right="292"/>
              <w:spacing w:after="0"/>
              <w:rPr>
                <w:sz w:val="20"/>
                <w:szCs w:val="20"/>
                <w:color w:val="auto"/>
              </w:rPr>
            </w:pPr>
            <w:r>
              <w:rPr>
                <w:rFonts w:ascii="Arial" w:cs="Arial" w:eastAsia="Arial" w:hAnsi="Arial"/>
                <w:sz w:val="22"/>
                <w:szCs w:val="22"/>
                <w:color w:val="auto"/>
              </w:rPr>
              <w:t>2004</w:t>
            </w:r>
          </w:p>
        </w:tc>
        <w:tc>
          <w:tcPr>
            <w:tcW w:w="1740" w:type="dxa"/>
            <w:vAlign w:val="bottom"/>
            <w:gridSpan w:val="2"/>
          </w:tcPr>
          <w:p>
            <w:pPr>
              <w:jc w:val="right"/>
              <w:ind w:right="272"/>
              <w:spacing w:after="0"/>
              <w:rPr>
                <w:sz w:val="20"/>
                <w:szCs w:val="20"/>
                <w:color w:val="auto"/>
              </w:rPr>
            </w:pPr>
            <w:r>
              <w:rPr>
                <w:rFonts w:ascii="Arial" w:cs="Arial" w:eastAsia="Arial" w:hAnsi="Arial"/>
                <w:sz w:val="22"/>
                <w:szCs w:val="22"/>
                <w:color w:val="auto"/>
              </w:rPr>
              <w:t>2003</w:t>
            </w:r>
          </w:p>
        </w:tc>
        <w:tc>
          <w:tcPr>
            <w:tcW w:w="80" w:type="dxa"/>
            <w:vAlign w:val="bottom"/>
          </w:tcPr>
          <w:p>
            <w:pPr>
              <w:spacing w:after="0"/>
              <w:rPr>
                <w:sz w:val="23"/>
                <w:szCs w:val="23"/>
                <w:color w:val="auto"/>
              </w:rPr>
            </w:pPr>
          </w:p>
        </w:tc>
      </w:tr>
      <w:tr>
        <w:trPr>
          <w:trHeight w:val="98"/>
        </w:trPr>
        <w:tc>
          <w:tcPr>
            <w:tcW w:w="7100" w:type="dxa"/>
            <w:vAlign w:val="bottom"/>
          </w:tcPr>
          <w:p>
            <w:pPr>
              <w:spacing w:after="0"/>
              <w:rPr>
                <w:sz w:val="8"/>
                <w:szCs w:val="8"/>
                <w:color w:val="auto"/>
              </w:rPr>
            </w:pPr>
          </w:p>
        </w:tc>
        <w:tc>
          <w:tcPr>
            <w:tcW w:w="122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122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r>
      <w:tr>
        <w:trPr>
          <w:trHeight w:val="323"/>
        </w:trPr>
        <w:tc>
          <w:tcPr>
            <w:tcW w:w="7100" w:type="dxa"/>
            <w:vAlign w:val="bottom"/>
          </w:tcPr>
          <w:p>
            <w:pPr>
              <w:spacing w:after="0"/>
              <w:rPr>
                <w:sz w:val="20"/>
                <w:szCs w:val="20"/>
                <w:color w:val="auto"/>
              </w:rPr>
            </w:pPr>
            <w:r>
              <w:rPr>
                <w:rFonts w:ascii="Arial" w:cs="Arial" w:eastAsia="Arial" w:hAnsi="Arial"/>
                <w:sz w:val="22"/>
                <w:szCs w:val="22"/>
                <w:color w:val="auto"/>
              </w:rPr>
              <w:t>Cost</w:t>
            </w:r>
          </w:p>
        </w:tc>
        <w:tc>
          <w:tcPr>
            <w:tcW w:w="1220" w:type="dxa"/>
            <w:vAlign w:val="bottom"/>
          </w:tcPr>
          <w:p>
            <w:pPr>
              <w:jc w:val="right"/>
              <w:spacing w:after="0"/>
              <w:rPr>
                <w:sz w:val="20"/>
                <w:szCs w:val="20"/>
                <w:color w:val="auto"/>
              </w:rPr>
            </w:pPr>
            <w:r>
              <w:rPr>
                <w:rFonts w:ascii="Arial" w:cs="Arial" w:eastAsia="Arial" w:hAnsi="Arial"/>
                <w:sz w:val="22"/>
                <w:szCs w:val="22"/>
                <w:color w:val="auto"/>
              </w:rPr>
              <w:t>$78</w:t>
            </w:r>
          </w:p>
        </w:tc>
        <w:tc>
          <w:tcPr>
            <w:tcW w:w="1740" w:type="dxa"/>
            <w:vAlign w:val="bottom"/>
            <w:gridSpan w:val="2"/>
          </w:tcPr>
          <w:p>
            <w:pPr>
              <w:jc w:val="right"/>
              <w:spacing w:after="0"/>
              <w:rPr>
                <w:sz w:val="20"/>
                <w:szCs w:val="20"/>
                <w:color w:val="auto"/>
              </w:rPr>
            </w:pPr>
            <w:r>
              <w:rPr>
                <w:rFonts w:ascii="Arial" w:cs="Arial" w:eastAsia="Arial" w:hAnsi="Arial"/>
                <w:sz w:val="22"/>
                <w:szCs w:val="22"/>
                <w:color w:val="auto"/>
              </w:rPr>
              <w:t>$92</w:t>
            </w:r>
          </w:p>
        </w:tc>
        <w:tc>
          <w:tcPr>
            <w:tcW w:w="80" w:type="dxa"/>
            <w:vAlign w:val="bottom"/>
          </w:tcPr>
          <w:p>
            <w:pPr>
              <w:spacing w:after="0"/>
              <w:rPr>
                <w:sz w:val="24"/>
                <w:szCs w:val="24"/>
                <w:color w:val="auto"/>
              </w:rPr>
            </w:pPr>
          </w:p>
        </w:tc>
      </w:tr>
      <w:tr>
        <w:trPr>
          <w:trHeight w:val="243"/>
        </w:trPr>
        <w:tc>
          <w:tcPr>
            <w:tcW w:w="7100" w:type="dxa"/>
            <w:vAlign w:val="bottom"/>
          </w:tcPr>
          <w:p>
            <w:pPr>
              <w:spacing w:after="0" w:line="243" w:lineRule="exact"/>
              <w:rPr>
                <w:sz w:val="20"/>
                <w:szCs w:val="20"/>
                <w:color w:val="auto"/>
              </w:rPr>
            </w:pPr>
            <w:r>
              <w:rPr>
                <w:rFonts w:ascii="Arial" w:cs="Arial" w:eastAsia="Arial" w:hAnsi="Arial"/>
                <w:sz w:val="22"/>
                <w:szCs w:val="22"/>
                <w:color w:val="auto"/>
              </w:rPr>
              <w:t>Unrealized gains</w:t>
            </w:r>
          </w:p>
        </w:tc>
        <w:tc>
          <w:tcPr>
            <w:tcW w:w="1220" w:type="dxa"/>
            <w:vAlign w:val="bottom"/>
          </w:tcPr>
          <w:p>
            <w:pPr>
              <w:jc w:val="right"/>
              <w:spacing w:after="0" w:line="243" w:lineRule="exact"/>
              <w:rPr>
                <w:sz w:val="20"/>
                <w:szCs w:val="20"/>
                <w:color w:val="auto"/>
              </w:rPr>
            </w:pPr>
            <w:r>
              <w:rPr>
                <w:rFonts w:ascii="Arial" w:cs="Arial" w:eastAsia="Arial" w:hAnsi="Arial"/>
                <w:sz w:val="22"/>
                <w:szCs w:val="22"/>
                <w:color w:val="auto"/>
              </w:rPr>
              <w:t>49</w:t>
            </w:r>
          </w:p>
        </w:tc>
        <w:tc>
          <w:tcPr>
            <w:tcW w:w="174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66</w:t>
            </w:r>
          </w:p>
        </w:tc>
        <w:tc>
          <w:tcPr>
            <w:tcW w:w="80" w:type="dxa"/>
            <w:vAlign w:val="bottom"/>
          </w:tcPr>
          <w:p>
            <w:pPr>
              <w:spacing w:after="0"/>
              <w:rPr>
                <w:sz w:val="21"/>
                <w:szCs w:val="21"/>
                <w:color w:val="auto"/>
              </w:rPr>
            </w:pPr>
          </w:p>
        </w:tc>
      </w:tr>
      <w:tr>
        <w:trPr>
          <w:trHeight w:val="275"/>
        </w:trPr>
        <w:tc>
          <w:tcPr>
            <w:tcW w:w="7100" w:type="dxa"/>
            <w:vAlign w:val="bottom"/>
          </w:tcPr>
          <w:p>
            <w:pPr>
              <w:spacing w:after="0"/>
              <w:rPr>
                <w:sz w:val="20"/>
                <w:szCs w:val="20"/>
                <w:color w:val="auto"/>
              </w:rPr>
            </w:pPr>
            <w:r>
              <w:rPr>
                <w:rFonts w:ascii="Arial" w:cs="Arial" w:eastAsia="Arial" w:hAnsi="Arial"/>
                <w:sz w:val="22"/>
                <w:szCs w:val="22"/>
                <w:color w:val="auto"/>
              </w:rPr>
              <w:t>Unrealized losses</w:t>
            </w:r>
          </w:p>
        </w:tc>
        <w:tc>
          <w:tcPr>
            <w:tcW w:w="1220" w:type="dxa"/>
            <w:vAlign w:val="bottom"/>
          </w:tcPr>
          <w:p>
            <w:pPr>
              <w:spacing w:after="0"/>
              <w:rPr>
                <w:sz w:val="23"/>
                <w:szCs w:val="23"/>
                <w:color w:val="auto"/>
              </w:rPr>
            </w:pPr>
          </w:p>
        </w:tc>
        <w:tc>
          <w:tcPr>
            <w:tcW w:w="1820" w:type="dxa"/>
            <w:vAlign w:val="bottom"/>
            <w:gridSpan w:val="3"/>
          </w:tcPr>
          <w:p>
            <w:pPr>
              <w:jc w:val="right"/>
              <w:spacing w:after="0"/>
              <w:rPr>
                <w:sz w:val="20"/>
                <w:szCs w:val="20"/>
                <w:color w:val="auto"/>
              </w:rPr>
            </w:pPr>
            <w:r>
              <w:rPr>
                <w:rFonts w:ascii="Arial" w:cs="Arial" w:eastAsia="Arial" w:hAnsi="Arial"/>
                <w:sz w:val="22"/>
                <w:szCs w:val="22"/>
                <w:color w:val="auto"/>
              </w:rPr>
              <w:t>(1)</w:t>
            </w:r>
          </w:p>
        </w:tc>
      </w:tr>
      <w:tr>
        <w:trPr>
          <w:trHeight w:val="98"/>
        </w:trPr>
        <w:tc>
          <w:tcPr>
            <w:tcW w:w="7100" w:type="dxa"/>
            <w:vAlign w:val="bottom"/>
          </w:tcPr>
          <w:p>
            <w:pPr>
              <w:spacing w:after="0"/>
              <w:rPr>
                <w:sz w:val="8"/>
                <w:szCs w:val="8"/>
                <w:color w:val="auto"/>
              </w:rPr>
            </w:pPr>
          </w:p>
        </w:tc>
        <w:tc>
          <w:tcPr>
            <w:tcW w:w="122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122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r>
      <w:tr>
        <w:trPr>
          <w:trHeight w:val="355"/>
        </w:trPr>
        <w:tc>
          <w:tcPr>
            <w:tcW w:w="7100" w:type="dxa"/>
            <w:vAlign w:val="bottom"/>
          </w:tcPr>
          <w:p>
            <w:pPr>
              <w:spacing w:after="0"/>
              <w:rPr>
                <w:sz w:val="20"/>
                <w:szCs w:val="20"/>
                <w:color w:val="auto"/>
              </w:rPr>
            </w:pPr>
            <w:r>
              <w:rPr>
                <w:rFonts w:ascii="Arial" w:cs="Arial" w:eastAsia="Arial" w:hAnsi="Arial"/>
                <w:sz w:val="22"/>
                <w:szCs w:val="22"/>
                <w:color w:val="auto"/>
              </w:rPr>
              <w:t>Fair value</w:t>
            </w:r>
          </w:p>
        </w:tc>
        <w:tc>
          <w:tcPr>
            <w:tcW w:w="1220" w:type="dxa"/>
            <w:vAlign w:val="bottom"/>
          </w:tcPr>
          <w:p>
            <w:pPr>
              <w:jc w:val="right"/>
              <w:spacing w:after="0"/>
              <w:rPr>
                <w:sz w:val="20"/>
                <w:szCs w:val="20"/>
                <w:color w:val="auto"/>
              </w:rPr>
            </w:pPr>
            <w:r>
              <w:rPr>
                <w:rFonts w:ascii="Arial" w:cs="Arial" w:eastAsia="Arial" w:hAnsi="Arial"/>
                <w:sz w:val="22"/>
                <w:szCs w:val="22"/>
                <w:color w:val="auto"/>
              </w:rPr>
              <w:t>$127</w:t>
            </w:r>
          </w:p>
        </w:tc>
        <w:tc>
          <w:tcPr>
            <w:tcW w:w="1740" w:type="dxa"/>
            <w:vAlign w:val="bottom"/>
            <w:gridSpan w:val="2"/>
          </w:tcPr>
          <w:p>
            <w:pPr>
              <w:jc w:val="right"/>
              <w:spacing w:after="0"/>
              <w:rPr>
                <w:sz w:val="20"/>
                <w:szCs w:val="20"/>
                <w:color w:val="auto"/>
              </w:rPr>
            </w:pPr>
            <w:r>
              <w:rPr>
                <w:rFonts w:ascii="Arial" w:cs="Arial" w:eastAsia="Arial" w:hAnsi="Arial"/>
                <w:sz w:val="22"/>
                <w:szCs w:val="22"/>
                <w:color w:val="auto"/>
              </w:rPr>
              <w:t>$157</w:t>
            </w:r>
          </w:p>
        </w:tc>
        <w:tc>
          <w:tcPr>
            <w:tcW w:w="80" w:type="dxa"/>
            <w:vAlign w:val="bottom"/>
          </w:tcPr>
          <w:p>
            <w:pPr>
              <w:spacing w:after="0"/>
              <w:rPr>
                <w:sz w:val="24"/>
                <w:szCs w:val="24"/>
                <w:color w:val="auto"/>
              </w:rPr>
            </w:pPr>
          </w:p>
        </w:tc>
      </w:tr>
      <w:tr>
        <w:trPr>
          <w:trHeight w:val="108"/>
        </w:trPr>
        <w:tc>
          <w:tcPr>
            <w:tcW w:w="7100" w:type="dxa"/>
            <w:vAlign w:val="bottom"/>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5277485</wp:posOffset>
            </wp:positionH>
            <wp:positionV relativeFrom="paragraph">
              <wp:posOffset>-14605</wp:posOffset>
            </wp:positionV>
            <wp:extent cx="127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-14605</wp:posOffset>
            </wp:positionV>
            <wp:extent cx="127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-14605</wp:posOffset>
            </wp:positionV>
            <wp:extent cx="127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-14605</wp:posOffset>
            </wp:positionV>
            <wp:extent cx="127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06" w:lineRule="exact"/>
        <w:rPr>
          <w:sz w:val="20"/>
          <w:szCs w:val="20"/>
          <w:color w:val="auto"/>
        </w:rPr>
      </w:pPr>
    </w:p>
    <w:p>
      <w:pPr>
        <w:ind w:left="460"/>
        <w:spacing w:after="0"/>
        <w:rPr>
          <w:sz w:val="20"/>
          <w:szCs w:val="20"/>
          <w:color w:val="auto"/>
        </w:rPr>
      </w:pPr>
      <w:r>
        <w:rPr>
          <w:rFonts w:ascii="Arial" w:cs="Arial" w:eastAsia="Arial" w:hAnsi="Arial"/>
          <w:sz w:val="22"/>
          <w:szCs w:val="22"/>
          <w:i w:val="1"/>
          <w:iCs w:val="1"/>
          <w:color w:val="auto"/>
        </w:rPr>
        <w:t>Investment Income (Loss), Net</w:t>
      </w:r>
    </w:p>
    <w:p>
      <w:pPr>
        <w:spacing w:after="0" w:line="8"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Investment income (loss), net for the interim periods includes the following (in millions):</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700" w:type="dxa"/>
            <w:vAlign w:val="bottom"/>
          </w:tcPr>
          <w:p>
            <w:pPr>
              <w:spacing w:after="0"/>
              <w:rPr>
                <w:sz w:val="21"/>
                <w:szCs w:val="21"/>
                <w:color w:val="auto"/>
              </w:rPr>
            </w:pPr>
          </w:p>
        </w:tc>
        <w:tc>
          <w:tcPr>
            <w:tcW w:w="3500" w:type="dxa"/>
            <w:vAlign w:val="bottom"/>
            <w:gridSpan w:val="8"/>
          </w:tcPr>
          <w:p>
            <w:pPr>
              <w:jc w:val="right"/>
              <w:spacing w:after="0"/>
              <w:rPr>
                <w:sz w:val="20"/>
                <w:szCs w:val="20"/>
                <w:color w:val="auto"/>
              </w:rPr>
            </w:pPr>
            <w:r>
              <w:rPr>
                <w:rFonts w:ascii="Arial" w:cs="Arial" w:eastAsia="Arial" w:hAnsi="Arial"/>
                <w:sz w:val="22"/>
                <w:szCs w:val="22"/>
                <w:color w:val="auto"/>
                <w:w w:val="89"/>
              </w:rPr>
              <w:t>Three Months Ended Six Months Ended</w:t>
            </w:r>
          </w:p>
        </w:tc>
      </w:tr>
      <w:tr>
        <w:trPr>
          <w:trHeight w:val="243"/>
        </w:trPr>
        <w:tc>
          <w:tcPr>
            <w:tcW w:w="6700" w:type="dxa"/>
            <w:vAlign w:val="bottom"/>
          </w:tcPr>
          <w:p>
            <w:pPr>
              <w:spacing w:after="0"/>
              <w:rPr>
                <w:sz w:val="21"/>
                <w:szCs w:val="21"/>
                <w:color w:val="auto"/>
              </w:rPr>
            </w:pPr>
          </w:p>
        </w:tc>
        <w:tc>
          <w:tcPr>
            <w:tcW w:w="1860" w:type="dxa"/>
            <w:vAlign w:val="bottom"/>
            <w:gridSpan w:val="4"/>
          </w:tcPr>
          <w:p>
            <w:pPr>
              <w:jc w:val="right"/>
              <w:ind w:right="580"/>
              <w:spacing w:after="0" w:line="243" w:lineRule="exact"/>
              <w:rPr>
                <w:sz w:val="20"/>
                <w:szCs w:val="20"/>
                <w:color w:val="auto"/>
              </w:rPr>
            </w:pPr>
            <w:r>
              <w:rPr>
                <w:rFonts w:ascii="Arial" w:cs="Arial" w:eastAsia="Arial" w:hAnsi="Arial"/>
                <w:sz w:val="22"/>
                <w:szCs w:val="22"/>
                <w:color w:val="auto"/>
              </w:rPr>
              <w:t>June 30,</w:t>
            </w:r>
          </w:p>
        </w:tc>
        <w:tc>
          <w:tcPr>
            <w:tcW w:w="1640" w:type="dxa"/>
            <w:vAlign w:val="bottom"/>
            <w:gridSpan w:val="4"/>
          </w:tcPr>
          <w:p>
            <w:pPr>
              <w:jc w:val="right"/>
              <w:ind w:right="420"/>
              <w:spacing w:after="0" w:line="243" w:lineRule="exact"/>
              <w:rPr>
                <w:sz w:val="20"/>
                <w:szCs w:val="20"/>
                <w:color w:val="auto"/>
              </w:rPr>
            </w:pPr>
            <w:r>
              <w:rPr>
                <w:rFonts w:ascii="Arial" w:cs="Arial" w:eastAsia="Arial" w:hAnsi="Arial"/>
                <w:sz w:val="22"/>
                <w:szCs w:val="22"/>
                <w:color w:val="auto"/>
              </w:rPr>
              <w:t>June 30,</w:t>
            </w:r>
          </w:p>
        </w:tc>
      </w:tr>
      <w:tr>
        <w:trPr>
          <w:trHeight w:val="275"/>
        </w:trPr>
        <w:tc>
          <w:tcPr>
            <w:tcW w:w="670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22"/>
                <w:szCs w:val="22"/>
                <w:color w:val="auto"/>
              </w:rPr>
              <w:t>2004</w:t>
            </w:r>
          </w:p>
        </w:tc>
        <w:tc>
          <w:tcPr>
            <w:tcW w:w="30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22"/>
                <w:szCs w:val="22"/>
                <w:color w:val="auto"/>
              </w:rPr>
              <w:t>2003</w:t>
            </w:r>
          </w:p>
        </w:tc>
        <w:tc>
          <w:tcPr>
            <w:tcW w:w="320" w:type="dxa"/>
            <w:vAlign w:val="bottom"/>
          </w:tcPr>
          <w:p>
            <w:pPr>
              <w:spacing w:after="0"/>
              <w:rPr>
                <w:sz w:val="23"/>
                <w:szCs w:val="23"/>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22"/>
                <w:szCs w:val="22"/>
                <w:color w:val="auto"/>
              </w:rPr>
              <w:t>2004</w:t>
            </w:r>
          </w:p>
        </w:tc>
        <w:tc>
          <w:tcPr>
            <w:tcW w:w="600" w:type="dxa"/>
            <w:vAlign w:val="bottom"/>
          </w:tcPr>
          <w:p>
            <w:pPr>
              <w:jc w:val="right"/>
              <w:spacing w:after="0"/>
              <w:rPr>
                <w:sz w:val="20"/>
                <w:szCs w:val="20"/>
                <w:color w:val="auto"/>
              </w:rPr>
            </w:pPr>
            <w:r>
              <w:rPr>
                <w:rFonts w:ascii="Arial" w:cs="Arial" w:eastAsia="Arial" w:hAnsi="Arial"/>
                <w:sz w:val="22"/>
                <w:szCs w:val="22"/>
                <w:color w:val="auto"/>
              </w:rPr>
              <w:t>2003</w:t>
            </w:r>
          </w:p>
        </w:tc>
        <w:tc>
          <w:tcPr>
            <w:tcW w:w="140" w:type="dxa"/>
            <w:vAlign w:val="bottom"/>
          </w:tcPr>
          <w:p>
            <w:pPr>
              <w:spacing w:after="0"/>
              <w:rPr>
                <w:sz w:val="23"/>
                <w:szCs w:val="23"/>
                <w:color w:val="auto"/>
              </w:rPr>
            </w:pPr>
          </w:p>
        </w:tc>
      </w:tr>
      <w:tr>
        <w:trPr>
          <w:trHeight w:val="98"/>
        </w:trPr>
        <w:tc>
          <w:tcPr>
            <w:tcW w:w="670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r>
      <w:tr>
        <w:trPr>
          <w:trHeight w:val="323"/>
        </w:trPr>
        <w:tc>
          <w:tcPr>
            <w:tcW w:w="6700" w:type="dxa"/>
            <w:vAlign w:val="bottom"/>
          </w:tcPr>
          <w:p>
            <w:pPr>
              <w:spacing w:after="0"/>
              <w:rPr>
                <w:sz w:val="20"/>
                <w:szCs w:val="20"/>
                <w:color w:val="auto"/>
              </w:rPr>
            </w:pPr>
            <w:r>
              <w:rPr>
                <w:rFonts w:ascii="Arial" w:cs="Arial" w:eastAsia="Arial" w:hAnsi="Arial"/>
                <w:sz w:val="22"/>
                <w:szCs w:val="22"/>
                <w:color w:val="auto"/>
              </w:rPr>
              <w:t>Interest and dividend income</w:t>
            </w:r>
          </w:p>
        </w:tc>
        <w:tc>
          <w:tcPr>
            <w:tcW w:w="620" w:type="dxa"/>
            <w:vAlign w:val="bottom"/>
          </w:tcPr>
          <w:p>
            <w:pPr>
              <w:jc w:val="right"/>
              <w:spacing w:after="0"/>
              <w:rPr>
                <w:sz w:val="20"/>
                <w:szCs w:val="20"/>
                <w:color w:val="auto"/>
              </w:rPr>
            </w:pPr>
            <w:r>
              <w:rPr>
                <w:rFonts w:ascii="Arial" w:cs="Arial" w:eastAsia="Arial" w:hAnsi="Arial"/>
                <w:sz w:val="22"/>
                <w:szCs w:val="22"/>
                <w:color w:val="auto"/>
              </w:rPr>
              <w:t>$26</w:t>
            </w:r>
          </w:p>
        </w:tc>
        <w:tc>
          <w:tcPr>
            <w:tcW w:w="3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22"/>
                <w:szCs w:val="22"/>
                <w:color w:val="auto"/>
              </w:rPr>
              <w:t>$49</w:t>
            </w:r>
          </w:p>
        </w:tc>
        <w:tc>
          <w:tcPr>
            <w:tcW w:w="320" w:type="dxa"/>
            <w:vAlign w:val="bottom"/>
          </w:tcPr>
          <w:p>
            <w:pPr>
              <w:spacing w:after="0"/>
              <w:rPr>
                <w:sz w:val="24"/>
                <w:szCs w:val="24"/>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22"/>
                <w:szCs w:val="22"/>
                <w:color w:val="auto"/>
              </w:rPr>
              <w:t>$43</w:t>
            </w:r>
          </w:p>
        </w:tc>
        <w:tc>
          <w:tcPr>
            <w:tcW w:w="600" w:type="dxa"/>
            <w:vAlign w:val="bottom"/>
          </w:tcPr>
          <w:p>
            <w:pPr>
              <w:jc w:val="right"/>
              <w:spacing w:after="0"/>
              <w:rPr>
                <w:sz w:val="20"/>
                <w:szCs w:val="20"/>
                <w:color w:val="auto"/>
              </w:rPr>
            </w:pPr>
            <w:r>
              <w:rPr>
                <w:rFonts w:ascii="Arial" w:cs="Arial" w:eastAsia="Arial" w:hAnsi="Arial"/>
                <w:sz w:val="22"/>
                <w:szCs w:val="22"/>
                <w:color w:val="auto"/>
              </w:rPr>
              <w:t>$83</w:t>
            </w:r>
          </w:p>
        </w:tc>
        <w:tc>
          <w:tcPr>
            <w:tcW w:w="140" w:type="dxa"/>
            <w:vAlign w:val="bottom"/>
          </w:tcPr>
          <w:p>
            <w:pPr>
              <w:spacing w:after="0"/>
              <w:rPr>
                <w:sz w:val="24"/>
                <w:szCs w:val="24"/>
                <w:color w:val="auto"/>
              </w:rPr>
            </w:pPr>
          </w:p>
        </w:tc>
      </w:tr>
      <w:tr>
        <w:trPr>
          <w:trHeight w:val="243"/>
        </w:trPr>
        <w:tc>
          <w:tcPr>
            <w:tcW w:w="6700" w:type="dxa"/>
            <w:vAlign w:val="bottom"/>
          </w:tcPr>
          <w:p>
            <w:pPr>
              <w:spacing w:after="0" w:line="243" w:lineRule="exact"/>
              <w:rPr>
                <w:sz w:val="20"/>
                <w:szCs w:val="20"/>
                <w:color w:val="auto"/>
              </w:rPr>
            </w:pPr>
            <w:r>
              <w:rPr>
                <w:rFonts w:ascii="Arial" w:cs="Arial" w:eastAsia="Arial" w:hAnsi="Arial"/>
                <w:sz w:val="22"/>
                <w:szCs w:val="22"/>
                <w:color w:val="auto"/>
              </w:rPr>
              <w:t>Gains (losses) on sales and exchanges of investments, net</w:t>
            </w:r>
          </w:p>
        </w:tc>
        <w:tc>
          <w:tcPr>
            <w:tcW w:w="920" w:type="dxa"/>
            <w:vAlign w:val="bottom"/>
            <w:gridSpan w:val="2"/>
          </w:tcPr>
          <w:p>
            <w:pPr>
              <w:jc w:val="right"/>
              <w:ind w:right="240"/>
              <w:spacing w:after="0" w:line="243" w:lineRule="exact"/>
              <w:rPr>
                <w:sz w:val="20"/>
                <w:szCs w:val="20"/>
                <w:color w:val="auto"/>
              </w:rPr>
            </w:pPr>
            <w:r>
              <w:rPr>
                <w:rFonts w:ascii="Arial" w:cs="Arial" w:eastAsia="Arial" w:hAnsi="Arial"/>
                <w:sz w:val="22"/>
                <w:szCs w:val="22"/>
                <w:color w:val="auto"/>
              </w:rPr>
              <w:t>(1)</w:t>
            </w:r>
          </w:p>
        </w:tc>
        <w:tc>
          <w:tcPr>
            <w:tcW w:w="620" w:type="dxa"/>
            <w:vAlign w:val="bottom"/>
          </w:tcPr>
          <w:p>
            <w:pPr>
              <w:jc w:val="right"/>
              <w:spacing w:after="0" w:line="243" w:lineRule="exact"/>
              <w:rPr>
                <w:sz w:val="20"/>
                <w:szCs w:val="20"/>
                <w:color w:val="auto"/>
              </w:rPr>
            </w:pPr>
            <w:r>
              <w:rPr>
                <w:rFonts w:ascii="Arial" w:cs="Arial" w:eastAsia="Arial" w:hAnsi="Arial"/>
                <w:sz w:val="22"/>
                <w:szCs w:val="22"/>
                <w:color w:val="auto"/>
              </w:rPr>
              <w:t>1</w:t>
            </w:r>
          </w:p>
        </w:tc>
        <w:tc>
          <w:tcPr>
            <w:tcW w:w="320" w:type="dxa"/>
            <w:vAlign w:val="bottom"/>
          </w:tcPr>
          <w:p>
            <w:pPr>
              <w:spacing w:after="0"/>
              <w:rPr>
                <w:sz w:val="21"/>
                <w:szCs w:val="21"/>
                <w:color w:val="auto"/>
              </w:rPr>
            </w:pPr>
          </w:p>
        </w:tc>
        <w:tc>
          <w:tcPr>
            <w:tcW w:w="900" w:type="dxa"/>
            <w:vAlign w:val="bottom"/>
            <w:gridSpan w:val="2"/>
          </w:tcPr>
          <w:p>
            <w:pPr>
              <w:jc w:val="right"/>
              <w:ind w:right="300"/>
              <w:spacing w:after="0" w:line="243" w:lineRule="exact"/>
              <w:rPr>
                <w:sz w:val="20"/>
                <w:szCs w:val="20"/>
                <w:color w:val="auto"/>
              </w:rPr>
            </w:pPr>
            <w:r>
              <w:rPr>
                <w:rFonts w:ascii="Arial" w:cs="Arial" w:eastAsia="Arial" w:hAnsi="Arial"/>
                <w:sz w:val="22"/>
                <w:szCs w:val="22"/>
                <w:color w:val="auto"/>
              </w:rPr>
              <w:t>1</w:t>
            </w:r>
          </w:p>
        </w:tc>
        <w:tc>
          <w:tcPr>
            <w:tcW w:w="600" w:type="dxa"/>
            <w:vAlign w:val="bottom"/>
          </w:tcPr>
          <w:p>
            <w:pPr>
              <w:jc w:val="right"/>
              <w:spacing w:after="0" w:line="243" w:lineRule="exact"/>
              <w:rPr>
                <w:sz w:val="20"/>
                <w:szCs w:val="20"/>
                <w:color w:val="auto"/>
              </w:rPr>
            </w:pPr>
            <w:r>
              <w:rPr>
                <w:rFonts w:ascii="Arial" w:cs="Arial" w:eastAsia="Arial" w:hAnsi="Arial"/>
                <w:sz w:val="22"/>
                <w:szCs w:val="22"/>
                <w:color w:val="auto"/>
              </w:rPr>
              <w:t>23</w:t>
            </w:r>
          </w:p>
        </w:tc>
        <w:tc>
          <w:tcPr>
            <w:tcW w:w="140" w:type="dxa"/>
            <w:vAlign w:val="bottom"/>
          </w:tcPr>
          <w:p>
            <w:pPr>
              <w:spacing w:after="0"/>
              <w:rPr>
                <w:sz w:val="21"/>
                <w:szCs w:val="21"/>
                <w:color w:val="auto"/>
              </w:rPr>
            </w:pPr>
          </w:p>
        </w:tc>
      </w:tr>
      <w:tr>
        <w:trPr>
          <w:trHeight w:val="243"/>
        </w:trPr>
        <w:tc>
          <w:tcPr>
            <w:tcW w:w="6700" w:type="dxa"/>
            <w:vAlign w:val="bottom"/>
          </w:tcPr>
          <w:p>
            <w:pPr>
              <w:spacing w:after="0" w:line="243" w:lineRule="exact"/>
              <w:rPr>
                <w:sz w:val="20"/>
                <w:szCs w:val="20"/>
                <w:color w:val="auto"/>
              </w:rPr>
            </w:pPr>
            <w:r>
              <w:rPr>
                <w:rFonts w:ascii="Arial" w:cs="Arial" w:eastAsia="Arial" w:hAnsi="Arial"/>
                <w:sz w:val="22"/>
                <w:szCs w:val="22"/>
                <w:color w:val="auto"/>
              </w:rPr>
              <w:t>Investment impairment losses</w:t>
            </w:r>
          </w:p>
        </w:tc>
        <w:tc>
          <w:tcPr>
            <w:tcW w:w="920" w:type="dxa"/>
            <w:vAlign w:val="bottom"/>
            <w:gridSpan w:val="2"/>
          </w:tcPr>
          <w:p>
            <w:pPr>
              <w:jc w:val="right"/>
              <w:ind w:right="240"/>
              <w:spacing w:after="0" w:line="243" w:lineRule="exact"/>
              <w:rPr>
                <w:sz w:val="20"/>
                <w:szCs w:val="20"/>
                <w:color w:val="auto"/>
              </w:rPr>
            </w:pPr>
            <w:r>
              <w:rPr>
                <w:rFonts w:ascii="Arial" w:cs="Arial" w:eastAsia="Arial" w:hAnsi="Arial"/>
                <w:sz w:val="22"/>
                <w:szCs w:val="22"/>
                <w:color w:val="auto"/>
              </w:rPr>
              <w:t>(3)</w:t>
            </w:r>
          </w:p>
        </w:tc>
        <w:tc>
          <w:tcPr>
            <w:tcW w:w="940" w:type="dxa"/>
            <w:vAlign w:val="bottom"/>
            <w:gridSpan w:val="2"/>
          </w:tcPr>
          <w:p>
            <w:pPr>
              <w:jc w:val="right"/>
              <w:ind w:right="240"/>
              <w:spacing w:after="0" w:line="243" w:lineRule="exact"/>
              <w:rPr>
                <w:sz w:val="20"/>
                <w:szCs w:val="20"/>
                <w:color w:val="auto"/>
              </w:rPr>
            </w:pPr>
            <w:r>
              <w:rPr>
                <w:rFonts w:ascii="Arial" w:cs="Arial" w:eastAsia="Arial" w:hAnsi="Arial"/>
                <w:sz w:val="22"/>
                <w:szCs w:val="22"/>
                <w:color w:val="auto"/>
              </w:rPr>
              <w:t>(15)</w:t>
            </w:r>
          </w:p>
        </w:tc>
        <w:tc>
          <w:tcPr>
            <w:tcW w:w="900" w:type="dxa"/>
            <w:vAlign w:val="bottom"/>
            <w:gridSpan w:val="2"/>
          </w:tcPr>
          <w:p>
            <w:pPr>
              <w:jc w:val="right"/>
              <w:ind w:right="220"/>
              <w:spacing w:after="0" w:line="243" w:lineRule="exact"/>
              <w:rPr>
                <w:sz w:val="20"/>
                <w:szCs w:val="20"/>
                <w:color w:val="auto"/>
              </w:rPr>
            </w:pPr>
            <w:r>
              <w:rPr>
                <w:rFonts w:ascii="Arial" w:cs="Arial" w:eastAsia="Arial" w:hAnsi="Arial"/>
                <w:sz w:val="22"/>
                <w:szCs w:val="22"/>
                <w:color w:val="auto"/>
              </w:rPr>
              <w:t>(3)</w:t>
            </w:r>
          </w:p>
        </w:tc>
        <w:tc>
          <w:tcPr>
            <w:tcW w:w="740" w:type="dxa"/>
            <w:vAlign w:val="bottom"/>
            <w:gridSpan w:val="2"/>
          </w:tcPr>
          <w:p>
            <w:pPr>
              <w:jc w:val="right"/>
              <w:ind w:right="60"/>
              <w:spacing w:after="0" w:line="243" w:lineRule="exact"/>
              <w:rPr>
                <w:sz w:val="20"/>
                <w:szCs w:val="20"/>
                <w:color w:val="auto"/>
              </w:rPr>
            </w:pPr>
            <w:r>
              <w:rPr>
                <w:rFonts w:ascii="Arial" w:cs="Arial" w:eastAsia="Arial" w:hAnsi="Arial"/>
                <w:sz w:val="22"/>
                <w:szCs w:val="22"/>
                <w:color w:val="auto"/>
              </w:rPr>
              <w:t>(70)</w:t>
            </w:r>
          </w:p>
        </w:tc>
      </w:tr>
      <w:tr>
        <w:trPr>
          <w:trHeight w:val="243"/>
        </w:trPr>
        <w:tc>
          <w:tcPr>
            <w:tcW w:w="6700" w:type="dxa"/>
            <w:vAlign w:val="bottom"/>
          </w:tcPr>
          <w:p>
            <w:pPr>
              <w:spacing w:after="0" w:line="243" w:lineRule="exact"/>
              <w:rPr>
                <w:sz w:val="20"/>
                <w:szCs w:val="20"/>
                <w:color w:val="auto"/>
              </w:rPr>
            </w:pPr>
            <w:r>
              <w:rPr>
                <w:rFonts w:ascii="Arial" w:cs="Arial" w:eastAsia="Arial" w:hAnsi="Arial"/>
                <w:sz w:val="22"/>
                <w:szCs w:val="22"/>
                <w:color w:val="auto"/>
              </w:rPr>
              <w:t>Mark to market adjustments on trading securities</w:t>
            </w:r>
          </w:p>
        </w:tc>
        <w:tc>
          <w:tcPr>
            <w:tcW w:w="920" w:type="dxa"/>
            <w:vAlign w:val="bottom"/>
            <w:gridSpan w:val="2"/>
          </w:tcPr>
          <w:p>
            <w:pPr>
              <w:jc w:val="right"/>
              <w:ind w:right="240"/>
              <w:spacing w:after="0" w:line="243" w:lineRule="exact"/>
              <w:rPr>
                <w:sz w:val="20"/>
                <w:szCs w:val="20"/>
                <w:color w:val="auto"/>
              </w:rPr>
            </w:pPr>
            <w:r>
              <w:rPr>
                <w:rFonts w:ascii="Arial" w:cs="Arial" w:eastAsia="Arial" w:hAnsi="Arial"/>
                <w:sz w:val="22"/>
                <w:szCs w:val="22"/>
                <w:color w:val="auto"/>
              </w:rPr>
              <w:t>(53)</w:t>
            </w:r>
          </w:p>
        </w:tc>
        <w:tc>
          <w:tcPr>
            <w:tcW w:w="620" w:type="dxa"/>
            <w:vAlign w:val="bottom"/>
          </w:tcPr>
          <w:p>
            <w:pPr>
              <w:jc w:val="right"/>
              <w:spacing w:after="0" w:line="243" w:lineRule="exact"/>
              <w:rPr>
                <w:sz w:val="20"/>
                <w:szCs w:val="20"/>
                <w:color w:val="auto"/>
              </w:rPr>
            </w:pPr>
            <w:r>
              <w:rPr>
                <w:rFonts w:ascii="Arial" w:cs="Arial" w:eastAsia="Arial" w:hAnsi="Arial"/>
                <w:sz w:val="22"/>
                <w:szCs w:val="22"/>
                <w:color w:val="auto"/>
              </w:rPr>
              <w:t>307</w:t>
            </w:r>
          </w:p>
        </w:tc>
        <w:tc>
          <w:tcPr>
            <w:tcW w:w="320" w:type="dxa"/>
            <w:vAlign w:val="bottom"/>
          </w:tcPr>
          <w:p>
            <w:pPr>
              <w:spacing w:after="0"/>
              <w:rPr>
                <w:sz w:val="21"/>
                <w:szCs w:val="21"/>
                <w:color w:val="auto"/>
              </w:rPr>
            </w:pPr>
          </w:p>
        </w:tc>
        <w:tc>
          <w:tcPr>
            <w:tcW w:w="900" w:type="dxa"/>
            <w:vAlign w:val="bottom"/>
            <w:gridSpan w:val="2"/>
          </w:tcPr>
          <w:p>
            <w:pPr>
              <w:jc w:val="right"/>
              <w:ind w:right="220"/>
              <w:spacing w:after="0" w:line="243" w:lineRule="exact"/>
              <w:rPr>
                <w:sz w:val="20"/>
                <w:szCs w:val="20"/>
                <w:color w:val="auto"/>
              </w:rPr>
            </w:pPr>
            <w:r>
              <w:rPr>
                <w:rFonts w:ascii="Arial" w:cs="Arial" w:eastAsia="Arial" w:hAnsi="Arial"/>
                <w:sz w:val="22"/>
                <w:szCs w:val="22"/>
                <w:color w:val="auto"/>
              </w:rPr>
              <w:t>(227)</w:t>
            </w:r>
          </w:p>
        </w:tc>
        <w:tc>
          <w:tcPr>
            <w:tcW w:w="600" w:type="dxa"/>
            <w:vAlign w:val="bottom"/>
          </w:tcPr>
          <w:p>
            <w:pPr>
              <w:jc w:val="right"/>
              <w:spacing w:after="0" w:line="243" w:lineRule="exact"/>
              <w:rPr>
                <w:sz w:val="20"/>
                <w:szCs w:val="20"/>
                <w:color w:val="auto"/>
              </w:rPr>
            </w:pPr>
            <w:r>
              <w:rPr>
                <w:rFonts w:ascii="Arial" w:cs="Arial" w:eastAsia="Arial" w:hAnsi="Arial"/>
                <w:sz w:val="22"/>
                <w:szCs w:val="22"/>
                <w:color w:val="auto"/>
              </w:rPr>
              <w:t>292</w:t>
            </w:r>
          </w:p>
        </w:tc>
        <w:tc>
          <w:tcPr>
            <w:tcW w:w="140" w:type="dxa"/>
            <w:vAlign w:val="bottom"/>
          </w:tcPr>
          <w:p>
            <w:pPr>
              <w:spacing w:after="0"/>
              <w:rPr>
                <w:sz w:val="21"/>
                <w:szCs w:val="21"/>
                <w:color w:val="auto"/>
              </w:rPr>
            </w:pPr>
          </w:p>
        </w:tc>
      </w:tr>
      <w:tr>
        <w:trPr>
          <w:trHeight w:val="243"/>
        </w:trPr>
        <w:tc>
          <w:tcPr>
            <w:tcW w:w="6700" w:type="dxa"/>
            <w:vAlign w:val="bottom"/>
          </w:tcPr>
          <w:p>
            <w:pPr>
              <w:spacing w:after="0" w:line="243" w:lineRule="exact"/>
              <w:rPr>
                <w:sz w:val="20"/>
                <w:szCs w:val="20"/>
                <w:color w:val="auto"/>
              </w:rPr>
            </w:pPr>
            <w:r>
              <w:rPr>
                <w:rFonts w:ascii="Arial" w:cs="Arial" w:eastAsia="Arial" w:hAnsi="Arial"/>
                <w:sz w:val="22"/>
                <w:szCs w:val="22"/>
                <w:color w:val="auto"/>
              </w:rPr>
              <w:t>Mark to market adjustments on derivatives related</w:t>
            </w:r>
          </w:p>
        </w:tc>
        <w:tc>
          <w:tcPr>
            <w:tcW w:w="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43"/>
        </w:trPr>
        <w:tc>
          <w:tcPr>
            <w:tcW w:w="6700" w:type="dxa"/>
            <w:vAlign w:val="bottom"/>
          </w:tcPr>
          <w:p>
            <w:pPr>
              <w:ind w:left="280"/>
              <w:spacing w:after="0" w:line="243" w:lineRule="exact"/>
              <w:rPr>
                <w:sz w:val="20"/>
                <w:szCs w:val="20"/>
                <w:color w:val="auto"/>
              </w:rPr>
            </w:pPr>
            <w:r>
              <w:rPr>
                <w:rFonts w:ascii="Arial" w:cs="Arial" w:eastAsia="Arial" w:hAnsi="Arial"/>
                <w:sz w:val="22"/>
                <w:szCs w:val="22"/>
                <w:color w:val="auto"/>
              </w:rPr>
              <w:t>to trading securities</w:t>
            </w:r>
          </w:p>
        </w:tc>
        <w:tc>
          <w:tcPr>
            <w:tcW w:w="620" w:type="dxa"/>
            <w:vAlign w:val="bottom"/>
          </w:tcPr>
          <w:p>
            <w:pPr>
              <w:jc w:val="right"/>
              <w:spacing w:after="0" w:line="243" w:lineRule="exact"/>
              <w:rPr>
                <w:sz w:val="20"/>
                <w:szCs w:val="20"/>
                <w:color w:val="auto"/>
              </w:rPr>
            </w:pPr>
            <w:r>
              <w:rPr>
                <w:rFonts w:ascii="Arial" w:cs="Arial" w:eastAsia="Arial" w:hAnsi="Arial"/>
                <w:sz w:val="22"/>
                <w:szCs w:val="22"/>
                <w:color w:val="auto"/>
              </w:rPr>
              <w:t>200</w:t>
            </w:r>
          </w:p>
        </w:tc>
        <w:tc>
          <w:tcPr>
            <w:tcW w:w="300" w:type="dxa"/>
            <w:vAlign w:val="bottom"/>
          </w:tcPr>
          <w:p>
            <w:pPr>
              <w:spacing w:after="0"/>
              <w:rPr>
                <w:sz w:val="21"/>
                <w:szCs w:val="21"/>
                <w:color w:val="auto"/>
              </w:rPr>
            </w:pPr>
          </w:p>
        </w:tc>
        <w:tc>
          <w:tcPr>
            <w:tcW w:w="940" w:type="dxa"/>
            <w:vAlign w:val="bottom"/>
            <w:gridSpan w:val="2"/>
          </w:tcPr>
          <w:p>
            <w:pPr>
              <w:jc w:val="right"/>
              <w:ind w:right="240"/>
              <w:spacing w:after="0" w:line="243" w:lineRule="exact"/>
              <w:rPr>
                <w:sz w:val="20"/>
                <w:szCs w:val="20"/>
                <w:color w:val="auto"/>
              </w:rPr>
            </w:pPr>
            <w:r>
              <w:rPr>
                <w:rFonts w:ascii="Arial" w:cs="Arial" w:eastAsia="Arial" w:hAnsi="Arial"/>
                <w:sz w:val="22"/>
                <w:szCs w:val="22"/>
                <w:color w:val="auto"/>
              </w:rPr>
              <w:t>(296)</w:t>
            </w:r>
          </w:p>
        </w:tc>
        <w:tc>
          <w:tcPr>
            <w:tcW w:w="900" w:type="dxa"/>
            <w:vAlign w:val="bottom"/>
            <w:gridSpan w:val="2"/>
          </w:tcPr>
          <w:p>
            <w:pPr>
              <w:jc w:val="right"/>
              <w:ind w:right="300"/>
              <w:spacing w:after="0" w:line="243" w:lineRule="exact"/>
              <w:rPr>
                <w:sz w:val="20"/>
                <w:szCs w:val="20"/>
                <w:color w:val="auto"/>
              </w:rPr>
            </w:pPr>
            <w:r>
              <w:rPr>
                <w:rFonts w:ascii="Arial" w:cs="Arial" w:eastAsia="Arial" w:hAnsi="Arial"/>
                <w:sz w:val="22"/>
                <w:szCs w:val="22"/>
                <w:color w:val="auto"/>
              </w:rPr>
              <w:t>255</w:t>
            </w:r>
          </w:p>
        </w:tc>
        <w:tc>
          <w:tcPr>
            <w:tcW w:w="740" w:type="dxa"/>
            <w:vAlign w:val="bottom"/>
            <w:gridSpan w:val="2"/>
          </w:tcPr>
          <w:p>
            <w:pPr>
              <w:jc w:val="right"/>
              <w:ind w:right="60"/>
              <w:spacing w:after="0" w:line="243" w:lineRule="exact"/>
              <w:rPr>
                <w:sz w:val="20"/>
                <w:szCs w:val="20"/>
                <w:color w:val="auto"/>
              </w:rPr>
            </w:pPr>
            <w:r>
              <w:rPr>
                <w:rFonts w:ascii="Arial" w:cs="Arial" w:eastAsia="Arial" w:hAnsi="Arial"/>
                <w:sz w:val="22"/>
                <w:szCs w:val="22"/>
                <w:color w:val="auto"/>
              </w:rPr>
              <w:t>(306)</w:t>
            </w:r>
          </w:p>
        </w:tc>
      </w:tr>
      <w:tr>
        <w:trPr>
          <w:trHeight w:val="275"/>
        </w:trPr>
        <w:tc>
          <w:tcPr>
            <w:tcW w:w="6700" w:type="dxa"/>
            <w:vAlign w:val="bottom"/>
          </w:tcPr>
          <w:p>
            <w:pPr>
              <w:spacing w:after="0"/>
              <w:rPr>
                <w:sz w:val="20"/>
                <w:szCs w:val="20"/>
                <w:color w:val="auto"/>
              </w:rPr>
            </w:pPr>
            <w:r>
              <w:rPr>
                <w:rFonts w:ascii="Arial" w:cs="Arial" w:eastAsia="Arial" w:hAnsi="Arial"/>
                <w:sz w:val="22"/>
                <w:szCs w:val="22"/>
                <w:color w:val="auto"/>
              </w:rPr>
              <w:t>Mark to market adjustments on derivatives and hedged items</w:t>
            </w:r>
          </w:p>
        </w:tc>
        <w:tc>
          <w:tcPr>
            <w:tcW w:w="920" w:type="dxa"/>
            <w:vAlign w:val="bottom"/>
            <w:gridSpan w:val="2"/>
          </w:tcPr>
          <w:p>
            <w:pPr>
              <w:jc w:val="right"/>
              <w:ind w:right="240"/>
              <w:spacing w:after="0"/>
              <w:rPr>
                <w:sz w:val="20"/>
                <w:szCs w:val="20"/>
                <w:color w:val="auto"/>
              </w:rPr>
            </w:pPr>
            <w:r>
              <w:rPr>
                <w:rFonts w:ascii="Arial" w:cs="Arial" w:eastAsia="Arial" w:hAnsi="Arial"/>
                <w:sz w:val="22"/>
                <w:szCs w:val="22"/>
                <w:color w:val="auto"/>
              </w:rPr>
              <w:t>(18)</w:t>
            </w:r>
          </w:p>
        </w:tc>
        <w:tc>
          <w:tcPr>
            <w:tcW w:w="940" w:type="dxa"/>
            <w:vAlign w:val="bottom"/>
            <w:gridSpan w:val="2"/>
          </w:tcPr>
          <w:p>
            <w:pPr>
              <w:jc w:val="right"/>
              <w:ind w:right="240"/>
              <w:spacing w:after="0"/>
              <w:rPr>
                <w:sz w:val="20"/>
                <w:szCs w:val="20"/>
                <w:color w:val="auto"/>
              </w:rPr>
            </w:pPr>
            <w:r>
              <w:rPr>
                <w:rFonts w:ascii="Arial" w:cs="Arial" w:eastAsia="Arial" w:hAnsi="Arial"/>
                <w:sz w:val="22"/>
                <w:szCs w:val="22"/>
                <w:color w:val="auto"/>
              </w:rPr>
              <w:t>(52)</w:t>
            </w:r>
          </w:p>
        </w:tc>
        <w:tc>
          <w:tcPr>
            <w:tcW w:w="900" w:type="dxa"/>
            <w:vAlign w:val="bottom"/>
            <w:gridSpan w:val="2"/>
          </w:tcPr>
          <w:p>
            <w:pPr>
              <w:jc w:val="right"/>
              <w:ind w:right="300"/>
              <w:spacing w:after="0"/>
              <w:rPr>
                <w:sz w:val="20"/>
                <w:szCs w:val="20"/>
                <w:color w:val="auto"/>
              </w:rPr>
            </w:pPr>
            <w:r>
              <w:rPr>
                <w:rFonts w:ascii="Arial" w:cs="Arial" w:eastAsia="Arial" w:hAnsi="Arial"/>
                <w:sz w:val="22"/>
                <w:szCs w:val="22"/>
                <w:color w:val="auto"/>
              </w:rPr>
              <w:t>73</w:t>
            </w:r>
          </w:p>
        </w:tc>
        <w:tc>
          <w:tcPr>
            <w:tcW w:w="740" w:type="dxa"/>
            <w:vAlign w:val="bottom"/>
            <w:gridSpan w:val="2"/>
          </w:tcPr>
          <w:p>
            <w:pPr>
              <w:jc w:val="right"/>
              <w:ind w:right="60"/>
              <w:spacing w:after="0"/>
              <w:rPr>
                <w:sz w:val="20"/>
                <w:szCs w:val="20"/>
                <w:color w:val="auto"/>
              </w:rPr>
            </w:pPr>
            <w:r>
              <w:rPr>
                <w:rFonts w:ascii="Arial" w:cs="Arial" w:eastAsia="Arial" w:hAnsi="Arial"/>
                <w:sz w:val="22"/>
                <w:szCs w:val="22"/>
                <w:color w:val="auto"/>
              </w:rPr>
              <w:t>(251)</w:t>
            </w:r>
          </w:p>
        </w:tc>
      </w:tr>
      <w:tr>
        <w:trPr>
          <w:trHeight w:val="98"/>
        </w:trPr>
        <w:tc>
          <w:tcPr>
            <w:tcW w:w="670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r>
      <w:tr>
        <w:trPr>
          <w:trHeight w:val="355"/>
        </w:trPr>
        <w:tc>
          <w:tcPr>
            <w:tcW w:w="6700" w:type="dxa"/>
            <w:vAlign w:val="bottom"/>
          </w:tcPr>
          <w:p>
            <w:pPr>
              <w:ind w:left="280"/>
              <w:spacing w:after="0"/>
              <w:rPr>
                <w:sz w:val="20"/>
                <w:szCs w:val="20"/>
                <w:color w:val="auto"/>
              </w:rPr>
            </w:pPr>
            <w:r>
              <w:rPr>
                <w:rFonts w:ascii="Arial" w:cs="Arial" w:eastAsia="Arial" w:hAnsi="Arial"/>
                <w:sz w:val="22"/>
                <w:szCs w:val="22"/>
                <w:color w:val="auto"/>
              </w:rPr>
              <w:t>Investment income (loss), net</w:t>
            </w:r>
          </w:p>
        </w:tc>
        <w:tc>
          <w:tcPr>
            <w:tcW w:w="620" w:type="dxa"/>
            <w:vAlign w:val="bottom"/>
          </w:tcPr>
          <w:p>
            <w:pPr>
              <w:jc w:val="right"/>
              <w:spacing w:after="0"/>
              <w:rPr>
                <w:sz w:val="20"/>
                <w:szCs w:val="20"/>
                <w:color w:val="auto"/>
              </w:rPr>
            </w:pPr>
            <w:r>
              <w:rPr>
                <w:rFonts w:ascii="Arial" w:cs="Arial" w:eastAsia="Arial" w:hAnsi="Arial"/>
                <w:sz w:val="22"/>
                <w:szCs w:val="22"/>
                <w:color w:val="auto"/>
              </w:rPr>
              <w:t>$151</w:t>
            </w:r>
          </w:p>
        </w:tc>
        <w:tc>
          <w:tcPr>
            <w:tcW w:w="300" w:type="dxa"/>
            <w:vAlign w:val="bottom"/>
          </w:tcPr>
          <w:p>
            <w:pPr>
              <w:spacing w:after="0"/>
              <w:rPr>
                <w:sz w:val="24"/>
                <w:szCs w:val="24"/>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22"/>
                <w:szCs w:val="22"/>
                <w:color w:val="auto"/>
              </w:rPr>
              <w:t>($6)</w:t>
            </w:r>
          </w:p>
        </w:tc>
        <w:tc>
          <w:tcPr>
            <w:tcW w:w="900" w:type="dxa"/>
            <w:vAlign w:val="bottom"/>
            <w:gridSpan w:val="2"/>
          </w:tcPr>
          <w:p>
            <w:pPr>
              <w:jc w:val="right"/>
              <w:ind w:right="300"/>
              <w:spacing w:after="0"/>
              <w:rPr>
                <w:sz w:val="20"/>
                <w:szCs w:val="20"/>
                <w:color w:val="auto"/>
              </w:rPr>
            </w:pPr>
            <w:r>
              <w:rPr>
                <w:rFonts w:ascii="Arial" w:cs="Arial" w:eastAsia="Arial" w:hAnsi="Arial"/>
                <w:sz w:val="22"/>
                <w:szCs w:val="22"/>
                <w:color w:val="auto"/>
              </w:rPr>
              <w:t>$142</w:t>
            </w:r>
          </w:p>
        </w:tc>
        <w:tc>
          <w:tcPr>
            <w:tcW w:w="740" w:type="dxa"/>
            <w:vAlign w:val="bottom"/>
            <w:gridSpan w:val="2"/>
          </w:tcPr>
          <w:p>
            <w:pPr>
              <w:jc w:val="right"/>
              <w:ind w:right="60"/>
              <w:spacing w:after="0"/>
              <w:rPr>
                <w:sz w:val="20"/>
                <w:szCs w:val="20"/>
                <w:color w:val="auto"/>
              </w:rPr>
            </w:pPr>
            <w:r>
              <w:rPr>
                <w:rFonts w:ascii="Arial" w:cs="Arial" w:eastAsia="Arial" w:hAnsi="Arial"/>
                <w:sz w:val="22"/>
                <w:szCs w:val="22"/>
                <w:color w:val="auto"/>
              </w:rPr>
              <w:t>($229)</w:t>
            </w:r>
          </w:p>
        </w:tc>
      </w:tr>
      <w:tr>
        <w:trPr>
          <w:trHeight w:val="108"/>
        </w:trPr>
        <w:tc>
          <w:tcPr>
            <w:tcW w:w="6700" w:type="dxa"/>
            <w:vAlign w:val="bottom"/>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4634230</wp:posOffset>
            </wp:positionH>
            <wp:positionV relativeFrom="paragraph">
              <wp:posOffset>-14605</wp:posOffset>
            </wp:positionV>
            <wp:extent cx="127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-14605</wp:posOffset>
            </wp:positionV>
            <wp:extent cx="127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-14605</wp:posOffset>
            </wp:positionV>
            <wp:extent cx="127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-14605</wp:posOffset>
            </wp:positionV>
            <wp:extent cx="127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-14605</wp:posOffset>
            </wp:positionV>
            <wp:extent cx="1270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-14605</wp:posOffset>
            </wp:positionV>
            <wp:extent cx="1270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-14605</wp:posOffset>
            </wp:positionV>
            <wp:extent cx="127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-14605</wp:posOffset>
            </wp:positionV>
            <wp:extent cx="127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340"/>
          </w:cols>
          <w:pgMar w:left="240" w:top="108" w:right="319" w:bottom="0" w:gutter="0" w:footer="0" w:header="0"/>
        </w:sectPr>
      </w:pPr>
    </w:p>
    <w:bookmarkStart w:id="9" w:name="page10"/>
    <w:bookmarkEnd w:id="9"/>
    <w:p>
      <w:pPr>
        <w:jc w:val="center"/>
        <w:ind w:right="-19"/>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6376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COMCAST CORPORATION AND SUBSIDIARIES</w:t>
      </w:r>
    </w:p>
    <w:p>
      <w:pPr>
        <w:jc w:val="center"/>
        <w:ind w:right="40"/>
        <w:spacing w:after="0" w:line="238" w:lineRule="auto"/>
        <w:rPr>
          <w:sz w:val="20"/>
          <w:szCs w:val="20"/>
          <w:color w:val="auto"/>
        </w:rPr>
      </w:pPr>
      <w:r>
        <w:rPr>
          <w:rFonts w:ascii="Arial" w:cs="Arial" w:eastAsia="Arial" w:hAnsi="Arial"/>
          <w:sz w:val="22"/>
          <w:szCs w:val="22"/>
          <w:color w:val="auto"/>
        </w:rPr>
        <w:t>FORM 10-Q</w:t>
      </w:r>
    </w:p>
    <w:p>
      <w:pPr>
        <w:jc w:val="center"/>
        <w:ind w:right="40"/>
        <w:spacing w:after="0" w:line="230" w:lineRule="auto"/>
        <w:rPr>
          <w:sz w:val="20"/>
          <w:szCs w:val="20"/>
          <w:color w:val="auto"/>
        </w:rPr>
      </w:pPr>
      <w:r>
        <w:rPr>
          <w:rFonts w:ascii="Arial" w:cs="Arial" w:eastAsia="Arial" w:hAnsi="Arial"/>
          <w:sz w:val="22"/>
          <w:szCs w:val="22"/>
          <w:color w:val="auto"/>
        </w:rPr>
        <w:t>QUARTER ENDED JUNE 30, 2004</w:t>
      </w:r>
    </w:p>
    <w:p>
      <w:pPr>
        <w:jc w:val="center"/>
        <w:ind w:right="40"/>
        <w:spacing w:after="0" w:line="231" w:lineRule="auto"/>
        <w:rPr>
          <w:sz w:val="20"/>
          <w:szCs w:val="20"/>
          <w:color w:val="auto"/>
        </w:rPr>
      </w:pPr>
      <w:r>
        <w:rPr>
          <w:rFonts w:ascii="Arial" w:cs="Arial" w:eastAsia="Arial" w:hAnsi="Arial"/>
          <w:sz w:val="22"/>
          <w:szCs w:val="22"/>
          <w:color w:val="auto"/>
        </w:rPr>
        <w:t>NOTES TO CONDENSED CONSOLIDATED FINANCIAL STATEMENTS - CONTINUED</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7100" w:type="dxa"/>
            <w:vAlign w:val="bottom"/>
          </w:tcPr>
          <w:p>
            <w:pPr>
              <w:spacing w:after="0"/>
              <w:rPr>
                <w:sz w:val="20"/>
                <w:szCs w:val="20"/>
                <w:color w:val="auto"/>
              </w:rPr>
            </w:pPr>
            <w:r>
              <w:rPr>
                <w:rFonts w:ascii="Arial" w:cs="Arial" w:eastAsia="Arial" w:hAnsi="Arial"/>
                <w:sz w:val="22"/>
                <w:szCs w:val="22"/>
                <w:color w:val="auto"/>
              </w:rPr>
              <w:t>6.   LONG-TERM DEBT</w:t>
            </w:r>
          </w:p>
        </w:tc>
        <w:tc>
          <w:tcPr>
            <w:tcW w:w="12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455"/>
        </w:trPr>
        <w:tc>
          <w:tcPr>
            <w:tcW w:w="7100" w:type="dxa"/>
            <w:vAlign w:val="bottom"/>
          </w:tcPr>
          <w:p>
            <w:pPr>
              <w:spacing w:after="0"/>
              <w:rPr>
                <w:sz w:val="24"/>
                <w:szCs w:val="24"/>
                <w:color w:val="auto"/>
              </w:rPr>
            </w:pPr>
          </w:p>
        </w:tc>
        <w:tc>
          <w:tcPr>
            <w:tcW w:w="1220" w:type="dxa"/>
            <w:vAlign w:val="bottom"/>
          </w:tcPr>
          <w:p>
            <w:pPr>
              <w:jc w:val="right"/>
              <w:ind w:right="172"/>
              <w:spacing w:after="0"/>
              <w:rPr>
                <w:sz w:val="20"/>
                <w:szCs w:val="20"/>
                <w:color w:val="auto"/>
              </w:rPr>
            </w:pPr>
            <w:r>
              <w:rPr>
                <w:rFonts w:ascii="Arial" w:cs="Arial" w:eastAsia="Arial" w:hAnsi="Arial"/>
                <w:sz w:val="22"/>
                <w:szCs w:val="22"/>
                <w:color w:val="auto"/>
              </w:rPr>
              <w:t>June 30,</w:t>
            </w:r>
          </w:p>
        </w:tc>
        <w:tc>
          <w:tcPr>
            <w:tcW w:w="52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22"/>
                <w:szCs w:val="22"/>
                <w:color w:val="auto"/>
                <w:w w:val="86"/>
              </w:rPr>
              <w:t>December 31,</w:t>
            </w:r>
          </w:p>
        </w:tc>
      </w:tr>
      <w:tr>
        <w:trPr>
          <w:trHeight w:val="275"/>
        </w:trPr>
        <w:tc>
          <w:tcPr>
            <w:tcW w:w="7100" w:type="dxa"/>
            <w:vAlign w:val="bottom"/>
          </w:tcPr>
          <w:p>
            <w:pPr>
              <w:spacing w:after="0"/>
              <w:rPr>
                <w:sz w:val="23"/>
                <w:szCs w:val="23"/>
                <w:color w:val="auto"/>
              </w:rPr>
            </w:pPr>
          </w:p>
        </w:tc>
        <w:tc>
          <w:tcPr>
            <w:tcW w:w="1220" w:type="dxa"/>
            <w:vAlign w:val="bottom"/>
          </w:tcPr>
          <w:p>
            <w:pPr>
              <w:jc w:val="right"/>
              <w:ind w:right="292"/>
              <w:spacing w:after="0"/>
              <w:rPr>
                <w:sz w:val="20"/>
                <w:szCs w:val="20"/>
                <w:color w:val="auto"/>
              </w:rPr>
            </w:pPr>
            <w:r>
              <w:rPr>
                <w:rFonts w:ascii="Arial" w:cs="Arial" w:eastAsia="Arial" w:hAnsi="Arial"/>
                <w:sz w:val="22"/>
                <w:szCs w:val="22"/>
                <w:color w:val="auto"/>
              </w:rPr>
              <w:t>2004</w:t>
            </w:r>
          </w:p>
        </w:tc>
        <w:tc>
          <w:tcPr>
            <w:tcW w:w="1740" w:type="dxa"/>
            <w:vAlign w:val="bottom"/>
            <w:gridSpan w:val="2"/>
          </w:tcPr>
          <w:p>
            <w:pPr>
              <w:jc w:val="right"/>
              <w:ind w:right="272"/>
              <w:spacing w:after="0"/>
              <w:rPr>
                <w:sz w:val="20"/>
                <w:szCs w:val="20"/>
                <w:color w:val="auto"/>
              </w:rPr>
            </w:pPr>
            <w:r>
              <w:rPr>
                <w:rFonts w:ascii="Arial" w:cs="Arial" w:eastAsia="Arial" w:hAnsi="Arial"/>
                <w:sz w:val="22"/>
                <w:szCs w:val="22"/>
                <w:color w:val="auto"/>
              </w:rPr>
              <w:t>2003</w:t>
            </w:r>
          </w:p>
        </w:tc>
      </w:tr>
      <w:tr>
        <w:trPr>
          <w:trHeight w:val="98"/>
        </w:trPr>
        <w:tc>
          <w:tcPr>
            <w:tcW w:w="7100" w:type="dxa"/>
            <w:vAlign w:val="bottom"/>
          </w:tcPr>
          <w:p>
            <w:pPr>
              <w:spacing w:after="0"/>
              <w:rPr>
                <w:sz w:val="8"/>
                <w:szCs w:val="8"/>
                <w:color w:val="auto"/>
              </w:rPr>
            </w:pPr>
          </w:p>
        </w:tc>
        <w:tc>
          <w:tcPr>
            <w:tcW w:w="122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1220" w:type="dxa"/>
            <w:vAlign w:val="bottom"/>
            <w:tcBorders>
              <w:bottom w:val="single" w:sz="8" w:color="808080"/>
            </w:tcBorders>
          </w:tcPr>
          <w:p>
            <w:pPr>
              <w:spacing w:after="0"/>
              <w:rPr>
                <w:sz w:val="8"/>
                <w:szCs w:val="8"/>
                <w:color w:val="auto"/>
              </w:rPr>
            </w:pPr>
          </w:p>
        </w:tc>
      </w:tr>
      <w:tr>
        <w:trPr>
          <w:trHeight w:val="323"/>
        </w:trPr>
        <w:tc>
          <w:tcPr>
            <w:tcW w:w="7100" w:type="dxa"/>
            <w:vAlign w:val="bottom"/>
          </w:tcPr>
          <w:p>
            <w:pPr>
              <w:spacing w:after="0"/>
              <w:rPr>
                <w:sz w:val="24"/>
                <w:szCs w:val="24"/>
                <w:color w:val="auto"/>
              </w:rPr>
            </w:pPr>
          </w:p>
        </w:tc>
        <w:tc>
          <w:tcPr>
            <w:tcW w:w="2960" w:type="dxa"/>
            <w:vAlign w:val="bottom"/>
            <w:gridSpan w:val="3"/>
          </w:tcPr>
          <w:p>
            <w:pPr>
              <w:jc w:val="right"/>
              <w:ind w:right="832"/>
              <w:spacing w:after="0"/>
              <w:rPr>
                <w:sz w:val="20"/>
                <w:szCs w:val="20"/>
                <w:color w:val="auto"/>
              </w:rPr>
            </w:pPr>
            <w:r>
              <w:rPr>
                <w:rFonts w:ascii="Arial" w:cs="Arial" w:eastAsia="Arial" w:hAnsi="Arial"/>
                <w:sz w:val="22"/>
                <w:szCs w:val="22"/>
                <w:color w:val="auto"/>
              </w:rPr>
              <w:t>(in millions)</w:t>
            </w:r>
          </w:p>
        </w:tc>
      </w:tr>
      <w:tr>
        <w:trPr>
          <w:trHeight w:val="243"/>
        </w:trPr>
        <w:tc>
          <w:tcPr>
            <w:tcW w:w="7100" w:type="dxa"/>
            <w:vAlign w:val="bottom"/>
          </w:tcPr>
          <w:p>
            <w:pPr>
              <w:spacing w:after="0" w:line="243" w:lineRule="exact"/>
              <w:rPr>
                <w:sz w:val="20"/>
                <w:szCs w:val="20"/>
                <w:color w:val="auto"/>
              </w:rPr>
            </w:pPr>
            <w:r>
              <w:rPr>
                <w:rFonts w:ascii="Arial" w:cs="Arial" w:eastAsia="Arial" w:hAnsi="Arial"/>
                <w:sz w:val="22"/>
                <w:szCs w:val="22"/>
                <w:color w:val="auto"/>
              </w:rPr>
              <w:t>Notes exchangeable into common stock</w:t>
            </w:r>
          </w:p>
        </w:tc>
        <w:tc>
          <w:tcPr>
            <w:tcW w:w="1220" w:type="dxa"/>
            <w:vAlign w:val="bottom"/>
          </w:tcPr>
          <w:p>
            <w:pPr>
              <w:jc w:val="right"/>
              <w:spacing w:after="0" w:line="243" w:lineRule="exact"/>
              <w:rPr>
                <w:sz w:val="20"/>
                <w:szCs w:val="20"/>
                <w:color w:val="auto"/>
              </w:rPr>
            </w:pPr>
            <w:r>
              <w:rPr>
                <w:rFonts w:ascii="Arial" w:cs="Arial" w:eastAsia="Arial" w:hAnsi="Arial"/>
                <w:sz w:val="22"/>
                <w:szCs w:val="22"/>
                <w:color w:val="auto"/>
              </w:rPr>
              <w:t>$3,360</w:t>
            </w:r>
          </w:p>
        </w:tc>
        <w:tc>
          <w:tcPr>
            <w:tcW w:w="174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$4,318</w:t>
            </w:r>
          </w:p>
        </w:tc>
      </w:tr>
      <w:tr>
        <w:trPr>
          <w:trHeight w:val="243"/>
        </w:trPr>
        <w:tc>
          <w:tcPr>
            <w:tcW w:w="7100" w:type="dxa"/>
            <w:vAlign w:val="bottom"/>
          </w:tcPr>
          <w:p>
            <w:pPr>
              <w:spacing w:after="0" w:line="243" w:lineRule="exact"/>
              <w:rPr>
                <w:sz w:val="20"/>
                <w:szCs w:val="20"/>
                <w:color w:val="auto"/>
              </w:rPr>
            </w:pPr>
            <w:r>
              <w:rPr>
                <w:rFonts w:ascii="Arial" w:cs="Arial" w:eastAsia="Arial" w:hAnsi="Arial"/>
                <w:sz w:val="22"/>
                <w:szCs w:val="22"/>
                <w:color w:val="auto"/>
              </w:rPr>
              <w:t>Bank and public debt</w:t>
            </w:r>
          </w:p>
        </w:tc>
        <w:tc>
          <w:tcPr>
            <w:tcW w:w="1220" w:type="dxa"/>
            <w:vAlign w:val="bottom"/>
          </w:tcPr>
          <w:p>
            <w:pPr>
              <w:jc w:val="right"/>
              <w:spacing w:after="0" w:line="243" w:lineRule="exact"/>
              <w:rPr>
                <w:sz w:val="20"/>
                <w:szCs w:val="20"/>
                <w:color w:val="auto"/>
              </w:rPr>
            </w:pPr>
            <w:r>
              <w:rPr>
                <w:rFonts w:ascii="Arial" w:cs="Arial" w:eastAsia="Arial" w:hAnsi="Arial"/>
                <w:sz w:val="22"/>
                <w:szCs w:val="22"/>
                <w:color w:val="auto"/>
              </w:rPr>
              <w:t>21,959</w:t>
            </w:r>
          </w:p>
        </w:tc>
        <w:tc>
          <w:tcPr>
            <w:tcW w:w="174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22,193</w:t>
            </w:r>
          </w:p>
        </w:tc>
      </w:tr>
      <w:tr>
        <w:trPr>
          <w:trHeight w:val="275"/>
        </w:trPr>
        <w:tc>
          <w:tcPr>
            <w:tcW w:w="7100" w:type="dxa"/>
            <w:vAlign w:val="bottom"/>
          </w:tcPr>
          <w:p>
            <w:pPr>
              <w:spacing w:after="0"/>
              <w:rPr>
                <w:sz w:val="20"/>
                <w:szCs w:val="20"/>
                <w:color w:val="auto"/>
              </w:rPr>
            </w:pPr>
            <w:r>
              <w:rPr>
                <w:rFonts w:ascii="Arial" w:cs="Arial" w:eastAsia="Arial" w:hAnsi="Arial"/>
                <w:sz w:val="22"/>
                <w:szCs w:val="22"/>
                <w:color w:val="auto"/>
              </w:rPr>
              <w:t>Other, including capital lease obligations</w:t>
            </w:r>
          </w:p>
        </w:tc>
        <w:tc>
          <w:tcPr>
            <w:tcW w:w="1220" w:type="dxa"/>
            <w:vAlign w:val="bottom"/>
          </w:tcPr>
          <w:p>
            <w:pPr>
              <w:jc w:val="right"/>
              <w:spacing w:after="0"/>
              <w:rPr>
                <w:sz w:val="20"/>
                <w:szCs w:val="20"/>
                <w:color w:val="auto"/>
              </w:rPr>
            </w:pPr>
            <w:r>
              <w:rPr>
                <w:rFonts w:ascii="Arial" w:cs="Arial" w:eastAsia="Arial" w:hAnsi="Arial"/>
                <w:sz w:val="22"/>
                <w:szCs w:val="22"/>
                <w:color w:val="auto"/>
              </w:rPr>
              <w:t>458</w:t>
            </w:r>
          </w:p>
        </w:tc>
        <w:tc>
          <w:tcPr>
            <w:tcW w:w="1740" w:type="dxa"/>
            <w:vAlign w:val="bottom"/>
            <w:gridSpan w:val="2"/>
          </w:tcPr>
          <w:p>
            <w:pPr>
              <w:jc w:val="right"/>
              <w:spacing w:after="0"/>
              <w:rPr>
                <w:sz w:val="20"/>
                <w:szCs w:val="20"/>
                <w:color w:val="auto"/>
              </w:rPr>
            </w:pPr>
            <w:r>
              <w:rPr>
                <w:rFonts w:ascii="Arial" w:cs="Arial" w:eastAsia="Arial" w:hAnsi="Arial"/>
                <w:sz w:val="22"/>
                <w:szCs w:val="22"/>
                <w:color w:val="auto"/>
              </w:rPr>
              <w:t>485</w:t>
            </w:r>
          </w:p>
        </w:tc>
      </w:tr>
      <w:tr>
        <w:trPr>
          <w:trHeight w:val="98"/>
        </w:trPr>
        <w:tc>
          <w:tcPr>
            <w:tcW w:w="7100" w:type="dxa"/>
            <w:vAlign w:val="bottom"/>
          </w:tcPr>
          <w:p>
            <w:pPr>
              <w:spacing w:after="0"/>
              <w:rPr>
                <w:sz w:val="8"/>
                <w:szCs w:val="8"/>
                <w:color w:val="auto"/>
              </w:rPr>
            </w:pPr>
          </w:p>
        </w:tc>
        <w:tc>
          <w:tcPr>
            <w:tcW w:w="122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1220" w:type="dxa"/>
            <w:vAlign w:val="bottom"/>
            <w:tcBorders>
              <w:bottom w:val="single" w:sz="8" w:color="808080"/>
            </w:tcBorders>
          </w:tcPr>
          <w:p>
            <w:pPr>
              <w:spacing w:after="0"/>
              <w:rPr>
                <w:sz w:val="8"/>
                <w:szCs w:val="8"/>
                <w:color w:val="auto"/>
              </w:rPr>
            </w:pPr>
          </w:p>
        </w:tc>
      </w:tr>
      <w:tr>
        <w:trPr>
          <w:trHeight w:val="355"/>
        </w:trPr>
        <w:tc>
          <w:tcPr>
            <w:tcW w:w="7100" w:type="dxa"/>
            <w:vAlign w:val="bottom"/>
          </w:tcPr>
          <w:p>
            <w:pPr>
              <w:ind w:left="280"/>
              <w:spacing w:after="0"/>
              <w:rPr>
                <w:sz w:val="20"/>
                <w:szCs w:val="20"/>
                <w:color w:val="auto"/>
              </w:rPr>
            </w:pPr>
            <w:r>
              <w:rPr>
                <w:rFonts w:ascii="Arial" w:cs="Arial" w:eastAsia="Arial" w:hAnsi="Arial"/>
                <w:sz w:val="22"/>
                <w:szCs w:val="22"/>
                <w:color w:val="auto"/>
              </w:rPr>
              <w:t>Total debt</w:t>
            </w:r>
          </w:p>
        </w:tc>
        <w:tc>
          <w:tcPr>
            <w:tcW w:w="1220" w:type="dxa"/>
            <w:vAlign w:val="bottom"/>
          </w:tcPr>
          <w:p>
            <w:pPr>
              <w:jc w:val="right"/>
              <w:spacing w:after="0"/>
              <w:rPr>
                <w:sz w:val="20"/>
                <w:szCs w:val="20"/>
                <w:color w:val="auto"/>
              </w:rPr>
            </w:pPr>
            <w:r>
              <w:rPr>
                <w:rFonts w:ascii="Arial" w:cs="Arial" w:eastAsia="Arial" w:hAnsi="Arial"/>
                <w:sz w:val="22"/>
                <w:szCs w:val="22"/>
                <w:color w:val="auto"/>
              </w:rPr>
              <w:t>$25,777</w:t>
            </w:r>
          </w:p>
        </w:tc>
        <w:tc>
          <w:tcPr>
            <w:tcW w:w="1740" w:type="dxa"/>
            <w:vAlign w:val="bottom"/>
            <w:gridSpan w:val="2"/>
          </w:tcPr>
          <w:p>
            <w:pPr>
              <w:jc w:val="right"/>
              <w:spacing w:after="0"/>
              <w:rPr>
                <w:sz w:val="20"/>
                <w:szCs w:val="20"/>
                <w:color w:val="auto"/>
              </w:rPr>
            </w:pPr>
            <w:r>
              <w:rPr>
                <w:rFonts w:ascii="Arial" w:cs="Arial" w:eastAsia="Arial" w:hAnsi="Arial"/>
                <w:sz w:val="22"/>
                <w:szCs w:val="22"/>
                <w:color w:val="auto"/>
              </w:rPr>
              <w:t>$26,996</w:t>
            </w:r>
          </w:p>
        </w:tc>
      </w:tr>
      <w:tr>
        <w:trPr>
          <w:trHeight w:val="108"/>
        </w:trPr>
        <w:tc>
          <w:tcPr>
            <w:tcW w:w="7100" w:type="dxa"/>
            <w:vAlign w:val="bottom"/>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5277485</wp:posOffset>
            </wp:positionH>
            <wp:positionV relativeFrom="paragraph">
              <wp:posOffset>-14605</wp:posOffset>
            </wp:positionV>
            <wp:extent cx="127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-14605</wp:posOffset>
            </wp:positionV>
            <wp:extent cx="127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-14605</wp:posOffset>
            </wp:positionV>
            <wp:extent cx="127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-14605</wp:posOffset>
            </wp:positionV>
            <wp:extent cx="127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06" w:lineRule="exact"/>
        <w:rPr>
          <w:sz w:val="20"/>
          <w:szCs w:val="20"/>
          <w:color w:val="auto"/>
        </w:rPr>
      </w:pPr>
    </w:p>
    <w:p>
      <w:pPr>
        <w:ind w:left="460"/>
        <w:spacing w:after="0"/>
        <w:rPr>
          <w:sz w:val="20"/>
          <w:szCs w:val="20"/>
          <w:color w:val="auto"/>
        </w:rPr>
      </w:pPr>
      <w:r>
        <w:rPr>
          <w:rFonts w:ascii="Arial" w:cs="Arial" w:eastAsia="Arial" w:hAnsi="Arial"/>
          <w:sz w:val="22"/>
          <w:szCs w:val="22"/>
          <w:i w:val="1"/>
          <w:iCs w:val="1"/>
          <w:color w:val="auto"/>
        </w:rPr>
        <w:t>The Cross-Guarantee Structure</w:t>
      </w:r>
    </w:p>
    <w:p>
      <w:pPr>
        <w:spacing w:after="0" w:line="8" w:lineRule="exact"/>
        <w:rPr>
          <w:sz w:val="20"/>
          <w:szCs w:val="20"/>
          <w:color w:val="auto"/>
        </w:rPr>
      </w:pPr>
    </w:p>
    <w:p>
      <w:pPr>
        <w:ind w:left="460" w:right="80"/>
        <w:spacing w:after="0" w:line="233" w:lineRule="auto"/>
        <w:rPr>
          <w:sz w:val="20"/>
          <w:szCs w:val="20"/>
          <w:color w:val="auto"/>
        </w:rPr>
      </w:pPr>
      <w:r>
        <w:rPr>
          <w:rFonts w:ascii="Arial" w:cs="Arial" w:eastAsia="Arial" w:hAnsi="Arial"/>
          <w:sz w:val="22"/>
          <w:szCs w:val="22"/>
          <w:color w:val="auto"/>
        </w:rPr>
        <w:t>To simplify our capital structure, we and a number of our wholly-owned subsidiaries that hold substantially all of our cable communications assets have unconditionally guaranteed each other’s debt securities and indebtedness for borrowed money, including amounts outstanding under the new credit facility (see below). As of June 30, 2004, $20.675 billion of our debt was included in the cross-guarantee structure.</w:t>
      </w:r>
    </w:p>
    <w:p>
      <w:pPr>
        <w:spacing w:after="0" w:line="215" w:lineRule="exact"/>
        <w:rPr>
          <w:sz w:val="20"/>
          <w:szCs w:val="20"/>
          <w:color w:val="auto"/>
        </w:rPr>
      </w:pPr>
    </w:p>
    <w:p>
      <w:pPr>
        <w:ind w:left="460" w:right="400"/>
        <w:spacing w:after="0" w:line="251" w:lineRule="auto"/>
        <w:rPr>
          <w:sz w:val="20"/>
          <w:szCs w:val="20"/>
          <w:color w:val="auto"/>
        </w:rPr>
      </w:pPr>
      <w:r>
        <w:rPr>
          <w:rFonts w:ascii="Arial" w:cs="Arial" w:eastAsia="Arial" w:hAnsi="Arial"/>
          <w:sz w:val="22"/>
          <w:szCs w:val="22"/>
          <w:color w:val="auto"/>
        </w:rPr>
        <w:t>Comcast Holdings is not a guarantor and none of its debt is guaranteed under the cross-guarantee structure. As of June 30, 2004, $981 million of our debt was outstanding at Comcast Holdings.</w:t>
      </w:r>
    </w:p>
    <w:p>
      <w:pPr>
        <w:spacing w:after="0" w:line="200" w:lineRule="exact"/>
        <w:rPr>
          <w:sz w:val="20"/>
          <w:szCs w:val="20"/>
          <w:color w:val="auto"/>
        </w:rPr>
      </w:pPr>
    </w:p>
    <w:p>
      <w:pPr>
        <w:ind w:left="460"/>
        <w:spacing w:after="0"/>
        <w:rPr>
          <w:sz w:val="20"/>
          <w:szCs w:val="20"/>
          <w:color w:val="auto"/>
        </w:rPr>
      </w:pPr>
      <w:r>
        <w:rPr>
          <w:rFonts w:ascii="Arial" w:cs="Arial" w:eastAsia="Arial" w:hAnsi="Arial"/>
          <w:sz w:val="22"/>
          <w:szCs w:val="22"/>
          <w:i w:val="1"/>
          <w:iCs w:val="1"/>
          <w:color w:val="auto"/>
        </w:rPr>
        <w:t>New Credit Facility</w:t>
      </w:r>
    </w:p>
    <w:p>
      <w:pPr>
        <w:spacing w:after="0" w:line="8" w:lineRule="exact"/>
        <w:rPr>
          <w:sz w:val="20"/>
          <w:szCs w:val="20"/>
          <w:color w:val="auto"/>
        </w:rPr>
      </w:pPr>
    </w:p>
    <w:p>
      <w:pPr>
        <w:ind w:left="460" w:right="60"/>
        <w:spacing w:after="0" w:line="233" w:lineRule="auto"/>
        <w:rPr>
          <w:sz w:val="20"/>
          <w:szCs w:val="20"/>
          <w:color w:val="auto"/>
        </w:rPr>
      </w:pPr>
      <w:r>
        <w:rPr>
          <w:rFonts w:ascii="Arial" w:cs="Arial" w:eastAsia="Arial" w:hAnsi="Arial"/>
          <w:sz w:val="22"/>
          <w:szCs w:val="22"/>
          <w:color w:val="auto"/>
        </w:rPr>
        <w:t>In January 2004, we entered into a new $4.5 billion, five-year revolving bank credit facility. Interest rates on this facility vary based on an underlying base rate (“Base Rate”), chosen at our option, plus a borrowing margin. The Base Rate is either LIBOR or the greater of the prime rate or the Federal Funds rate plus 0.5%. The borrowing margin is based on our senior unsecured debt ratings. The interest rate for borrowings under this revolver is LIBOR plus 0.625% based on our current credit ratings.</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22"/>
          <w:szCs w:val="22"/>
          <w:i w:val="1"/>
          <w:iCs w:val="1"/>
          <w:color w:val="auto"/>
        </w:rPr>
        <w:t>Comcast Exchangeable Notes</w:t>
      </w:r>
    </w:p>
    <w:p>
      <w:pPr>
        <w:spacing w:after="0" w:line="8" w:lineRule="exact"/>
        <w:rPr>
          <w:sz w:val="20"/>
          <w:szCs w:val="20"/>
          <w:color w:val="auto"/>
        </w:rPr>
      </w:pPr>
    </w:p>
    <w:p>
      <w:pPr>
        <w:ind w:left="460"/>
        <w:spacing w:after="0" w:line="273" w:lineRule="auto"/>
        <w:rPr>
          <w:sz w:val="20"/>
          <w:szCs w:val="20"/>
          <w:color w:val="auto"/>
        </w:rPr>
      </w:pPr>
      <w:r>
        <w:rPr>
          <w:rFonts w:ascii="Arial" w:cs="Arial" w:eastAsia="Arial" w:hAnsi="Arial"/>
          <w:sz w:val="19"/>
          <w:szCs w:val="19"/>
          <w:color w:val="auto"/>
        </w:rPr>
        <w:t>In May and June 2004, we redeemed an aggregate of $533 million face amount of Comcast exchangeable notes due December 2004 and 2005 (covering approximately 14.9 million shares of our Class A Special common stock) by paying $400 million in cash and by exercising our options to put the underlying equity collar agreements to the counterparty. Interest expense for the three and six months ended June 30, 2004 includes $29 million related to the early redemption of these obligations. As of June 30, 2004, an aggregate of $441 million of Comcast exchangeable notes, which are due in November 2004 and 2005, remain outstanding. The remaining outstanding Comcast exchangeable notes are collateralized by approximately 16 million shares of our Class A Special common stock held in treasury.</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22"/>
          <w:szCs w:val="22"/>
          <w:i w:val="1"/>
          <w:iCs w:val="1"/>
          <w:color w:val="auto"/>
        </w:rPr>
        <w:t>Repayments of Senior Notes</w:t>
      </w:r>
    </w:p>
    <w:p>
      <w:pPr>
        <w:spacing w:after="0" w:line="8" w:lineRule="exact"/>
        <w:rPr>
          <w:sz w:val="20"/>
          <w:szCs w:val="20"/>
          <w:color w:val="auto"/>
        </w:rPr>
      </w:pPr>
    </w:p>
    <w:p>
      <w:pPr>
        <w:ind w:left="460" w:right="220"/>
        <w:spacing w:after="0" w:line="234" w:lineRule="auto"/>
        <w:rPr>
          <w:sz w:val="20"/>
          <w:szCs w:val="20"/>
          <w:color w:val="auto"/>
        </w:rPr>
      </w:pPr>
      <w:r>
        <w:rPr>
          <w:rFonts w:ascii="Arial" w:cs="Arial" w:eastAsia="Arial" w:hAnsi="Arial"/>
          <w:sz w:val="22"/>
          <w:szCs w:val="22"/>
          <w:color w:val="auto"/>
        </w:rPr>
        <w:t>On March 31, 2004, we repaid all $250 million principal amount of our 8.875% senior notes due 2007. On May 1, 2004, we repaid all $300 million principal amount of our 8.125% senior notes due 2004. The repayments were both financed with available cash.</w:t>
      </w:r>
    </w:p>
    <w:p>
      <w:pPr>
        <w:spacing w:after="0" w:line="214" w:lineRule="exact"/>
        <w:rPr>
          <w:sz w:val="20"/>
          <w:szCs w:val="20"/>
          <w:color w:val="auto"/>
        </w:rPr>
      </w:pPr>
    </w:p>
    <w:p>
      <w:pPr>
        <w:ind w:left="460"/>
        <w:spacing w:after="0"/>
        <w:rPr>
          <w:sz w:val="20"/>
          <w:szCs w:val="20"/>
          <w:color w:val="auto"/>
        </w:rPr>
      </w:pPr>
      <w:r>
        <w:rPr>
          <w:rFonts w:ascii="Arial" w:cs="Arial" w:eastAsia="Arial" w:hAnsi="Arial"/>
          <w:sz w:val="22"/>
          <w:szCs w:val="22"/>
          <w:i w:val="1"/>
          <w:iCs w:val="1"/>
          <w:color w:val="auto"/>
        </w:rPr>
        <w:t>Notes Exchangeable into Common Stock</w:t>
      </w:r>
    </w:p>
    <w:p>
      <w:pPr>
        <w:spacing w:after="0" w:line="8" w:lineRule="exact"/>
        <w:rPr>
          <w:sz w:val="20"/>
          <w:szCs w:val="20"/>
          <w:color w:val="auto"/>
        </w:rPr>
      </w:pPr>
    </w:p>
    <w:p>
      <w:pPr>
        <w:ind w:left="460" w:right="60"/>
        <w:spacing w:after="0" w:line="232" w:lineRule="auto"/>
        <w:rPr>
          <w:sz w:val="20"/>
          <w:szCs w:val="20"/>
          <w:color w:val="auto"/>
        </w:rPr>
      </w:pPr>
      <w:r>
        <w:rPr>
          <w:rFonts w:ascii="Arial" w:cs="Arial" w:eastAsia="Arial" w:hAnsi="Arial"/>
          <w:sz w:val="22"/>
          <w:szCs w:val="22"/>
          <w:color w:val="auto"/>
        </w:rPr>
        <w:t>We hold exchangeable notes (the “Exchangeable Notes”) that are mandatorily redeemable at our option into shares of Cablevision NY Group (“Cablevision”) Class A common stock or its cash equivalent, Microsoft Corporation (“Microsoft”) common stock or its cash equivalent, (i) Vodafone ADRs, (ii) the cash equivalent, or (iii) a combination of cash and Vodafone ADRs, and Comcast Class A Special common stock or its cash equivalent. The maturity value of the Exchangeable Notes varies based upon the fair market value of the security to which it is indexed. Our Exchangeable Notes are collateralized by our investments in Cablevision, Microsoft and Vodafone, respectively, and the Comcast Class A Special common stock held in treasury.</w:t>
      </w:r>
    </w:p>
    <w:p>
      <w:pPr>
        <w:spacing w:after="0" w:line="215" w:lineRule="exact"/>
        <w:rPr>
          <w:sz w:val="20"/>
          <w:szCs w:val="20"/>
          <w:color w:val="auto"/>
        </w:rPr>
      </w:pPr>
    </w:p>
    <w:p>
      <w:pPr>
        <w:ind w:left="460" w:right="100"/>
        <w:spacing w:after="0" w:line="274" w:lineRule="auto"/>
        <w:rPr>
          <w:sz w:val="20"/>
          <w:szCs w:val="20"/>
          <w:color w:val="auto"/>
        </w:rPr>
      </w:pPr>
      <w:r>
        <w:rPr>
          <w:rFonts w:ascii="Arial" w:cs="Arial" w:eastAsia="Arial" w:hAnsi="Arial"/>
          <w:sz w:val="21"/>
          <w:szCs w:val="21"/>
          <w:color w:val="auto"/>
        </w:rPr>
        <w:t>During the three and six months ended June 30, 2004, we settled an aggregate of $176 million and $352 million, respectively, of our obligations relating to our Vodafone exchangeable notes by delivering the underlying ADRs to</w:t>
      </w:r>
    </w:p>
    <w:p>
      <w:pPr>
        <w:sectPr>
          <w:pgSz w:w="11900" w:h="16838" w:orient="portrait"/>
          <w:cols w:equalWidth="0" w:num="1">
            <w:col w:w="11420"/>
          </w:cols>
          <w:pgMar w:left="240" w:top="118" w:right="239" w:bottom="257" w:gutter="0" w:footer="0" w:header="0"/>
        </w:sect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26376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118" w:right="239" w:bottom="257" w:gutter="0" w:footer="0" w:header="0"/>
          <w:type w:val="continuous"/>
        </w:sectPr>
      </w:pPr>
    </w:p>
    <w:bookmarkStart w:id="10" w:name="page11"/>
    <w:bookmarkEnd w:id="10"/>
    <w:p>
      <w:pPr>
        <w:jc w:val="center"/>
        <w:spacing w:after="0"/>
        <w:rPr>
          <w:sz w:val="20"/>
          <w:szCs w:val="20"/>
          <w:color w:val="auto"/>
        </w:rPr>
      </w:pPr>
      <w:r>
        <w:rPr>
          <w:rFonts w:ascii="Arial" w:cs="Arial" w:eastAsia="Arial" w:hAnsi="Arial"/>
          <w:sz w:val="22"/>
          <w:szCs w:val="22"/>
          <w:color w:val="auto"/>
        </w:rPr>
        <w:t>COMCAST CORPORATION AND SUBSIDIARIES</w:t>
      </w:r>
    </w:p>
    <w:p>
      <w:pPr>
        <w:jc w:val="center"/>
        <w:spacing w:after="0" w:line="238" w:lineRule="auto"/>
        <w:rPr>
          <w:sz w:val="20"/>
          <w:szCs w:val="20"/>
          <w:color w:val="auto"/>
        </w:rPr>
      </w:pPr>
      <w:r>
        <w:rPr>
          <w:rFonts w:ascii="Arial" w:cs="Arial" w:eastAsia="Arial" w:hAnsi="Arial"/>
          <w:sz w:val="22"/>
          <w:szCs w:val="22"/>
          <w:color w:val="auto"/>
        </w:rPr>
        <w:t>FORM 10-Q</w:t>
      </w:r>
    </w:p>
    <w:p>
      <w:pPr>
        <w:jc w:val="center"/>
        <w:spacing w:after="0" w:line="231" w:lineRule="auto"/>
        <w:rPr>
          <w:sz w:val="20"/>
          <w:szCs w:val="20"/>
          <w:color w:val="auto"/>
        </w:rPr>
      </w:pPr>
      <w:r>
        <w:rPr>
          <w:rFonts w:ascii="Arial" w:cs="Arial" w:eastAsia="Arial" w:hAnsi="Arial"/>
          <w:sz w:val="22"/>
          <w:szCs w:val="22"/>
          <w:color w:val="auto"/>
        </w:rPr>
        <w:t>QUARTER ENDED JUNE 30, 2004</w:t>
      </w:r>
    </w:p>
    <w:p>
      <w:pPr>
        <w:jc w:val="center"/>
        <w:spacing w:after="0" w:line="231" w:lineRule="auto"/>
        <w:rPr>
          <w:sz w:val="20"/>
          <w:szCs w:val="20"/>
          <w:color w:val="auto"/>
        </w:rPr>
      </w:pPr>
      <w:r>
        <w:rPr>
          <w:rFonts w:ascii="Arial" w:cs="Arial" w:eastAsia="Arial" w:hAnsi="Arial"/>
          <w:sz w:val="22"/>
          <w:szCs w:val="22"/>
          <w:color w:val="auto"/>
        </w:rPr>
        <w:t>NOTES TO CONDENSED CONSOLIDATED FINANCIAL STATEMENTS - CONTINUED</w:t>
      </w:r>
    </w:p>
    <w:p>
      <w:pPr>
        <w:jc w:val="center"/>
        <w:ind w:right="-39"/>
        <w:spacing w:after="0"/>
        <w:rPr>
          <w:sz w:val="20"/>
          <w:szCs w:val="20"/>
          <w:color w:val="auto"/>
        </w:rPr>
      </w:pPr>
      <w:r>
        <w:rPr>
          <w:rFonts w:ascii="Arial" w:cs="Arial" w:eastAsia="Arial" w:hAnsi="Arial"/>
          <w:sz w:val="22"/>
          <w:szCs w:val="22"/>
          <w:color w:val="auto"/>
        </w:rPr>
        <w:t>(Unaudited)</w:t>
      </w:r>
    </w:p>
    <w:p>
      <w:pPr>
        <w:spacing w:after="0" w:line="188" w:lineRule="exact"/>
        <w:rPr>
          <w:sz w:val="20"/>
          <w:szCs w:val="20"/>
          <w:color w:val="auto"/>
        </w:rPr>
      </w:pPr>
    </w:p>
    <w:p>
      <w:pPr>
        <w:jc w:val="both"/>
        <w:ind w:left="460" w:right="100"/>
        <w:spacing w:after="0"/>
        <w:rPr>
          <w:sz w:val="20"/>
          <w:szCs w:val="20"/>
          <w:color w:val="auto"/>
        </w:rPr>
      </w:pPr>
      <w:r>
        <w:rPr>
          <w:rFonts w:ascii="Arial" w:cs="Arial" w:eastAsia="Arial" w:hAnsi="Arial"/>
          <w:sz w:val="22"/>
          <w:szCs w:val="22"/>
          <w:color w:val="auto"/>
        </w:rPr>
        <w:t>the counterparty upon maturity of the instruments, and the equity collar agreements related to the underlying ADRs expired. The Vodafone transactions represented non-cash investing and financing activities and had no effect on our statement of cash flows due to their non-cash nature.</w:t>
      </w:r>
    </w:p>
    <w:p>
      <w:pPr>
        <w:spacing w:after="0" w:line="213" w:lineRule="exact"/>
        <w:rPr>
          <w:sz w:val="20"/>
          <w:szCs w:val="20"/>
          <w:color w:val="auto"/>
        </w:rPr>
      </w:pPr>
    </w:p>
    <w:p>
      <w:pPr>
        <w:ind w:left="460" w:right="840"/>
        <w:spacing w:after="0" w:line="251" w:lineRule="auto"/>
        <w:rPr>
          <w:rFonts w:ascii="Arial" w:cs="Arial" w:eastAsia="Arial" w:hAnsi="Arial"/>
          <w:sz w:val="22"/>
          <w:szCs w:val="22"/>
          <w:color w:val="auto"/>
        </w:rPr>
      </w:pPr>
      <w:r>
        <w:rPr>
          <w:rFonts w:ascii="Arial" w:cs="Arial" w:eastAsia="Arial" w:hAnsi="Arial"/>
          <w:sz w:val="22"/>
          <w:szCs w:val="22"/>
          <w:color w:val="auto"/>
        </w:rPr>
        <w:t xml:space="preserve">As of June 30, 2004, the securities we hold collateralizing the Exchangeable Notes were sufficient to satisfy the debt obligations associated with the outstanding Exchangeable Notes (see </w:t>
      </w:r>
      <w:hyperlink w:anchor="page8">
        <w:r>
          <w:rPr>
            <w:rFonts w:ascii="Arial" w:cs="Arial" w:eastAsia="Arial" w:hAnsi="Arial"/>
            <w:sz w:val="22"/>
            <w:szCs w:val="22"/>
            <w:u w:val="single" w:color="auto"/>
            <w:color w:val="0000EE"/>
          </w:rPr>
          <w:t>Notes 5</w:t>
        </w:r>
        <w:r>
          <w:rPr>
            <w:rFonts w:ascii="Arial" w:cs="Arial" w:eastAsia="Arial" w:hAnsi="Arial"/>
            <w:sz w:val="22"/>
            <w:szCs w:val="22"/>
            <w:u w:val="single" w:color="auto"/>
            <w:color w:val="auto"/>
          </w:rPr>
          <w:t xml:space="preserve"> </w:t>
        </w:r>
      </w:hyperlink>
      <w:r>
        <w:rPr>
          <w:rFonts w:ascii="Arial" w:cs="Arial" w:eastAsia="Arial" w:hAnsi="Arial"/>
          <w:sz w:val="22"/>
          <w:szCs w:val="22"/>
          <w:color w:val="auto"/>
        </w:rPr>
        <w:t xml:space="preserve">and </w:t>
      </w:r>
      <w:hyperlink w:anchor="page13">
        <w:r>
          <w:rPr>
            <w:rFonts w:ascii="Arial" w:cs="Arial" w:eastAsia="Arial" w:hAnsi="Arial"/>
            <w:sz w:val="22"/>
            <w:szCs w:val="22"/>
            <w:u w:val="single" w:color="auto"/>
            <w:color w:val="0000EE"/>
          </w:rPr>
          <w:t>8</w:t>
        </w:r>
      </w:hyperlink>
      <w:r>
        <w:rPr>
          <w:rFonts w:ascii="Arial" w:cs="Arial" w:eastAsia="Arial" w:hAnsi="Arial"/>
          <w:sz w:val="22"/>
          <w:szCs w:val="22"/>
          <w:color w:val="auto"/>
        </w:rPr>
        <w:t>).</w:t>
      </w:r>
    </w:p>
    <w:p>
      <w:pPr>
        <w:spacing w:after="0" w:line="200" w:lineRule="exact"/>
        <w:rPr>
          <w:sz w:val="20"/>
          <w:szCs w:val="20"/>
          <w:color w:val="auto"/>
        </w:rPr>
      </w:pPr>
    </w:p>
    <w:p>
      <w:pPr>
        <w:ind w:left="460"/>
        <w:spacing w:after="0"/>
        <w:rPr>
          <w:sz w:val="20"/>
          <w:szCs w:val="20"/>
          <w:color w:val="auto"/>
        </w:rPr>
      </w:pPr>
      <w:r>
        <w:rPr>
          <w:rFonts w:ascii="Arial" w:cs="Arial" w:eastAsia="Arial" w:hAnsi="Arial"/>
          <w:sz w:val="22"/>
          <w:szCs w:val="22"/>
          <w:i w:val="1"/>
          <w:iCs w:val="1"/>
          <w:color w:val="auto"/>
        </w:rPr>
        <w:t>Commercial Paper</w:t>
      </w:r>
    </w:p>
    <w:p>
      <w:pPr>
        <w:spacing w:after="0" w:line="8" w:lineRule="exact"/>
        <w:rPr>
          <w:sz w:val="20"/>
          <w:szCs w:val="20"/>
          <w:color w:val="auto"/>
        </w:rPr>
      </w:pPr>
    </w:p>
    <w:p>
      <w:pPr>
        <w:ind w:left="460" w:right="100"/>
        <w:spacing w:after="0" w:line="275" w:lineRule="auto"/>
        <w:rPr>
          <w:sz w:val="20"/>
          <w:szCs w:val="20"/>
          <w:color w:val="auto"/>
        </w:rPr>
      </w:pPr>
      <w:r>
        <w:rPr>
          <w:rFonts w:ascii="Arial" w:cs="Arial" w:eastAsia="Arial" w:hAnsi="Arial"/>
          <w:sz w:val="19"/>
          <w:szCs w:val="19"/>
          <w:color w:val="auto"/>
        </w:rPr>
        <w:t>In June 2004, we entered into a new commercial paper program to provide a lower cost borrowing source of liquidity to fund our short-term working capital requirements. The program allows for a maximum of $2.25 billion of commercial paper to be issued at any one time. Our revolving bank credit facility supports this program. As of June 30, 2004, amounts outstanding under the program totaled $304 million with a weighted average interest rate of 1.74%. Amounts outstanding under the program are classified as long-term in our consolidated balance sheet as we have both the ability and the intent to refinance these obligations, if necessary, on a long-term basis with amounts available under our revolving bank credit facility.</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22"/>
          <w:szCs w:val="22"/>
          <w:i w:val="1"/>
          <w:iCs w:val="1"/>
          <w:color w:val="auto"/>
        </w:rPr>
        <w:t>ZONES</w:t>
      </w:r>
    </w:p>
    <w:p>
      <w:pPr>
        <w:spacing w:after="0" w:line="8" w:lineRule="exact"/>
        <w:rPr>
          <w:sz w:val="20"/>
          <w:szCs w:val="20"/>
          <w:color w:val="auto"/>
        </w:rPr>
      </w:pPr>
    </w:p>
    <w:p>
      <w:pPr>
        <w:ind w:left="460"/>
        <w:spacing w:after="0" w:line="280" w:lineRule="auto"/>
        <w:rPr>
          <w:sz w:val="20"/>
          <w:szCs w:val="20"/>
          <w:color w:val="auto"/>
        </w:rPr>
      </w:pPr>
      <w:r>
        <w:rPr>
          <w:rFonts w:ascii="Arial" w:cs="Arial" w:eastAsia="Arial" w:hAnsi="Arial"/>
          <w:sz w:val="19"/>
          <w:szCs w:val="19"/>
          <w:color w:val="auto"/>
        </w:rPr>
        <w:t>At maturity, holders of our 2.0% Exchangeable Subordinated Debentures due 2029 (the “ZONES”) are entitled to receive in cash an amount equal to the higher of the principal amount of the ZONES or the market value of Sprint common stock. Prior to maturity, each ZONES is exchangeable at the holders’ option for an amount of cash equal to 95% of the market value of Sprint common stock. As of June 30, 2004, the number of Sprint shares we held exceeded the number of ZONES outstanding.</w:t>
      </w:r>
    </w:p>
    <w:p>
      <w:pPr>
        <w:spacing w:after="0" w:line="178" w:lineRule="exact"/>
        <w:rPr>
          <w:sz w:val="20"/>
          <w:szCs w:val="20"/>
          <w:color w:val="auto"/>
        </w:rPr>
      </w:pPr>
    </w:p>
    <w:p>
      <w:pPr>
        <w:ind w:left="460" w:right="40"/>
        <w:spacing w:after="0" w:line="297" w:lineRule="auto"/>
        <w:rPr>
          <w:sz w:val="20"/>
          <w:szCs w:val="20"/>
          <w:color w:val="auto"/>
        </w:rPr>
      </w:pPr>
      <w:r>
        <w:rPr>
          <w:rFonts w:ascii="Arial" w:cs="Arial" w:eastAsia="Arial" w:hAnsi="Arial"/>
          <w:sz w:val="19"/>
          <w:szCs w:val="19"/>
          <w:color w:val="auto"/>
        </w:rPr>
        <w:t>We separated the accounting for the Exchangeable Notes and the ZONES into derivative and debt components. We record the change in the fair value of the derivative component of the Exchangeable Notes and the ZONES and the change in the carrying value of the debt component of the Exchangeable Notes and the ZONES as follows (in millions):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5660" w:type="dxa"/>
            <w:vAlign w:val="bottom"/>
          </w:tcPr>
          <w:p>
            <w:pPr>
              <w:spacing w:after="0"/>
              <w:rPr>
                <w:sz w:val="23"/>
                <w:szCs w:val="23"/>
                <w:color w:val="auto"/>
              </w:rPr>
            </w:pPr>
          </w:p>
        </w:tc>
        <w:tc>
          <w:tcPr>
            <w:tcW w:w="2500" w:type="dxa"/>
            <w:vAlign w:val="bottom"/>
            <w:gridSpan w:val="5"/>
          </w:tcPr>
          <w:p>
            <w:pPr>
              <w:jc w:val="center"/>
              <w:ind w:right="420"/>
              <w:spacing w:after="0"/>
              <w:rPr>
                <w:sz w:val="20"/>
                <w:szCs w:val="20"/>
                <w:color w:val="auto"/>
              </w:rPr>
            </w:pPr>
            <w:r>
              <w:rPr>
                <w:rFonts w:ascii="Arial" w:cs="Arial" w:eastAsia="Arial" w:hAnsi="Arial"/>
                <w:sz w:val="22"/>
                <w:szCs w:val="22"/>
                <w:color w:val="auto"/>
                <w:w w:val="86"/>
              </w:rPr>
              <w:t>Exchangeable Notes</w:t>
            </w:r>
          </w:p>
        </w:tc>
        <w:tc>
          <w:tcPr>
            <w:tcW w:w="1900" w:type="dxa"/>
            <w:vAlign w:val="bottom"/>
            <w:gridSpan w:val="3"/>
          </w:tcPr>
          <w:p>
            <w:pPr>
              <w:jc w:val="center"/>
              <w:spacing w:after="0"/>
              <w:rPr>
                <w:sz w:val="20"/>
                <w:szCs w:val="20"/>
                <w:color w:val="auto"/>
              </w:rPr>
            </w:pPr>
            <w:r>
              <w:rPr>
                <w:rFonts w:ascii="Arial" w:cs="Arial" w:eastAsia="Arial" w:hAnsi="Arial"/>
                <w:sz w:val="22"/>
                <w:szCs w:val="22"/>
                <w:color w:val="auto"/>
                <w:w w:val="92"/>
              </w:rPr>
              <w:t>ZONES</w:t>
            </w:r>
          </w:p>
        </w:tc>
      </w:tr>
      <w:tr>
        <w:trPr>
          <w:trHeight w:val="98"/>
        </w:trPr>
        <w:tc>
          <w:tcPr>
            <w:tcW w:w="5660" w:type="dxa"/>
            <w:vAlign w:val="bottom"/>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gridSpan w:val="2"/>
          </w:tcPr>
          <w:p>
            <w:pPr>
              <w:spacing w:after="0"/>
              <w:rPr>
                <w:sz w:val="8"/>
                <w:szCs w:val="8"/>
                <w:color w:val="auto"/>
              </w:rPr>
            </w:pPr>
          </w:p>
        </w:tc>
        <w:tc>
          <w:tcPr>
            <w:tcW w:w="420" w:type="dxa"/>
            <w:vAlign w:val="bottom"/>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1100" w:type="dxa"/>
            <w:vAlign w:val="bottom"/>
            <w:tcBorders>
              <w:bottom w:val="single" w:sz="8" w:color="808080"/>
            </w:tcBorders>
            <w:gridSpan w:val="2"/>
          </w:tcPr>
          <w:p>
            <w:pPr>
              <w:spacing w:after="0"/>
              <w:rPr>
                <w:sz w:val="8"/>
                <w:szCs w:val="8"/>
                <w:color w:val="auto"/>
              </w:rPr>
            </w:pPr>
          </w:p>
        </w:tc>
      </w:tr>
      <w:tr>
        <w:trPr>
          <w:trHeight w:val="323"/>
        </w:trPr>
        <w:tc>
          <w:tcPr>
            <w:tcW w:w="5660" w:type="dxa"/>
            <w:vAlign w:val="bottom"/>
          </w:tcPr>
          <w:p>
            <w:pPr>
              <w:spacing w:after="0"/>
              <w:rPr>
                <w:sz w:val="24"/>
                <w:szCs w:val="24"/>
                <w:color w:val="auto"/>
              </w:rPr>
            </w:pPr>
          </w:p>
        </w:tc>
        <w:tc>
          <w:tcPr>
            <w:tcW w:w="2500" w:type="dxa"/>
            <w:vAlign w:val="bottom"/>
            <w:gridSpan w:val="5"/>
          </w:tcPr>
          <w:p>
            <w:pPr>
              <w:jc w:val="center"/>
              <w:ind w:right="420"/>
              <w:spacing w:after="0"/>
              <w:rPr>
                <w:sz w:val="20"/>
                <w:szCs w:val="20"/>
                <w:color w:val="auto"/>
              </w:rPr>
            </w:pPr>
            <w:r>
              <w:rPr>
                <w:rFonts w:ascii="Arial" w:cs="Arial" w:eastAsia="Arial" w:hAnsi="Arial"/>
                <w:sz w:val="22"/>
                <w:szCs w:val="22"/>
                <w:color w:val="auto"/>
                <w:w w:val="89"/>
              </w:rPr>
              <w:t>Six Months Ended</w:t>
            </w:r>
          </w:p>
        </w:tc>
        <w:tc>
          <w:tcPr>
            <w:tcW w:w="1900" w:type="dxa"/>
            <w:vAlign w:val="bottom"/>
            <w:gridSpan w:val="3"/>
          </w:tcPr>
          <w:p>
            <w:pPr>
              <w:jc w:val="center"/>
              <w:spacing w:after="0"/>
              <w:rPr>
                <w:sz w:val="20"/>
                <w:szCs w:val="20"/>
                <w:color w:val="auto"/>
              </w:rPr>
            </w:pPr>
            <w:r>
              <w:rPr>
                <w:rFonts w:ascii="Arial" w:cs="Arial" w:eastAsia="Arial" w:hAnsi="Arial"/>
                <w:sz w:val="22"/>
                <w:szCs w:val="22"/>
                <w:color w:val="auto"/>
                <w:w w:val="90"/>
              </w:rPr>
              <w:t>Six Months Ended</w:t>
            </w:r>
          </w:p>
        </w:tc>
      </w:tr>
      <w:tr>
        <w:trPr>
          <w:trHeight w:val="243"/>
        </w:trPr>
        <w:tc>
          <w:tcPr>
            <w:tcW w:w="5660" w:type="dxa"/>
            <w:vAlign w:val="bottom"/>
          </w:tcPr>
          <w:p>
            <w:pPr>
              <w:spacing w:after="0"/>
              <w:rPr>
                <w:sz w:val="21"/>
                <w:szCs w:val="21"/>
                <w:color w:val="auto"/>
              </w:rPr>
            </w:pPr>
          </w:p>
        </w:tc>
        <w:tc>
          <w:tcPr>
            <w:tcW w:w="1420" w:type="dxa"/>
            <w:vAlign w:val="bottom"/>
            <w:gridSpan w:val="3"/>
          </w:tcPr>
          <w:p>
            <w:pPr>
              <w:jc w:val="center"/>
              <w:ind w:left="552"/>
              <w:spacing w:after="0" w:line="243" w:lineRule="exact"/>
              <w:rPr>
                <w:sz w:val="20"/>
                <w:szCs w:val="20"/>
                <w:color w:val="auto"/>
              </w:rPr>
            </w:pPr>
            <w:r>
              <w:rPr>
                <w:rFonts w:ascii="Arial" w:cs="Arial" w:eastAsia="Arial" w:hAnsi="Arial"/>
                <w:sz w:val="22"/>
                <w:szCs w:val="22"/>
                <w:color w:val="auto"/>
                <w:w w:val="85"/>
              </w:rPr>
              <w:t>June 30,</w:t>
            </w:r>
          </w:p>
        </w:tc>
        <w:tc>
          <w:tcPr>
            <w:tcW w:w="6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900" w:type="dxa"/>
            <w:vAlign w:val="bottom"/>
            <w:gridSpan w:val="3"/>
          </w:tcPr>
          <w:p>
            <w:pPr>
              <w:jc w:val="center"/>
              <w:spacing w:after="0" w:line="243" w:lineRule="exact"/>
              <w:rPr>
                <w:sz w:val="20"/>
                <w:szCs w:val="20"/>
                <w:color w:val="auto"/>
              </w:rPr>
            </w:pPr>
            <w:r>
              <w:rPr>
                <w:rFonts w:ascii="Arial" w:cs="Arial" w:eastAsia="Arial" w:hAnsi="Arial"/>
                <w:sz w:val="22"/>
                <w:szCs w:val="22"/>
                <w:color w:val="auto"/>
                <w:w w:val="85"/>
              </w:rPr>
              <w:t>June 30,</w:t>
            </w:r>
          </w:p>
        </w:tc>
      </w:tr>
      <w:tr>
        <w:trPr>
          <w:trHeight w:val="275"/>
        </w:trPr>
        <w:tc>
          <w:tcPr>
            <w:tcW w:w="5660" w:type="dxa"/>
            <w:vAlign w:val="bottom"/>
          </w:tcPr>
          <w:p>
            <w:pPr>
              <w:spacing w:after="0"/>
              <w:rPr>
                <w:sz w:val="20"/>
                <w:szCs w:val="20"/>
                <w:color w:val="auto"/>
              </w:rPr>
            </w:pPr>
            <w:r>
              <w:rPr>
                <w:rFonts w:ascii="Arial" w:cs="Arial" w:eastAsia="Arial" w:hAnsi="Arial"/>
                <w:sz w:val="22"/>
                <w:szCs w:val="22"/>
                <w:color w:val="auto"/>
              </w:rPr>
              <w:t>Balance at Beginning of Period:</w:t>
            </w:r>
          </w:p>
        </w:tc>
        <w:tc>
          <w:tcPr>
            <w:tcW w:w="840" w:type="dxa"/>
            <w:vAlign w:val="bottom"/>
          </w:tcPr>
          <w:p>
            <w:pPr>
              <w:jc w:val="right"/>
              <w:ind w:right="92"/>
              <w:spacing w:after="0"/>
              <w:rPr>
                <w:sz w:val="20"/>
                <w:szCs w:val="20"/>
                <w:color w:val="auto"/>
              </w:rPr>
            </w:pPr>
            <w:r>
              <w:rPr>
                <w:rFonts w:ascii="Arial" w:cs="Arial" w:eastAsia="Arial" w:hAnsi="Arial"/>
                <w:sz w:val="22"/>
                <w:szCs w:val="22"/>
                <w:color w:val="auto"/>
              </w:rPr>
              <w:t>2004</w:t>
            </w:r>
          </w:p>
        </w:tc>
        <w:tc>
          <w:tcPr>
            <w:tcW w:w="4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60" w:type="dxa"/>
            <w:vAlign w:val="bottom"/>
          </w:tcPr>
          <w:p>
            <w:pPr>
              <w:jc w:val="right"/>
              <w:ind w:right="92"/>
              <w:spacing w:after="0"/>
              <w:rPr>
                <w:sz w:val="20"/>
                <w:szCs w:val="20"/>
                <w:color w:val="auto"/>
              </w:rPr>
            </w:pPr>
            <w:r>
              <w:rPr>
                <w:rFonts w:ascii="Arial" w:cs="Arial" w:eastAsia="Arial" w:hAnsi="Arial"/>
                <w:sz w:val="22"/>
                <w:szCs w:val="22"/>
                <w:color w:val="auto"/>
                <w:w w:val="89"/>
              </w:rPr>
              <w:t>2003</w:t>
            </w:r>
          </w:p>
        </w:tc>
        <w:tc>
          <w:tcPr>
            <w:tcW w:w="420" w:type="dxa"/>
            <w:vAlign w:val="bottom"/>
          </w:tcPr>
          <w:p>
            <w:pPr>
              <w:spacing w:after="0"/>
              <w:rPr>
                <w:sz w:val="23"/>
                <w:szCs w:val="23"/>
                <w:color w:val="auto"/>
              </w:rPr>
            </w:pPr>
          </w:p>
        </w:tc>
        <w:tc>
          <w:tcPr>
            <w:tcW w:w="800" w:type="dxa"/>
            <w:vAlign w:val="bottom"/>
          </w:tcPr>
          <w:p>
            <w:pPr>
              <w:jc w:val="right"/>
              <w:ind w:right="72"/>
              <w:spacing w:after="0"/>
              <w:rPr>
                <w:sz w:val="20"/>
                <w:szCs w:val="20"/>
                <w:color w:val="auto"/>
              </w:rPr>
            </w:pPr>
            <w:r>
              <w:rPr>
                <w:rFonts w:ascii="Arial" w:cs="Arial" w:eastAsia="Arial" w:hAnsi="Arial"/>
                <w:sz w:val="22"/>
                <w:szCs w:val="22"/>
                <w:color w:val="auto"/>
              </w:rPr>
              <w:t>2004</w:t>
            </w:r>
          </w:p>
        </w:tc>
        <w:tc>
          <w:tcPr>
            <w:tcW w:w="300" w:type="dxa"/>
            <w:vAlign w:val="bottom"/>
          </w:tcPr>
          <w:p>
            <w:pPr>
              <w:spacing w:after="0"/>
              <w:rPr>
                <w:sz w:val="23"/>
                <w:szCs w:val="23"/>
                <w:color w:val="auto"/>
              </w:rPr>
            </w:pPr>
          </w:p>
        </w:tc>
        <w:tc>
          <w:tcPr>
            <w:tcW w:w="800" w:type="dxa"/>
            <w:vAlign w:val="bottom"/>
          </w:tcPr>
          <w:p>
            <w:pPr>
              <w:jc w:val="right"/>
              <w:ind w:right="72"/>
              <w:spacing w:after="0"/>
              <w:rPr>
                <w:sz w:val="20"/>
                <w:szCs w:val="20"/>
                <w:color w:val="auto"/>
              </w:rPr>
            </w:pPr>
            <w:r>
              <w:rPr>
                <w:rFonts w:ascii="Arial" w:cs="Arial" w:eastAsia="Arial" w:hAnsi="Arial"/>
                <w:sz w:val="22"/>
                <w:szCs w:val="22"/>
                <w:color w:val="auto"/>
              </w:rPr>
              <w:t>2003</w:t>
            </w:r>
          </w:p>
        </w:tc>
      </w:tr>
      <w:tr>
        <w:trPr>
          <w:trHeight w:val="98"/>
        </w:trPr>
        <w:tc>
          <w:tcPr>
            <w:tcW w:w="5660" w:type="dxa"/>
            <w:vAlign w:val="bottom"/>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r>
      <w:tr>
        <w:trPr>
          <w:trHeight w:val="323"/>
        </w:trPr>
        <w:tc>
          <w:tcPr>
            <w:tcW w:w="5660" w:type="dxa"/>
            <w:vAlign w:val="bottom"/>
          </w:tcPr>
          <w:p>
            <w:pPr>
              <w:ind w:left="280"/>
              <w:spacing w:after="0"/>
              <w:rPr>
                <w:sz w:val="20"/>
                <w:szCs w:val="20"/>
                <w:color w:val="auto"/>
              </w:rPr>
            </w:pPr>
            <w:r>
              <w:rPr>
                <w:rFonts w:ascii="Arial" w:cs="Arial" w:eastAsia="Arial" w:hAnsi="Arial"/>
                <w:sz w:val="22"/>
                <w:szCs w:val="22"/>
                <w:color w:val="auto"/>
              </w:rPr>
              <w:t>Debt component</w:t>
            </w:r>
          </w:p>
        </w:tc>
        <w:tc>
          <w:tcPr>
            <w:tcW w:w="840" w:type="dxa"/>
            <w:vAlign w:val="bottom"/>
          </w:tcPr>
          <w:p>
            <w:pPr>
              <w:jc w:val="right"/>
              <w:spacing w:after="0"/>
              <w:rPr>
                <w:sz w:val="20"/>
                <w:szCs w:val="20"/>
                <w:color w:val="auto"/>
              </w:rPr>
            </w:pPr>
            <w:r>
              <w:rPr>
                <w:rFonts w:ascii="Arial" w:cs="Arial" w:eastAsia="Arial" w:hAnsi="Arial"/>
                <w:sz w:val="22"/>
                <w:szCs w:val="22"/>
                <w:color w:val="auto"/>
              </w:rPr>
              <w:t>$5,030</w:t>
            </w: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22"/>
                <w:szCs w:val="22"/>
                <w:color w:val="auto"/>
                <w:w w:val="95"/>
              </w:rPr>
              <w:t>$6,981</w:t>
            </w:r>
          </w:p>
        </w:tc>
        <w:tc>
          <w:tcPr>
            <w:tcW w:w="4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2"/>
                <w:szCs w:val="22"/>
                <w:color w:val="auto"/>
              </w:rPr>
              <w:t>$515</w:t>
            </w:r>
          </w:p>
        </w:tc>
        <w:tc>
          <w:tcPr>
            <w:tcW w:w="3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2"/>
                <w:szCs w:val="22"/>
                <w:color w:val="auto"/>
              </w:rPr>
              <w:t>$491</w:t>
            </w:r>
          </w:p>
        </w:tc>
      </w:tr>
      <w:tr>
        <w:trPr>
          <w:trHeight w:val="275"/>
        </w:trPr>
        <w:tc>
          <w:tcPr>
            <w:tcW w:w="5660" w:type="dxa"/>
            <w:vAlign w:val="bottom"/>
          </w:tcPr>
          <w:p>
            <w:pPr>
              <w:ind w:left="280"/>
              <w:spacing w:after="0"/>
              <w:rPr>
                <w:sz w:val="20"/>
                <w:szCs w:val="20"/>
                <w:color w:val="auto"/>
              </w:rPr>
            </w:pPr>
            <w:r>
              <w:rPr>
                <w:rFonts w:ascii="Arial" w:cs="Arial" w:eastAsia="Arial" w:hAnsi="Arial"/>
                <w:sz w:val="22"/>
                <w:szCs w:val="22"/>
                <w:color w:val="auto"/>
              </w:rPr>
              <w:t>Derivative component</w:t>
            </w:r>
          </w:p>
        </w:tc>
        <w:tc>
          <w:tcPr>
            <w:tcW w:w="1240" w:type="dxa"/>
            <w:vAlign w:val="bottom"/>
            <w:gridSpan w:val="2"/>
          </w:tcPr>
          <w:p>
            <w:pPr>
              <w:jc w:val="right"/>
              <w:ind w:right="340"/>
              <w:spacing w:after="0"/>
              <w:rPr>
                <w:sz w:val="20"/>
                <w:szCs w:val="20"/>
                <w:color w:val="auto"/>
              </w:rPr>
            </w:pPr>
            <w:r>
              <w:rPr>
                <w:rFonts w:ascii="Arial" w:cs="Arial" w:eastAsia="Arial" w:hAnsi="Arial"/>
                <w:sz w:val="22"/>
                <w:szCs w:val="22"/>
                <w:color w:val="auto"/>
              </w:rPr>
              <w:t>(712)</w:t>
            </w:r>
          </w:p>
        </w:tc>
        <w:tc>
          <w:tcPr>
            <w:tcW w:w="180" w:type="dxa"/>
            <w:vAlign w:val="bottom"/>
          </w:tcPr>
          <w:p>
            <w:pPr>
              <w:spacing w:after="0"/>
              <w:rPr>
                <w:sz w:val="23"/>
                <w:szCs w:val="23"/>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22"/>
                <w:szCs w:val="22"/>
                <w:color w:val="auto"/>
              </w:rPr>
              <w:t>(1,522)</w:t>
            </w:r>
          </w:p>
        </w:tc>
        <w:tc>
          <w:tcPr>
            <w:tcW w:w="800" w:type="dxa"/>
            <w:vAlign w:val="bottom"/>
          </w:tcPr>
          <w:p>
            <w:pPr>
              <w:jc w:val="right"/>
              <w:spacing w:after="0"/>
              <w:rPr>
                <w:sz w:val="20"/>
                <w:szCs w:val="20"/>
                <w:color w:val="auto"/>
              </w:rPr>
            </w:pPr>
            <w:r>
              <w:rPr>
                <w:rFonts w:ascii="Arial" w:cs="Arial" w:eastAsia="Arial" w:hAnsi="Arial"/>
                <w:sz w:val="22"/>
                <w:szCs w:val="22"/>
                <w:color w:val="auto"/>
              </w:rPr>
              <w:t>268</w:t>
            </w:r>
          </w:p>
        </w:tc>
        <w:tc>
          <w:tcPr>
            <w:tcW w:w="3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22"/>
                <w:szCs w:val="22"/>
                <w:color w:val="auto"/>
              </w:rPr>
              <w:t>208</w:t>
            </w:r>
          </w:p>
        </w:tc>
      </w:tr>
      <w:tr>
        <w:trPr>
          <w:trHeight w:val="98"/>
        </w:trPr>
        <w:tc>
          <w:tcPr>
            <w:tcW w:w="5660" w:type="dxa"/>
            <w:vAlign w:val="bottom"/>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r>
      <w:tr>
        <w:trPr>
          <w:trHeight w:val="323"/>
        </w:trPr>
        <w:tc>
          <w:tcPr>
            <w:tcW w:w="5660" w:type="dxa"/>
            <w:vAlign w:val="bottom"/>
          </w:tcPr>
          <w:p>
            <w:pPr>
              <w:ind w:left="500"/>
              <w:spacing w:after="0"/>
              <w:rPr>
                <w:sz w:val="20"/>
                <w:szCs w:val="20"/>
                <w:color w:val="auto"/>
              </w:rPr>
            </w:pPr>
            <w:r>
              <w:rPr>
                <w:rFonts w:ascii="Arial" w:cs="Arial" w:eastAsia="Arial" w:hAnsi="Arial"/>
                <w:sz w:val="22"/>
                <w:szCs w:val="22"/>
                <w:color w:val="auto"/>
              </w:rPr>
              <w:t>Total</w:t>
            </w:r>
          </w:p>
        </w:tc>
        <w:tc>
          <w:tcPr>
            <w:tcW w:w="840" w:type="dxa"/>
            <w:vAlign w:val="bottom"/>
          </w:tcPr>
          <w:p>
            <w:pPr>
              <w:jc w:val="right"/>
              <w:spacing w:after="0"/>
              <w:rPr>
                <w:sz w:val="20"/>
                <w:szCs w:val="20"/>
                <w:color w:val="auto"/>
              </w:rPr>
            </w:pPr>
            <w:r>
              <w:rPr>
                <w:rFonts w:ascii="Arial" w:cs="Arial" w:eastAsia="Arial" w:hAnsi="Arial"/>
                <w:sz w:val="22"/>
                <w:szCs w:val="22"/>
                <w:color w:val="auto"/>
              </w:rPr>
              <w:t>4,318</w:t>
            </w: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22"/>
                <w:szCs w:val="22"/>
                <w:color w:val="auto"/>
              </w:rPr>
              <w:t>5,459</w:t>
            </w:r>
          </w:p>
        </w:tc>
        <w:tc>
          <w:tcPr>
            <w:tcW w:w="4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2"/>
                <w:szCs w:val="22"/>
                <w:color w:val="auto"/>
              </w:rPr>
              <w:t>783</w:t>
            </w:r>
          </w:p>
        </w:tc>
        <w:tc>
          <w:tcPr>
            <w:tcW w:w="3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2"/>
                <w:szCs w:val="22"/>
                <w:color w:val="auto"/>
              </w:rPr>
              <w:t>699</w:t>
            </w:r>
          </w:p>
        </w:tc>
      </w:tr>
      <w:tr>
        <w:trPr>
          <w:trHeight w:val="243"/>
        </w:trPr>
        <w:tc>
          <w:tcPr>
            <w:tcW w:w="5660" w:type="dxa"/>
            <w:vAlign w:val="bottom"/>
          </w:tcPr>
          <w:p>
            <w:pPr>
              <w:spacing w:after="0" w:line="243" w:lineRule="exact"/>
              <w:rPr>
                <w:sz w:val="20"/>
                <w:szCs w:val="20"/>
                <w:color w:val="auto"/>
              </w:rPr>
            </w:pPr>
            <w:r>
              <w:rPr>
                <w:rFonts w:ascii="Arial" w:cs="Arial" w:eastAsia="Arial" w:hAnsi="Arial"/>
                <w:sz w:val="22"/>
                <w:szCs w:val="22"/>
                <w:color w:val="auto"/>
              </w:rPr>
              <w:t>Decrease in debt component due to maturities</w:t>
            </w:r>
          </w:p>
        </w:tc>
        <w:tc>
          <w:tcPr>
            <w:tcW w:w="8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43"/>
        </w:trPr>
        <w:tc>
          <w:tcPr>
            <w:tcW w:w="5660" w:type="dxa"/>
            <w:vAlign w:val="bottom"/>
          </w:tcPr>
          <w:p>
            <w:pPr>
              <w:ind w:left="280"/>
              <w:spacing w:after="0" w:line="243" w:lineRule="exact"/>
              <w:rPr>
                <w:sz w:val="20"/>
                <w:szCs w:val="20"/>
                <w:color w:val="auto"/>
              </w:rPr>
            </w:pPr>
            <w:r>
              <w:rPr>
                <w:rFonts w:ascii="Arial" w:cs="Arial" w:eastAsia="Arial" w:hAnsi="Arial"/>
                <w:sz w:val="22"/>
                <w:szCs w:val="22"/>
                <w:color w:val="auto"/>
              </w:rPr>
              <w:t>and redemptions</w:t>
            </w:r>
          </w:p>
        </w:tc>
        <w:tc>
          <w:tcPr>
            <w:tcW w:w="1240" w:type="dxa"/>
            <w:vAlign w:val="bottom"/>
            <w:gridSpan w:val="2"/>
          </w:tcPr>
          <w:p>
            <w:pPr>
              <w:jc w:val="right"/>
              <w:ind w:right="340"/>
              <w:spacing w:after="0" w:line="243" w:lineRule="exact"/>
              <w:rPr>
                <w:sz w:val="20"/>
                <w:szCs w:val="20"/>
                <w:color w:val="auto"/>
              </w:rPr>
            </w:pPr>
            <w:r>
              <w:rPr>
                <w:rFonts w:ascii="Arial" w:cs="Arial" w:eastAsia="Arial" w:hAnsi="Arial"/>
                <w:sz w:val="22"/>
                <w:szCs w:val="22"/>
                <w:color w:val="auto"/>
              </w:rPr>
              <w:t>(887)</w:t>
            </w:r>
          </w:p>
        </w:tc>
        <w:tc>
          <w:tcPr>
            <w:tcW w:w="180" w:type="dxa"/>
            <w:vAlign w:val="bottom"/>
          </w:tcPr>
          <w:p>
            <w:pPr>
              <w:spacing w:after="0"/>
              <w:rPr>
                <w:sz w:val="21"/>
                <w:szCs w:val="21"/>
                <w:color w:val="auto"/>
              </w:rPr>
            </w:pPr>
          </w:p>
        </w:tc>
        <w:tc>
          <w:tcPr>
            <w:tcW w:w="1080" w:type="dxa"/>
            <w:vAlign w:val="bottom"/>
            <w:gridSpan w:val="2"/>
          </w:tcPr>
          <w:p>
            <w:pPr>
              <w:jc w:val="right"/>
              <w:ind w:right="360"/>
              <w:spacing w:after="0" w:line="243" w:lineRule="exact"/>
              <w:rPr>
                <w:sz w:val="20"/>
                <w:szCs w:val="20"/>
                <w:color w:val="auto"/>
              </w:rPr>
            </w:pPr>
            <w:r>
              <w:rPr>
                <w:rFonts w:ascii="Arial" w:cs="Arial" w:eastAsia="Arial" w:hAnsi="Arial"/>
                <w:sz w:val="22"/>
                <w:szCs w:val="22"/>
                <w:color w:val="auto"/>
              </w:rPr>
              <w:t>(176)</w:t>
            </w:r>
          </w:p>
        </w:tc>
        <w:tc>
          <w:tcPr>
            <w:tcW w:w="8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43"/>
        </w:trPr>
        <w:tc>
          <w:tcPr>
            <w:tcW w:w="5660" w:type="dxa"/>
            <w:vAlign w:val="bottom"/>
          </w:tcPr>
          <w:p>
            <w:pPr>
              <w:spacing w:after="0" w:line="243" w:lineRule="exact"/>
              <w:rPr>
                <w:sz w:val="20"/>
                <w:szCs w:val="20"/>
                <w:color w:val="auto"/>
              </w:rPr>
            </w:pPr>
            <w:r>
              <w:rPr>
                <w:rFonts w:ascii="Arial" w:cs="Arial" w:eastAsia="Arial" w:hAnsi="Arial"/>
                <w:sz w:val="22"/>
                <w:szCs w:val="22"/>
                <w:color w:val="auto"/>
              </w:rPr>
              <w:t>Change in debt component to interest expense</w:t>
            </w:r>
          </w:p>
        </w:tc>
        <w:tc>
          <w:tcPr>
            <w:tcW w:w="1240" w:type="dxa"/>
            <w:vAlign w:val="bottom"/>
            <w:gridSpan w:val="2"/>
          </w:tcPr>
          <w:p>
            <w:pPr>
              <w:jc w:val="right"/>
              <w:ind w:right="340"/>
              <w:spacing w:after="0" w:line="243" w:lineRule="exact"/>
              <w:rPr>
                <w:sz w:val="20"/>
                <w:szCs w:val="20"/>
                <w:color w:val="auto"/>
              </w:rPr>
            </w:pPr>
            <w:r>
              <w:rPr>
                <w:rFonts w:ascii="Arial" w:cs="Arial" w:eastAsia="Arial" w:hAnsi="Arial"/>
                <w:sz w:val="22"/>
                <w:szCs w:val="22"/>
                <w:color w:val="auto"/>
              </w:rPr>
              <w:t>(44)</w:t>
            </w:r>
          </w:p>
        </w:tc>
        <w:tc>
          <w:tcPr>
            <w:tcW w:w="180" w:type="dxa"/>
            <w:vAlign w:val="bottom"/>
          </w:tcPr>
          <w:p>
            <w:pPr>
              <w:spacing w:after="0"/>
              <w:rPr>
                <w:sz w:val="21"/>
                <w:szCs w:val="21"/>
                <w:color w:val="auto"/>
              </w:rPr>
            </w:pPr>
          </w:p>
        </w:tc>
        <w:tc>
          <w:tcPr>
            <w:tcW w:w="1080" w:type="dxa"/>
            <w:vAlign w:val="bottom"/>
            <w:gridSpan w:val="2"/>
          </w:tcPr>
          <w:p>
            <w:pPr>
              <w:jc w:val="right"/>
              <w:ind w:right="360"/>
              <w:spacing w:after="0" w:line="243" w:lineRule="exact"/>
              <w:rPr>
                <w:sz w:val="20"/>
                <w:szCs w:val="20"/>
                <w:color w:val="auto"/>
              </w:rPr>
            </w:pPr>
            <w:r>
              <w:rPr>
                <w:rFonts w:ascii="Arial" w:cs="Arial" w:eastAsia="Arial" w:hAnsi="Arial"/>
                <w:sz w:val="22"/>
                <w:szCs w:val="22"/>
                <w:color w:val="auto"/>
              </w:rPr>
              <w:t>(55)</w:t>
            </w:r>
          </w:p>
        </w:tc>
        <w:tc>
          <w:tcPr>
            <w:tcW w:w="800" w:type="dxa"/>
            <w:vAlign w:val="bottom"/>
          </w:tcPr>
          <w:p>
            <w:pPr>
              <w:jc w:val="right"/>
              <w:spacing w:after="0" w:line="243" w:lineRule="exact"/>
              <w:rPr>
                <w:sz w:val="20"/>
                <w:szCs w:val="20"/>
                <w:color w:val="auto"/>
              </w:rPr>
            </w:pPr>
            <w:r>
              <w:rPr>
                <w:rFonts w:ascii="Arial" w:cs="Arial" w:eastAsia="Arial" w:hAnsi="Arial"/>
                <w:sz w:val="22"/>
                <w:szCs w:val="22"/>
                <w:color w:val="auto"/>
              </w:rPr>
              <w:t>13</w:t>
            </w:r>
          </w:p>
        </w:tc>
        <w:tc>
          <w:tcPr>
            <w:tcW w:w="300" w:type="dxa"/>
            <w:vAlign w:val="bottom"/>
          </w:tcPr>
          <w:p>
            <w:pPr>
              <w:spacing w:after="0"/>
              <w:rPr>
                <w:sz w:val="21"/>
                <w:szCs w:val="21"/>
                <w:color w:val="auto"/>
              </w:rPr>
            </w:pPr>
          </w:p>
        </w:tc>
        <w:tc>
          <w:tcPr>
            <w:tcW w:w="800" w:type="dxa"/>
            <w:vAlign w:val="bottom"/>
          </w:tcPr>
          <w:p>
            <w:pPr>
              <w:jc w:val="right"/>
              <w:spacing w:after="0" w:line="243" w:lineRule="exact"/>
              <w:rPr>
                <w:sz w:val="20"/>
                <w:szCs w:val="20"/>
                <w:color w:val="auto"/>
              </w:rPr>
            </w:pPr>
            <w:r>
              <w:rPr>
                <w:rFonts w:ascii="Arial" w:cs="Arial" w:eastAsia="Arial" w:hAnsi="Arial"/>
                <w:sz w:val="22"/>
                <w:szCs w:val="22"/>
                <w:color w:val="auto"/>
              </w:rPr>
              <w:t>12</w:t>
            </w:r>
          </w:p>
        </w:tc>
      </w:tr>
      <w:tr>
        <w:trPr>
          <w:trHeight w:val="243"/>
        </w:trPr>
        <w:tc>
          <w:tcPr>
            <w:tcW w:w="5660" w:type="dxa"/>
            <w:vAlign w:val="bottom"/>
          </w:tcPr>
          <w:p>
            <w:pPr>
              <w:spacing w:after="0" w:line="243" w:lineRule="exact"/>
              <w:rPr>
                <w:sz w:val="20"/>
                <w:szCs w:val="20"/>
                <w:color w:val="auto"/>
              </w:rPr>
            </w:pPr>
            <w:r>
              <w:rPr>
                <w:rFonts w:ascii="Arial" w:cs="Arial" w:eastAsia="Arial" w:hAnsi="Arial"/>
                <w:sz w:val="22"/>
                <w:szCs w:val="22"/>
                <w:color w:val="auto"/>
              </w:rPr>
              <w:t>Change in derivative component to investment</w:t>
            </w:r>
          </w:p>
        </w:tc>
        <w:tc>
          <w:tcPr>
            <w:tcW w:w="8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43"/>
        </w:trPr>
        <w:tc>
          <w:tcPr>
            <w:tcW w:w="5660" w:type="dxa"/>
            <w:vAlign w:val="bottom"/>
          </w:tcPr>
          <w:p>
            <w:pPr>
              <w:ind w:left="280"/>
              <w:spacing w:after="0" w:line="243" w:lineRule="exact"/>
              <w:rPr>
                <w:sz w:val="20"/>
                <w:szCs w:val="20"/>
                <w:color w:val="auto"/>
              </w:rPr>
            </w:pPr>
            <w:r>
              <w:rPr>
                <w:rFonts w:ascii="Arial" w:cs="Arial" w:eastAsia="Arial" w:hAnsi="Arial"/>
                <w:sz w:val="22"/>
                <w:szCs w:val="22"/>
                <w:color w:val="auto"/>
              </w:rPr>
              <w:t>income (loss), net</w:t>
            </w:r>
          </w:p>
        </w:tc>
        <w:tc>
          <w:tcPr>
            <w:tcW w:w="1240" w:type="dxa"/>
            <w:vAlign w:val="bottom"/>
            <w:gridSpan w:val="2"/>
          </w:tcPr>
          <w:p>
            <w:pPr>
              <w:jc w:val="right"/>
              <w:ind w:right="340"/>
              <w:spacing w:after="0" w:line="243" w:lineRule="exact"/>
              <w:rPr>
                <w:sz w:val="20"/>
                <w:szCs w:val="20"/>
                <w:color w:val="auto"/>
              </w:rPr>
            </w:pPr>
            <w:r>
              <w:rPr>
                <w:rFonts w:ascii="Arial" w:cs="Arial" w:eastAsia="Arial" w:hAnsi="Arial"/>
                <w:sz w:val="22"/>
                <w:szCs w:val="22"/>
                <w:color w:val="auto"/>
              </w:rPr>
              <w:t>(27)</w:t>
            </w:r>
          </w:p>
        </w:tc>
        <w:tc>
          <w:tcPr>
            <w:tcW w:w="180" w:type="dxa"/>
            <w:vAlign w:val="bottom"/>
          </w:tcPr>
          <w:p>
            <w:pPr>
              <w:spacing w:after="0"/>
              <w:rPr>
                <w:sz w:val="21"/>
                <w:szCs w:val="21"/>
                <w:color w:val="auto"/>
              </w:rPr>
            </w:pPr>
          </w:p>
        </w:tc>
        <w:tc>
          <w:tcPr>
            <w:tcW w:w="660" w:type="dxa"/>
            <w:vAlign w:val="bottom"/>
          </w:tcPr>
          <w:p>
            <w:pPr>
              <w:jc w:val="right"/>
              <w:spacing w:after="0" w:line="243" w:lineRule="exact"/>
              <w:rPr>
                <w:sz w:val="20"/>
                <w:szCs w:val="20"/>
                <w:color w:val="auto"/>
              </w:rPr>
            </w:pPr>
            <w:r>
              <w:rPr>
                <w:rFonts w:ascii="Arial" w:cs="Arial" w:eastAsia="Arial" w:hAnsi="Arial"/>
                <w:sz w:val="22"/>
                <w:szCs w:val="22"/>
                <w:color w:val="auto"/>
              </w:rPr>
              <w:t>385</w:t>
            </w:r>
          </w:p>
        </w:tc>
        <w:tc>
          <w:tcPr>
            <w:tcW w:w="420" w:type="dxa"/>
            <w:vAlign w:val="bottom"/>
          </w:tcPr>
          <w:p>
            <w:pPr>
              <w:spacing w:after="0"/>
              <w:rPr>
                <w:sz w:val="21"/>
                <w:szCs w:val="21"/>
                <w:color w:val="auto"/>
              </w:rPr>
            </w:pPr>
          </w:p>
        </w:tc>
        <w:tc>
          <w:tcPr>
            <w:tcW w:w="1100" w:type="dxa"/>
            <w:vAlign w:val="bottom"/>
            <w:gridSpan w:val="2"/>
          </w:tcPr>
          <w:p>
            <w:pPr>
              <w:jc w:val="right"/>
              <w:ind w:right="220"/>
              <w:spacing w:after="0" w:line="243" w:lineRule="exact"/>
              <w:rPr>
                <w:sz w:val="20"/>
                <w:szCs w:val="20"/>
                <w:color w:val="auto"/>
              </w:rPr>
            </w:pPr>
            <w:r>
              <w:rPr>
                <w:rFonts w:ascii="Arial" w:cs="Arial" w:eastAsia="Arial" w:hAnsi="Arial"/>
                <w:sz w:val="22"/>
                <w:szCs w:val="22"/>
                <w:color w:val="auto"/>
              </w:rPr>
              <w:t>(56)</w:t>
            </w:r>
          </w:p>
        </w:tc>
        <w:tc>
          <w:tcPr>
            <w:tcW w:w="800" w:type="dxa"/>
            <w:vAlign w:val="bottom"/>
          </w:tcPr>
          <w:p>
            <w:pPr>
              <w:jc w:val="right"/>
              <w:spacing w:after="0" w:line="243" w:lineRule="exact"/>
              <w:rPr>
                <w:sz w:val="20"/>
                <w:szCs w:val="20"/>
                <w:color w:val="auto"/>
              </w:rPr>
            </w:pPr>
            <w:r>
              <w:rPr>
                <w:rFonts w:ascii="Arial" w:cs="Arial" w:eastAsia="Arial" w:hAnsi="Arial"/>
                <w:sz w:val="22"/>
                <w:szCs w:val="22"/>
                <w:color w:val="auto"/>
              </w:rPr>
              <w:t>65</w:t>
            </w:r>
          </w:p>
        </w:tc>
      </w:tr>
      <w:tr>
        <w:trPr>
          <w:trHeight w:val="243"/>
        </w:trPr>
        <w:tc>
          <w:tcPr>
            <w:tcW w:w="5660" w:type="dxa"/>
            <w:vAlign w:val="bottom"/>
          </w:tcPr>
          <w:p>
            <w:pPr>
              <w:spacing w:after="0" w:line="243" w:lineRule="exact"/>
              <w:rPr>
                <w:sz w:val="20"/>
                <w:szCs w:val="20"/>
                <w:color w:val="auto"/>
              </w:rPr>
            </w:pPr>
            <w:r>
              <w:rPr>
                <w:rFonts w:ascii="Arial" w:cs="Arial" w:eastAsia="Arial" w:hAnsi="Arial"/>
                <w:sz w:val="22"/>
                <w:szCs w:val="22"/>
                <w:color w:val="auto"/>
              </w:rPr>
              <w:t>Balance at End of Period:</w:t>
            </w:r>
          </w:p>
        </w:tc>
        <w:tc>
          <w:tcPr>
            <w:tcW w:w="8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43"/>
        </w:trPr>
        <w:tc>
          <w:tcPr>
            <w:tcW w:w="5660" w:type="dxa"/>
            <w:vAlign w:val="bottom"/>
          </w:tcPr>
          <w:p>
            <w:pPr>
              <w:ind w:left="280"/>
              <w:spacing w:after="0" w:line="243" w:lineRule="exact"/>
              <w:rPr>
                <w:sz w:val="20"/>
                <w:szCs w:val="20"/>
                <w:color w:val="auto"/>
              </w:rPr>
            </w:pPr>
            <w:r>
              <w:rPr>
                <w:rFonts w:ascii="Arial" w:cs="Arial" w:eastAsia="Arial" w:hAnsi="Arial"/>
                <w:sz w:val="22"/>
                <w:szCs w:val="22"/>
                <w:color w:val="auto"/>
              </w:rPr>
              <w:t>Debt component</w:t>
            </w:r>
          </w:p>
        </w:tc>
        <w:tc>
          <w:tcPr>
            <w:tcW w:w="840" w:type="dxa"/>
            <w:vAlign w:val="bottom"/>
          </w:tcPr>
          <w:p>
            <w:pPr>
              <w:jc w:val="right"/>
              <w:spacing w:after="0" w:line="243" w:lineRule="exact"/>
              <w:rPr>
                <w:sz w:val="20"/>
                <w:szCs w:val="20"/>
                <w:color w:val="auto"/>
              </w:rPr>
            </w:pPr>
            <w:r>
              <w:rPr>
                <w:rFonts w:ascii="Arial" w:cs="Arial" w:eastAsia="Arial" w:hAnsi="Arial"/>
                <w:sz w:val="22"/>
                <w:szCs w:val="22"/>
                <w:color w:val="auto"/>
              </w:rPr>
              <w:t>4,099</w:t>
            </w:r>
          </w:p>
        </w:tc>
        <w:tc>
          <w:tcPr>
            <w:tcW w:w="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jc w:val="right"/>
              <w:spacing w:after="0" w:line="243" w:lineRule="exact"/>
              <w:rPr>
                <w:sz w:val="20"/>
                <w:szCs w:val="20"/>
                <w:color w:val="auto"/>
              </w:rPr>
            </w:pPr>
            <w:r>
              <w:rPr>
                <w:rFonts w:ascii="Arial" w:cs="Arial" w:eastAsia="Arial" w:hAnsi="Arial"/>
                <w:sz w:val="22"/>
                <w:szCs w:val="22"/>
                <w:color w:val="auto"/>
              </w:rPr>
              <w:t>6,750</w:t>
            </w:r>
          </w:p>
        </w:tc>
        <w:tc>
          <w:tcPr>
            <w:tcW w:w="420" w:type="dxa"/>
            <w:vAlign w:val="bottom"/>
          </w:tcPr>
          <w:p>
            <w:pPr>
              <w:spacing w:after="0"/>
              <w:rPr>
                <w:sz w:val="21"/>
                <w:szCs w:val="21"/>
                <w:color w:val="auto"/>
              </w:rPr>
            </w:pPr>
          </w:p>
        </w:tc>
        <w:tc>
          <w:tcPr>
            <w:tcW w:w="800" w:type="dxa"/>
            <w:vAlign w:val="bottom"/>
          </w:tcPr>
          <w:p>
            <w:pPr>
              <w:jc w:val="right"/>
              <w:spacing w:after="0" w:line="243" w:lineRule="exact"/>
              <w:rPr>
                <w:sz w:val="20"/>
                <w:szCs w:val="20"/>
                <w:color w:val="auto"/>
              </w:rPr>
            </w:pPr>
            <w:r>
              <w:rPr>
                <w:rFonts w:ascii="Arial" w:cs="Arial" w:eastAsia="Arial" w:hAnsi="Arial"/>
                <w:sz w:val="22"/>
                <w:szCs w:val="22"/>
                <w:color w:val="auto"/>
              </w:rPr>
              <w:t>528</w:t>
            </w:r>
          </w:p>
        </w:tc>
        <w:tc>
          <w:tcPr>
            <w:tcW w:w="300" w:type="dxa"/>
            <w:vAlign w:val="bottom"/>
          </w:tcPr>
          <w:p>
            <w:pPr>
              <w:spacing w:after="0"/>
              <w:rPr>
                <w:sz w:val="21"/>
                <w:szCs w:val="21"/>
                <w:color w:val="auto"/>
              </w:rPr>
            </w:pPr>
          </w:p>
        </w:tc>
        <w:tc>
          <w:tcPr>
            <w:tcW w:w="800" w:type="dxa"/>
            <w:vAlign w:val="bottom"/>
          </w:tcPr>
          <w:p>
            <w:pPr>
              <w:jc w:val="right"/>
              <w:spacing w:after="0" w:line="243" w:lineRule="exact"/>
              <w:rPr>
                <w:sz w:val="20"/>
                <w:szCs w:val="20"/>
                <w:color w:val="auto"/>
              </w:rPr>
            </w:pPr>
            <w:r>
              <w:rPr>
                <w:rFonts w:ascii="Arial" w:cs="Arial" w:eastAsia="Arial" w:hAnsi="Arial"/>
                <w:sz w:val="22"/>
                <w:szCs w:val="22"/>
                <w:color w:val="auto"/>
              </w:rPr>
              <w:t>503</w:t>
            </w:r>
          </w:p>
        </w:tc>
      </w:tr>
      <w:tr>
        <w:trPr>
          <w:trHeight w:val="275"/>
        </w:trPr>
        <w:tc>
          <w:tcPr>
            <w:tcW w:w="5660" w:type="dxa"/>
            <w:vAlign w:val="bottom"/>
          </w:tcPr>
          <w:p>
            <w:pPr>
              <w:ind w:left="280"/>
              <w:spacing w:after="0"/>
              <w:rPr>
                <w:sz w:val="20"/>
                <w:szCs w:val="20"/>
                <w:color w:val="auto"/>
              </w:rPr>
            </w:pPr>
            <w:r>
              <w:rPr>
                <w:rFonts w:ascii="Arial" w:cs="Arial" w:eastAsia="Arial" w:hAnsi="Arial"/>
                <w:sz w:val="22"/>
                <w:szCs w:val="22"/>
                <w:color w:val="auto"/>
              </w:rPr>
              <w:t>Derivative component</w:t>
            </w:r>
          </w:p>
        </w:tc>
        <w:tc>
          <w:tcPr>
            <w:tcW w:w="1240" w:type="dxa"/>
            <w:vAlign w:val="bottom"/>
            <w:gridSpan w:val="2"/>
          </w:tcPr>
          <w:p>
            <w:pPr>
              <w:jc w:val="right"/>
              <w:ind w:right="340"/>
              <w:spacing w:after="0"/>
              <w:rPr>
                <w:sz w:val="20"/>
                <w:szCs w:val="20"/>
                <w:color w:val="auto"/>
              </w:rPr>
            </w:pPr>
            <w:r>
              <w:rPr>
                <w:rFonts w:ascii="Arial" w:cs="Arial" w:eastAsia="Arial" w:hAnsi="Arial"/>
                <w:sz w:val="22"/>
                <w:szCs w:val="22"/>
                <w:color w:val="auto"/>
              </w:rPr>
              <w:t>(739)</w:t>
            </w:r>
          </w:p>
        </w:tc>
        <w:tc>
          <w:tcPr>
            <w:tcW w:w="180" w:type="dxa"/>
            <w:vAlign w:val="bottom"/>
          </w:tcPr>
          <w:p>
            <w:pPr>
              <w:spacing w:after="0"/>
              <w:rPr>
                <w:sz w:val="23"/>
                <w:szCs w:val="23"/>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22"/>
                <w:szCs w:val="22"/>
                <w:color w:val="auto"/>
              </w:rPr>
              <w:t>(1,137)</w:t>
            </w:r>
          </w:p>
        </w:tc>
        <w:tc>
          <w:tcPr>
            <w:tcW w:w="800" w:type="dxa"/>
            <w:vAlign w:val="bottom"/>
          </w:tcPr>
          <w:p>
            <w:pPr>
              <w:jc w:val="right"/>
              <w:spacing w:after="0"/>
              <w:rPr>
                <w:sz w:val="20"/>
                <w:szCs w:val="20"/>
                <w:color w:val="auto"/>
              </w:rPr>
            </w:pPr>
            <w:r>
              <w:rPr>
                <w:rFonts w:ascii="Arial" w:cs="Arial" w:eastAsia="Arial" w:hAnsi="Arial"/>
                <w:sz w:val="22"/>
                <w:szCs w:val="22"/>
                <w:color w:val="auto"/>
              </w:rPr>
              <w:t>212</w:t>
            </w:r>
          </w:p>
        </w:tc>
        <w:tc>
          <w:tcPr>
            <w:tcW w:w="3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22"/>
                <w:szCs w:val="22"/>
                <w:color w:val="auto"/>
              </w:rPr>
              <w:t>273</w:t>
            </w:r>
          </w:p>
        </w:tc>
      </w:tr>
      <w:tr>
        <w:trPr>
          <w:trHeight w:val="98"/>
        </w:trPr>
        <w:tc>
          <w:tcPr>
            <w:tcW w:w="5660" w:type="dxa"/>
            <w:vAlign w:val="bottom"/>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r>
      <w:tr>
        <w:trPr>
          <w:trHeight w:val="355"/>
        </w:trPr>
        <w:tc>
          <w:tcPr>
            <w:tcW w:w="5660" w:type="dxa"/>
            <w:vAlign w:val="bottom"/>
          </w:tcPr>
          <w:p>
            <w:pPr>
              <w:ind w:left="500"/>
              <w:spacing w:after="0"/>
              <w:rPr>
                <w:sz w:val="20"/>
                <w:szCs w:val="20"/>
                <w:color w:val="auto"/>
              </w:rPr>
            </w:pPr>
            <w:r>
              <w:rPr>
                <w:rFonts w:ascii="Arial" w:cs="Arial" w:eastAsia="Arial" w:hAnsi="Arial"/>
                <w:sz w:val="22"/>
                <w:szCs w:val="22"/>
                <w:color w:val="auto"/>
              </w:rPr>
              <w:t>Total</w:t>
            </w:r>
          </w:p>
        </w:tc>
        <w:tc>
          <w:tcPr>
            <w:tcW w:w="840" w:type="dxa"/>
            <w:vAlign w:val="bottom"/>
          </w:tcPr>
          <w:p>
            <w:pPr>
              <w:jc w:val="right"/>
              <w:spacing w:after="0"/>
              <w:rPr>
                <w:sz w:val="20"/>
                <w:szCs w:val="20"/>
                <w:color w:val="auto"/>
              </w:rPr>
            </w:pPr>
            <w:r>
              <w:rPr>
                <w:rFonts w:ascii="Arial" w:cs="Arial" w:eastAsia="Arial" w:hAnsi="Arial"/>
                <w:sz w:val="22"/>
                <w:szCs w:val="22"/>
                <w:color w:val="auto"/>
              </w:rPr>
              <w:t>$3,360</w:t>
            </w: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22"/>
                <w:szCs w:val="22"/>
                <w:color w:val="auto"/>
                <w:w w:val="95"/>
              </w:rPr>
              <w:t>$5,613</w:t>
            </w:r>
          </w:p>
        </w:tc>
        <w:tc>
          <w:tcPr>
            <w:tcW w:w="4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2"/>
                <w:szCs w:val="22"/>
                <w:color w:val="auto"/>
              </w:rPr>
              <w:t>$740</w:t>
            </w:r>
          </w:p>
        </w:tc>
        <w:tc>
          <w:tcPr>
            <w:tcW w:w="3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2"/>
                <w:szCs w:val="22"/>
                <w:color w:val="auto"/>
              </w:rPr>
              <w:t>$776</w:t>
            </w:r>
          </w:p>
        </w:tc>
      </w:tr>
      <w:tr>
        <w:trPr>
          <w:trHeight w:val="108"/>
        </w:trPr>
        <w:tc>
          <w:tcPr>
            <w:tcW w:w="5660" w:type="dxa"/>
            <w:vAlign w:val="bottom"/>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4110990</wp:posOffset>
            </wp:positionH>
            <wp:positionV relativeFrom="paragraph">
              <wp:posOffset>-14605</wp:posOffset>
            </wp:positionV>
            <wp:extent cx="127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3596005</wp:posOffset>
            </wp:positionH>
            <wp:positionV relativeFrom="paragraph">
              <wp:posOffset>-14605</wp:posOffset>
            </wp:positionV>
            <wp:extent cx="127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-14605</wp:posOffset>
            </wp:positionV>
            <wp:extent cx="127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-14605</wp:posOffset>
            </wp:positionV>
            <wp:extent cx="127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-14605</wp:posOffset>
            </wp:positionV>
            <wp:extent cx="127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-14605</wp:posOffset>
            </wp:positionV>
            <wp:extent cx="127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-14605</wp:posOffset>
            </wp:positionV>
            <wp:extent cx="127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-14605</wp:posOffset>
            </wp:positionV>
            <wp:extent cx="127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32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6376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COMCAST CORPORATION AND SUBSIDIARIES</w:t>
      </w:r>
    </w:p>
    <w:p>
      <w:pPr>
        <w:jc w:val="center"/>
        <w:spacing w:after="0" w:line="238" w:lineRule="auto"/>
        <w:rPr>
          <w:sz w:val="20"/>
          <w:szCs w:val="20"/>
          <w:color w:val="auto"/>
        </w:rPr>
      </w:pPr>
      <w:r>
        <w:rPr>
          <w:rFonts w:ascii="Arial" w:cs="Arial" w:eastAsia="Arial" w:hAnsi="Arial"/>
          <w:sz w:val="22"/>
          <w:szCs w:val="22"/>
          <w:color w:val="auto"/>
        </w:rPr>
        <w:t>FORM 10-Q</w:t>
      </w:r>
    </w:p>
    <w:p>
      <w:pPr>
        <w:jc w:val="center"/>
        <w:spacing w:after="0" w:line="230" w:lineRule="auto"/>
        <w:rPr>
          <w:sz w:val="20"/>
          <w:szCs w:val="20"/>
          <w:color w:val="auto"/>
        </w:rPr>
      </w:pPr>
      <w:r>
        <w:rPr>
          <w:rFonts w:ascii="Arial" w:cs="Arial" w:eastAsia="Arial" w:hAnsi="Arial"/>
          <w:sz w:val="22"/>
          <w:szCs w:val="22"/>
          <w:color w:val="auto"/>
        </w:rPr>
        <w:t>QUARTER ENDED JUNE 30, 2004</w:t>
      </w:r>
    </w:p>
    <w:p>
      <w:pPr>
        <w:jc w:val="center"/>
        <w:spacing w:after="0" w:line="231" w:lineRule="auto"/>
        <w:rPr>
          <w:sz w:val="20"/>
          <w:szCs w:val="20"/>
          <w:color w:val="auto"/>
        </w:rPr>
      </w:pPr>
      <w:r>
        <w:rPr>
          <w:rFonts w:ascii="Arial" w:cs="Arial" w:eastAsia="Arial" w:hAnsi="Arial"/>
          <w:sz w:val="22"/>
          <w:szCs w:val="22"/>
          <w:color w:val="auto"/>
        </w:rPr>
        <w:t>NOTES TO CONDENSED CONSOLIDATED FINANCIAL STATEMENTS - CONTINUED</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(Unaudited)</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22"/>
          <w:szCs w:val="22"/>
          <w:i w:val="1"/>
          <w:iCs w:val="1"/>
          <w:color w:val="auto"/>
        </w:rPr>
        <w:t>Interest Rates</w:t>
      </w:r>
    </w:p>
    <w:p>
      <w:pPr>
        <w:spacing w:after="0" w:line="8" w:lineRule="exact"/>
        <w:rPr>
          <w:sz w:val="20"/>
          <w:szCs w:val="20"/>
          <w:color w:val="auto"/>
        </w:rPr>
      </w:pPr>
    </w:p>
    <w:p>
      <w:pPr>
        <w:jc w:val="both"/>
        <w:ind w:left="460" w:right="160"/>
        <w:spacing w:after="0" w:line="234" w:lineRule="auto"/>
        <w:rPr>
          <w:sz w:val="20"/>
          <w:szCs w:val="20"/>
          <w:color w:val="auto"/>
        </w:rPr>
      </w:pPr>
      <w:r>
        <w:rPr>
          <w:rFonts w:ascii="Arial" w:cs="Arial" w:eastAsia="Arial" w:hAnsi="Arial"/>
          <w:sz w:val="22"/>
          <w:szCs w:val="22"/>
          <w:color w:val="auto"/>
        </w:rPr>
        <w:t>Excluding the derivative component of the Exchangeable Notes and the ZONES whose changes in fair value are recorded to investment income (loss), net, our effective weighted average interest rate was 7.08% as of June 30, 2004 and December 31, 2003.</w:t>
      </w:r>
    </w:p>
    <w:p>
      <w:pPr>
        <w:sectPr>
          <w:pgSz w:w="11900" w:h="16838" w:orient="portrait"/>
          <w:cols w:equalWidth="0" w:num="1">
            <w:col w:w="11380"/>
          </w:cols>
          <w:pgMar w:left="240" w:top="118" w:right="279" w:bottom="15" w:gutter="0" w:footer="0" w:header="0"/>
        </w:sectPr>
      </w:pPr>
    </w:p>
    <w:bookmarkStart w:id="11" w:name="page12"/>
    <w:bookmarkEnd w:id="11"/>
    <w:p>
      <w:pPr>
        <w:ind w:left="460"/>
        <w:spacing w:after="0"/>
        <w:rPr>
          <w:sz w:val="20"/>
          <w:szCs w:val="20"/>
          <w:color w:val="auto"/>
        </w:rPr>
      </w:pPr>
      <w:r>
        <w:rPr>
          <w:rFonts w:ascii="Arial" w:cs="Arial" w:eastAsia="Arial" w:hAnsi="Arial"/>
          <w:sz w:val="22"/>
          <w:szCs w:val="22"/>
          <w:i w:val="1"/>
          <w:iCs w:val="1"/>
          <w:color w:val="auto"/>
        </w:rPr>
        <w:t>Derivatives</w:t>
      </w:r>
    </w:p>
    <w:p>
      <w:pPr>
        <w:spacing w:after="0" w:line="9" w:lineRule="exact"/>
        <w:rPr>
          <w:sz w:val="20"/>
          <w:szCs w:val="20"/>
          <w:color w:val="auto"/>
        </w:rPr>
      </w:pPr>
    </w:p>
    <w:p>
      <w:pPr>
        <w:jc w:val="both"/>
        <w:ind w:left="460"/>
        <w:spacing w:after="0" w:line="234" w:lineRule="auto"/>
        <w:rPr>
          <w:sz w:val="20"/>
          <w:szCs w:val="20"/>
          <w:color w:val="auto"/>
        </w:rPr>
      </w:pPr>
      <w:r>
        <w:rPr>
          <w:rFonts w:ascii="Arial" w:cs="Arial" w:eastAsia="Arial" w:hAnsi="Arial"/>
          <w:sz w:val="22"/>
          <w:szCs w:val="22"/>
          <w:color w:val="auto"/>
        </w:rPr>
        <w:t>We use derivative financial instruments to manage our exposure to fluctuations in interest rates and securities prices. We have issued indexed debt instruments and prepaid forward sale agreements whose value, in part, is derived from the market value of certain publicly traded common stock.</w:t>
      </w:r>
    </w:p>
    <w:p>
      <w:pPr>
        <w:spacing w:after="0" w:line="214" w:lineRule="exact"/>
        <w:rPr>
          <w:sz w:val="20"/>
          <w:szCs w:val="20"/>
          <w:color w:val="auto"/>
        </w:rPr>
      </w:pPr>
    </w:p>
    <w:p>
      <w:pPr>
        <w:ind w:left="460"/>
        <w:spacing w:after="0"/>
        <w:rPr>
          <w:sz w:val="20"/>
          <w:szCs w:val="20"/>
          <w:color w:val="auto"/>
        </w:rPr>
      </w:pPr>
      <w:r>
        <w:rPr>
          <w:rFonts w:ascii="Arial" w:cs="Arial" w:eastAsia="Arial" w:hAnsi="Arial"/>
          <w:sz w:val="22"/>
          <w:szCs w:val="22"/>
          <w:i w:val="1"/>
          <w:iCs w:val="1"/>
          <w:color w:val="auto"/>
        </w:rPr>
        <w:t>Lines and Letters of Credit</w:t>
      </w:r>
    </w:p>
    <w:p>
      <w:pPr>
        <w:spacing w:after="0" w:line="8" w:lineRule="exact"/>
        <w:rPr>
          <w:sz w:val="20"/>
          <w:szCs w:val="20"/>
          <w:color w:val="auto"/>
        </w:rPr>
      </w:pPr>
    </w:p>
    <w:p>
      <w:pPr>
        <w:ind w:left="460" w:right="60"/>
        <w:spacing w:after="0" w:line="237" w:lineRule="auto"/>
        <w:rPr>
          <w:sz w:val="20"/>
          <w:szCs w:val="20"/>
          <w:color w:val="auto"/>
        </w:rPr>
      </w:pPr>
      <w:r>
        <w:rPr>
          <w:rFonts w:ascii="Arial" w:cs="Arial" w:eastAsia="Arial" w:hAnsi="Arial"/>
          <w:sz w:val="22"/>
          <w:szCs w:val="22"/>
          <w:color w:val="auto"/>
        </w:rPr>
        <w:t>As of June 30, 2004, we and certain of our subsidiaries had unused lines of credit of $3.898 billion under our respective credit facilities.</w:t>
      </w:r>
    </w:p>
    <w:p>
      <w:pPr>
        <w:spacing w:after="0" w:line="212" w:lineRule="exact"/>
        <w:rPr>
          <w:sz w:val="20"/>
          <w:szCs w:val="20"/>
          <w:color w:val="auto"/>
        </w:rPr>
      </w:pPr>
    </w:p>
    <w:p>
      <w:pPr>
        <w:ind w:left="460" w:right="180"/>
        <w:spacing w:after="0" w:line="251" w:lineRule="auto"/>
        <w:rPr>
          <w:sz w:val="20"/>
          <w:szCs w:val="20"/>
          <w:color w:val="auto"/>
        </w:rPr>
      </w:pPr>
      <w:r>
        <w:rPr>
          <w:rFonts w:ascii="Arial" w:cs="Arial" w:eastAsia="Arial" w:hAnsi="Arial"/>
          <w:sz w:val="22"/>
          <w:szCs w:val="22"/>
          <w:color w:val="auto"/>
        </w:rPr>
        <w:t>As of June 30, 2004, we and certain of our subsidiaries had unused irrevocable standby letters of credit totaling $422 million to cover potential fundings under various agreements.</w:t>
      </w:r>
    </w:p>
    <w:p>
      <w:pPr>
        <w:spacing w:after="0" w:line="200" w:lineRule="exact"/>
        <w:rPr>
          <w:sz w:val="20"/>
          <w:szCs w:val="20"/>
          <w:color w:val="auto"/>
        </w:rPr>
      </w:pPr>
    </w:p>
    <w:p>
      <w:pPr>
        <w:ind w:left="460" w:hanging="452"/>
        <w:spacing w:after="0"/>
        <w:tabs>
          <w:tab w:leader="none" w:pos="460" w:val="left"/>
        </w:tabs>
        <w:numPr>
          <w:ilvl w:val="0"/>
          <w:numId w:val="7"/>
        </w:numPr>
        <w:rPr>
          <w:rFonts w:ascii="Arial" w:cs="Arial" w:eastAsia="Arial" w:hAnsi="Arial"/>
          <w:sz w:val="22"/>
          <w:szCs w:val="22"/>
          <w:color w:val="auto"/>
        </w:rPr>
      </w:pPr>
      <w:r>
        <w:rPr>
          <w:rFonts w:ascii="Arial" w:cs="Arial" w:eastAsia="Arial" w:hAnsi="Arial"/>
          <w:sz w:val="22"/>
          <w:szCs w:val="22"/>
          <w:color w:val="auto"/>
        </w:rPr>
        <w:t>STOCKHOLDERS' EQUITY</w:t>
      </w:r>
    </w:p>
    <w:p>
      <w:pPr>
        <w:spacing w:after="0" w:line="233" w:lineRule="exact"/>
        <w:rPr>
          <w:rFonts w:ascii="Arial" w:cs="Arial" w:eastAsia="Arial" w:hAnsi="Arial"/>
          <w:sz w:val="22"/>
          <w:szCs w:val="22"/>
          <w:color w:val="auto"/>
        </w:rPr>
      </w:pPr>
    </w:p>
    <w:p>
      <w:pPr>
        <w:ind w:left="460"/>
        <w:spacing w:after="0"/>
        <w:rPr>
          <w:rFonts w:ascii="Arial" w:cs="Arial" w:eastAsia="Arial" w:hAnsi="Arial"/>
          <w:sz w:val="22"/>
          <w:szCs w:val="22"/>
          <w:color w:val="auto"/>
        </w:rPr>
      </w:pPr>
      <w:r>
        <w:rPr>
          <w:rFonts w:ascii="Arial" w:cs="Arial" w:eastAsia="Arial" w:hAnsi="Arial"/>
          <w:sz w:val="22"/>
          <w:szCs w:val="22"/>
          <w:i w:val="1"/>
          <w:iCs w:val="1"/>
          <w:color w:val="auto"/>
        </w:rPr>
        <w:t>Stock-Based Compensation</w:t>
      </w:r>
    </w:p>
    <w:p>
      <w:pPr>
        <w:spacing w:after="0" w:line="8" w:lineRule="exact"/>
        <w:rPr>
          <w:rFonts w:ascii="Arial" w:cs="Arial" w:eastAsia="Arial" w:hAnsi="Arial"/>
          <w:sz w:val="22"/>
          <w:szCs w:val="22"/>
          <w:color w:val="auto"/>
        </w:rPr>
      </w:pPr>
    </w:p>
    <w:p>
      <w:pPr>
        <w:ind w:left="460" w:right="300"/>
        <w:spacing w:after="0" w:line="273" w:lineRule="auto"/>
        <w:rPr>
          <w:rFonts w:ascii="Arial" w:cs="Arial" w:eastAsia="Arial" w:hAnsi="Arial"/>
          <w:sz w:val="22"/>
          <w:szCs w:val="22"/>
          <w:color w:val="auto"/>
        </w:rPr>
      </w:pPr>
      <w:r>
        <w:rPr>
          <w:rFonts w:ascii="Arial" w:cs="Arial" w:eastAsia="Arial" w:hAnsi="Arial"/>
          <w:sz w:val="19"/>
          <w:szCs w:val="19"/>
          <w:color w:val="auto"/>
        </w:rPr>
        <w:t>We account for stock-based compensation in accordance with APB Opinion No. 25, “Accounting for Stock Issued to Employees,” and related interpretations, as permitted by SFAS No. 123, “Accounting for Stock-Based Compensation,” (“SFAS No. 123”) as amended. Compensation expense for stock options is measured as the excess, if any, of the quoted market price of our stock at the date of the grant over the amount an employee must pay to acquire the stock. We record compensation expense for restricted stock awards based on the quoted market price of our stock at the date of the grant and the vesting period. We record compensation expense for stock appreciation rights based on the changes in quoted market prices of our stock or other determinants of fair value.</w:t>
      </w:r>
    </w:p>
    <w:p>
      <w:pPr>
        <w:spacing w:after="0" w:line="187" w:lineRule="exact"/>
        <w:rPr>
          <w:rFonts w:ascii="Arial" w:cs="Arial" w:eastAsia="Arial" w:hAnsi="Arial"/>
          <w:sz w:val="22"/>
          <w:szCs w:val="22"/>
          <w:color w:val="auto"/>
        </w:rPr>
      </w:pPr>
    </w:p>
    <w:p>
      <w:pPr>
        <w:ind w:left="460" w:right="280"/>
        <w:spacing w:after="0" w:line="279" w:lineRule="auto"/>
        <w:rPr>
          <w:rFonts w:ascii="Arial" w:cs="Arial" w:eastAsia="Arial" w:hAnsi="Arial"/>
          <w:sz w:val="22"/>
          <w:szCs w:val="22"/>
          <w:color w:val="auto"/>
        </w:rPr>
      </w:pPr>
      <w:r>
        <w:rPr>
          <w:rFonts w:ascii="Arial" w:cs="Arial" w:eastAsia="Arial" w:hAnsi="Arial"/>
          <w:sz w:val="19"/>
          <w:szCs w:val="19"/>
          <w:color w:val="auto"/>
        </w:rPr>
        <w:t>The following table illustrates the effect that applying the fair value recognition provisions of SFAS No. 123 to stock-based compensation would have had on net income (loss) and earnings (loss) per share. Upon further analysis during 2003, it was determined that the expected option lives for options granted in prior years should have been 7 years rather than the 8 years used previously. The amounts in the table reflect this revision for all periods presented. Total stock-based compensation expense was determined under the fair value method for all awards using the accelerated recognition method as permitted under SFAS No. 123 (dollars in millions, except per share data):</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6376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COMCAST CORPORATION AND SUBSIDIARIES</w:t>
      </w:r>
    </w:p>
    <w:p>
      <w:pPr>
        <w:jc w:val="center"/>
        <w:ind w:right="40"/>
        <w:spacing w:after="0" w:line="238" w:lineRule="auto"/>
        <w:rPr>
          <w:sz w:val="20"/>
          <w:szCs w:val="20"/>
          <w:color w:val="auto"/>
        </w:rPr>
      </w:pPr>
      <w:r>
        <w:rPr>
          <w:rFonts w:ascii="Arial" w:cs="Arial" w:eastAsia="Arial" w:hAnsi="Arial"/>
          <w:sz w:val="22"/>
          <w:szCs w:val="22"/>
          <w:color w:val="auto"/>
        </w:rPr>
        <w:t>FORM 10-Q</w:t>
      </w:r>
    </w:p>
    <w:p>
      <w:pPr>
        <w:jc w:val="center"/>
        <w:ind w:right="40"/>
        <w:spacing w:after="0" w:line="230" w:lineRule="auto"/>
        <w:rPr>
          <w:sz w:val="20"/>
          <w:szCs w:val="20"/>
          <w:color w:val="auto"/>
        </w:rPr>
      </w:pPr>
      <w:r>
        <w:rPr>
          <w:rFonts w:ascii="Arial" w:cs="Arial" w:eastAsia="Arial" w:hAnsi="Arial"/>
          <w:sz w:val="22"/>
          <w:szCs w:val="22"/>
          <w:color w:val="auto"/>
        </w:rPr>
        <w:t>QUARTER ENDED JUNE 30, 2004</w:t>
      </w:r>
    </w:p>
    <w:p>
      <w:pPr>
        <w:jc w:val="center"/>
        <w:ind w:right="40"/>
        <w:spacing w:after="0" w:line="231" w:lineRule="auto"/>
        <w:rPr>
          <w:sz w:val="20"/>
          <w:szCs w:val="20"/>
          <w:color w:val="auto"/>
        </w:rPr>
      </w:pPr>
      <w:r>
        <w:rPr>
          <w:rFonts w:ascii="Arial" w:cs="Arial" w:eastAsia="Arial" w:hAnsi="Arial"/>
          <w:sz w:val="22"/>
          <w:szCs w:val="22"/>
          <w:color w:val="auto"/>
        </w:rPr>
        <w:t>NOTES TO CONDENSED CONSOLIDATED FINANCIAL STATEMENTS - CONTINUED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(Unaudited)</w:t>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700" w:type="dxa"/>
            <w:vAlign w:val="bottom"/>
          </w:tcPr>
          <w:p>
            <w:pPr>
              <w:spacing w:after="0"/>
              <w:rPr>
                <w:sz w:val="21"/>
                <w:szCs w:val="21"/>
                <w:color w:val="auto"/>
              </w:rPr>
            </w:pPr>
          </w:p>
        </w:tc>
        <w:tc>
          <w:tcPr>
            <w:tcW w:w="3500" w:type="dxa"/>
            <w:vAlign w:val="bottom"/>
            <w:gridSpan w:val="8"/>
          </w:tcPr>
          <w:p>
            <w:pPr>
              <w:jc w:val="right"/>
              <w:spacing w:after="0"/>
              <w:rPr>
                <w:sz w:val="20"/>
                <w:szCs w:val="20"/>
                <w:color w:val="auto"/>
              </w:rPr>
            </w:pPr>
            <w:r>
              <w:rPr>
                <w:rFonts w:ascii="Arial" w:cs="Arial" w:eastAsia="Arial" w:hAnsi="Arial"/>
                <w:sz w:val="22"/>
                <w:szCs w:val="22"/>
                <w:color w:val="auto"/>
                <w:w w:val="89"/>
              </w:rPr>
              <w:t>Three Months Ended Six Months Ended</w:t>
            </w:r>
          </w:p>
        </w:tc>
        <w:tc>
          <w:tcPr>
            <w:tcW w:w="0" w:type="dxa"/>
            <w:vAlign w:val="bottom"/>
          </w:tcPr>
          <w:p>
            <w:pPr>
              <w:spacing w:after="0"/>
              <w:rPr>
                <w:sz w:val="1"/>
                <w:szCs w:val="1"/>
                <w:color w:val="auto"/>
              </w:rPr>
            </w:pPr>
          </w:p>
        </w:tc>
      </w:tr>
      <w:tr>
        <w:trPr>
          <w:trHeight w:val="243"/>
        </w:trPr>
        <w:tc>
          <w:tcPr>
            <w:tcW w:w="6700" w:type="dxa"/>
            <w:vAlign w:val="bottom"/>
          </w:tcPr>
          <w:p>
            <w:pPr>
              <w:spacing w:after="0"/>
              <w:rPr>
                <w:sz w:val="21"/>
                <w:szCs w:val="21"/>
                <w:color w:val="auto"/>
              </w:rPr>
            </w:pPr>
          </w:p>
        </w:tc>
        <w:tc>
          <w:tcPr>
            <w:tcW w:w="1860" w:type="dxa"/>
            <w:vAlign w:val="bottom"/>
            <w:gridSpan w:val="4"/>
          </w:tcPr>
          <w:p>
            <w:pPr>
              <w:jc w:val="right"/>
              <w:ind w:right="580"/>
              <w:spacing w:after="0" w:line="243" w:lineRule="exact"/>
              <w:rPr>
                <w:sz w:val="20"/>
                <w:szCs w:val="20"/>
                <w:color w:val="auto"/>
              </w:rPr>
            </w:pPr>
            <w:r>
              <w:rPr>
                <w:rFonts w:ascii="Arial" w:cs="Arial" w:eastAsia="Arial" w:hAnsi="Arial"/>
                <w:sz w:val="22"/>
                <w:szCs w:val="22"/>
                <w:color w:val="auto"/>
              </w:rPr>
              <w:t>June 30,</w:t>
            </w:r>
          </w:p>
        </w:tc>
        <w:tc>
          <w:tcPr>
            <w:tcW w:w="1640" w:type="dxa"/>
            <w:vAlign w:val="bottom"/>
            <w:gridSpan w:val="4"/>
          </w:tcPr>
          <w:p>
            <w:pPr>
              <w:jc w:val="right"/>
              <w:ind w:right="420"/>
              <w:spacing w:after="0" w:line="243" w:lineRule="exact"/>
              <w:rPr>
                <w:sz w:val="20"/>
                <w:szCs w:val="20"/>
                <w:color w:val="auto"/>
              </w:rPr>
            </w:pPr>
            <w:r>
              <w:rPr>
                <w:rFonts w:ascii="Arial" w:cs="Arial" w:eastAsia="Arial" w:hAnsi="Arial"/>
                <w:sz w:val="22"/>
                <w:szCs w:val="22"/>
                <w:color w:val="auto"/>
              </w:rPr>
              <w:t>June 30,</w:t>
            </w:r>
          </w:p>
        </w:tc>
        <w:tc>
          <w:tcPr>
            <w:tcW w:w="0" w:type="dxa"/>
            <w:vAlign w:val="bottom"/>
          </w:tcPr>
          <w:p>
            <w:pPr>
              <w:spacing w:after="0"/>
              <w:rPr>
                <w:sz w:val="1"/>
                <w:szCs w:val="1"/>
                <w:color w:val="auto"/>
              </w:rPr>
            </w:pPr>
          </w:p>
        </w:tc>
      </w:tr>
      <w:tr>
        <w:trPr>
          <w:trHeight w:val="275"/>
        </w:trPr>
        <w:tc>
          <w:tcPr>
            <w:tcW w:w="670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22"/>
                <w:szCs w:val="22"/>
                <w:color w:val="auto"/>
              </w:rPr>
              <w:t>2004</w:t>
            </w:r>
          </w:p>
        </w:tc>
        <w:tc>
          <w:tcPr>
            <w:tcW w:w="30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22"/>
                <w:szCs w:val="22"/>
                <w:color w:val="auto"/>
              </w:rPr>
              <w:t>2003</w:t>
            </w:r>
          </w:p>
        </w:tc>
        <w:tc>
          <w:tcPr>
            <w:tcW w:w="320" w:type="dxa"/>
            <w:vAlign w:val="bottom"/>
          </w:tcPr>
          <w:p>
            <w:pPr>
              <w:spacing w:after="0"/>
              <w:rPr>
                <w:sz w:val="23"/>
                <w:szCs w:val="23"/>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22"/>
                <w:szCs w:val="22"/>
                <w:color w:val="auto"/>
              </w:rPr>
              <w:t>2004</w:t>
            </w:r>
          </w:p>
        </w:tc>
        <w:tc>
          <w:tcPr>
            <w:tcW w:w="600" w:type="dxa"/>
            <w:vAlign w:val="bottom"/>
          </w:tcPr>
          <w:p>
            <w:pPr>
              <w:jc w:val="right"/>
              <w:spacing w:after="0"/>
              <w:rPr>
                <w:sz w:val="20"/>
                <w:szCs w:val="20"/>
                <w:color w:val="auto"/>
              </w:rPr>
            </w:pPr>
            <w:r>
              <w:rPr>
                <w:rFonts w:ascii="Arial" w:cs="Arial" w:eastAsia="Arial" w:hAnsi="Arial"/>
                <w:sz w:val="22"/>
                <w:szCs w:val="22"/>
                <w:color w:val="auto"/>
              </w:rPr>
              <w:t>2003</w:t>
            </w: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8"/>
        </w:trPr>
        <w:tc>
          <w:tcPr>
            <w:tcW w:w="670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3"/>
        </w:trPr>
        <w:tc>
          <w:tcPr>
            <w:tcW w:w="6700" w:type="dxa"/>
            <w:vAlign w:val="bottom"/>
          </w:tcPr>
          <w:p>
            <w:pPr>
              <w:spacing w:after="0"/>
              <w:rPr>
                <w:sz w:val="20"/>
                <w:szCs w:val="20"/>
                <w:color w:val="auto"/>
              </w:rPr>
            </w:pPr>
            <w:r>
              <w:rPr>
                <w:rFonts w:ascii="Arial" w:cs="Arial" w:eastAsia="Arial" w:hAnsi="Arial"/>
                <w:sz w:val="22"/>
                <w:szCs w:val="22"/>
                <w:color w:val="auto"/>
              </w:rPr>
              <w:t>Net income (loss), as reported</w:t>
            </w:r>
          </w:p>
        </w:tc>
        <w:tc>
          <w:tcPr>
            <w:tcW w:w="620" w:type="dxa"/>
            <w:vAlign w:val="bottom"/>
          </w:tcPr>
          <w:p>
            <w:pPr>
              <w:jc w:val="right"/>
              <w:spacing w:after="0"/>
              <w:rPr>
                <w:sz w:val="20"/>
                <w:szCs w:val="20"/>
                <w:color w:val="auto"/>
              </w:rPr>
            </w:pPr>
            <w:r>
              <w:rPr>
                <w:rFonts w:ascii="Arial" w:cs="Arial" w:eastAsia="Arial" w:hAnsi="Arial"/>
                <w:sz w:val="22"/>
                <w:szCs w:val="22"/>
                <w:color w:val="auto"/>
              </w:rPr>
              <w:t>$262</w:t>
            </w:r>
          </w:p>
        </w:tc>
        <w:tc>
          <w:tcPr>
            <w:tcW w:w="300" w:type="dxa"/>
            <w:vAlign w:val="bottom"/>
          </w:tcPr>
          <w:p>
            <w:pPr>
              <w:spacing w:after="0"/>
              <w:rPr>
                <w:sz w:val="24"/>
                <w:szCs w:val="24"/>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22"/>
                <w:szCs w:val="22"/>
                <w:color w:val="auto"/>
              </w:rPr>
              <w:t>($22)</w:t>
            </w:r>
          </w:p>
        </w:tc>
        <w:tc>
          <w:tcPr>
            <w:tcW w:w="900" w:type="dxa"/>
            <w:vAlign w:val="bottom"/>
            <w:gridSpan w:val="2"/>
          </w:tcPr>
          <w:p>
            <w:pPr>
              <w:jc w:val="right"/>
              <w:ind w:right="300"/>
              <w:spacing w:after="0"/>
              <w:rPr>
                <w:sz w:val="20"/>
                <w:szCs w:val="20"/>
                <w:color w:val="auto"/>
              </w:rPr>
            </w:pPr>
            <w:r>
              <w:rPr>
                <w:rFonts w:ascii="Arial" w:cs="Arial" w:eastAsia="Arial" w:hAnsi="Arial"/>
                <w:sz w:val="22"/>
                <w:szCs w:val="22"/>
                <w:color w:val="auto"/>
              </w:rPr>
              <w:t>$327</w:t>
            </w:r>
          </w:p>
        </w:tc>
        <w:tc>
          <w:tcPr>
            <w:tcW w:w="740" w:type="dxa"/>
            <w:vAlign w:val="bottom"/>
            <w:gridSpan w:val="2"/>
          </w:tcPr>
          <w:p>
            <w:pPr>
              <w:jc w:val="right"/>
              <w:ind w:right="60"/>
              <w:spacing w:after="0"/>
              <w:rPr>
                <w:sz w:val="20"/>
                <w:szCs w:val="20"/>
                <w:color w:val="auto"/>
              </w:rPr>
            </w:pPr>
            <w:r>
              <w:rPr>
                <w:rFonts w:ascii="Arial" w:cs="Arial" w:eastAsia="Arial" w:hAnsi="Arial"/>
                <w:sz w:val="22"/>
                <w:szCs w:val="22"/>
                <w:color w:val="auto"/>
              </w:rPr>
              <w:t>($319)</w:t>
            </w:r>
          </w:p>
        </w:tc>
        <w:tc>
          <w:tcPr>
            <w:tcW w:w="0" w:type="dxa"/>
            <w:vAlign w:val="bottom"/>
          </w:tcPr>
          <w:p>
            <w:pPr>
              <w:spacing w:after="0"/>
              <w:rPr>
                <w:sz w:val="1"/>
                <w:szCs w:val="1"/>
                <w:color w:val="auto"/>
              </w:rPr>
            </w:pPr>
          </w:p>
        </w:tc>
      </w:tr>
      <w:tr>
        <w:trPr>
          <w:trHeight w:val="243"/>
        </w:trPr>
        <w:tc>
          <w:tcPr>
            <w:tcW w:w="6700" w:type="dxa"/>
            <w:vAlign w:val="bottom"/>
          </w:tcPr>
          <w:p>
            <w:pPr>
              <w:spacing w:after="0" w:line="243" w:lineRule="exact"/>
              <w:rPr>
                <w:sz w:val="20"/>
                <w:szCs w:val="20"/>
                <w:color w:val="auto"/>
              </w:rPr>
            </w:pPr>
            <w:r>
              <w:rPr>
                <w:rFonts w:ascii="Arial" w:cs="Arial" w:eastAsia="Arial" w:hAnsi="Arial"/>
                <w:sz w:val="22"/>
                <w:szCs w:val="22"/>
                <w:color w:val="auto"/>
              </w:rPr>
              <w:t>Add: Total stock-based compensation expense</w:t>
            </w:r>
          </w:p>
        </w:tc>
        <w:tc>
          <w:tcPr>
            <w:tcW w:w="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00" w:type="dxa"/>
            <w:vAlign w:val="bottom"/>
          </w:tcPr>
          <w:p>
            <w:pPr>
              <w:ind w:left="120"/>
              <w:spacing w:after="0" w:line="243" w:lineRule="exact"/>
              <w:rPr>
                <w:sz w:val="20"/>
                <w:szCs w:val="20"/>
                <w:color w:val="auto"/>
              </w:rPr>
            </w:pPr>
            <w:r>
              <w:rPr>
                <w:rFonts w:ascii="Arial" w:cs="Arial" w:eastAsia="Arial" w:hAnsi="Arial"/>
                <w:sz w:val="22"/>
                <w:szCs w:val="22"/>
                <w:color w:val="auto"/>
              </w:rPr>
              <w:t>included in net income (loss), as reported above</w:t>
            </w:r>
          </w:p>
        </w:tc>
        <w:tc>
          <w:tcPr>
            <w:tcW w:w="620" w:type="dxa"/>
            <w:vAlign w:val="bottom"/>
          </w:tcPr>
          <w:p>
            <w:pPr>
              <w:jc w:val="right"/>
              <w:spacing w:after="0" w:line="243" w:lineRule="exact"/>
              <w:rPr>
                <w:sz w:val="20"/>
                <w:szCs w:val="20"/>
                <w:color w:val="auto"/>
              </w:rPr>
            </w:pPr>
            <w:r>
              <w:rPr>
                <w:rFonts w:ascii="Arial" w:cs="Arial" w:eastAsia="Arial" w:hAnsi="Arial"/>
                <w:sz w:val="22"/>
                <w:szCs w:val="22"/>
                <w:color w:val="auto"/>
              </w:rPr>
              <w:t>10</w:t>
            </w:r>
          </w:p>
        </w:tc>
        <w:tc>
          <w:tcPr>
            <w:tcW w:w="300" w:type="dxa"/>
            <w:vAlign w:val="bottom"/>
          </w:tcPr>
          <w:p>
            <w:pPr>
              <w:spacing w:after="0"/>
              <w:rPr>
                <w:sz w:val="21"/>
                <w:szCs w:val="21"/>
                <w:color w:val="auto"/>
              </w:rPr>
            </w:pPr>
          </w:p>
        </w:tc>
        <w:tc>
          <w:tcPr>
            <w:tcW w:w="620" w:type="dxa"/>
            <w:vAlign w:val="bottom"/>
          </w:tcPr>
          <w:p>
            <w:pPr>
              <w:jc w:val="right"/>
              <w:spacing w:after="0" w:line="243" w:lineRule="exact"/>
              <w:rPr>
                <w:sz w:val="20"/>
                <w:szCs w:val="20"/>
                <w:color w:val="auto"/>
              </w:rPr>
            </w:pPr>
            <w:r>
              <w:rPr>
                <w:rFonts w:ascii="Arial" w:cs="Arial" w:eastAsia="Arial" w:hAnsi="Arial"/>
                <w:sz w:val="22"/>
                <w:szCs w:val="22"/>
                <w:color w:val="auto"/>
              </w:rPr>
              <w:t>2</w:t>
            </w:r>
          </w:p>
        </w:tc>
        <w:tc>
          <w:tcPr>
            <w:tcW w:w="320" w:type="dxa"/>
            <w:vAlign w:val="bottom"/>
          </w:tcPr>
          <w:p>
            <w:pPr>
              <w:spacing w:after="0"/>
              <w:rPr>
                <w:sz w:val="21"/>
                <w:szCs w:val="21"/>
                <w:color w:val="auto"/>
              </w:rPr>
            </w:pPr>
          </w:p>
        </w:tc>
        <w:tc>
          <w:tcPr>
            <w:tcW w:w="900" w:type="dxa"/>
            <w:vAlign w:val="bottom"/>
            <w:gridSpan w:val="2"/>
          </w:tcPr>
          <w:p>
            <w:pPr>
              <w:jc w:val="right"/>
              <w:ind w:right="300"/>
              <w:spacing w:after="0" w:line="243" w:lineRule="exact"/>
              <w:rPr>
                <w:sz w:val="20"/>
                <w:szCs w:val="20"/>
                <w:color w:val="auto"/>
              </w:rPr>
            </w:pPr>
            <w:r>
              <w:rPr>
                <w:rFonts w:ascii="Arial" w:cs="Arial" w:eastAsia="Arial" w:hAnsi="Arial"/>
                <w:sz w:val="22"/>
                <w:szCs w:val="22"/>
                <w:color w:val="auto"/>
              </w:rPr>
              <w:t>15</w:t>
            </w:r>
          </w:p>
        </w:tc>
        <w:tc>
          <w:tcPr>
            <w:tcW w:w="600" w:type="dxa"/>
            <w:vAlign w:val="bottom"/>
          </w:tcPr>
          <w:p>
            <w:pPr>
              <w:jc w:val="right"/>
              <w:spacing w:after="0" w:line="243" w:lineRule="exact"/>
              <w:rPr>
                <w:sz w:val="20"/>
                <w:szCs w:val="20"/>
                <w:color w:val="auto"/>
              </w:rPr>
            </w:pPr>
            <w:r>
              <w:rPr>
                <w:rFonts w:ascii="Arial" w:cs="Arial" w:eastAsia="Arial" w:hAnsi="Arial"/>
                <w:sz w:val="22"/>
                <w:szCs w:val="22"/>
                <w:color w:val="auto"/>
              </w:rPr>
              <w:t>4</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00" w:type="dxa"/>
            <w:vAlign w:val="bottom"/>
          </w:tcPr>
          <w:p>
            <w:pPr>
              <w:spacing w:after="0" w:line="243" w:lineRule="exact"/>
              <w:rPr>
                <w:sz w:val="20"/>
                <w:szCs w:val="20"/>
                <w:color w:val="auto"/>
              </w:rPr>
            </w:pPr>
            <w:r>
              <w:rPr>
                <w:rFonts w:ascii="Arial" w:cs="Arial" w:eastAsia="Arial" w:hAnsi="Arial"/>
                <w:sz w:val="22"/>
                <w:szCs w:val="22"/>
                <w:color w:val="auto"/>
              </w:rPr>
              <w:t>Deduct: Total stock-based compensation expense determined</w:t>
            </w:r>
          </w:p>
        </w:tc>
        <w:tc>
          <w:tcPr>
            <w:tcW w:w="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00" w:type="dxa"/>
            <w:vAlign w:val="bottom"/>
          </w:tcPr>
          <w:p>
            <w:pPr>
              <w:ind w:left="120"/>
              <w:spacing w:after="0" w:line="243" w:lineRule="exact"/>
              <w:rPr>
                <w:sz w:val="20"/>
                <w:szCs w:val="20"/>
                <w:color w:val="auto"/>
              </w:rPr>
            </w:pPr>
            <w:r>
              <w:rPr>
                <w:rFonts w:ascii="Arial" w:cs="Arial" w:eastAsia="Arial" w:hAnsi="Arial"/>
                <w:sz w:val="22"/>
                <w:szCs w:val="22"/>
                <w:color w:val="auto"/>
              </w:rPr>
              <w:t>under fair value based method for all awards relating to</w:t>
            </w:r>
          </w:p>
        </w:tc>
        <w:tc>
          <w:tcPr>
            <w:tcW w:w="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00" w:type="dxa"/>
            <w:vAlign w:val="bottom"/>
          </w:tcPr>
          <w:p>
            <w:pPr>
              <w:ind w:left="120"/>
              <w:spacing w:after="0" w:line="243" w:lineRule="exact"/>
              <w:rPr>
                <w:sz w:val="20"/>
                <w:szCs w:val="20"/>
                <w:color w:val="auto"/>
              </w:rPr>
            </w:pPr>
            <w:r>
              <w:rPr>
                <w:rFonts w:ascii="Arial" w:cs="Arial" w:eastAsia="Arial" w:hAnsi="Arial"/>
                <w:sz w:val="22"/>
                <w:szCs w:val="22"/>
                <w:color w:val="auto"/>
              </w:rPr>
              <w:t>continuing operations, net of related tax effects</w:t>
            </w:r>
          </w:p>
        </w:tc>
        <w:tc>
          <w:tcPr>
            <w:tcW w:w="920" w:type="dxa"/>
            <w:vAlign w:val="bottom"/>
            <w:gridSpan w:val="2"/>
          </w:tcPr>
          <w:p>
            <w:pPr>
              <w:jc w:val="right"/>
              <w:ind w:right="240"/>
              <w:spacing w:after="0" w:line="243" w:lineRule="exact"/>
              <w:rPr>
                <w:sz w:val="20"/>
                <w:szCs w:val="20"/>
                <w:color w:val="auto"/>
              </w:rPr>
            </w:pPr>
            <w:r>
              <w:rPr>
                <w:rFonts w:ascii="Arial" w:cs="Arial" w:eastAsia="Arial" w:hAnsi="Arial"/>
                <w:sz w:val="22"/>
                <w:szCs w:val="22"/>
                <w:color w:val="auto"/>
              </w:rPr>
              <w:t>(48)</w:t>
            </w:r>
          </w:p>
        </w:tc>
        <w:tc>
          <w:tcPr>
            <w:tcW w:w="940" w:type="dxa"/>
            <w:vAlign w:val="bottom"/>
            <w:gridSpan w:val="2"/>
          </w:tcPr>
          <w:p>
            <w:pPr>
              <w:jc w:val="right"/>
              <w:ind w:right="240"/>
              <w:spacing w:after="0" w:line="243" w:lineRule="exact"/>
              <w:rPr>
                <w:sz w:val="20"/>
                <w:szCs w:val="20"/>
                <w:color w:val="auto"/>
              </w:rPr>
            </w:pPr>
            <w:r>
              <w:rPr>
                <w:rFonts w:ascii="Arial" w:cs="Arial" w:eastAsia="Arial" w:hAnsi="Arial"/>
                <w:sz w:val="22"/>
                <w:szCs w:val="22"/>
                <w:color w:val="auto"/>
              </w:rPr>
              <w:t>(41)</w:t>
            </w:r>
          </w:p>
        </w:tc>
        <w:tc>
          <w:tcPr>
            <w:tcW w:w="900" w:type="dxa"/>
            <w:vAlign w:val="bottom"/>
            <w:gridSpan w:val="2"/>
          </w:tcPr>
          <w:p>
            <w:pPr>
              <w:jc w:val="right"/>
              <w:ind w:right="220"/>
              <w:spacing w:after="0" w:line="243" w:lineRule="exact"/>
              <w:rPr>
                <w:sz w:val="20"/>
                <w:szCs w:val="20"/>
                <w:color w:val="auto"/>
              </w:rPr>
            </w:pPr>
            <w:r>
              <w:rPr>
                <w:rFonts w:ascii="Arial" w:cs="Arial" w:eastAsia="Arial" w:hAnsi="Arial"/>
                <w:sz w:val="22"/>
                <w:szCs w:val="22"/>
                <w:color w:val="auto"/>
              </w:rPr>
              <w:t>(81)</w:t>
            </w:r>
          </w:p>
        </w:tc>
        <w:tc>
          <w:tcPr>
            <w:tcW w:w="740" w:type="dxa"/>
            <w:vAlign w:val="bottom"/>
            <w:gridSpan w:val="2"/>
          </w:tcPr>
          <w:p>
            <w:pPr>
              <w:jc w:val="right"/>
              <w:ind w:right="60"/>
              <w:spacing w:after="0" w:line="243" w:lineRule="exact"/>
              <w:rPr>
                <w:sz w:val="20"/>
                <w:szCs w:val="20"/>
                <w:color w:val="auto"/>
              </w:rPr>
            </w:pPr>
            <w:r>
              <w:rPr>
                <w:rFonts w:ascii="Arial" w:cs="Arial" w:eastAsia="Arial" w:hAnsi="Arial"/>
                <w:sz w:val="22"/>
                <w:szCs w:val="22"/>
                <w:color w:val="auto"/>
              </w:rPr>
              <w:t>(76)</w:t>
            </w:r>
          </w:p>
        </w:tc>
        <w:tc>
          <w:tcPr>
            <w:tcW w:w="0" w:type="dxa"/>
            <w:vAlign w:val="bottom"/>
          </w:tcPr>
          <w:p>
            <w:pPr>
              <w:spacing w:after="0"/>
              <w:rPr>
                <w:sz w:val="1"/>
                <w:szCs w:val="1"/>
                <w:color w:val="auto"/>
              </w:rPr>
            </w:pPr>
          </w:p>
        </w:tc>
      </w:tr>
      <w:tr>
        <w:trPr>
          <w:trHeight w:val="243"/>
        </w:trPr>
        <w:tc>
          <w:tcPr>
            <w:tcW w:w="6700" w:type="dxa"/>
            <w:vAlign w:val="bottom"/>
          </w:tcPr>
          <w:p>
            <w:pPr>
              <w:spacing w:after="0" w:line="243" w:lineRule="exact"/>
              <w:rPr>
                <w:sz w:val="20"/>
                <w:szCs w:val="20"/>
                <w:color w:val="auto"/>
              </w:rPr>
            </w:pPr>
            <w:r>
              <w:rPr>
                <w:rFonts w:ascii="Arial" w:cs="Arial" w:eastAsia="Arial" w:hAnsi="Arial"/>
                <w:sz w:val="22"/>
                <w:szCs w:val="22"/>
                <w:color w:val="auto"/>
              </w:rPr>
              <w:t>Deduct: Total stock-based compensation expense determined</w:t>
            </w:r>
          </w:p>
        </w:tc>
        <w:tc>
          <w:tcPr>
            <w:tcW w:w="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00" w:type="dxa"/>
            <w:vAlign w:val="bottom"/>
          </w:tcPr>
          <w:p>
            <w:pPr>
              <w:ind w:left="120"/>
              <w:spacing w:after="0" w:line="243" w:lineRule="exact"/>
              <w:rPr>
                <w:sz w:val="20"/>
                <w:szCs w:val="20"/>
                <w:color w:val="auto"/>
              </w:rPr>
            </w:pPr>
            <w:r>
              <w:rPr>
                <w:rFonts w:ascii="Arial" w:cs="Arial" w:eastAsia="Arial" w:hAnsi="Arial"/>
                <w:sz w:val="22"/>
                <w:szCs w:val="22"/>
                <w:color w:val="auto"/>
              </w:rPr>
              <w:t>under fair value based method for all awards relating to</w:t>
            </w:r>
          </w:p>
        </w:tc>
        <w:tc>
          <w:tcPr>
            <w:tcW w:w="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6700" w:type="dxa"/>
            <w:vAlign w:val="bottom"/>
          </w:tcPr>
          <w:p>
            <w:pPr>
              <w:ind w:left="120"/>
              <w:spacing w:after="0"/>
              <w:rPr>
                <w:sz w:val="20"/>
                <w:szCs w:val="20"/>
                <w:color w:val="auto"/>
              </w:rPr>
            </w:pPr>
            <w:r>
              <w:rPr>
                <w:rFonts w:ascii="Arial" w:cs="Arial" w:eastAsia="Arial" w:hAnsi="Arial"/>
                <w:sz w:val="22"/>
                <w:szCs w:val="22"/>
                <w:color w:val="auto"/>
              </w:rPr>
              <w:t>discontinued operations, net of related tax effects</w:t>
            </w:r>
          </w:p>
        </w:tc>
        <w:tc>
          <w:tcPr>
            <w:tcW w:w="6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22"/>
                <w:szCs w:val="22"/>
                <w:color w:val="auto"/>
              </w:rPr>
              <w:t>(4)</w:t>
            </w:r>
          </w:p>
        </w:tc>
        <w:tc>
          <w:tcPr>
            <w:tcW w:w="6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22"/>
                <w:szCs w:val="22"/>
                <w:color w:val="auto"/>
              </w:rPr>
              <w:t>(7)</w:t>
            </w:r>
          </w:p>
        </w:tc>
        <w:tc>
          <w:tcPr>
            <w:tcW w:w="0" w:type="dxa"/>
            <w:vAlign w:val="bottom"/>
          </w:tcPr>
          <w:p>
            <w:pPr>
              <w:spacing w:after="0"/>
              <w:rPr>
                <w:sz w:val="1"/>
                <w:szCs w:val="1"/>
                <w:color w:val="auto"/>
              </w:rPr>
            </w:pPr>
          </w:p>
        </w:tc>
      </w:tr>
      <w:tr>
        <w:trPr>
          <w:trHeight w:val="98"/>
        </w:trPr>
        <w:tc>
          <w:tcPr>
            <w:tcW w:w="670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55"/>
        </w:trPr>
        <w:tc>
          <w:tcPr>
            <w:tcW w:w="6700" w:type="dxa"/>
            <w:vAlign w:val="bottom"/>
          </w:tcPr>
          <w:p>
            <w:pPr>
              <w:spacing w:after="0"/>
              <w:rPr>
                <w:sz w:val="20"/>
                <w:szCs w:val="20"/>
                <w:color w:val="auto"/>
              </w:rPr>
            </w:pPr>
            <w:r>
              <w:rPr>
                <w:rFonts w:ascii="Arial" w:cs="Arial" w:eastAsia="Arial" w:hAnsi="Arial"/>
                <w:sz w:val="22"/>
                <w:szCs w:val="22"/>
                <w:color w:val="auto"/>
              </w:rPr>
              <w:t>Pro forma, net income (loss)</w:t>
            </w:r>
          </w:p>
        </w:tc>
        <w:tc>
          <w:tcPr>
            <w:tcW w:w="620" w:type="dxa"/>
            <w:vAlign w:val="bottom"/>
          </w:tcPr>
          <w:p>
            <w:pPr>
              <w:jc w:val="right"/>
              <w:spacing w:after="0"/>
              <w:rPr>
                <w:sz w:val="20"/>
                <w:szCs w:val="20"/>
                <w:color w:val="auto"/>
              </w:rPr>
            </w:pPr>
            <w:r>
              <w:rPr>
                <w:rFonts w:ascii="Arial" w:cs="Arial" w:eastAsia="Arial" w:hAnsi="Arial"/>
                <w:sz w:val="22"/>
                <w:szCs w:val="22"/>
                <w:color w:val="auto"/>
              </w:rPr>
              <w:t>$224</w:t>
            </w:r>
          </w:p>
        </w:tc>
        <w:tc>
          <w:tcPr>
            <w:tcW w:w="300" w:type="dxa"/>
            <w:vAlign w:val="bottom"/>
          </w:tcPr>
          <w:p>
            <w:pPr>
              <w:spacing w:after="0"/>
              <w:rPr>
                <w:sz w:val="24"/>
                <w:szCs w:val="24"/>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22"/>
                <w:szCs w:val="22"/>
                <w:color w:val="auto"/>
              </w:rPr>
              <w:t>($65)</w:t>
            </w:r>
          </w:p>
        </w:tc>
        <w:tc>
          <w:tcPr>
            <w:tcW w:w="900" w:type="dxa"/>
            <w:vAlign w:val="bottom"/>
            <w:gridSpan w:val="2"/>
          </w:tcPr>
          <w:p>
            <w:pPr>
              <w:jc w:val="right"/>
              <w:ind w:right="300"/>
              <w:spacing w:after="0"/>
              <w:rPr>
                <w:sz w:val="20"/>
                <w:szCs w:val="20"/>
                <w:color w:val="auto"/>
              </w:rPr>
            </w:pPr>
            <w:r>
              <w:rPr>
                <w:rFonts w:ascii="Arial" w:cs="Arial" w:eastAsia="Arial" w:hAnsi="Arial"/>
                <w:sz w:val="22"/>
                <w:szCs w:val="22"/>
                <w:color w:val="auto"/>
              </w:rPr>
              <w:t>$261</w:t>
            </w:r>
          </w:p>
        </w:tc>
        <w:tc>
          <w:tcPr>
            <w:tcW w:w="740" w:type="dxa"/>
            <w:vAlign w:val="bottom"/>
            <w:gridSpan w:val="2"/>
          </w:tcPr>
          <w:p>
            <w:pPr>
              <w:jc w:val="right"/>
              <w:ind w:right="60"/>
              <w:spacing w:after="0"/>
              <w:rPr>
                <w:sz w:val="20"/>
                <w:szCs w:val="20"/>
                <w:color w:val="auto"/>
              </w:rPr>
            </w:pPr>
            <w:r>
              <w:rPr>
                <w:rFonts w:ascii="Arial" w:cs="Arial" w:eastAsia="Arial" w:hAnsi="Arial"/>
                <w:sz w:val="22"/>
                <w:szCs w:val="22"/>
                <w:color w:val="auto"/>
              </w:rPr>
              <w:t>($398)</w:t>
            </w:r>
          </w:p>
        </w:tc>
        <w:tc>
          <w:tcPr>
            <w:tcW w:w="0" w:type="dxa"/>
            <w:vAlign w:val="bottom"/>
          </w:tcPr>
          <w:p>
            <w:pPr>
              <w:spacing w:after="0"/>
              <w:rPr>
                <w:sz w:val="1"/>
                <w:szCs w:val="1"/>
                <w:color w:val="auto"/>
              </w:rPr>
            </w:pPr>
          </w:p>
        </w:tc>
      </w:tr>
      <w:tr>
        <w:trPr>
          <w:trHeight w:val="108"/>
        </w:trPr>
        <w:tc>
          <w:tcPr>
            <w:tcW w:w="6700" w:type="dxa"/>
            <w:vAlign w:val="bottom"/>
            <w:vMerge w:val="restart"/>
          </w:tcPr>
          <w:p>
            <w:pPr>
              <w:spacing w:after="0"/>
              <w:rPr>
                <w:sz w:val="20"/>
                <w:szCs w:val="20"/>
                <w:color w:val="auto"/>
              </w:rPr>
            </w:pPr>
            <w:r>
              <w:rPr>
                <w:rFonts w:ascii="Arial" w:cs="Arial" w:eastAsia="Arial" w:hAnsi="Arial"/>
                <w:sz w:val="22"/>
                <w:szCs w:val="22"/>
                <w:color w:val="auto"/>
              </w:rPr>
              <w:t>Basic earnings (loss) from continuing operations for common</w:t>
            </w:r>
          </w:p>
        </w:tc>
        <w:tc>
          <w:tcPr>
            <w:tcW w:w="62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6"/>
        </w:trPr>
        <w:tc>
          <w:tcPr>
            <w:tcW w:w="670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700" w:type="dxa"/>
            <w:vAlign w:val="bottom"/>
          </w:tcPr>
          <w:p>
            <w:pPr>
              <w:spacing w:after="0" w:line="243" w:lineRule="exact"/>
              <w:rPr>
                <w:sz w:val="20"/>
                <w:szCs w:val="20"/>
                <w:color w:val="auto"/>
              </w:rPr>
            </w:pPr>
            <w:r>
              <w:rPr>
                <w:rFonts w:ascii="Arial" w:cs="Arial" w:eastAsia="Arial" w:hAnsi="Arial"/>
                <w:sz w:val="22"/>
                <w:szCs w:val="22"/>
                <w:color w:val="auto"/>
              </w:rPr>
              <w:t>stockholders per common share:</w:t>
            </w:r>
          </w:p>
        </w:tc>
        <w:tc>
          <w:tcPr>
            <w:tcW w:w="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00" w:type="dxa"/>
            <w:vAlign w:val="bottom"/>
          </w:tcPr>
          <w:p>
            <w:pPr>
              <w:ind w:left="540"/>
              <w:spacing w:after="0" w:line="243" w:lineRule="exact"/>
              <w:rPr>
                <w:sz w:val="20"/>
                <w:szCs w:val="20"/>
                <w:color w:val="auto"/>
              </w:rPr>
            </w:pPr>
            <w:r>
              <w:rPr>
                <w:rFonts w:ascii="Arial" w:cs="Arial" w:eastAsia="Arial" w:hAnsi="Arial"/>
                <w:sz w:val="22"/>
                <w:szCs w:val="22"/>
                <w:color w:val="auto"/>
              </w:rPr>
              <w:t>As reported</w:t>
            </w:r>
          </w:p>
        </w:tc>
        <w:tc>
          <w:tcPr>
            <w:tcW w:w="620" w:type="dxa"/>
            <w:vAlign w:val="bottom"/>
          </w:tcPr>
          <w:p>
            <w:pPr>
              <w:jc w:val="right"/>
              <w:spacing w:after="0" w:line="243" w:lineRule="exact"/>
              <w:rPr>
                <w:sz w:val="20"/>
                <w:szCs w:val="20"/>
                <w:color w:val="auto"/>
              </w:rPr>
            </w:pPr>
            <w:r>
              <w:rPr>
                <w:rFonts w:ascii="Arial" w:cs="Arial" w:eastAsia="Arial" w:hAnsi="Arial"/>
                <w:sz w:val="22"/>
                <w:szCs w:val="22"/>
                <w:color w:val="auto"/>
              </w:rPr>
              <w:t>$0.12</w:t>
            </w:r>
          </w:p>
        </w:tc>
        <w:tc>
          <w:tcPr>
            <w:tcW w:w="300" w:type="dxa"/>
            <w:vAlign w:val="bottom"/>
          </w:tcPr>
          <w:p>
            <w:pPr>
              <w:spacing w:after="0"/>
              <w:rPr>
                <w:sz w:val="21"/>
                <w:szCs w:val="21"/>
                <w:color w:val="auto"/>
              </w:rPr>
            </w:pPr>
          </w:p>
        </w:tc>
        <w:tc>
          <w:tcPr>
            <w:tcW w:w="940" w:type="dxa"/>
            <w:vAlign w:val="bottom"/>
            <w:gridSpan w:val="2"/>
          </w:tcPr>
          <w:p>
            <w:pPr>
              <w:jc w:val="right"/>
              <w:ind w:right="240"/>
              <w:spacing w:after="0" w:line="243" w:lineRule="exact"/>
              <w:rPr>
                <w:sz w:val="20"/>
                <w:szCs w:val="20"/>
                <w:color w:val="auto"/>
              </w:rPr>
            </w:pPr>
            <w:r>
              <w:rPr>
                <w:rFonts w:ascii="Arial" w:cs="Arial" w:eastAsia="Arial" w:hAnsi="Arial"/>
                <w:sz w:val="22"/>
                <w:szCs w:val="22"/>
                <w:color w:val="auto"/>
                <w:w w:val="97"/>
              </w:rPr>
              <w:t>($0.04)</w:t>
            </w:r>
          </w:p>
        </w:tc>
        <w:tc>
          <w:tcPr>
            <w:tcW w:w="900" w:type="dxa"/>
            <w:vAlign w:val="bottom"/>
            <w:gridSpan w:val="2"/>
          </w:tcPr>
          <w:p>
            <w:pPr>
              <w:jc w:val="right"/>
              <w:ind w:right="300"/>
              <w:spacing w:after="0" w:line="243" w:lineRule="exact"/>
              <w:rPr>
                <w:sz w:val="20"/>
                <w:szCs w:val="20"/>
                <w:color w:val="auto"/>
              </w:rPr>
            </w:pPr>
            <w:r>
              <w:rPr>
                <w:rFonts w:ascii="Arial" w:cs="Arial" w:eastAsia="Arial" w:hAnsi="Arial"/>
                <w:sz w:val="22"/>
                <w:szCs w:val="22"/>
                <w:color w:val="auto"/>
              </w:rPr>
              <w:t>$0.14</w:t>
            </w:r>
          </w:p>
        </w:tc>
        <w:tc>
          <w:tcPr>
            <w:tcW w:w="740" w:type="dxa"/>
            <w:vAlign w:val="bottom"/>
            <w:gridSpan w:val="2"/>
          </w:tcPr>
          <w:p>
            <w:pPr>
              <w:jc w:val="right"/>
              <w:ind w:right="60"/>
              <w:spacing w:after="0" w:line="243" w:lineRule="exact"/>
              <w:rPr>
                <w:sz w:val="20"/>
                <w:szCs w:val="20"/>
                <w:color w:val="auto"/>
              </w:rPr>
            </w:pPr>
            <w:r>
              <w:rPr>
                <w:rFonts w:ascii="Arial" w:cs="Arial" w:eastAsia="Arial" w:hAnsi="Arial"/>
                <w:sz w:val="22"/>
                <w:szCs w:val="22"/>
                <w:color w:val="auto"/>
                <w:w w:val="94"/>
              </w:rPr>
              <w:t>($0.20)</w:t>
            </w:r>
          </w:p>
        </w:tc>
        <w:tc>
          <w:tcPr>
            <w:tcW w:w="0" w:type="dxa"/>
            <w:vAlign w:val="bottom"/>
          </w:tcPr>
          <w:p>
            <w:pPr>
              <w:spacing w:after="0"/>
              <w:rPr>
                <w:sz w:val="1"/>
                <w:szCs w:val="1"/>
                <w:color w:val="auto"/>
              </w:rPr>
            </w:pPr>
          </w:p>
        </w:tc>
      </w:tr>
      <w:tr>
        <w:trPr>
          <w:trHeight w:val="275"/>
        </w:trPr>
        <w:tc>
          <w:tcPr>
            <w:tcW w:w="6700" w:type="dxa"/>
            <w:vAlign w:val="bottom"/>
          </w:tcPr>
          <w:p>
            <w:pPr>
              <w:ind w:left="540"/>
              <w:spacing w:after="0"/>
              <w:rPr>
                <w:sz w:val="20"/>
                <w:szCs w:val="20"/>
                <w:color w:val="auto"/>
              </w:rPr>
            </w:pPr>
            <w:r>
              <w:rPr>
                <w:rFonts w:ascii="Arial" w:cs="Arial" w:eastAsia="Arial" w:hAnsi="Arial"/>
                <w:sz w:val="22"/>
                <w:szCs w:val="22"/>
                <w:color w:val="auto"/>
              </w:rPr>
              <w:t>Pro forma</w:t>
            </w:r>
          </w:p>
        </w:tc>
        <w:tc>
          <w:tcPr>
            <w:tcW w:w="620" w:type="dxa"/>
            <w:vAlign w:val="bottom"/>
          </w:tcPr>
          <w:p>
            <w:pPr>
              <w:jc w:val="right"/>
              <w:spacing w:after="0"/>
              <w:rPr>
                <w:sz w:val="20"/>
                <w:szCs w:val="20"/>
                <w:color w:val="auto"/>
              </w:rPr>
            </w:pPr>
            <w:r>
              <w:rPr>
                <w:rFonts w:ascii="Arial" w:cs="Arial" w:eastAsia="Arial" w:hAnsi="Arial"/>
                <w:sz w:val="22"/>
                <w:szCs w:val="22"/>
                <w:color w:val="auto"/>
              </w:rPr>
              <w:t>$0.10</w:t>
            </w:r>
          </w:p>
        </w:tc>
        <w:tc>
          <w:tcPr>
            <w:tcW w:w="300" w:type="dxa"/>
            <w:vAlign w:val="bottom"/>
          </w:tcPr>
          <w:p>
            <w:pPr>
              <w:spacing w:after="0"/>
              <w:rPr>
                <w:sz w:val="23"/>
                <w:szCs w:val="23"/>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22"/>
                <w:szCs w:val="22"/>
                <w:color w:val="auto"/>
                <w:w w:val="97"/>
              </w:rPr>
              <w:t>($0.06)</w:t>
            </w:r>
          </w:p>
        </w:tc>
        <w:tc>
          <w:tcPr>
            <w:tcW w:w="900" w:type="dxa"/>
            <w:vAlign w:val="bottom"/>
            <w:gridSpan w:val="2"/>
          </w:tcPr>
          <w:p>
            <w:pPr>
              <w:jc w:val="right"/>
              <w:ind w:right="300"/>
              <w:spacing w:after="0"/>
              <w:rPr>
                <w:sz w:val="20"/>
                <w:szCs w:val="20"/>
                <w:color w:val="auto"/>
              </w:rPr>
            </w:pPr>
            <w:r>
              <w:rPr>
                <w:rFonts w:ascii="Arial" w:cs="Arial" w:eastAsia="Arial" w:hAnsi="Arial"/>
                <w:sz w:val="22"/>
                <w:szCs w:val="22"/>
                <w:color w:val="auto"/>
              </w:rPr>
              <w:t>$0.12</w:t>
            </w:r>
          </w:p>
        </w:tc>
        <w:tc>
          <w:tcPr>
            <w:tcW w:w="740" w:type="dxa"/>
            <w:vAlign w:val="bottom"/>
            <w:gridSpan w:val="2"/>
          </w:tcPr>
          <w:p>
            <w:pPr>
              <w:jc w:val="right"/>
              <w:ind w:right="60"/>
              <w:spacing w:after="0"/>
              <w:rPr>
                <w:sz w:val="20"/>
                <w:szCs w:val="20"/>
                <w:color w:val="auto"/>
              </w:rPr>
            </w:pPr>
            <w:r>
              <w:rPr>
                <w:rFonts w:ascii="Arial" w:cs="Arial" w:eastAsia="Arial" w:hAnsi="Arial"/>
                <w:sz w:val="22"/>
                <w:szCs w:val="22"/>
                <w:color w:val="auto"/>
                <w:w w:val="94"/>
              </w:rPr>
              <w:t>($0.23)</w:t>
            </w:r>
          </w:p>
        </w:tc>
        <w:tc>
          <w:tcPr>
            <w:tcW w:w="0" w:type="dxa"/>
            <w:vAlign w:val="bottom"/>
          </w:tcPr>
          <w:p>
            <w:pPr>
              <w:spacing w:after="0"/>
              <w:rPr>
                <w:sz w:val="1"/>
                <w:szCs w:val="1"/>
                <w:color w:val="auto"/>
              </w:rPr>
            </w:pPr>
          </w:p>
        </w:tc>
      </w:tr>
      <w:tr>
        <w:trPr>
          <w:trHeight w:val="455"/>
        </w:trPr>
        <w:tc>
          <w:tcPr>
            <w:tcW w:w="6700" w:type="dxa"/>
            <w:vAlign w:val="bottom"/>
          </w:tcPr>
          <w:p>
            <w:pPr>
              <w:spacing w:after="0"/>
              <w:rPr>
                <w:sz w:val="20"/>
                <w:szCs w:val="20"/>
                <w:color w:val="auto"/>
              </w:rPr>
            </w:pPr>
            <w:r>
              <w:rPr>
                <w:rFonts w:ascii="Arial" w:cs="Arial" w:eastAsia="Arial" w:hAnsi="Arial"/>
                <w:sz w:val="22"/>
                <w:szCs w:val="22"/>
                <w:color w:val="auto"/>
              </w:rPr>
              <w:t>Diluted earnings (loss) from continuing operations for common</w:t>
            </w: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700" w:type="dxa"/>
            <w:vAlign w:val="bottom"/>
          </w:tcPr>
          <w:p>
            <w:pPr>
              <w:spacing w:after="0" w:line="243" w:lineRule="exact"/>
              <w:rPr>
                <w:sz w:val="20"/>
                <w:szCs w:val="20"/>
                <w:color w:val="auto"/>
              </w:rPr>
            </w:pPr>
            <w:r>
              <w:rPr>
                <w:rFonts w:ascii="Arial" w:cs="Arial" w:eastAsia="Arial" w:hAnsi="Arial"/>
                <w:sz w:val="22"/>
                <w:szCs w:val="22"/>
                <w:color w:val="auto"/>
              </w:rPr>
              <w:t>stockholders per common share:</w:t>
            </w:r>
          </w:p>
        </w:tc>
        <w:tc>
          <w:tcPr>
            <w:tcW w:w="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00" w:type="dxa"/>
            <w:vAlign w:val="bottom"/>
          </w:tcPr>
          <w:p>
            <w:pPr>
              <w:ind w:left="540"/>
              <w:spacing w:after="0" w:line="243" w:lineRule="exact"/>
              <w:rPr>
                <w:sz w:val="20"/>
                <w:szCs w:val="20"/>
                <w:color w:val="auto"/>
              </w:rPr>
            </w:pPr>
            <w:r>
              <w:rPr>
                <w:rFonts w:ascii="Arial" w:cs="Arial" w:eastAsia="Arial" w:hAnsi="Arial"/>
                <w:sz w:val="22"/>
                <w:szCs w:val="22"/>
                <w:color w:val="auto"/>
              </w:rPr>
              <w:t>As reported</w:t>
            </w:r>
          </w:p>
        </w:tc>
        <w:tc>
          <w:tcPr>
            <w:tcW w:w="620" w:type="dxa"/>
            <w:vAlign w:val="bottom"/>
          </w:tcPr>
          <w:p>
            <w:pPr>
              <w:jc w:val="right"/>
              <w:spacing w:after="0" w:line="243" w:lineRule="exact"/>
              <w:rPr>
                <w:sz w:val="20"/>
                <w:szCs w:val="20"/>
                <w:color w:val="auto"/>
              </w:rPr>
            </w:pPr>
            <w:r>
              <w:rPr>
                <w:rFonts w:ascii="Arial" w:cs="Arial" w:eastAsia="Arial" w:hAnsi="Arial"/>
                <w:sz w:val="22"/>
                <w:szCs w:val="22"/>
                <w:color w:val="auto"/>
              </w:rPr>
              <w:t>$0.12</w:t>
            </w:r>
          </w:p>
        </w:tc>
        <w:tc>
          <w:tcPr>
            <w:tcW w:w="300" w:type="dxa"/>
            <w:vAlign w:val="bottom"/>
          </w:tcPr>
          <w:p>
            <w:pPr>
              <w:spacing w:after="0"/>
              <w:rPr>
                <w:sz w:val="21"/>
                <w:szCs w:val="21"/>
                <w:color w:val="auto"/>
              </w:rPr>
            </w:pPr>
          </w:p>
        </w:tc>
        <w:tc>
          <w:tcPr>
            <w:tcW w:w="940" w:type="dxa"/>
            <w:vAlign w:val="bottom"/>
            <w:gridSpan w:val="2"/>
          </w:tcPr>
          <w:p>
            <w:pPr>
              <w:jc w:val="right"/>
              <w:ind w:right="240"/>
              <w:spacing w:after="0" w:line="243" w:lineRule="exact"/>
              <w:rPr>
                <w:sz w:val="20"/>
                <w:szCs w:val="20"/>
                <w:color w:val="auto"/>
              </w:rPr>
            </w:pPr>
            <w:r>
              <w:rPr>
                <w:rFonts w:ascii="Arial" w:cs="Arial" w:eastAsia="Arial" w:hAnsi="Arial"/>
                <w:sz w:val="22"/>
                <w:szCs w:val="22"/>
                <w:color w:val="auto"/>
                <w:w w:val="97"/>
              </w:rPr>
              <w:t>($0.04)</w:t>
            </w:r>
          </w:p>
        </w:tc>
        <w:tc>
          <w:tcPr>
            <w:tcW w:w="900" w:type="dxa"/>
            <w:vAlign w:val="bottom"/>
            <w:gridSpan w:val="2"/>
          </w:tcPr>
          <w:p>
            <w:pPr>
              <w:jc w:val="right"/>
              <w:ind w:right="300"/>
              <w:spacing w:after="0" w:line="243" w:lineRule="exact"/>
              <w:rPr>
                <w:sz w:val="20"/>
                <w:szCs w:val="20"/>
                <w:color w:val="auto"/>
              </w:rPr>
            </w:pPr>
            <w:r>
              <w:rPr>
                <w:rFonts w:ascii="Arial" w:cs="Arial" w:eastAsia="Arial" w:hAnsi="Arial"/>
                <w:sz w:val="22"/>
                <w:szCs w:val="22"/>
                <w:color w:val="auto"/>
              </w:rPr>
              <w:t>$0.14</w:t>
            </w:r>
          </w:p>
        </w:tc>
        <w:tc>
          <w:tcPr>
            <w:tcW w:w="740" w:type="dxa"/>
            <w:vAlign w:val="bottom"/>
            <w:gridSpan w:val="2"/>
          </w:tcPr>
          <w:p>
            <w:pPr>
              <w:jc w:val="right"/>
              <w:ind w:right="60"/>
              <w:spacing w:after="0" w:line="243" w:lineRule="exact"/>
              <w:rPr>
                <w:sz w:val="20"/>
                <w:szCs w:val="20"/>
                <w:color w:val="auto"/>
              </w:rPr>
            </w:pPr>
            <w:r>
              <w:rPr>
                <w:rFonts w:ascii="Arial" w:cs="Arial" w:eastAsia="Arial" w:hAnsi="Arial"/>
                <w:sz w:val="22"/>
                <w:szCs w:val="22"/>
                <w:color w:val="auto"/>
                <w:w w:val="94"/>
              </w:rPr>
              <w:t>($0.20)</w:t>
            </w:r>
          </w:p>
        </w:tc>
        <w:tc>
          <w:tcPr>
            <w:tcW w:w="0" w:type="dxa"/>
            <w:vAlign w:val="bottom"/>
          </w:tcPr>
          <w:p>
            <w:pPr>
              <w:spacing w:after="0"/>
              <w:rPr>
                <w:sz w:val="1"/>
                <w:szCs w:val="1"/>
                <w:color w:val="auto"/>
              </w:rPr>
            </w:pPr>
          </w:p>
        </w:tc>
      </w:tr>
      <w:tr>
        <w:trPr>
          <w:trHeight w:val="275"/>
        </w:trPr>
        <w:tc>
          <w:tcPr>
            <w:tcW w:w="6700" w:type="dxa"/>
            <w:vAlign w:val="bottom"/>
          </w:tcPr>
          <w:p>
            <w:pPr>
              <w:ind w:left="540"/>
              <w:spacing w:after="0"/>
              <w:rPr>
                <w:sz w:val="20"/>
                <w:szCs w:val="20"/>
                <w:color w:val="auto"/>
              </w:rPr>
            </w:pPr>
            <w:r>
              <w:rPr>
                <w:rFonts w:ascii="Arial" w:cs="Arial" w:eastAsia="Arial" w:hAnsi="Arial"/>
                <w:sz w:val="22"/>
                <w:szCs w:val="22"/>
                <w:color w:val="auto"/>
              </w:rPr>
              <w:t>Pro forma</w:t>
            </w:r>
          </w:p>
        </w:tc>
        <w:tc>
          <w:tcPr>
            <w:tcW w:w="620" w:type="dxa"/>
            <w:vAlign w:val="bottom"/>
          </w:tcPr>
          <w:p>
            <w:pPr>
              <w:jc w:val="right"/>
              <w:spacing w:after="0"/>
              <w:rPr>
                <w:sz w:val="20"/>
                <w:szCs w:val="20"/>
                <w:color w:val="auto"/>
              </w:rPr>
            </w:pPr>
            <w:r>
              <w:rPr>
                <w:rFonts w:ascii="Arial" w:cs="Arial" w:eastAsia="Arial" w:hAnsi="Arial"/>
                <w:sz w:val="22"/>
                <w:szCs w:val="22"/>
                <w:color w:val="auto"/>
              </w:rPr>
              <w:t>$0.10</w:t>
            </w:r>
          </w:p>
        </w:tc>
        <w:tc>
          <w:tcPr>
            <w:tcW w:w="300" w:type="dxa"/>
            <w:vAlign w:val="bottom"/>
          </w:tcPr>
          <w:p>
            <w:pPr>
              <w:spacing w:after="0"/>
              <w:rPr>
                <w:sz w:val="23"/>
                <w:szCs w:val="23"/>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22"/>
                <w:szCs w:val="22"/>
                <w:color w:val="auto"/>
                <w:w w:val="97"/>
              </w:rPr>
              <w:t>($0.06)</w:t>
            </w:r>
          </w:p>
        </w:tc>
        <w:tc>
          <w:tcPr>
            <w:tcW w:w="900" w:type="dxa"/>
            <w:vAlign w:val="bottom"/>
            <w:gridSpan w:val="2"/>
          </w:tcPr>
          <w:p>
            <w:pPr>
              <w:jc w:val="right"/>
              <w:ind w:right="300"/>
              <w:spacing w:after="0"/>
              <w:rPr>
                <w:sz w:val="20"/>
                <w:szCs w:val="20"/>
                <w:color w:val="auto"/>
              </w:rPr>
            </w:pPr>
            <w:r>
              <w:rPr>
                <w:rFonts w:ascii="Arial" w:cs="Arial" w:eastAsia="Arial" w:hAnsi="Arial"/>
                <w:sz w:val="22"/>
                <w:szCs w:val="22"/>
                <w:color w:val="auto"/>
              </w:rPr>
              <w:t>$0.12</w:t>
            </w:r>
          </w:p>
        </w:tc>
        <w:tc>
          <w:tcPr>
            <w:tcW w:w="740" w:type="dxa"/>
            <w:vAlign w:val="bottom"/>
            <w:gridSpan w:val="2"/>
          </w:tcPr>
          <w:p>
            <w:pPr>
              <w:jc w:val="right"/>
              <w:ind w:right="60"/>
              <w:spacing w:after="0"/>
              <w:rPr>
                <w:sz w:val="20"/>
                <w:szCs w:val="20"/>
                <w:color w:val="auto"/>
              </w:rPr>
            </w:pPr>
            <w:r>
              <w:rPr>
                <w:rFonts w:ascii="Arial" w:cs="Arial" w:eastAsia="Arial" w:hAnsi="Arial"/>
                <w:sz w:val="22"/>
                <w:szCs w:val="22"/>
                <w:color w:val="auto"/>
                <w:w w:val="94"/>
              </w:rPr>
              <w:t>($0.23)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4634230</wp:posOffset>
            </wp:positionH>
            <wp:positionV relativeFrom="paragraph">
              <wp:posOffset>-1476375</wp:posOffset>
            </wp:positionV>
            <wp:extent cx="1270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-1476375</wp:posOffset>
            </wp:positionV>
            <wp:extent cx="1270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-1476375</wp:posOffset>
            </wp:positionV>
            <wp:extent cx="1270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-1476375</wp:posOffset>
            </wp:positionV>
            <wp:extent cx="1270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-1476375</wp:posOffset>
            </wp:positionV>
            <wp:extent cx="1270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-1476375</wp:posOffset>
            </wp:positionV>
            <wp:extent cx="1270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-1476375</wp:posOffset>
            </wp:positionV>
            <wp:extent cx="1270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-1476375</wp:posOffset>
            </wp:positionV>
            <wp:extent cx="1270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2" w:lineRule="exact"/>
        <w:rPr>
          <w:sz w:val="20"/>
          <w:szCs w:val="20"/>
          <w:color w:val="auto"/>
        </w:rPr>
      </w:pPr>
    </w:p>
    <w:p>
      <w:pPr>
        <w:spacing w:after="0"/>
        <w:rPr>
          <w:sz w:val="20"/>
          <w:szCs w:val="20"/>
          <w:color w:val="auto"/>
        </w:rPr>
      </w:pPr>
      <w:r>
        <w:rPr>
          <w:rFonts w:ascii="Arial" w:cs="Arial" w:eastAsia="Arial" w:hAnsi="Arial"/>
          <w:sz w:val="22"/>
          <w:szCs w:val="22"/>
          <w:color w:val="auto"/>
        </w:rPr>
        <w:t>Basic earnings (loss) for common stockholders per common share:</w:t>
      </w:r>
    </w:p>
    <w:p>
      <w:pPr>
        <w:sectPr>
          <w:pgSz w:w="11900" w:h="16838" w:orient="portrait"/>
          <w:cols w:equalWidth="0" w:num="1">
            <w:col w:w="11420"/>
          </w:cols>
          <w:pgMar w:left="240" w:top="118" w:right="239" w:bottom="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53"/>
        </w:trPr>
        <w:tc>
          <w:tcPr>
            <w:tcW w:w="6380" w:type="dxa"/>
            <w:vAlign w:val="bottom"/>
          </w:tcPr>
          <w:p>
            <w:pPr>
              <w:ind w:left="540"/>
              <w:spacing w:after="0"/>
              <w:rPr>
                <w:sz w:val="20"/>
                <w:szCs w:val="20"/>
                <w:color w:val="auto"/>
              </w:rPr>
            </w:pPr>
            <w:r>
              <w:rPr>
                <w:rFonts w:ascii="Arial" w:cs="Arial" w:eastAsia="Arial" w:hAnsi="Arial"/>
                <w:sz w:val="22"/>
                <w:szCs w:val="22"/>
                <w:color w:val="auto"/>
              </w:rPr>
              <w:t>As reported</w:t>
            </w:r>
          </w:p>
        </w:tc>
        <w:tc>
          <w:tcPr>
            <w:tcW w:w="1120" w:type="dxa"/>
            <w:vAlign w:val="bottom"/>
          </w:tcPr>
          <w:p>
            <w:pPr>
              <w:jc w:val="right"/>
              <w:ind w:right="72"/>
              <w:spacing w:after="0"/>
              <w:rPr>
                <w:sz w:val="20"/>
                <w:szCs w:val="20"/>
                <w:color w:val="auto"/>
              </w:rPr>
            </w:pPr>
            <w:r>
              <w:rPr>
                <w:rFonts w:ascii="Arial" w:cs="Arial" w:eastAsia="Arial" w:hAnsi="Arial"/>
                <w:sz w:val="22"/>
                <w:szCs w:val="22"/>
                <w:color w:val="auto"/>
              </w:rPr>
              <w:t>$0.12</w:t>
            </w:r>
          </w:p>
        </w:tc>
        <w:tc>
          <w:tcPr>
            <w:tcW w:w="1000" w:type="dxa"/>
            <w:vAlign w:val="bottom"/>
          </w:tcPr>
          <w:p>
            <w:pPr>
              <w:jc w:val="right"/>
              <w:ind w:right="72"/>
              <w:spacing w:after="0"/>
              <w:rPr>
                <w:sz w:val="20"/>
                <w:szCs w:val="20"/>
                <w:color w:val="auto"/>
              </w:rPr>
            </w:pPr>
            <w:r>
              <w:rPr>
                <w:rFonts w:ascii="Arial" w:cs="Arial" w:eastAsia="Arial" w:hAnsi="Arial"/>
                <w:sz w:val="22"/>
                <w:szCs w:val="22"/>
                <w:color w:val="auto"/>
              </w:rPr>
              <w:t>($0.01)</w:t>
            </w:r>
          </w:p>
        </w:tc>
        <w:tc>
          <w:tcPr>
            <w:tcW w:w="840" w:type="dxa"/>
            <w:vAlign w:val="bottom"/>
          </w:tcPr>
          <w:p>
            <w:pPr>
              <w:jc w:val="right"/>
              <w:ind w:right="72"/>
              <w:spacing w:after="0"/>
              <w:rPr>
                <w:sz w:val="20"/>
                <w:szCs w:val="20"/>
                <w:color w:val="auto"/>
              </w:rPr>
            </w:pPr>
            <w:r>
              <w:rPr>
                <w:rFonts w:ascii="Arial" w:cs="Arial" w:eastAsia="Arial" w:hAnsi="Arial"/>
                <w:sz w:val="22"/>
                <w:szCs w:val="22"/>
                <w:color w:val="auto"/>
              </w:rPr>
              <w:t>$0.14</w:t>
            </w:r>
          </w:p>
        </w:tc>
        <w:tc>
          <w:tcPr>
            <w:tcW w:w="800" w:type="dxa"/>
            <w:vAlign w:val="bottom"/>
          </w:tcPr>
          <w:p>
            <w:pPr>
              <w:jc w:val="right"/>
              <w:spacing w:after="0"/>
              <w:rPr>
                <w:sz w:val="20"/>
                <w:szCs w:val="20"/>
                <w:color w:val="auto"/>
              </w:rPr>
            </w:pPr>
            <w:r>
              <w:rPr>
                <w:rFonts w:ascii="Arial" w:cs="Arial" w:eastAsia="Arial" w:hAnsi="Arial"/>
                <w:sz w:val="22"/>
                <w:szCs w:val="22"/>
                <w:color w:val="auto"/>
              </w:rPr>
              <w:t>($0.14)</w:t>
            </w:r>
          </w:p>
        </w:tc>
      </w:tr>
      <w:tr>
        <w:trPr>
          <w:trHeight w:val="275"/>
        </w:trPr>
        <w:tc>
          <w:tcPr>
            <w:tcW w:w="6380" w:type="dxa"/>
            <w:vAlign w:val="bottom"/>
          </w:tcPr>
          <w:p>
            <w:pPr>
              <w:ind w:left="540"/>
              <w:spacing w:after="0"/>
              <w:rPr>
                <w:sz w:val="20"/>
                <w:szCs w:val="20"/>
                <w:color w:val="auto"/>
              </w:rPr>
            </w:pPr>
            <w:r>
              <w:rPr>
                <w:rFonts w:ascii="Arial" w:cs="Arial" w:eastAsia="Arial" w:hAnsi="Arial"/>
                <w:sz w:val="22"/>
                <w:szCs w:val="22"/>
                <w:color w:val="auto"/>
              </w:rPr>
              <w:t>Pro forma</w:t>
            </w:r>
          </w:p>
        </w:tc>
        <w:tc>
          <w:tcPr>
            <w:tcW w:w="1120" w:type="dxa"/>
            <w:vAlign w:val="bottom"/>
          </w:tcPr>
          <w:p>
            <w:pPr>
              <w:jc w:val="right"/>
              <w:ind w:right="72"/>
              <w:spacing w:after="0"/>
              <w:rPr>
                <w:sz w:val="20"/>
                <w:szCs w:val="20"/>
                <w:color w:val="auto"/>
              </w:rPr>
            </w:pPr>
            <w:r>
              <w:rPr>
                <w:rFonts w:ascii="Arial" w:cs="Arial" w:eastAsia="Arial" w:hAnsi="Arial"/>
                <w:sz w:val="22"/>
                <w:szCs w:val="22"/>
                <w:color w:val="auto"/>
              </w:rPr>
              <w:t>$0.10</w:t>
            </w:r>
          </w:p>
        </w:tc>
        <w:tc>
          <w:tcPr>
            <w:tcW w:w="1000" w:type="dxa"/>
            <w:vAlign w:val="bottom"/>
          </w:tcPr>
          <w:p>
            <w:pPr>
              <w:jc w:val="right"/>
              <w:ind w:right="72"/>
              <w:spacing w:after="0"/>
              <w:rPr>
                <w:sz w:val="20"/>
                <w:szCs w:val="20"/>
                <w:color w:val="auto"/>
              </w:rPr>
            </w:pPr>
            <w:r>
              <w:rPr>
                <w:rFonts w:ascii="Arial" w:cs="Arial" w:eastAsia="Arial" w:hAnsi="Arial"/>
                <w:sz w:val="22"/>
                <w:szCs w:val="22"/>
                <w:color w:val="auto"/>
              </w:rPr>
              <w:t>($0.03)</w:t>
            </w:r>
          </w:p>
        </w:tc>
        <w:tc>
          <w:tcPr>
            <w:tcW w:w="840" w:type="dxa"/>
            <w:vAlign w:val="bottom"/>
          </w:tcPr>
          <w:p>
            <w:pPr>
              <w:jc w:val="right"/>
              <w:ind w:right="72"/>
              <w:spacing w:after="0"/>
              <w:rPr>
                <w:sz w:val="20"/>
                <w:szCs w:val="20"/>
                <w:color w:val="auto"/>
              </w:rPr>
            </w:pPr>
            <w:r>
              <w:rPr>
                <w:rFonts w:ascii="Arial" w:cs="Arial" w:eastAsia="Arial" w:hAnsi="Arial"/>
                <w:sz w:val="22"/>
                <w:szCs w:val="22"/>
                <w:color w:val="auto"/>
              </w:rPr>
              <w:t>$0.12</w:t>
            </w:r>
          </w:p>
        </w:tc>
        <w:tc>
          <w:tcPr>
            <w:tcW w:w="800" w:type="dxa"/>
            <w:vAlign w:val="bottom"/>
          </w:tcPr>
          <w:p>
            <w:pPr>
              <w:jc w:val="right"/>
              <w:spacing w:after="0"/>
              <w:rPr>
                <w:sz w:val="20"/>
                <w:szCs w:val="20"/>
                <w:color w:val="auto"/>
              </w:rPr>
            </w:pPr>
            <w:r>
              <w:rPr>
                <w:rFonts w:ascii="Arial" w:cs="Arial" w:eastAsia="Arial" w:hAnsi="Arial"/>
                <w:sz w:val="22"/>
                <w:szCs w:val="22"/>
                <w:color w:val="auto"/>
              </w:rPr>
              <w:t>($0.18)</w:t>
            </w:r>
          </w:p>
        </w:tc>
      </w:tr>
      <w:tr>
        <w:trPr>
          <w:trHeight w:val="455"/>
        </w:trPr>
        <w:tc>
          <w:tcPr>
            <w:tcW w:w="6380" w:type="dxa"/>
            <w:vAlign w:val="bottom"/>
          </w:tcPr>
          <w:p>
            <w:pPr>
              <w:spacing w:after="0"/>
              <w:rPr>
                <w:sz w:val="20"/>
                <w:szCs w:val="20"/>
                <w:color w:val="auto"/>
              </w:rPr>
            </w:pPr>
            <w:r>
              <w:rPr>
                <w:rFonts w:ascii="Arial" w:cs="Arial" w:eastAsia="Arial" w:hAnsi="Arial"/>
                <w:sz w:val="22"/>
                <w:szCs w:val="22"/>
                <w:color w:val="auto"/>
                <w:w w:val="95"/>
              </w:rPr>
              <w:t>Diluted earnings (loss) for common stockholders per common share:</w:t>
            </w:r>
          </w:p>
        </w:tc>
        <w:tc>
          <w:tcPr>
            <w:tcW w:w="1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43"/>
        </w:trPr>
        <w:tc>
          <w:tcPr>
            <w:tcW w:w="6380" w:type="dxa"/>
            <w:vAlign w:val="bottom"/>
          </w:tcPr>
          <w:p>
            <w:pPr>
              <w:ind w:left="540"/>
              <w:spacing w:after="0" w:line="243" w:lineRule="exact"/>
              <w:rPr>
                <w:sz w:val="20"/>
                <w:szCs w:val="20"/>
                <w:color w:val="auto"/>
              </w:rPr>
            </w:pPr>
            <w:r>
              <w:rPr>
                <w:rFonts w:ascii="Arial" w:cs="Arial" w:eastAsia="Arial" w:hAnsi="Arial"/>
                <w:sz w:val="22"/>
                <w:szCs w:val="22"/>
                <w:color w:val="auto"/>
              </w:rPr>
              <w:t>As reported</w:t>
            </w:r>
          </w:p>
        </w:tc>
        <w:tc>
          <w:tcPr>
            <w:tcW w:w="1120" w:type="dxa"/>
            <w:vAlign w:val="bottom"/>
          </w:tcPr>
          <w:p>
            <w:pPr>
              <w:jc w:val="right"/>
              <w:ind w:right="72"/>
              <w:spacing w:after="0" w:line="243" w:lineRule="exact"/>
              <w:rPr>
                <w:sz w:val="20"/>
                <w:szCs w:val="20"/>
                <w:color w:val="auto"/>
              </w:rPr>
            </w:pPr>
            <w:r>
              <w:rPr>
                <w:rFonts w:ascii="Arial" w:cs="Arial" w:eastAsia="Arial" w:hAnsi="Arial"/>
                <w:sz w:val="22"/>
                <w:szCs w:val="22"/>
                <w:color w:val="auto"/>
              </w:rPr>
              <w:t>$0.12</w:t>
            </w:r>
          </w:p>
        </w:tc>
        <w:tc>
          <w:tcPr>
            <w:tcW w:w="1000" w:type="dxa"/>
            <w:vAlign w:val="bottom"/>
          </w:tcPr>
          <w:p>
            <w:pPr>
              <w:jc w:val="right"/>
              <w:ind w:right="72"/>
              <w:spacing w:after="0" w:line="243" w:lineRule="exact"/>
              <w:rPr>
                <w:sz w:val="20"/>
                <w:szCs w:val="20"/>
                <w:color w:val="auto"/>
              </w:rPr>
            </w:pPr>
            <w:r>
              <w:rPr>
                <w:rFonts w:ascii="Arial" w:cs="Arial" w:eastAsia="Arial" w:hAnsi="Arial"/>
                <w:sz w:val="22"/>
                <w:szCs w:val="22"/>
                <w:color w:val="auto"/>
              </w:rPr>
              <w:t>($0.01)</w:t>
            </w:r>
          </w:p>
        </w:tc>
        <w:tc>
          <w:tcPr>
            <w:tcW w:w="840" w:type="dxa"/>
            <w:vAlign w:val="bottom"/>
          </w:tcPr>
          <w:p>
            <w:pPr>
              <w:jc w:val="right"/>
              <w:ind w:right="72"/>
              <w:spacing w:after="0" w:line="243" w:lineRule="exact"/>
              <w:rPr>
                <w:sz w:val="20"/>
                <w:szCs w:val="20"/>
                <w:color w:val="auto"/>
              </w:rPr>
            </w:pPr>
            <w:r>
              <w:rPr>
                <w:rFonts w:ascii="Arial" w:cs="Arial" w:eastAsia="Arial" w:hAnsi="Arial"/>
                <w:sz w:val="22"/>
                <w:szCs w:val="22"/>
                <w:color w:val="auto"/>
              </w:rPr>
              <w:t>$0.14</w:t>
            </w:r>
          </w:p>
        </w:tc>
        <w:tc>
          <w:tcPr>
            <w:tcW w:w="800" w:type="dxa"/>
            <w:vAlign w:val="bottom"/>
          </w:tcPr>
          <w:p>
            <w:pPr>
              <w:jc w:val="right"/>
              <w:spacing w:after="0" w:line="243" w:lineRule="exact"/>
              <w:rPr>
                <w:sz w:val="20"/>
                <w:szCs w:val="20"/>
                <w:color w:val="auto"/>
              </w:rPr>
            </w:pPr>
            <w:r>
              <w:rPr>
                <w:rFonts w:ascii="Arial" w:cs="Arial" w:eastAsia="Arial" w:hAnsi="Arial"/>
                <w:sz w:val="22"/>
                <w:szCs w:val="22"/>
                <w:color w:val="auto"/>
              </w:rPr>
              <w:t>($0.14)</w:t>
            </w:r>
          </w:p>
        </w:tc>
      </w:tr>
      <w:tr>
        <w:trPr>
          <w:trHeight w:val="275"/>
        </w:trPr>
        <w:tc>
          <w:tcPr>
            <w:tcW w:w="6380" w:type="dxa"/>
            <w:vAlign w:val="bottom"/>
          </w:tcPr>
          <w:p>
            <w:pPr>
              <w:ind w:left="540"/>
              <w:spacing w:after="0"/>
              <w:rPr>
                <w:sz w:val="20"/>
                <w:szCs w:val="20"/>
                <w:color w:val="auto"/>
              </w:rPr>
            </w:pPr>
            <w:r>
              <w:rPr>
                <w:rFonts w:ascii="Arial" w:cs="Arial" w:eastAsia="Arial" w:hAnsi="Arial"/>
                <w:sz w:val="22"/>
                <w:szCs w:val="22"/>
                <w:color w:val="auto"/>
              </w:rPr>
              <w:t>Pro forma</w:t>
            </w:r>
          </w:p>
        </w:tc>
        <w:tc>
          <w:tcPr>
            <w:tcW w:w="1120" w:type="dxa"/>
            <w:vAlign w:val="bottom"/>
          </w:tcPr>
          <w:p>
            <w:pPr>
              <w:jc w:val="right"/>
              <w:ind w:right="72"/>
              <w:spacing w:after="0"/>
              <w:rPr>
                <w:sz w:val="20"/>
                <w:szCs w:val="20"/>
                <w:color w:val="auto"/>
              </w:rPr>
            </w:pPr>
            <w:r>
              <w:rPr>
                <w:rFonts w:ascii="Arial" w:cs="Arial" w:eastAsia="Arial" w:hAnsi="Arial"/>
                <w:sz w:val="22"/>
                <w:szCs w:val="22"/>
                <w:color w:val="auto"/>
              </w:rPr>
              <w:t>$0.10</w:t>
            </w:r>
          </w:p>
        </w:tc>
        <w:tc>
          <w:tcPr>
            <w:tcW w:w="1000" w:type="dxa"/>
            <w:vAlign w:val="bottom"/>
          </w:tcPr>
          <w:p>
            <w:pPr>
              <w:jc w:val="right"/>
              <w:ind w:right="72"/>
              <w:spacing w:after="0"/>
              <w:rPr>
                <w:sz w:val="20"/>
                <w:szCs w:val="20"/>
                <w:color w:val="auto"/>
              </w:rPr>
            </w:pPr>
            <w:r>
              <w:rPr>
                <w:rFonts w:ascii="Arial" w:cs="Arial" w:eastAsia="Arial" w:hAnsi="Arial"/>
                <w:sz w:val="22"/>
                <w:szCs w:val="22"/>
                <w:color w:val="auto"/>
              </w:rPr>
              <w:t>($0.03)</w:t>
            </w:r>
          </w:p>
        </w:tc>
        <w:tc>
          <w:tcPr>
            <w:tcW w:w="840" w:type="dxa"/>
            <w:vAlign w:val="bottom"/>
          </w:tcPr>
          <w:p>
            <w:pPr>
              <w:jc w:val="right"/>
              <w:ind w:right="72"/>
              <w:spacing w:after="0"/>
              <w:rPr>
                <w:sz w:val="20"/>
                <w:szCs w:val="20"/>
                <w:color w:val="auto"/>
              </w:rPr>
            </w:pPr>
            <w:r>
              <w:rPr>
                <w:rFonts w:ascii="Arial" w:cs="Arial" w:eastAsia="Arial" w:hAnsi="Arial"/>
                <w:sz w:val="22"/>
                <w:szCs w:val="22"/>
                <w:color w:val="auto"/>
              </w:rPr>
              <w:t>$0.12</w:t>
            </w:r>
          </w:p>
        </w:tc>
        <w:tc>
          <w:tcPr>
            <w:tcW w:w="800" w:type="dxa"/>
            <w:vAlign w:val="bottom"/>
          </w:tcPr>
          <w:p>
            <w:pPr>
              <w:jc w:val="right"/>
              <w:spacing w:after="0"/>
              <w:rPr>
                <w:sz w:val="20"/>
                <w:szCs w:val="20"/>
                <w:color w:val="auto"/>
              </w:rPr>
            </w:pPr>
            <w:r>
              <w:rPr>
                <w:rFonts w:ascii="Arial" w:cs="Arial" w:eastAsia="Arial" w:hAnsi="Arial"/>
                <w:sz w:val="22"/>
                <w:szCs w:val="22"/>
                <w:color w:val="auto"/>
              </w:rPr>
              <w:t>($0.18)</w:t>
            </w:r>
          </w:p>
        </w:tc>
      </w:tr>
    </w:tbl>
    <w:p>
      <w:pPr>
        <w:spacing w:after="0" w:line="212" w:lineRule="exact"/>
        <w:rPr>
          <w:sz w:val="20"/>
          <w:szCs w:val="20"/>
          <w:color w:val="auto"/>
        </w:rPr>
      </w:pPr>
    </w:p>
    <w:p>
      <w:pPr>
        <w:ind w:left="460"/>
        <w:spacing w:after="0"/>
        <w:rPr>
          <w:sz w:val="20"/>
          <w:szCs w:val="20"/>
          <w:color w:val="auto"/>
        </w:rPr>
      </w:pPr>
      <w:r>
        <w:rPr>
          <w:rFonts w:ascii="Arial" w:cs="Arial" w:eastAsia="Arial" w:hAnsi="Arial"/>
          <w:sz w:val="22"/>
          <w:szCs w:val="22"/>
          <w:color w:val="auto"/>
        </w:rPr>
        <w:t>The pro forma effect on net income (loss) and net income (loss) per share for the interim periods by applying SFAS No. 123 may not be indicative of the effect on net income (loss) in future years because additional awards in future years are anticipated.</w:t>
      </w:r>
    </w:p>
    <w:p>
      <w:pPr>
        <w:spacing w:after="0" w:line="200" w:lineRule="exact"/>
        <w:rPr>
          <w:sz w:val="20"/>
          <w:szCs w:val="20"/>
          <w:color w:val="auto"/>
        </w:rPr>
      </w:pPr>
    </w:p>
    <w:p>
      <w:pPr>
        <w:spacing w:after="0" w:line="230"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6376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jc w:val="center"/>
        <w:ind w:right="-179"/>
        <w:spacing w:after="0"/>
        <w:rPr>
          <w:sz w:val="20"/>
          <w:szCs w:val="20"/>
          <w:color w:val="auto"/>
        </w:rPr>
      </w:pPr>
      <w:r>
        <w:rPr>
          <w:rFonts w:ascii="Arial" w:cs="Arial" w:eastAsia="Arial" w:hAnsi="Arial"/>
          <w:sz w:val="22"/>
          <w:szCs w:val="22"/>
          <w:color w:val="auto"/>
        </w:rPr>
        <w:t>COMCAST CORPORATION AND SUBSIDIARIES</w:t>
      </w:r>
    </w:p>
    <w:p>
      <w:pPr>
        <w:jc w:val="center"/>
        <w:ind w:right="-179"/>
        <w:spacing w:after="0" w:line="238" w:lineRule="auto"/>
        <w:rPr>
          <w:sz w:val="20"/>
          <w:szCs w:val="20"/>
          <w:color w:val="auto"/>
        </w:rPr>
      </w:pPr>
      <w:r>
        <w:rPr>
          <w:rFonts w:ascii="Arial" w:cs="Arial" w:eastAsia="Arial" w:hAnsi="Arial"/>
          <w:sz w:val="22"/>
          <w:szCs w:val="22"/>
          <w:color w:val="auto"/>
        </w:rPr>
        <w:t>FORM 10-Q</w:t>
      </w:r>
    </w:p>
    <w:p>
      <w:pPr>
        <w:jc w:val="center"/>
        <w:ind w:right="-179"/>
        <w:spacing w:after="0" w:line="230" w:lineRule="auto"/>
        <w:rPr>
          <w:sz w:val="20"/>
          <w:szCs w:val="20"/>
          <w:color w:val="auto"/>
        </w:rPr>
      </w:pPr>
      <w:r>
        <w:rPr>
          <w:rFonts w:ascii="Arial" w:cs="Arial" w:eastAsia="Arial" w:hAnsi="Arial"/>
          <w:sz w:val="22"/>
          <w:szCs w:val="22"/>
          <w:color w:val="auto"/>
        </w:rPr>
        <w:t>QUARTER ENDED JUNE 30, 2004</w:t>
      </w:r>
    </w:p>
    <w:p>
      <w:pPr>
        <w:jc w:val="center"/>
        <w:ind w:right="-179"/>
        <w:spacing w:after="0" w:line="231" w:lineRule="auto"/>
        <w:rPr>
          <w:sz w:val="20"/>
          <w:szCs w:val="20"/>
          <w:color w:val="auto"/>
        </w:rPr>
      </w:pPr>
      <w:r>
        <w:rPr>
          <w:rFonts w:ascii="Arial" w:cs="Arial" w:eastAsia="Arial" w:hAnsi="Arial"/>
          <w:sz w:val="22"/>
          <w:szCs w:val="22"/>
          <w:color w:val="auto"/>
        </w:rPr>
        <w:t>NOTES TO CONDENSED CONSOLIDATED FINANCIAL STATEMENTS - CONTINUED</w:t>
      </w:r>
    </w:p>
    <w:p>
      <w:pPr>
        <w:spacing w:after="0" w:line="1"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(Unaudited)</w:t>
      </w:r>
    </w:p>
    <w:p>
      <w:pPr>
        <w:spacing w:after="0" w:line="188" w:lineRule="exact"/>
        <w:rPr>
          <w:sz w:val="20"/>
          <w:szCs w:val="20"/>
          <w:color w:val="auto"/>
        </w:rPr>
      </w:pPr>
    </w:p>
    <w:p>
      <w:pPr>
        <w:ind w:left="460" w:right="480"/>
        <w:spacing w:after="0" w:line="251" w:lineRule="auto"/>
        <w:rPr>
          <w:sz w:val="20"/>
          <w:szCs w:val="20"/>
          <w:color w:val="auto"/>
        </w:rPr>
      </w:pPr>
      <w:r>
        <w:rPr>
          <w:rFonts w:ascii="Arial" w:cs="Arial" w:eastAsia="Arial" w:hAnsi="Arial"/>
          <w:sz w:val="22"/>
          <w:szCs w:val="22"/>
          <w:color w:val="auto"/>
        </w:rPr>
        <w:t>The following table summarizes the activity of our option plans during the six months ended June 30, 2004 (options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000" w:type="dxa"/>
            <w:vAlign w:val="bottom"/>
          </w:tcPr>
          <w:p>
            <w:pPr>
              <w:spacing w:after="0"/>
              <w:rPr>
                <w:sz w:val="21"/>
                <w:szCs w:val="21"/>
                <w:color w:val="auto"/>
              </w:rPr>
            </w:pPr>
          </w:p>
        </w:tc>
        <w:tc>
          <w:tcPr>
            <w:tcW w:w="2320" w:type="dxa"/>
            <w:vAlign w:val="bottom"/>
            <w:gridSpan w:val="3"/>
          </w:tcPr>
          <w:p>
            <w:pPr>
              <w:jc w:val="right"/>
              <w:ind w:right="712"/>
              <w:spacing w:after="0"/>
              <w:rPr>
                <w:sz w:val="20"/>
                <w:szCs w:val="20"/>
                <w:color w:val="auto"/>
              </w:rPr>
            </w:pPr>
            <w:r>
              <w:rPr>
                <w:rFonts w:ascii="Arial" w:cs="Arial" w:eastAsia="Arial" w:hAnsi="Arial"/>
                <w:sz w:val="22"/>
                <w:szCs w:val="22"/>
                <w:color w:val="auto"/>
              </w:rPr>
              <w:t>Class A</w:t>
            </w:r>
          </w:p>
        </w:tc>
        <w:tc>
          <w:tcPr>
            <w:tcW w:w="420" w:type="dxa"/>
            <w:vAlign w:val="bottom"/>
          </w:tcPr>
          <w:p>
            <w:pPr>
              <w:spacing w:after="0"/>
              <w:rPr>
                <w:sz w:val="21"/>
                <w:szCs w:val="21"/>
                <w:color w:val="auto"/>
              </w:rPr>
            </w:pPr>
          </w:p>
        </w:tc>
        <w:tc>
          <w:tcPr>
            <w:tcW w:w="2320" w:type="dxa"/>
            <w:vAlign w:val="bottom"/>
            <w:gridSpan w:val="3"/>
          </w:tcPr>
          <w:p>
            <w:pPr>
              <w:jc w:val="right"/>
              <w:ind w:right="372"/>
              <w:spacing w:after="0"/>
              <w:rPr>
                <w:sz w:val="20"/>
                <w:szCs w:val="20"/>
                <w:color w:val="auto"/>
              </w:rPr>
            </w:pPr>
            <w:r>
              <w:rPr>
                <w:rFonts w:ascii="Arial" w:cs="Arial" w:eastAsia="Arial" w:hAnsi="Arial"/>
                <w:sz w:val="22"/>
                <w:szCs w:val="22"/>
                <w:color w:val="auto"/>
              </w:rPr>
              <w:t>Class A Special</w:t>
            </w:r>
          </w:p>
        </w:tc>
      </w:tr>
      <w:tr>
        <w:trPr>
          <w:trHeight w:val="275"/>
        </w:trPr>
        <w:tc>
          <w:tcPr>
            <w:tcW w:w="5000" w:type="dxa"/>
            <w:vAlign w:val="bottom"/>
          </w:tcPr>
          <w:p>
            <w:pPr>
              <w:spacing w:after="0"/>
              <w:rPr>
                <w:sz w:val="23"/>
                <w:szCs w:val="23"/>
                <w:color w:val="auto"/>
              </w:rPr>
            </w:pPr>
          </w:p>
        </w:tc>
        <w:tc>
          <w:tcPr>
            <w:tcW w:w="2320" w:type="dxa"/>
            <w:vAlign w:val="bottom"/>
            <w:gridSpan w:val="3"/>
          </w:tcPr>
          <w:p>
            <w:pPr>
              <w:jc w:val="right"/>
              <w:ind w:right="372"/>
              <w:spacing w:after="0"/>
              <w:rPr>
                <w:sz w:val="20"/>
                <w:szCs w:val="20"/>
                <w:color w:val="auto"/>
              </w:rPr>
            </w:pPr>
            <w:r>
              <w:rPr>
                <w:rFonts w:ascii="Arial" w:cs="Arial" w:eastAsia="Arial" w:hAnsi="Arial"/>
                <w:sz w:val="22"/>
                <w:szCs w:val="22"/>
                <w:color w:val="auto"/>
              </w:rPr>
              <w:t>Common Stock</w:t>
            </w:r>
          </w:p>
        </w:tc>
        <w:tc>
          <w:tcPr>
            <w:tcW w:w="420" w:type="dxa"/>
            <w:vAlign w:val="bottom"/>
          </w:tcPr>
          <w:p>
            <w:pPr>
              <w:spacing w:after="0"/>
              <w:rPr>
                <w:sz w:val="23"/>
                <w:szCs w:val="23"/>
                <w:color w:val="auto"/>
              </w:rPr>
            </w:pPr>
          </w:p>
        </w:tc>
        <w:tc>
          <w:tcPr>
            <w:tcW w:w="2320" w:type="dxa"/>
            <w:vAlign w:val="bottom"/>
            <w:gridSpan w:val="3"/>
          </w:tcPr>
          <w:p>
            <w:pPr>
              <w:jc w:val="right"/>
              <w:ind w:right="372"/>
              <w:spacing w:after="0"/>
              <w:rPr>
                <w:sz w:val="20"/>
                <w:szCs w:val="20"/>
                <w:color w:val="auto"/>
              </w:rPr>
            </w:pPr>
            <w:r>
              <w:rPr>
                <w:rFonts w:ascii="Arial" w:cs="Arial" w:eastAsia="Arial" w:hAnsi="Arial"/>
                <w:sz w:val="22"/>
                <w:szCs w:val="22"/>
                <w:color w:val="auto"/>
              </w:rPr>
              <w:t>Common Stock</w:t>
            </w:r>
          </w:p>
        </w:tc>
      </w:tr>
      <w:tr>
        <w:trPr>
          <w:trHeight w:val="98"/>
        </w:trPr>
        <w:tc>
          <w:tcPr>
            <w:tcW w:w="5000" w:type="dxa"/>
            <w:vAlign w:val="bottom"/>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r>
      <w:tr>
        <w:trPr>
          <w:trHeight w:val="323"/>
        </w:trPr>
        <w:tc>
          <w:tcPr>
            <w:tcW w:w="50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22"/>
                <w:szCs w:val="22"/>
                <w:color w:val="auto"/>
                <w:w w:val="89"/>
              </w:rPr>
              <w:t>Weighted-</w:t>
            </w: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22"/>
                <w:szCs w:val="22"/>
                <w:color w:val="auto"/>
                <w:w w:val="89"/>
              </w:rPr>
              <w:t>Weighted-</w:t>
            </w:r>
          </w:p>
        </w:tc>
      </w:tr>
      <w:tr>
        <w:trPr>
          <w:trHeight w:val="243"/>
        </w:trPr>
        <w:tc>
          <w:tcPr>
            <w:tcW w:w="50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00" w:type="dxa"/>
            <w:vAlign w:val="bottom"/>
          </w:tcPr>
          <w:p>
            <w:pPr>
              <w:jc w:val="center"/>
              <w:spacing w:after="0" w:line="243" w:lineRule="exact"/>
              <w:rPr>
                <w:sz w:val="20"/>
                <w:szCs w:val="20"/>
                <w:color w:val="auto"/>
              </w:rPr>
            </w:pPr>
            <w:r>
              <w:rPr>
                <w:rFonts w:ascii="Arial" w:cs="Arial" w:eastAsia="Arial" w:hAnsi="Arial"/>
                <w:sz w:val="22"/>
                <w:szCs w:val="22"/>
                <w:color w:val="auto"/>
                <w:w w:val="87"/>
              </w:rPr>
              <w:t>Average</w:t>
            </w:r>
          </w:p>
        </w:tc>
        <w:tc>
          <w:tcPr>
            <w:tcW w:w="4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00" w:type="dxa"/>
            <w:vAlign w:val="bottom"/>
          </w:tcPr>
          <w:p>
            <w:pPr>
              <w:jc w:val="center"/>
              <w:spacing w:after="0" w:line="243" w:lineRule="exact"/>
              <w:rPr>
                <w:sz w:val="20"/>
                <w:szCs w:val="20"/>
                <w:color w:val="auto"/>
              </w:rPr>
            </w:pPr>
            <w:r>
              <w:rPr>
                <w:rFonts w:ascii="Arial" w:cs="Arial" w:eastAsia="Arial" w:hAnsi="Arial"/>
                <w:sz w:val="22"/>
                <w:szCs w:val="22"/>
                <w:color w:val="auto"/>
                <w:w w:val="87"/>
              </w:rPr>
              <w:t>Average</w:t>
            </w:r>
          </w:p>
        </w:tc>
      </w:tr>
      <w:tr>
        <w:trPr>
          <w:trHeight w:val="243"/>
        </w:trPr>
        <w:tc>
          <w:tcPr>
            <w:tcW w:w="50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00" w:type="dxa"/>
            <w:vAlign w:val="bottom"/>
          </w:tcPr>
          <w:p>
            <w:pPr>
              <w:jc w:val="center"/>
              <w:spacing w:after="0" w:line="243" w:lineRule="exact"/>
              <w:rPr>
                <w:sz w:val="20"/>
                <w:szCs w:val="20"/>
                <w:color w:val="auto"/>
              </w:rPr>
            </w:pPr>
            <w:r>
              <w:rPr>
                <w:rFonts w:ascii="Arial" w:cs="Arial" w:eastAsia="Arial" w:hAnsi="Arial"/>
                <w:sz w:val="22"/>
                <w:szCs w:val="22"/>
                <w:color w:val="auto"/>
                <w:w w:val="87"/>
              </w:rPr>
              <w:t>Exercise</w:t>
            </w:r>
          </w:p>
        </w:tc>
        <w:tc>
          <w:tcPr>
            <w:tcW w:w="4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00" w:type="dxa"/>
            <w:vAlign w:val="bottom"/>
          </w:tcPr>
          <w:p>
            <w:pPr>
              <w:jc w:val="center"/>
              <w:spacing w:after="0" w:line="243" w:lineRule="exact"/>
              <w:rPr>
                <w:sz w:val="20"/>
                <w:szCs w:val="20"/>
                <w:color w:val="auto"/>
              </w:rPr>
            </w:pPr>
            <w:r>
              <w:rPr>
                <w:rFonts w:ascii="Arial" w:cs="Arial" w:eastAsia="Arial" w:hAnsi="Arial"/>
                <w:sz w:val="22"/>
                <w:szCs w:val="22"/>
                <w:color w:val="auto"/>
                <w:w w:val="87"/>
              </w:rPr>
              <w:t>Exercise</w:t>
            </w:r>
          </w:p>
        </w:tc>
      </w:tr>
      <w:tr>
        <w:trPr>
          <w:trHeight w:val="275"/>
        </w:trPr>
        <w:tc>
          <w:tcPr>
            <w:tcW w:w="5000" w:type="dxa"/>
            <w:vAlign w:val="bottom"/>
          </w:tcPr>
          <w:p>
            <w:pPr>
              <w:spacing w:after="0"/>
              <w:rPr>
                <w:sz w:val="23"/>
                <w:szCs w:val="23"/>
                <w:color w:val="auto"/>
              </w:rPr>
            </w:pPr>
          </w:p>
        </w:tc>
        <w:tc>
          <w:tcPr>
            <w:tcW w:w="1420" w:type="dxa"/>
            <w:vAlign w:val="bottom"/>
            <w:gridSpan w:val="2"/>
          </w:tcPr>
          <w:p>
            <w:pPr>
              <w:jc w:val="right"/>
              <w:ind w:right="620"/>
              <w:spacing w:after="0"/>
              <w:rPr>
                <w:sz w:val="20"/>
                <w:szCs w:val="20"/>
                <w:color w:val="auto"/>
              </w:rPr>
            </w:pPr>
            <w:r>
              <w:rPr>
                <w:rFonts w:ascii="Arial" w:cs="Arial" w:eastAsia="Arial" w:hAnsi="Arial"/>
                <w:sz w:val="22"/>
                <w:szCs w:val="22"/>
                <w:color w:val="auto"/>
              </w:rPr>
              <w:t>Options</w:t>
            </w:r>
          </w:p>
        </w:tc>
        <w:tc>
          <w:tcPr>
            <w:tcW w:w="900" w:type="dxa"/>
            <w:vAlign w:val="bottom"/>
          </w:tcPr>
          <w:p>
            <w:pPr>
              <w:jc w:val="center"/>
              <w:spacing w:after="0"/>
              <w:rPr>
                <w:sz w:val="20"/>
                <w:szCs w:val="20"/>
                <w:color w:val="auto"/>
              </w:rPr>
            </w:pPr>
            <w:r>
              <w:rPr>
                <w:rFonts w:ascii="Arial" w:cs="Arial" w:eastAsia="Arial" w:hAnsi="Arial"/>
                <w:sz w:val="22"/>
                <w:szCs w:val="22"/>
                <w:color w:val="auto"/>
                <w:w w:val="87"/>
              </w:rPr>
              <w:t>Price</w:t>
            </w:r>
          </w:p>
        </w:tc>
        <w:tc>
          <w:tcPr>
            <w:tcW w:w="420" w:type="dxa"/>
            <w:vAlign w:val="bottom"/>
          </w:tcPr>
          <w:p>
            <w:pPr>
              <w:spacing w:after="0"/>
              <w:rPr>
                <w:sz w:val="23"/>
                <w:szCs w:val="23"/>
                <w:color w:val="auto"/>
              </w:rPr>
            </w:pPr>
          </w:p>
        </w:tc>
        <w:tc>
          <w:tcPr>
            <w:tcW w:w="1420" w:type="dxa"/>
            <w:vAlign w:val="bottom"/>
            <w:gridSpan w:val="2"/>
          </w:tcPr>
          <w:p>
            <w:pPr>
              <w:jc w:val="right"/>
              <w:ind w:right="620"/>
              <w:spacing w:after="0"/>
              <w:rPr>
                <w:sz w:val="20"/>
                <w:szCs w:val="20"/>
                <w:color w:val="auto"/>
              </w:rPr>
            </w:pPr>
            <w:r>
              <w:rPr>
                <w:rFonts w:ascii="Arial" w:cs="Arial" w:eastAsia="Arial" w:hAnsi="Arial"/>
                <w:sz w:val="22"/>
                <w:szCs w:val="22"/>
                <w:color w:val="auto"/>
              </w:rPr>
              <w:t>Options</w:t>
            </w:r>
          </w:p>
        </w:tc>
        <w:tc>
          <w:tcPr>
            <w:tcW w:w="900" w:type="dxa"/>
            <w:vAlign w:val="bottom"/>
          </w:tcPr>
          <w:p>
            <w:pPr>
              <w:jc w:val="center"/>
              <w:spacing w:after="0"/>
              <w:rPr>
                <w:sz w:val="20"/>
                <w:szCs w:val="20"/>
                <w:color w:val="auto"/>
              </w:rPr>
            </w:pPr>
            <w:r>
              <w:rPr>
                <w:rFonts w:ascii="Arial" w:cs="Arial" w:eastAsia="Arial" w:hAnsi="Arial"/>
                <w:sz w:val="22"/>
                <w:szCs w:val="22"/>
                <w:color w:val="auto"/>
                <w:w w:val="87"/>
              </w:rPr>
              <w:t>Price</w:t>
            </w:r>
          </w:p>
        </w:tc>
      </w:tr>
      <w:tr>
        <w:trPr>
          <w:trHeight w:val="98"/>
        </w:trPr>
        <w:tc>
          <w:tcPr>
            <w:tcW w:w="5000" w:type="dxa"/>
            <w:vAlign w:val="bottom"/>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r>
      <w:tr>
        <w:trPr>
          <w:trHeight w:val="323"/>
        </w:trPr>
        <w:tc>
          <w:tcPr>
            <w:tcW w:w="5000" w:type="dxa"/>
            <w:vAlign w:val="bottom"/>
          </w:tcPr>
          <w:p>
            <w:pPr>
              <w:spacing w:after="0"/>
              <w:rPr>
                <w:sz w:val="20"/>
                <w:szCs w:val="20"/>
                <w:color w:val="auto"/>
              </w:rPr>
            </w:pPr>
            <w:r>
              <w:rPr>
                <w:rFonts w:ascii="Arial" w:cs="Arial" w:eastAsia="Arial" w:hAnsi="Arial"/>
                <w:sz w:val="22"/>
                <w:szCs w:val="22"/>
                <w:color w:val="auto"/>
              </w:rPr>
              <w:t>Outstanding at beginning of period</w:t>
            </w:r>
          </w:p>
        </w:tc>
        <w:tc>
          <w:tcPr>
            <w:tcW w:w="900" w:type="dxa"/>
            <w:vAlign w:val="bottom"/>
          </w:tcPr>
          <w:p>
            <w:pPr>
              <w:jc w:val="right"/>
              <w:spacing w:after="0"/>
              <w:rPr>
                <w:sz w:val="20"/>
                <w:szCs w:val="20"/>
                <w:color w:val="auto"/>
              </w:rPr>
            </w:pPr>
            <w:r>
              <w:rPr>
                <w:rFonts w:ascii="Arial" w:cs="Arial" w:eastAsia="Arial" w:hAnsi="Arial"/>
                <w:sz w:val="22"/>
                <w:szCs w:val="22"/>
                <w:color w:val="auto"/>
              </w:rPr>
              <w:t>85,151</w:t>
            </w:r>
          </w:p>
        </w:tc>
        <w:tc>
          <w:tcPr>
            <w:tcW w:w="5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2"/>
                <w:szCs w:val="22"/>
                <w:color w:val="auto"/>
              </w:rPr>
              <w:t>$39.28</w:t>
            </w:r>
          </w:p>
        </w:tc>
        <w:tc>
          <w:tcPr>
            <w:tcW w:w="1840" w:type="dxa"/>
            <w:vAlign w:val="bottom"/>
            <w:gridSpan w:val="3"/>
          </w:tcPr>
          <w:p>
            <w:pPr>
              <w:jc w:val="right"/>
              <w:ind w:right="500"/>
              <w:spacing w:after="0"/>
              <w:rPr>
                <w:sz w:val="20"/>
                <w:szCs w:val="20"/>
                <w:color w:val="auto"/>
              </w:rPr>
            </w:pPr>
            <w:r>
              <w:rPr>
                <w:rFonts w:ascii="Arial" w:cs="Arial" w:eastAsia="Arial" w:hAnsi="Arial"/>
                <w:sz w:val="22"/>
                <w:szCs w:val="22"/>
                <w:color w:val="auto"/>
              </w:rPr>
              <w:t>60,464</w:t>
            </w:r>
          </w:p>
        </w:tc>
        <w:tc>
          <w:tcPr>
            <w:tcW w:w="900" w:type="dxa"/>
            <w:vAlign w:val="bottom"/>
          </w:tcPr>
          <w:p>
            <w:pPr>
              <w:jc w:val="right"/>
              <w:spacing w:after="0"/>
              <w:rPr>
                <w:sz w:val="20"/>
                <w:szCs w:val="20"/>
                <w:color w:val="auto"/>
              </w:rPr>
            </w:pPr>
            <w:r>
              <w:rPr>
                <w:rFonts w:ascii="Arial" w:cs="Arial" w:eastAsia="Arial" w:hAnsi="Arial"/>
                <w:sz w:val="22"/>
                <w:szCs w:val="22"/>
                <w:color w:val="auto"/>
              </w:rPr>
              <w:t>$29.43</w:t>
            </w:r>
          </w:p>
        </w:tc>
      </w:tr>
      <w:tr>
        <w:trPr>
          <w:trHeight w:val="243"/>
        </w:trPr>
        <w:tc>
          <w:tcPr>
            <w:tcW w:w="5000" w:type="dxa"/>
            <w:vAlign w:val="bottom"/>
          </w:tcPr>
          <w:p>
            <w:pPr>
              <w:spacing w:after="0" w:line="243" w:lineRule="exact"/>
              <w:rPr>
                <w:sz w:val="20"/>
                <w:szCs w:val="20"/>
                <w:color w:val="auto"/>
              </w:rPr>
            </w:pPr>
            <w:r>
              <w:rPr>
                <w:rFonts w:ascii="Arial" w:cs="Arial" w:eastAsia="Arial" w:hAnsi="Arial"/>
                <w:sz w:val="22"/>
                <w:szCs w:val="22"/>
                <w:color w:val="auto"/>
              </w:rPr>
              <w:t>Granted</w:t>
            </w:r>
          </w:p>
        </w:tc>
        <w:tc>
          <w:tcPr>
            <w:tcW w:w="900" w:type="dxa"/>
            <w:vAlign w:val="bottom"/>
          </w:tcPr>
          <w:p>
            <w:pPr>
              <w:jc w:val="right"/>
              <w:spacing w:after="0" w:line="243" w:lineRule="exact"/>
              <w:rPr>
                <w:sz w:val="20"/>
                <w:szCs w:val="20"/>
                <w:color w:val="auto"/>
              </w:rPr>
            </w:pPr>
            <w:r>
              <w:rPr>
                <w:rFonts w:ascii="Arial" w:cs="Arial" w:eastAsia="Arial" w:hAnsi="Arial"/>
                <w:sz w:val="22"/>
                <w:szCs w:val="22"/>
                <w:color w:val="auto"/>
              </w:rPr>
              <w:t>15,117</w:t>
            </w:r>
          </w:p>
        </w:tc>
        <w:tc>
          <w:tcPr>
            <w:tcW w:w="520" w:type="dxa"/>
            <w:vAlign w:val="bottom"/>
          </w:tcPr>
          <w:p>
            <w:pPr>
              <w:spacing w:after="0"/>
              <w:rPr>
                <w:sz w:val="21"/>
                <w:szCs w:val="21"/>
                <w:color w:val="auto"/>
              </w:rPr>
            </w:pPr>
          </w:p>
        </w:tc>
        <w:tc>
          <w:tcPr>
            <w:tcW w:w="900" w:type="dxa"/>
            <w:vAlign w:val="bottom"/>
          </w:tcPr>
          <w:p>
            <w:pPr>
              <w:jc w:val="right"/>
              <w:spacing w:after="0" w:line="243" w:lineRule="exact"/>
              <w:rPr>
                <w:sz w:val="20"/>
                <w:szCs w:val="20"/>
                <w:color w:val="auto"/>
              </w:rPr>
            </w:pPr>
            <w:r>
              <w:rPr>
                <w:rFonts w:ascii="Arial" w:cs="Arial" w:eastAsia="Arial" w:hAnsi="Arial"/>
                <w:sz w:val="22"/>
                <w:szCs w:val="22"/>
                <w:color w:val="auto"/>
              </w:rPr>
              <w:t>29.93</w:t>
            </w:r>
          </w:p>
        </w:tc>
        <w:tc>
          <w:tcPr>
            <w:tcW w:w="4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43"/>
        </w:trPr>
        <w:tc>
          <w:tcPr>
            <w:tcW w:w="5000" w:type="dxa"/>
            <w:vAlign w:val="bottom"/>
          </w:tcPr>
          <w:p>
            <w:pPr>
              <w:spacing w:after="0" w:line="243" w:lineRule="exact"/>
              <w:rPr>
                <w:sz w:val="20"/>
                <w:szCs w:val="20"/>
                <w:color w:val="auto"/>
              </w:rPr>
            </w:pPr>
            <w:r>
              <w:rPr>
                <w:rFonts w:ascii="Arial" w:cs="Arial" w:eastAsia="Arial" w:hAnsi="Arial"/>
                <w:sz w:val="22"/>
                <w:szCs w:val="22"/>
                <w:color w:val="auto"/>
              </w:rPr>
              <w:t>Exercised</w:t>
            </w:r>
          </w:p>
        </w:tc>
        <w:tc>
          <w:tcPr>
            <w:tcW w:w="1420" w:type="dxa"/>
            <w:vAlign w:val="bottom"/>
            <w:gridSpan w:val="2"/>
          </w:tcPr>
          <w:p>
            <w:pPr>
              <w:jc w:val="right"/>
              <w:ind w:right="440"/>
              <w:spacing w:after="0" w:line="243" w:lineRule="exact"/>
              <w:rPr>
                <w:sz w:val="20"/>
                <w:szCs w:val="20"/>
                <w:color w:val="auto"/>
              </w:rPr>
            </w:pPr>
            <w:r>
              <w:rPr>
                <w:rFonts w:ascii="Arial" w:cs="Arial" w:eastAsia="Arial" w:hAnsi="Arial"/>
                <w:sz w:val="22"/>
                <w:szCs w:val="22"/>
                <w:color w:val="auto"/>
              </w:rPr>
              <w:t>(530)</w:t>
            </w:r>
          </w:p>
        </w:tc>
        <w:tc>
          <w:tcPr>
            <w:tcW w:w="900" w:type="dxa"/>
            <w:vAlign w:val="bottom"/>
          </w:tcPr>
          <w:p>
            <w:pPr>
              <w:jc w:val="right"/>
              <w:spacing w:after="0" w:line="243" w:lineRule="exact"/>
              <w:rPr>
                <w:sz w:val="20"/>
                <w:szCs w:val="20"/>
                <w:color w:val="auto"/>
              </w:rPr>
            </w:pPr>
            <w:r>
              <w:rPr>
                <w:rFonts w:ascii="Arial" w:cs="Arial" w:eastAsia="Arial" w:hAnsi="Arial"/>
                <w:sz w:val="22"/>
                <w:szCs w:val="22"/>
                <w:color w:val="auto"/>
              </w:rPr>
              <w:t>23.03</w:t>
            </w:r>
          </w:p>
        </w:tc>
        <w:tc>
          <w:tcPr>
            <w:tcW w:w="1840" w:type="dxa"/>
            <w:vAlign w:val="bottom"/>
            <w:gridSpan w:val="3"/>
          </w:tcPr>
          <w:p>
            <w:pPr>
              <w:jc w:val="right"/>
              <w:ind w:right="440"/>
              <w:spacing w:after="0" w:line="243" w:lineRule="exact"/>
              <w:rPr>
                <w:sz w:val="20"/>
                <w:szCs w:val="20"/>
                <w:color w:val="auto"/>
              </w:rPr>
            </w:pPr>
            <w:r>
              <w:rPr>
                <w:rFonts w:ascii="Arial" w:cs="Arial" w:eastAsia="Arial" w:hAnsi="Arial"/>
                <w:sz w:val="22"/>
                <w:szCs w:val="22"/>
                <w:color w:val="auto"/>
              </w:rPr>
              <w:t>(1,057)</w:t>
            </w:r>
          </w:p>
        </w:tc>
        <w:tc>
          <w:tcPr>
            <w:tcW w:w="900" w:type="dxa"/>
            <w:vAlign w:val="bottom"/>
          </w:tcPr>
          <w:p>
            <w:pPr>
              <w:jc w:val="right"/>
              <w:spacing w:after="0" w:line="243" w:lineRule="exact"/>
              <w:rPr>
                <w:sz w:val="20"/>
                <w:szCs w:val="20"/>
                <w:color w:val="auto"/>
              </w:rPr>
            </w:pPr>
            <w:r>
              <w:rPr>
                <w:rFonts w:ascii="Arial" w:cs="Arial" w:eastAsia="Arial" w:hAnsi="Arial"/>
                <w:sz w:val="22"/>
                <w:szCs w:val="22"/>
                <w:color w:val="auto"/>
              </w:rPr>
              <w:t>11.57</w:t>
            </w:r>
          </w:p>
        </w:tc>
      </w:tr>
      <w:tr>
        <w:trPr>
          <w:trHeight w:val="275"/>
        </w:trPr>
        <w:tc>
          <w:tcPr>
            <w:tcW w:w="5000" w:type="dxa"/>
            <w:vAlign w:val="bottom"/>
          </w:tcPr>
          <w:p>
            <w:pPr>
              <w:spacing w:after="0"/>
              <w:rPr>
                <w:sz w:val="20"/>
                <w:szCs w:val="20"/>
                <w:color w:val="auto"/>
              </w:rPr>
            </w:pPr>
            <w:r>
              <w:rPr>
                <w:rFonts w:ascii="Arial" w:cs="Arial" w:eastAsia="Arial" w:hAnsi="Arial"/>
                <w:sz w:val="22"/>
                <w:szCs w:val="22"/>
                <w:color w:val="auto"/>
              </w:rPr>
              <w:t>Canceled</w:t>
            </w:r>
          </w:p>
        </w:tc>
        <w:tc>
          <w:tcPr>
            <w:tcW w:w="1420" w:type="dxa"/>
            <w:vAlign w:val="bottom"/>
            <w:gridSpan w:val="2"/>
          </w:tcPr>
          <w:p>
            <w:pPr>
              <w:jc w:val="right"/>
              <w:ind w:right="440"/>
              <w:spacing w:after="0"/>
              <w:rPr>
                <w:sz w:val="20"/>
                <w:szCs w:val="20"/>
                <w:color w:val="auto"/>
              </w:rPr>
            </w:pPr>
            <w:r>
              <w:rPr>
                <w:rFonts w:ascii="Arial" w:cs="Arial" w:eastAsia="Arial" w:hAnsi="Arial"/>
                <w:sz w:val="22"/>
                <w:szCs w:val="22"/>
                <w:color w:val="auto"/>
              </w:rPr>
              <w:t>(2,748)</w:t>
            </w:r>
          </w:p>
        </w:tc>
        <w:tc>
          <w:tcPr>
            <w:tcW w:w="900" w:type="dxa"/>
            <w:vAlign w:val="bottom"/>
          </w:tcPr>
          <w:p>
            <w:pPr>
              <w:jc w:val="right"/>
              <w:spacing w:after="0"/>
              <w:rPr>
                <w:sz w:val="20"/>
                <w:szCs w:val="20"/>
                <w:color w:val="auto"/>
              </w:rPr>
            </w:pPr>
            <w:r>
              <w:rPr>
                <w:rFonts w:ascii="Arial" w:cs="Arial" w:eastAsia="Arial" w:hAnsi="Arial"/>
                <w:sz w:val="22"/>
                <w:szCs w:val="22"/>
                <w:color w:val="auto"/>
              </w:rPr>
              <w:t>38.08</w:t>
            </w:r>
          </w:p>
        </w:tc>
        <w:tc>
          <w:tcPr>
            <w:tcW w:w="1840" w:type="dxa"/>
            <w:vAlign w:val="bottom"/>
            <w:gridSpan w:val="3"/>
          </w:tcPr>
          <w:p>
            <w:pPr>
              <w:jc w:val="right"/>
              <w:ind w:right="440"/>
              <w:spacing w:after="0"/>
              <w:rPr>
                <w:sz w:val="20"/>
                <w:szCs w:val="20"/>
                <w:color w:val="auto"/>
              </w:rPr>
            </w:pPr>
            <w:r>
              <w:rPr>
                <w:rFonts w:ascii="Arial" w:cs="Arial" w:eastAsia="Arial" w:hAnsi="Arial"/>
                <w:sz w:val="22"/>
                <w:szCs w:val="22"/>
                <w:color w:val="auto"/>
              </w:rPr>
              <w:t>(695)</w:t>
            </w:r>
          </w:p>
        </w:tc>
        <w:tc>
          <w:tcPr>
            <w:tcW w:w="900" w:type="dxa"/>
            <w:vAlign w:val="bottom"/>
          </w:tcPr>
          <w:p>
            <w:pPr>
              <w:jc w:val="right"/>
              <w:spacing w:after="0"/>
              <w:rPr>
                <w:sz w:val="20"/>
                <w:szCs w:val="20"/>
                <w:color w:val="auto"/>
              </w:rPr>
            </w:pPr>
            <w:r>
              <w:rPr>
                <w:rFonts w:ascii="Arial" w:cs="Arial" w:eastAsia="Arial" w:hAnsi="Arial"/>
                <w:sz w:val="22"/>
                <w:szCs w:val="22"/>
                <w:color w:val="auto"/>
              </w:rPr>
              <w:t>35.25</w:t>
            </w:r>
          </w:p>
        </w:tc>
      </w:tr>
      <w:tr>
        <w:trPr>
          <w:trHeight w:val="98"/>
        </w:trPr>
        <w:tc>
          <w:tcPr>
            <w:tcW w:w="5000" w:type="dxa"/>
            <w:vAlign w:val="bottom"/>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900" w:type="dxa"/>
            <w:vAlign w:val="bottom"/>
          </w:tcPr>
          <w:p>
            <w:pPr>
              <w:spacing w:after="0"/>
              <w:rPr>
                <w:sz w:val="8"/>
                <w:szCs w:val="8"/>
                <w:color w:val="auto"/>
              </w:rPr>
            </w:pPr>
          </w:p>
        </w:tc>
        <w:tc>
          <w:tcPr>
            <w:tcW w:w="42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c>
          <w:tcPr>
            <w:tcW w:w="900" w:type="dxa"/>
            <w:vAlign w:val="bottom"/>
          </w:tcPr>
          <w:p>
            <w:pPr>
              <w:spacing w:after="0"/>
              <w:rPr>
                <w:sz w:val="8"/>
                <w:szCs w:val="8"/>
                <w:color w:val="auto"/>
              </w:rPr>
            </w:pPr>
          </w:p>
        </w:tc>
      </w:tr>
      <w:tr>
        <w:trPr>
          <w:trHeight w:val="355"/>
        </w:trPr>
        <w:tc>
          <w:tcPr>
            <w:tcW w:w="5000" w:type="dxa"/>
            <w:vAlign w:val="bottom"/>
          </w:tcPr>
          <w:p>
            <w:pPr>
              <w:spacing w:after="0"/>
              <w:rPr>
                <w:sz w:val="20"/>
                <w:szCs w:val="20"/>
                <w:color w:val="auto"/>
              </w:rPr>
            </w:pPr>
            <w:r>
              <w:rPr>
                <w:rFonts w:ascii="Arial" w:cs="Arial" w:eastAsia="Arial" w:hAnsi="Arial"/>
                <w:sz w:val="22"/>
                <w:szCs w:val="22"/>
                <w:color w:val="auto"/>
              </w:rPr>
              <w:t>Outstanding at end of period</w:t>
            </w:r>
          </w:p>
        </w:tc>
        <w:tc>
          <w:tcPr>
            <w:tcW w:w="900" w:type="dxa"/>
            <w:vAlign w:val="bottom"/>
          </w:tcPr>
          <w:p>
            <w:pPr>
              <w:jc w:val="right"/>
              <w:spacing w:after="0"/>
              <w:rPr>
                <w:sz w:val="20"/>
                <w:szCs w:val="20"/>
                <w:color w:val="auto"/>
              </w:rPr>
            </w:pPr>
            <w:r>
              <w:rPr>
                <w:rFonts w:ascii="Arial" w:cs="Arial" w:eastAsia="Arial" w:hAnsi="Arial"/>
                <w:sz w:val="22"/>
                <w:szCs w:val="22"/>
                <w:color w:val="auto"/>
              </w:rPr>
              <w:t>96,990</w:t>
            </w:r>
          </w:p>
        </w:tc>
        <w:tc>
          <w:tcPr>
            <w:tcW w:w="5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2"/>
                <w:szCs w:val="22"/>
                <w:color w:val="auto"/>
              </w:rPr>
              <w:t>37.98</w:t>
            </w:r>
          </w:p>
        </w:tc>
        <w:tc>
          <w:tcPr>
            <w:tcW w:w="1840" w:type="dxa"/>
            <w:vAlign w:val="bottom"/>
            <w:gridSpan w:val="3"/>
          </w:tcPr>
          <w:p>
            <w:pPr>
              <w:jc w:val="right"/>
              <w:ind w:right="500"/>
              <w:spacing w:after="0"/>
              <w:rPr>
                <w:sz w:val="20"/>
                <w:szCs w:val="20"/>
                <w:color w:val="auto"/>
              </w:rPr>
            </w:pPr>
            <w:r>
              <w:rPr>
                <w:rFonts w:ascii="Arial" w:cs="Arial" w:eastAsia="Arial" w:hAnsi="Arial"/>
                <w:sz w:val="22"/>
                <w:szCs w:val="22"/>
                <w:color w:val="auto"/>
              </w:rPr>
              <w:t>58,712</w:t>
            </w:r>
          </w:p>
        </w:tc>
        <w:tc>
          <w:tcPr>
            <w:tcW w:w="900" w:type="dxa"/>
            <w:vAlign w:val="bottom"/>
          </w:tcPr>
          <w:p>
            <w:pPr>
              <w:jc w:val="right"/>
              <w:spacing w:after="0"/>
              <w:rPr>
                <w:sz w:val="20"/>
                <w:szCs w:val="20"/>
                <w:color w:val="auto"/>
              </w:rPr>
            </w:pPr>
            <w:r>
              <w:rPr>
                <w:rFonts w:ascii="Arial" w:cs="Arial" w:eastAsia="Arial" w:hAnsi="Arial"/>
                <w:sz w:val="22"/>
                <w:szCs w:val="22"/>
                <w:color w:val="auto"/>
              </w:rPr>
              <w:t>29.68</w:t>
            </w:r>
          </w:p>
        </w:tc>
      </w:tr>
      <w:tr>
        <w:trPr>
          <w:trHeight w:val="108"/>
        </w:trPr>
        <w:tc>
          <w:tcPr>
            <w:tcW w:w="5000" w:type="dxa"/>
            <w:vAlign w:val="bottom"/>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900" w:type="dxa"/>
            <w:vAlign w:val="bottom"/>
          </w:tcPr>
          <w:p>
            <w:pPr>
              <w:spacing w:after="0"/>
              <w:rPr>
                <w:sz w:val="9"/>
                <w:szCs w:val="9"/>
                <w:color w:val="auto"/>
              </w:rPr>
            </w:pPr>
          </w:p>
        </w:tc>
        <w:tc>
          <w:tcPr>
            <w:tcW w:w="420" w:type="dxa"/>
            <w:vAlign w:val="bottom"/>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900" w:type="dxa"/>
            <w:vAlign w:val="bottom"/>
          </w:tcPr>
          <w:p>
            <w:pPr>
              <w:spacing w:after="0"/>
              <w:rPr>
                <w:sz w:val="9"/>
                <w:szCs w:val="9"/>
                <w:color w:val="auto"/>
              </w:rPr>
            </w:pPr>
          </w:p>
        </w:tc>
      </w:tr>
      <w:tr>
        <w:trPr>
          <w:trHeight w:val="358"/>
        </w:trPr>
        <w:tc>
          <w:tcPr>
            <w:tcW w:w="5000" w:type="dxa"/>
            <w:vAlign w:val="bottom"/>
          </w:tcPr>
          <w:p>
            <w:pPr>
              <w:spacing w:after="0"/>
              <w:rPr>
                <w:sz w:val="20"/>
                <w:szCs w:val="20"/>
                <w:color w:val="auto"/>
              </w:rPr>
            </w:pPr>
            <w:r>
              <w:rPr>
                <w:rFonts w:ascii="Arial" w:cs="Arial" w:eastAsia="Arial" w:hAnsi="Arial"/>
                <w:sz w:val="22"/>
                <w:szCs w:val="22"/>
                <w:color w:val="auto"/>
              </w:rPr>
              <w:t>Exercisable at end of period</w:t>
            </w:r>
          </w:p>
        </w:tc>
        <w:tc>
          <w:tcPr>
            <w:tcW w:w="900" w:type="dxa"/>
            <w:vAlign w:val="bottom"/>
          </w:tcPr>
          <w:p>
            <w:pPr>
              <w:jc w:val="right"/>
              <w:spacing w:after="0"/>
              <w:rPr>
                <w:sz w:val="20"/>
                <w:szCs w:val="20"/>
                <w:color w:val="auto"/>
              </w:rPr>
            </w:pPr>
            <w:r>
              <w:rPr>
                <w:rFonts w:ascii="Arial" w:cs="Arial" w:eastAsia="Arial" w:hAnsi="Arial"/>
                <w:sz w:val="22"/>
                <w:szCs w:val="22"/>
                <w:color w:val="auto"/>
              </w:rPr>
              <w:t>55,202</w:t>
            </w:r>
          </w:p>
        </w:tc>
        <w:tc>
          <w:tcPr>
            <w:tcW w:w="5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2"/>
                <w:szCs w:val="22"/>
                <w:color w:val="auto"/>
              </w:rPr>
              <w:t>44.78</w:t>
            </w:r>
          </w:p>
        </w:tc>
        <w:tc>
          <w:tcPr>
            <w:tcW w:w="1840" w:type="dxa"/>
            <w:vAlign w:val="bottom"/>
            <w:gridSpan w:val="3"/>
          </w:tcPr>
          <w:p>
            <w:pPr>
              <w:jc w:val="right"/>
              <w:ind w:right="500"/>
              <w:spacing w:after="0"/>
              <w:rPr>
                <w:sz w:val="20"/>
                <w:szCs w:val="20"/>
                <w:color w:val="auto"/>
              </w:rPr>
            </w:pPr>
            <w:r>
              <w:rPr>
                <w:rFonts w:ascii="Arial" w:cs="Arial" w:eastAsia="Arial" w:hAnsi="Arial"/>
                <w:sz w:val="22"/>
                <w:szCs w:val="22"/>
                <w:color w:val="auto"/>
              </w:rPr>
              <w:t>34,824</w:t>
            </w:r>
          </w:p>
        </w:tc>
        <w:tc>
          <w:tcPr>
            <w:tcW w:w="900" w:type="dxa"/>
            <w:vAlign w:val="bottom"/>
          </w:tcPr>
          <w:p>
            <w:pPr>
              <w:jc w:val="right"/>
              <w:spacing w:after="0"/>
              <w:rPr>
                <w:sz w:val="20"/>
                <w:szCs w:val="20"/>
                <w:color w:val="auto"/>
              </w:rPr>
            </w:pPr>
            <w:r>
              <w:rPr>
                <w:rFonts w:ascii="Arial" w:cs="Arial" w:eastAsia="Arial" w:hAnsi="Arial"/>
                <w:sz w:val="22"/>
                <w:szCs w:val="22"/>
                <w:color w:val="auto"/>
              </w:rPr>
              <w:t>27.19</w:t>
            </w:r>
          </w:p>
        </w:tc>
      </w:tr>
      <w:tr>
        <w:trPr>
          <w:trHeight w:val="108"/>
        </w:trPr>
        <w:tc>
          <w:tcPr>
            <w:tcW w:w="5000" w:type="dxa"/>
            <w:vAlign w:val="bottom"/>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900" w:type="dxa"/>
            <w:vAlign w:val="bottom"/>
          </w:tcPr>
          <w:p>
            <w:pPr>
              <w:spacing w:after="0"/>
              <w:rPr>
                <w:sz w:val="9"/>
                <w:szCs w:val="9"/>
                <w:color w:val="auto"/>
              </w:rPr>
            </w:pPr>
          </w:p>
        </w:tc>
        <w:tc>
          <w:tcPr>
            <w:tcW w:w="420" w:type="dxa"/>
            <w:vAlign w:val="bottom"/>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90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3742055</wp:posOffset>
            </wp:positionH>
            <wp:positionV relativeFrom="paragraph">
              <wp:posOffset>-323215</wp:posOffset>
            </wp:positionV>
            <wp:extent cx="1270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3167380</wp:posOffset>
            </wp:positionH>
            <wp:positionV relativeFrom="paragraph">
              <wp:posOffset>-323215</wp:posOffset>
            </wp:positionV>
            <wp:extent cx="1270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-323215</wp:posOffset>
            </wp:positionV>
            <wp:extent cx="1270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-323215</wp:posOffset>
            </wp:positionV>
            <wp:extent cx="1270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3742055</wp:posOffset>
            </wp:positionH>
            <wp:positionV relativeFrom="paragraph">
              <wp:posOffset>-14605</wp:posOffset>
            </wp:positionV>
            <wp:extent cx="1270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3167380</wp:posOffset>
            </wp:positionH>
            <wp:positionV relativeFrom="paragraph">
              <wp:posOffset>-14605</wp:posOffset>
            </wp:positionV>
            <wp:extent cx="1270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-14605</wp:posOffset>
            </wp:positionV>
            <wp:extent cx="1270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-14605</wp:posOffset>
            </wp:positionV>
            <wp:extent cx="1270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06" w:lineRule="exact"/>
        <w:rPr>
          <w:sz w:val="20"/>
          <w:szCs w:val="20"/>
          <w:color w:val="auto"/>
        </w:rPr>
      </w:pPr>
    </w:p>
    <w:p>
      <w:pPr>
        <w:ind w:left="460"/>
        <w:spacing w:after="0"/>
        <w:rPr>
          <w:sz w:val="20"/>
          <w:szCs w:val="20"/>
          <w:color w:val="auto"/>
        </w:rPr>
      </w:pPr>
      <w:r>
        <w:rPr>
          <w:rFonts w:ascii="Arial" w:cs="Arial" w:eastAsia="Arial" w:hAnsi="Arial"/>
          <w:sz w:val="22"/>
          <w:szCs w:val="22"/>
          <w:i w:val="1"/>
          <w:iCs w:val="1"/>
          <w:color w:val="auto"/>
        </w:rPr>
        <w:t>Share Repurchase Program</w:t>
      </w:r>
    </w:p>
    <w:p>
      <w:pPr>
        <w:spacing w:after="0" w:line="8" w:lineRule="exact"/>
        <w:rPr>
          <w:sz w:val="20"/>
          <w:szCs w:val="20"/>
          <w:color w:val="auto"/>
        </w:rPr>
      </w:pPr>
    </w:p>
    <w:p>
      <w:pPr>
        <w:ind w:left="460"/>
        <w:spacing w:after="0" w:line="287" w:lineRule="auto"/>
        <w:rPr>
          <w:sz w:val="20"/>
          <w:szCs w:val="20"/>
          <w:color w:val="auto"/>
        </w:rPr>
      </w:pPr>
      <w:r>
        <w:rPr>
          <w:rFonts w:ascii="Arial" w:cs="Arial" w:eastAsia="Arial" w:hAnsi="Arial"/>
          <w:sz w:val="19"/>
          <w:szCs w:val="19"/>
          <w:color w:val="auto"/>
        </w:rPr>
        <w:t>Based on the trade date for stock repurchases, during the three and six months ended June 30, 2004, we repurchased approximately 17.8 million shares and 18.5 million shares, respectively, of our Class A Special common stock for aggregate consideration of $499 million and $523 million, respectively, pursuant to our Board authorized repurchase program.</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22"/>
          <w:szCs w:val="22"/>
          <w:i w:val="1"/>
          <w:iCs w:val="1"/>
          <w:color w:val="auto"/>
        </w:rPr>
        <w:t>Comprehensive Income (Loss)</w:t>
      </w:r>
    </w:p>
    <w:p>
      <w:pPr>
        <w:spacing w:after="0" w:line="8"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Our total comprehensive income (loss) for the interim periods was as follows (in millions):</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700" w:type="dxa"/>
            <w:vAlign w:val="bottom"/>
          </w:tcPr>
          <w:p>
            <w:pPr>
              <w:spacing w:after="0"/>
              <w:rPr>
                <w:sz w:val="21"/>
                <w:szCs w:val="21"/>
                <w:color w:val="auto"/>
              </w:rPr>
            </w:pPr>
          </w:p>
        </w:tc>
        <w:tc>
          <w:tcPr>
            <w:tcW w:w="3500" w:type="dxa"/>
            <w:vAlign w:val="bottom"/>
            <w:gridSpan w:val="8"/>
          </w:tcPr>
          <w:p>
            <w:pPr>
              <w:jc w:val="right"/>
              <w:spacing w:after="0"/>
              <w:rPr>
                <w:sz w:val="20"/>
                <w:szCs w:val="20"/>
                <w:color w:val="auto"/>
              </w:rPr>
            </w:pPr>
            <w:r>
              <w:rPr>
                <w:rFonts w:ascii="Arial" w:cs="Arial" w:eastAsia="Arial" w:hAnsi="Arial"/>
                <w:sz w:val="22"/>
                <w:szCs w:val="22"/>
                <w:color w:val="auto"/>
                <w:w w:val="89"/>
              </w:rPr>
              <w:t>Three Months Ended Six Months Ended</w:t>
            </w:r>
          </w:p>
        </w:tc>
      </w:tr>
      <w:tr>
        <w:trPr>
          <w:trHeight w:val="243"/>
        </w:trPr>
        <w:tc>
          <w:tcPr>
            <w:tcW w:w="6700" w:type="dxa"/>
            <w:vAlign w:val="bottom"/>
          </w:tcPr>
          <w:p>
            <w:pPr>
              <w:spacing w:after="0"/>
              <w:rPr>
                <w:sz w:val="21"/>
                <w:szCs w:val="21"/>
                <w:color w:val="auto"/>
              </w:rPr>
            </w:pPr>
          </w:p>
        </w:tc>
        <w:tc>
          <w:tcPr>
            <w:tcW w:w="1860" w:type="dxa"/>
            <w:vAlign w:val="bottom"/>
            <w:gridSpan w:val="4"/>
          </w:tcPr>
          <w:p>
            <w:pPr>
              <w:jc w:val="right"/>
              <w:ind w:right="580"/>
              <w:spacing w:after="0" w:line="243" w:lineRule="exact"/>
              <w:rPr>
                <w:sz w:val="20"/>
                <w:szCs w:val="20"/>
                <w:color w:val="auto"/>
              </w:rPr>
            </w:pPr>
            <w:r>
              <w:rPr>
                <w:rFonts w:ascii="Arial" w:cs="Arial" w:eastAsia="Arial" w:hAnsi="Arial"/>
                <w:sz w:val="22"/>
                <w:szCs w:val="22"/>
                <w:color w:val="auto"/>
              </w:rPr>
              <w:t>June 30,</w:t>
            </w:r>
          </w:p>
        </w:tc>
        <w:tc>
          <w:tcPr>
            <w:tcW w:w="1640" w:type="dxa"/>
            <w:vAlign w:val="bottom"/>
            <w:gridSpan w:val="4"/>
          </w:tcPr>
          <w:p>
            <w:pPr>
              <w:jc w:val="right"/>
              <w:ind w:right="420"/>
              <w:spacing w:after="0" w:line="243" w:lineRule="exact"/>
              <w:rPr>
                <w:sz w:val="20"/>
                <w:szCs w:val="20"/>
                <w:color w:val="auto"/>
              </w:rPr>
            </w:pPr>
            <w:r>
              <w:rPr>
                <w:rFonts w:ascii="Arial" w:cs="Arial" w:eastAsia="Arial" w:hAnsi="Arial"/>
                <w:sz w:val="22"/>
                <w:szCs w:val="22"/>
                <w:color w:val="auto"/>
              </w:rPr>
              <w:t>June 30,</w:t>
            </w:r>
          </w:p>
        </w:tc>
      </w:tr>
      <w:tr>
        <w:trPr>
          <w:trHeight w:val="275"/>
        </w:trPr>
        <w:tc>
          <w:tcPr>
            <w:tcW w:w="670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22"/>
                <w:szCs w:val="22"/>
                <w:color w:val="auto"/>
              </w:rPr>
              <w:t>2004</w:t>
            </w:r>
          </w:p>
        </w:tc>
        <w:tc>
          <w:tcPr>
            <w:tcW w:w="30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22"/>
                <w:szCs w:val="22"/>
                <w:color w:val="auto"/>
              </w:rPr>
              <w:t>2003</w:t>
            </w:r>
          </w:p>
        </w:tc>
        <w:tc>
          <w:tcPr>
            <w:tcW w:w="320" w:type="dxa"/>
            <w:vAlign w:val="bottom"/>
          </w:tcPr>
          <w:p>
            <w:pPr>
              <w:spacing w:after="0"/>
              <w:rPr>
                <w:sz w:val="23"/>
                <w:szCs w:val="23"/>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22"/>
                <w:szCs w:val="22"/>
                <w:color w:val="auto"/>
              </w:rPr>
              <w:t>2004</w:t>
            </w:r>
          </w:p>
        </w:tc>
        <w:tc>
          <w:tcPr>
            <w:tcW w:w="600" w:type="dxa"/>
            <w:vAlign w:val="bottom"/>
          </w:tcPr>
          <w:p>
            <w:pPr>
              <w:jc w:val="right"/>
              <w:spacing w:after="0"/>
              <w:rPr>
                <w:sz w:val="20"/>
                <w:szCs w:val="20"/>
                <w:color w:val="auto"/>
              </w:rPr>
            </w:pPr>
            <w:r>
              <w:rPr>
                <w:rFonts w:ascii="Arial" w:cs="Arial" w:eastAsia="Arial" w:hAnsi="Arial"/>
                <w:sz w:val="22"/>
                <w:szCs w:val="22"/>
                <w:color w:val="auto"/>
              </w:rPr>
              <w:t>2003</w:t>
            </w:r>
          </w:p>
        </w:tc>
        <w:tc>
          <w:tcPr>
            <w:tcW w:w="140" w:type="dxa"/>
            <w:vAlign w:val="bottom"/>
          </w:tcPr>
          <w:p>
            <w:pPr>
              <w:spacing w:after="0"/>
              <w:rPr>
                <w:sz w:val="23"/>
                <w:szCs w:val="23"/>
                <w:color w:val="auto"/>
              </w:rPr>
            </w:pPr>
          </w:p>
        </w:tc>
      </w:tr>
      <w:tr>
        <w:trPr>
          <w:trHeight w:val="98"/>
        </w:trPr>
        <w:tc>
          <w:tcPr>
            <w:tcW w:w="670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r>
      <w:tr>
        <w:trPr>
          <w:trHeight w:val="323"/>
        </w:trPr>
        <w:tc>
          <w:tcPr>
            <w:tcW w:w="6700" w:type="dxa"/>
            <w:vAlign w:val="bottom"/>
          </w:tcPr>
          <w:p>
            <w:pPr>
              <w:spacing w:after="0"/>
              <w:rPr>
                <w:sz w:val="20"/>
                <w:szCs w:val="20"/>
                <w:color w:val="auto"/>
              </w:rPr>
            </w:pPr>
            <w:r>
              <w:rPr>
                <w:rFonts w:ascii="Arial" w:cs="Arial" w:eastAsia="Arial" w:hAnsi="Arial"/>
                <w:sz w:val="22"/>
                <w:szCs w:val="22"/>
                <w:color w:val="auto"/>
              </w:rPr>
              <w:t>Net income (loss)</w:t>
            </w:r>
          </w:p>
        </w:tc>
        <w:tc>
          <w:tcPr>
            <w:tcW w:w="620" w:type="dxa"/>
            <w:vAlign w:val="bottom"/>
          </w:tcPr>
          <w:p>
            <w:pPr>
              <w:jc w:val="right"/>
              <w:spacing w:after="0"/>
              <w:rPr>
                <w:sz w:val="20"/>
                <w:szCs w:val="20"/>
                <w:color w:val="auto"/>
              </w:rPr>
            </w:pPr>
            <w:r>
              <w:rPr>
                <w:rFonts w:ascii="Arial" w:cs="Arial" w:eastAsia="Arial" w:hAnsi="Arial"/>
                <w:sz w:val="22"/>
                <w:szCs w:val="22"/>
                <w:color w:val="auto"/>
              </w:rPr>
              <w:t>$262</w:t>
            </w:r>
          </w:p>
        </w:tc>
        <w:tc>
          <w:tcPr>
            <w:tcW w:w="300" w:type="dxa"/>
            <w:vAlign w:val="bottom"/>
          </w:tcPr>
          <w:p>
            <w:pPr>
              <w:spacing w:after="0"/>
              <w:rPr>
                <w:sz w:val="24"/>
                <w:szCs w:val="24"/>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22"/>
                <w:szCs w:val="22"/>
                <w:color w:val="auto"/>
              </w:rPr>
              <w:t>($22)</w:t>
            </w:r>
          </w:p>
        </w:tc>
        <w:tc>
          <w:tcPr>
            <w:tcW w:w="900" w:type="dxa"/>
            <w:vAlign w:val="bottom"/>
            <w:gridSpan w:val="2"/>
          </w:tcPr>
          <w:p>
            <w:pPr>
              <w:jc w:val="right"/>
              <w:ind w:right="300"/>
              <w:spacing w:after="0"/>
              <w:rPr>
                <w:sz w:val="20"/>
                <w:szCs w:val="20"/>
                <w:color w:val="auto"/>
              </w:rPr>
            </w:pPr>
            <w:r>
              <w:rPr>
                <w:rFonts w:ascii="Arial" w:cs="Arial" w:eastAsia="Arial" w:hAnsi="Arial"/>
                <w:sz w:val="22"/>
                <w:szCs w:val="22"/>
                <w:color w:val="auto"/>
              </w:rPr>
              <w:t>$327</w:t>
            </w:r>
          </w:p>
        </w:tc>
        <w:tc>
          <w:tcPr>
            <w:tcW w:w="740" w:type="dxa"/>
            <w:vAlign w:val="bottom"/>
            <w:gridSpan w:val="2"/>
          </w:tcPr>
          <w:p>
            <w:pPr>
              <w:jc w:val="right"/>
              <w:ind w:right="60"/>
              <w:spacing w:after="0"/>
              <w:rPr>
                <w:sz w:val="20"/>
                <w:szCs w:val="20"/>
                <w:color w:val="auto"/>
              </w:rPr>
            </w:pPr>
            <w:r>
              <w:rPr>
                <w:rFonts w:ascii="Arial" w:cs="Arial" w:eastAsia="Arial" w:hAnsi="Arial"/>
                <w:sz w:val="22"/>
                <w:szCs w:val="22"/>
                <w:color w:val="auto"/>
              </w:rPr>
              <w:t>($319)</w:t>
            </w:r>
          </w:p>
        </w:tc>
      </w:tr>
      <w:tr>
        <w:trPr>
          <w:trHeight w:val="243"/>
        </w:trPr>
        <w:tc>
          <w:tcPr>
            <w:tcW w:w="6700" w:type="dxa"/>
            <w:vAlign w:val="bottom"/>
          </w:tcPr>
          <w:p>
            <w:pPr>
              <w:spacing w:after="0" w:line="243" w:lineRule="exact"/>
              <w:rPr>
                <w:sz w:val="20"/>
                <w:szCs w:val="20"/>
                <w:color w:val="auto"/>
              </w:rPr>
            </w:pPr>
            <w:r>
              <w:rPr>
                <w:rFonts w:ascii="Arial" w:cs="Arial" w:eastAsia="Arial" w:hAnsi="Arial"/>
                <w:sz w:val="22"/>
                <w:szCs w:val="22"/>
                <w:color w:val="auto"/>
              </w:rPr>
              <w:t>Unrealized gains (losses) on marketable securities</w:t>
            </w:r>
          </w:p>
        </w:tc>
        <w:tc>
          <w:tcPr>
            <w:tcW w:w="920" w:type="dxa"/>
            <w:vAlign w:val="bottom"/>
            <w:gridSpan w:val="2"/>
          </w:tcPr>
          <w:p>
            <w:pPr>
              <w:jc w:val="right"/>
              <w:ind w:right="240"/>
              <w:spacing w:after="0" w:line="243" w:lineRule="exact"/>
              <w:rPr>
                <w:sz w:val="20"/>
                <w:szCs w:val="20"/>
                <w:color w:val="auto"/>
              </w:rPr>
            </w:pPr>
            <w:r>
              <w:rPr>
                <w:rFonts w:ascii="Arial" w:cs="Arial" w:eastAsia="Arial" w:hAnsi="Arial"/>
                <w:sz w:val="22"/>
                <w:szCs w:val="22"/>
                <w:color w:val="auto"/>
              </w:rPr>
              <w:t>(11)</w:t>
            </w:r>
          </w:p>
        </w:tc>
        <w:tc>
          <w:tcPr>
            <w:tcW w:w="620" w:type="dxa"/>
            <w:vAlign w:val="bottom"/>
          </w:tcPr>
          <w:p>
            <w:pPr>
              <w:jc w:val="right"/>
              <w:spacing w:after="0" w:line="243" w:lineRule="exact"/>
              <w:rPr>
                <w:sz w:val="20"/>
                <w:szCs w:val="20"/>
                <w:color w:val="auto"/>
              </w:rPr>
            </w:pPr>
            <w:r>
              <w:rPr>
                <w:rFonts w:ascii="Arial" w:cs="Arial" w:eastAsia="Arial" w:hAnsi="Arial"/>
                <w:sz w:val="22"/>
                <w:szCs w:val="22"/>
                <w:color w:val="auto"/>
              </w:rPr>
              <w:t>3</w:t>
            </w:r>
          </w:p>
        </w:tc>
        <w:tc>
          <w:tcPr>
            <w:tcW w:w="320" w:type="dxa"/>
            <w:vAlign w:val="bottom"/>
          </w:tcPr>
          <w:p>
            <w:pPr>
              <w:spacing w:after="0"/>
              <w:rPr>
                <w:sz w:val="21"/>
                <w:szCs w:val="21"/>
                <w:color w:val="auto"/>
              </w:rPr>
            </w:pPr>
          </w:p>
        </w:tc>
        <w:tc>
          <w:tcPr>
            <w:tcW w:w="900" w:type="dxa"/>
            <w:vAlign w:val="bottom"/>
            <w:gridSpan w:val="2"/>
          </w:tcPr>
          <w:p>
            <w:pPr>
              <w:jc w:val="right"/>
              <w:ind w:right="220"/>
              <w:spacing w:after="0" w:line="243" w:lineRule="exact"/>
              <w:rPr>
                <w:sz w:val="20"/>
                <w:szCs w:val="20"/>
                <w:color w:val="auto"/>
              </w:rPr>
            </w:pPr>
            <w:r>
              <w:rPr>
                <w:rFonts w:ascii="Arial" w:cs="Arial" w:eastAsia="Arial" w:hAnsi="Arial"/>
                <w:sz w:val="22"/>
                <w:szCs w:val="22"/>
                <w:color w:val="auto"/>
              </w:rPr>
              <w:t>(9)</w:t>
            </w:r>
          </w:p>
        </w:tc>
        <w:tc>
          <w:tcPr>
            <w:tcW w:w="740" w:type="dxa"/>
            <w:vAlign w:val="bottom"/>
            <w:gridSpan w:val="2"/>
          </w:tcPr>
          <w:p>
            <w:pPr>
              <w:jc w:val="right"/>
              <w:ind w:right="60"/>
              <w:spacing w:after="0" w:line="243" w:lineRule="exact"/>
              <w:rPr>
                <w:sz w:val="20"/>
                <w:szCs w:val="20"/>
                <w:color w:val="auto"/>
              </w:rPr>
            </w:pPr>
            <w:r>
              <w:rPr>
                <w:rFonts w:ascii="Arial" w:cs="Arial" w:eastAsia="Arial" w:hAnsi="Arial"/>
                <w:sz w:val="22"/>
                <w:szCs w:val="22"/>
                <w:color w:val="auto"/>
              </w:rPr>
              <w:t>(28)</w:t>
            </w:r>
          </w:p>
        </w:tc>
      </w:tr>
      <w:tr>
        <w:trPr>
          <w:trHeight w:val="243"/>
        </w:trPr>
        <w:tc>
          <w:tcPr>
            <w:tcW w:w="6700" w:type="dxa"/>
            <w:vAlign w:val="bottom"/>
          </w:tcPr>
          <w:p>
            <w:pPr>
              <w:spacing w:after="0" w:line="243" w:lineRule="exact"/>
              <w:rPr>
                <w:sz w:val="20"/>
                <w:szCs w:val="20"/>
                <w:color w:val="auto"/>
              </w:rPr>
            </w:pPr>
            <w:r>
              <w:rPr>
                <w:rFonts w:ascii="Arial" w:cs="Arial" w:eastAsia="Arial" w:hAnsi="Arial"/>
                <w:sz w:val="22"/>
                <w:szCs w:val="22"/>
                <w:color w:val="auto"/>
              </w:rPr>
              <w:t>Reclassification adjustments for losses</w:t>
            </w:r>
          </w:p>
        </w:tc>
        <w:tc>
          <w:tcPr>
            <w:tcW w:w="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43"/>
        </w:trPr>
        <w:tc>
          <w:tcPr>
            <w:tcW w:w="6700" w:type="dxa"/>
            <w:vAlign w:val="bottom"/>
          </w:tcPr>
          <w:p>
            <w:pPr>
              <w:ind w:left="180"/>
              <w:spacing w:after="0" w:line="243" w:lineRule="exact"/>
              <w:rPr>
                <w:sz w:val="20"/>
                <w:szCs w:val="20"/>
                <w:color w:val="auto"/>
              </w:rPr>
            </w:pPr>
            <w:r>
              <w:rPr>
                <w:rFonts w:ascii="Arial" w:cs="Arial" w:eastAsia="Arial" w:hAnsi="Arial"/>
                <w:sz w:val="22"/>
                <w:szCs w:val="22"/>
                <w:color w:val="auto"/>
              </w:rPr>
              <w:t>included in net income (loss)</w:t>
            </w:r>
          </w:p>
        </w:tc>
        <w:tc>
          <w:tcPr>
            <w:tcW w:w="620" w:type="dxa"/>
            <w:vAlign w:val="bottom"/>
          </w:tcPr>
          <w:p>
            <w:pPr>
              <w:jc w:val="right"/>
              <w:spacing w:after="0" w:line="243" w:lineRule="exact"/>
              <w:rPr>
                <w:sz w:val="20"/>
                <w:szCs w:val="20"/>
                <w:color w:val="auto"/>
              </w:rPr>
            </w:pPr>
            <w:r>
              <w:rPr>
                <w:rFonts w:ascii="Arial" w:cs="Arial" w:eastAsia="Arial" w:hAnsi="Arial"/>
                <w:sz w:val="22"/>
                <w:szCs w:val="22"/>
                <w:color w:val="auto"/>
              </w:rPr>
              <w:t>11</w:t>
            </w:r>
          </w:p>
        </w:tc>
        <w:tc>
          <w:tcPr>
            <w:tcW w:w="300" w:type="dxa"/>
            <w:vAlign w:val="bottom"/>
          </w:tcPr>
          <w:p>
            <w:pPr>
              <w:spacing w:after="0"/>
              <w:rPr>
                <w:sz w:val="21"/>
                <w:szCs w:val="21"/>
                <w:color w:val="auto"/>
              </w:rPr>
            </w:pPr>
          </w:p>
        </w:tc>
        <w:tc>
          <w:tcPr>
            <w:tcW w:w="620" w:type="dxa"/>
            <w:vAlign w:val="bottom"/>
          </w:tcPr>
          <w:p>
            <w:pPr>
              <w:jc w:val="right"/>
              <w:spacing w:after="0" w:line="243" w:lineRule="exact"/>
              <w:rPr>
                <w:sz w:val="20"/>
                <w:szCs w:val="20"/>
                <w:color w:val="auto"/>
              </w:rPr>
            </w:pPr>
            <w:r>
              <w:rPr>
                <w:rFonts w:ascii="Arial" w:cs="Arial" w:eastAsia="Arial" w:hAnsi="Arial"/>
                <w:sz w:val="22"/>
                <w:szCs w:val="22"/>
                <w:color w:val="auto"/>
              </w:rPr>
              <w:t>3</w:t>
            </w:r>
          </w:p>
        </w:tc>
        <w:tc>
          <w:tcPr>
            <w:tcW w:w="320" w:type="dxa"/>
            <w:vAlign w:val="bottom"/>
          </w:tcPr>
          <w:p>
            <w:pPr>
              <w:spacing w:after="0"/>
              <w:rPr>
                <w:sz w:val="21"/>
                <w:szCs w:val="21"/>
                <w:color w:val="auto"/>
              </w:rPr>
            </w:pPr>
          </w:p>
        </w:tc>
        <w:tc>
          <w:tcPr>
            <w:tcW w:w="900" w:type="dxa"/>
            <w:vAlign w:val="bottom"/>
            <w:gridSpan w:val="2"/>
          </w:tcPr>
          <w:p>
            <w:pPr>
              <w:jc w:val="right"/>
              <w:ind w:right="300"/>
              <w:spacing w:after="0" w:line="243" w:lineRule="exact"/>
              <w:rPr>
                <w:sz w:val="20"/>
                <w:szCs w:val="20"/>
                <w:color w:val="auto"/>
              </w:rPr>
            </w:pPr>
            <w:r>
              <w:rPr>
                <w:rFonts w:ascii="Arial" w:cs="Arial" w:eastAsia="Arial" w:hAnsi="Arial"/>
                <w:sz w:val="22"/>
                <w:szCs w:val="22"/>
                <w:color w:val="auto"/>
              </w:rPr>
              <w:t>19</w:t>
            </w:r>
          </w:p>
        </w:tc>
        <w:tc>
          <w:tcPr>
            <w:tcW w:w="600" w:type="dxa"/>
            <w:vAlign w:val="bottom"/>
          </w:tcPr>
          <w:p>
            <w:pPr>
              <w:jc w:val="right"/>
              <w:spacing w:after="0" w:line="243" w:lineRule="exact"/>
              <w:rPr>
                <w:sz w:val="20"/>
                <w:szCs w:val="20"/>
                <w:color w:val="auto"/>
              </w:rPr>
            </w:pPr>
            <w:r>
              <w:rPr>
                <w:rFonts w:ascii="Arial" w:cs="Arial" w:eastAsia="Arial" w:hAnsi="Arial"/>
                <w:sz w:val="22"/>
                <w:szCs w:val="22"/>
                <w:color w:val="auto"/>
              </w:rPr>
              <w:t>27</w:t>
            </w:r>
          </w:p>
        </w:tc>
        <w:tc>
          <w:tcPr>
            <w:tcW w:w="140" w:type="dxa"/>
            <w:vAlign w:val="bottom"/>
          </w:tcPr>
          <w:p>
            <w:pPr>
              <w:spacing w:after="0"/>
              <w:rPr>
                <w:sz w:val="21"/>
                <w:szCs w:val="21"/>
                <w:color w:val="auto"/>
              </w:rPr>
            </w:pPr>
          </w:p>
        </w:tc>
      </w:tr>
      <w:tr>
        <w:trPr>
          <w:trHeight w:val="275"/>
        </w:trPr>
        <w:tc>
          <w:tcPr>
            <w:tcW w:w="6700" w:type="dxa"/>
            <w:vAlign w:val="bottom"/>
          </w:tcPr>
          <w:p>
            <w:pPr>
              <w:spacing w:after="0"/>
              <w:rPr>
                <w:sz w:val="20"/>
                <w:szCs w:val="20"/>
                <w:color w:val="auto"/>
              </w:rPr>
            </w:pPr>
            <w:r>
              <w:rPr>
                <w:rFonts w:ascii="Arial" w:cs="Arial" w:eastAsia="Arial" w:hAnsi="Arial"/>
                <w:sz w:val="22"/>
                <w:szCs w:val="22"/>
                <w:color w:val="auto"/>
              </w:rPr>
              <w:t>Foreign currency translation gains</w:t>
            </w:r>
          </w:p>
        </w:tc>
        <w:tc>
          <w:tcPr>
            <w:tcW w:w="6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22"/>
                <w:szCs w:val="22"/>
                <w:color w:val="auto"/>
              </w:rPr>
              <w:t>9</w:t>
            </w:r>
          </w:p>
        </w:tc>
        <w:tc>
          <w:tcPr>
            <w:tcW w:w="3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22"/>
                <w:szCs w:val="22"/>
                <w:color w:val="auto"/>
              </w:rPr>
              <w:t>15</w:t>
            </w:r>
          </w:p>
        </w:tc>
        <w:tc>
          <w:tcPr>
            <w:tcW w:w="140" w:type="dxa"/>
            <w:vAlign w:val="bottom"/>
          </w:tcPr>
          <w:p>
            <w:pPr>
              <w:spacing w:after="0"/>
              <w:rPr>
                <w:sz w:val="23"/>
                <w:szCs w:val="23"/>
                <w:color w:val="auto"/>
              </w:rPr>
            </w:pPr>
          </w:p>
        </w:tc>
      </w:tr>
      <w:tr>
        <w:trPr>
          <w:trHeight w:val="98"/>
        </w:trPr>
        <w:tc>
          <w:tcPr>
            <w:tcW w:w="670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r>
      <w:tr>
        <w:trPr>
          <w:trHeight w:val="355"/>
        </w:trPr>
        <w:tc>
          <w:tcPr>
            <w:tcW w:w="6700" w:type="dxa"/>
            <w:vAlign w:val="bottom"/>
          </w:tcPr>
          <w:p>
            <w:pPr>
              <w:spacing w:after="0"/>
              <w:rPr>
                <w:sz w:val="20"/>
                <w:szCs w:val="20"/>
                <w:color w:val="auto"/>
              </w:rPr>
            </w:pPr>
            <w:r>
              <w:rPr>
                <w:rFonts w:ascii="Arial" w:cs="Arial" w:eastAsia="Arial" w:hAnsi="Arial"/>
                <w:sz w:val="22"/>
                <w:szCs w:val="22"/>
                <w:color w:val="auto"/>
              </w:rPr>
              <w:t>Comprehensive income (loss)</w:t>
            </w:r>
          </w:p>
        </w:tc>
        <w:tc>
          <w:tcPr>
            <w:tcW w:w="620" w:type="dxa"/>
            <w:vAlign w:val="bottom"/>
          </w:tcPr>
          <w:p>
            <w:pPr>
              <w:jc w:val="right"/>
              <w:spacing w:after="0"/>
              <w:rPr>
                <w:sz w:val="20"/>
                <w:szCs w:val="20"/>
                <w:color w:val="auto"/>
              </w:rPr>
            </w:pPr>
            <w:r>
              <w:rPr>
                <w:rFonts w:ascii="Arial" w:cs="Arial" w:eastAsia="Arial" w:hAnsi="Arial"/>
                <w:sz w:val="22"/>
                <w:szCs w:val="22"/>
                <w:color w:val="auto"/>
              </w:rPr>
              <w:t>$262</w:t>
            </w:r>
          </w:p>
        </w:tc>
        <w:tc>
          <w:tcPr>
            <w:tcW w:w="300" w:type="dxa"/>
            <w:vAlign w:val="bottom"/>
          </w:tcPr>
          <w:p>
            <w:pPr>
              <w:spacing w:after="0"/>
              <w:rPr>
                <w:sz w:val="24"/>
                <w:szCs w:val="24"/>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22"/>
                <w:szCs w:val="22"/>
                <w:color w:val="auto"/>
              </w:rPr>
              <w:t>($7)</w:t>
            </w:r>
          </w:p>
        </w:tc>
        <w:tc>
          <w:tcPr>
            <w:tcW w:w="900" w:type="dxa"/>
            <w:vAlign w:val="bottom"/>
            <w:gridSpan w:val="2"/>
          </w:tcPr>
          <w:p>
            <w:pPr>
              <w:jc w:val="right"/>
              <w:ind w:right="300"/>
              <w:spacing w:after="0"/>
              <w:rPr>
                <w:sz w:val="20"/>
                <w:szCs w:val="20"/>
                <w:color w:val="auto"/>
              </w:rPr>
            </w:pPr>
            <w:r>
              <w:rPr>
                <w:rFonts w:ascii="Arial" w:cs="Arial" w:eastAsia="Arial" w:hAnsi="Arial"/>
                <w:sz w:val="22"/>
                <w:szCs w:val="22"/>
                <w:color w:val="auto"/>
              </w:rPr>
              <w:t>$337</w:t>
            </w:r>
          </w:p>
        </w:tc>
        <w:tc>
          <w:tcPr>
            <w:tcW w:w="740" w:type="dxa"/>
            <w:vAlign w:val="bottom"/>
            <w:gridSpan w:val="2"/>
          </w:tcPr>
          <w:p>
            <w:pPr>
              <w:jc w:val="right"/>
              <w:ind w:right="60"/>
              <w:spacing w:after="0"/>
              <w:rPr>
                <w:sz w:val="20"/>
                <w:szCs w:val="20"/>
                <w:color w:val="auto"/>
              </w:rPr>
            </w:pPr>
            <w:r>
              <w:rPr>
                <w:rFonts w:ascii="Arial" w:cs="Arial" w:eastAsia="Arial" w:hAnsi="Arial"/>
                <w:sz w:val="22"/>
                <w:szCs w:val="22"/>
                <w:color w:val="auto"/>
              </w:rPr>
              <w:t>($305)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4248150</wp:posOffset>
            </wp:positionH>
            <wp:positionV relativeFrom="paragraph">
              <wp:posOffset>60325</wp:posOffset>
            </wp:positionV>
            <wp:extent cx="2148205" cy="215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148205" cy="21590"/>
                    </a:xfrm>
                    <a:prstGeom prst="rect">
                      <a:avLst/>
                    </a:prstGeom>
                    <a:noFill/>
                  </pic:spPr>
                </pic:pic>
              </a:graphicData>
            </a:graphic>
          </wp:anchor>
        </w:drawing>
      </w:r>
    </w:p>
    <w:p>
      <w:pPr>
        <w:spacing w:after="0" w:line="192" w:lineRule="exact"/>
        <w:rPr>
          <w:sz w:val="20"/>
          <w:szCs w:val="20"/>
          <w:color w:val="auto"/>
        </w:rPr>
      </w:pPr>
    </w:p>
    <w:p>
      <w:pPr>
        <w:ind w:left="460" w:hanging="452"/>
        <w:spacing w:after="0"/>
        <w:tabs>
          <w:tab w:leader="none" w:pos="460" w:val="left"/>
        </w:tabs>
        <w:numPr>
          <w:ilvl w:val="0"/>
          <w:numId w:val="8"/>
        </w:numPr>
        <w:rPr>
          <w:rFonts w:ascii="Arial" w:cs="Arial" w:eastAsia="Arial" w:hAnsi="Arial"/>
          <w:sz w:val="22"/>
          <w:szCs w:val="22"/>
          <w:color w:val="auto"/>
        </w:rPr>
      </w:pPr>
      <w:r>
        <w:rPr>
          <w:rFonts w:ascii="Arial" w:cs="Arial" w:eastAsia="Arial" w:hAnsi="Arial"/>
          <w:sz w:val="22"/>
          <w:szCs w:val="22"/>
          <w:color w:val="auto"/>
        </w:rPr>
        <w:t>STATEMENT OF CASH FLOWS - SUPPLEMENTAL INFORMATION</w:t>
      </w:r>
    </w:p>
    <w:p>
      <w:pPr>
        <w:spacing w:after="0" w:line="233" w:lineRule="exact"/>
        <w:rPr>
          <w:rFonts w:ascii="Arial" w:cs="Arial" w:eastAsia="Arial" w:hAnsi="Arial"/>
          <w:sz w:val="22"/>
          <w:szCs w:val="22"/>
          <w:color w:val="auto"/>
        </w:rPr>
      </w:pPr>
    </w:p>
    <w:p>
      <w:pPr>
        <w:ind w:left="460"/>
        <w:spacing w:after="0"/>
        <w:rPr>
          <w:rFonts w:ascii="Arial" w:cs="Arial" w:eastAsia="Arial" w:hAnsi="Arial"/>
          <w:sz w:val="22"/>
          <w:szCs w:val="22"/>
          <w:color w:val="auto"/>
        </w:rPr>
      </w:pPr>
      <w:r>
        <w:rPr>
          <w:rFonts w:ascii="Arial" w:cs="Arial" w:eastAsia="Arial" w:hAnsi="Arial"/>
          <w:sz w:val="22"/>
          <w:szCs w:val="22"/>
          <w:color w:val="auto"/>
        </w:rPr>
        <w:t>We made cash payments for interest and income taxes during the interim periods as follows (in millions):</w:t>
      </w:r>
    </w:p>
    <w:p>
      <w:pPr>
        <w:sectPr>
          <w:pgSz w:w="11900" w:h="16838" w:orient="portrait"/>
          <w:cols w:equalWidth="0" w:num="1">
            <w:col w:w="11200"/>
          </w:cols>
          <w:pgMar w:left="240" w:top="108" w:right="459" w:bottom="263"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53"/>
        </w:trPr>
        <w:tc>
          <w:tcPr>
            <w:tcW w:w="6700" w:type="dxa"/>
            <w:vAlign w:val="bottom"/>
          </w:tcPr>
          <w:p>
            <w:pPr>
              <w:spacing w:after="0"/>
              <w:rPr>
                <w:sz w:val="21"/>
                <w:szCs w:val="21"/>
                <w:color w:val="auto"/>
              </w:rPr>
            </w:pPr>
          </w:p>
        </w:tc>
        <w:tc>
          <w:tcPr>
            <w:tcW w:w="3500" w:type="dxa"/>
            <w:vAlign w:val="bottom"/>
            <w:gridSpan w:val="8"/>
          </w:tcPr>
          <w:p>
            <w:pPr>
              <w:ind w:left="20"/>
              <w:spacing w:after="0"/>
              <w:rPr>
                <w:sz w:val="20"/>
                <w:szCs w:val="20"/>
                <w:color w:val="auto"/>
              </w:rPr>
            </w:pPr>
            <w:r>
              <w:rPr>
                <w:rFonts w:ascii="Arial" w:cs="Arial" w:eastAsia="Arial" w:hAnsi="Arial"/>
                <w:sz w:val="22"/>
                <w:szCs w:val="22"/>
                <w:color w:val="auto"/>
                <w:w w:val="88"/>
              </w:rPr>
              <w:t>Three Months Ended Six Months Ended</w:t>
            </w:r>
          </w:p>
        </w:tc>
      </w:tr>
      <w:tr>
        <w:trPr>
          <w:trHeight w:val="243"/>
        </w:trPr>
        <w:tc>
          <w:tcPr>
            <w:tcW w:w="6700" w:type="dxa"/>
            <w:vAlign w:val="bottom"/>
          </w:tcPr>
          <w:p>
            <w:pPr>
              <w:spacing w:after="0"/>
              <w:rPr>
                <w:sz w:val="21"/>
                <w:szCs w:val="21"/>
                <w:color w:val="auto"/>
              </w:rPr>
            </w:pPr>
          </w:p>
        </w:tc>
        <w:tc>
          <w:tcPr>
            <w:tcW w:w="1540" w:type="dxa"/>
            <w:vAlign w:val="bottom"/>
            <w:gridSpan w:val="3"/>
          </w:tcPr>
          <w:p>
            <w:pPr>
              <w:jc w:val="right"/>
              <w:ind w:right="260"/>
              <w:spacing w:after="0" w:line="243" w:lineRule="exact"/>
              <w:rPr>
                <w:sz w:val="20"/>
                <w:szCs w:val="20"/>
                <w:color w:val="auto"/>
              </w:rPr>
            </w:pPr>
            <w:r>
              <w:rPr>
                <w:rFonts w:ascii="Arial" w:cs="Arial" w:eastAsia="Arial" w:hAnsi="Arial"/>
                <w:sz w:val="22"/>
                <w:szCs w:val="22"/>
                <w:color w:val="auto"/>
              </w:rPr>
              <w:t>June 30,</w:t>
            </w:r>
          </w:p>
        </w:tc>
        <w:tc>
          <w:tcPr>
            <w:tcW w:w="320" w:type="dxa"/>
            <w:vAlign w:val="bottom"/>
          </w:tcPr>
          <w:p>
            <w:pPr>
              <w:spacing w:after="0"/>
              <w:rPr>
                <w:sz w:val="21"/>
                <w:szCs w:val="21"/>
                <w:color w:val="auto"/>
              </w:rPr>
            </w:pPr>
          </w:p>
        </w:tc>
        <w:tc>
          <w:tcPr>
            <w:tcW w:w="1640" w:type="dxa"/>
            <w:vAlign w:val="bottom"/>
            <w:gridSpan w:val="4"/>
          </w:tcPr>
          <w:p>
            <w:pPr>
              <w:ind w:left="500"/>
              <w:spacing w:after="0" w:line="243" w:lineRule="exact"/>
              <w:rPr>
                <w:sz w:val="20"/>
                <w:szCs w:val="20"/>
                <w:color w:val="auto"/>
              </w:rPr>
            </w:pPr>
            <w:r>
              <w:rPr>
                <w:rFonts w:ascii="Arial" w:cs="Arial" w:eastAsia="Arial" w:hAnsi="Arial"/>
                <w:sz w:val="22"/>
                <w:szCs w:val="22"/>
                <w:color w:val="auto"/>
              </w:rPr>
              <w:t>June 30,</w:t>
            </w:r>
          </w:p>
        </w:tc>
      </w:tr>
      <w:tr>
        <w:trPr>
          <w:trHeight w:val="275"/>
        </w:trPr>
        <w:tc>
          <w:tcPr>
            <w:tcW w:w="670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22"/>
                <w:szCs w:val="22"/>
                <w:color w:val="auto"/>
              </w:rPr>
              <w:t>2004</w:t>
            </w:r>
          </w:p>
        </w:tc>
        <w:tc>
          <w:tcPr>
            <w:tcW w:w="920" w:type="dxa"/>
            <w:vAlign w:val="bottom"/>
            <w:gridSpan w:val="2"/>
          </w:tcPr>
          <w:p>
            <w:pPr>
              <w:jc w:val="right"/>
              <w:spacing w:after="0"/>
              <w:rPr>
                <w:sz w:val="20"/>
                <w:szCs w:val="20"/>
                <w:color w:val="auto"/>
              </w:rPr>
            </w:pPr>
            <w:r>
              <w:rPr>
                <w:rFonts w:ascii="Arial" w:cs="Arial" w:eastAsia="Arial" w:hAnsi="Arial"/>
                <w:sz w:val="22"/>
                <w:szCs w:val="22"/>
                <w:color w:val="auto"/>
              </w:rPr>
              <w:t>2003</w:t>
            </w:r>
          </w:p>
        </w:tc>
        <w:tc>
          <w:tcPr>
            <w:tcW w:w="1220" w:type="dxa"/>
            <w:vAlign w:val="bottom"/>
            <w:gridSpan w:val="3"/>
          </w:tcPr>
          <w:p>
            <w:pPr>
              <w:jc w:val="right"/>
              <w:ind w:right="300"/>
              <w:spacing w:after="0"/>
              <w:rPr>
                <w:sz w:val="20"/>
                <w:szCs w:val="20"/>
                <w:color w:val="auto"/>
              </w:rPr>
            </w:pPr>
            <w:r>
              <w:rPr>
                <w:rFonts w:ascii="Arial" w:cs="Arial" w:eastAsia="Arial" w:hAnsi="Arial"/>
                <w:sz w:val="22"/>
                <w:szCs w:val="22"/>
                <w:color w:val="auto"/>
              </w:rPr>
              <w:t>2004</w:t>
            </w:r>
          </w:p>
        </w:tc>
        <w:tc>
          <w:tcPr>
            <w:tcW w:w="600" w:type="dxa"/>
            <w:vAlign w:val="bottom"/>
          </w:tcPr>
          <w:p>
            <w:pPr>
              <w:jc w:val="right"/>
              <w:spacing w:after="0"/>
              <w:rPr>
                <w:sz w:val="20"/>
                <w:szCs w:val="20"/>
                <w:color w:val="auto"/>
              </w:rPr>
            </w:pPr>
            <w:r>
              <w:rPr>
                <w:rFonts w:ascii="Arial" w:cs="Arial" w:eastAsia="Arial" w:hAnsi="Arial"/>
                <w:sz w:val="22"/>
                <w:szCs w:val="22"/>
                <w:color w:val="auto"/>
              </w:rPr>
              <w:t>2003</w:t>
            </w:r>
          </w:p>
        </w:tc>
        <w:tc>
          <w:tcPr>
            <w:tcW w:w="140" w:type="dxa"/>
            <w:vAlign w:val="bottom"/>
          </w:tcPr>
          <w:p>
            <w:pPr>
              <w:spacing w:after="0"/>
              <w:rPr>
                <w:sz w:val="23"/>
                <w:szCs w:val="23"/>
                <w:color w:val="auto"/>
              </w:rPr>
            </w:pPr>
          </w:p>
        </w:tc>
      </w:tr>
      <w:tr>
        <w:trPr>
          <w:trHeight w:val="98"/>
        </w:trPr>
        <w:tc>
          <w:tcPr>
            <w:tcW w:w="670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r>
      <w:tr>
        <w:trPr>
          <w:trHeight w:val="323"/>
        </w:trPr>
        <w:tc>
          <w:tcPr>
            <w:tcW w:w="6700" w:type="dxa"/>
            <w:vAlign w:val="bottom"/>
          </w:tcPr>
          <w:p>
            <w:pPr>
              <w:spacing w:after="0"/>
              <w:rPr>
                <w:sz w:val="20"/>
                <w:szCs w:val="20"/>
                <w:color w:val="auto"/>
              </w:rPr>
            </w:pPr>
            <w:r>
              <w:rPr>
                <w:rFonts w:ascii="Arial" w:cs="Arial" w:eastAsia="Arial" w:hAnsi="Arial"/>
                <w:sz w:val="22"/>
                <w:szCs w:val="22"/>
                <w:color w:val="auto"/>
              </w:rPr>
              <w:t>Interest</w:t>
            </w:r>
          </w:p>
        </w:tc>
        <w:tc>
          <w:tcPr>
            <w:tcW w:w="620" w:type="dxa"/>
            <w:vAlign w:val="bottom"/>
          </w:tcPr>
          <w:p>
            <w:pPr>
              <w:jc w:val="right"/>
              <w:spacing w:after="0"/>
              <w:rPr>
                <w:sz w:val="20"/>
                <w:szCs w:val="20"/>
                <w:color w:val="auto"/>
              </w:rPr>
            </w:pPr>
            <w:r>
              <w:rPr>
                <w:rFonts w:ascii="Arial" w:cs="Arial" w:eastAsia="Arial" w:hAnsi="Arial"/>
                <w:sz w:val="22"/>
                <w:szCs w:val="22"/>
                <w:color w:val="auto"/>
              </w:rPr>
              <w:t>$376</w:t>
            </w:r>
          </w:p>
        </w:tc>
        <w:tc>
          <w:tcPr>
            <w:tcW w:w="920" w:type="dxa"/>
            <w:vAlign w:val="bottom"/>
            <w:gridSpan w:val="2"/>
          </w:tcPr>
          <w:p>
            <w:pPr>
              <w:jc w:val="right"/>
              <w:spacing w:after="0"/>
              <w:rPr>
                <w:sz w:val="20"/>
                <w:szCs w:val="20"/>
                <w:color w:val="auto"/>
              </w:rPr>
            </w:pPr>
            <w:r>
              <w:rPr>
                <w:rFonts w:ascii="Arial" w:cs="Arial" w:eastAsia="Arial" w:hAnsi="Arial"/>
                <w:sz w:val="22"/>
                <w:szCs w:val="22"/>
                <w:color w:val="auto"/>
              </w:rPr>
              <w:t>$449</w:t>
            </w:r>
          </w:p>
        </w:tc>
        <w:tc>
          <w:tcPr>
            <w:tcW w:w="1220" w:type="dxa"/>
            <w:vAlign w:val="bottom"/>
            <w:gridSpan w:val="3"/>
          </w:tcPr>
          <w:p>
            <w:pPr>
              <w:jc w:val="right"/>
              <w:ind w:right="300"/>
              <w:spacing w:after="0"/>
              <w:rPr>
                <w:sz w:val="20"/>
                <w:szCs w:val="20"/>
                <w:color w:val="auto"/>
              </w:rPr>
            </w:pPr>
            <w:r>
              <w:rPr>
                <w:rFonts w:ascii="Arial" w:cs="Arial" w:eastAsia="Arial" w:hAnsi="Arial"/>
                <w:sz w:val="22"/>
                <w:szCs w:val="22"/>
                <w:color w:val="auto"/>
              </w:rPr>
              <w:t>$981</w:t>
            </w:r>
          </w:p>
        </w:tc>
        <w:tc>
          <w:tcPr>
            <w:tcW w:w="600" w:type="dxa"/>
            <w:vAlign w:val="bottom"/>
          </w:tcPr>
          <w:p>
            <w:pPr>
              <w:jc w:val="right"/>
              <w:spacing w:after="0"/>
              <w:rPr>
                <w:sz w:val="20"/>
                <w:szCs w:val="20"/>
                <w:color w:val="auto"/>
              </w:rPr>
            </w:pPr>
            <w:r>
              <w:rPr>
                <w:rFonts w:ascii="Arial" w:cs="Arial" w:eastAsia="Arial" w:hAnsi="Arial"/>
                <w:sz w:val="22"/>
                <w:szCs w:val="22"/>
                <w:color w:val="auto"/>
                <w:w w:val="86"/>
              </w:rPr>
              <w:t>$1,016</w:t>
            </w:r>
          </w:p>
        </w:tc>
        <w:tc>
          <w:tcPr>
            <w:tcW w:w="140" w:type="dxa"/>
            <w:vAlign w:val="bottom"/>
          </w:tcPr>
          <w:p>
            <w:pPr>
              <w:spacing w:after="0"/>
              <w:rPr>
                <w:sz w:val="24"/>
                <w:szCs w:val="24"/>
                <w:color w:val="auto"/>
              </w:rPr>
            </w:pPr>
          </w:p>
        </w:tc>
      </w:tr>
      <w:tr>
        <w:trPr>
          <w:trHeight w:val="275"/>
        </w:trPr>
        <w:tc>
          <w:tcPr>
            <w:tcW w:w="6700" w:type="dxa"/>
            <w:vAlign w:val="bottom"/>
          </w:tcPr>
          <w:p>
            <w:pPr>
              <w:spacing w:after="0"/>
              <w:rPr>
                <w:sz w:val="20"/>
                <w:szCs w:val="20"/>
                <w:color w:val="auto"/>
              </w:rPr>
            </w:pPr>
            <w:r>
              <w:rPr>
                <w:rFonts w:ascii="Arial" w:cs="Arial" w:eastAsia="Arial" w:hAnsi="Arial"/>
                <w:sz w:val="22"/>
                <w:szCs w:val="22"/>
                <w:color w:val="auto"/>
              </w:rPr>
              <w:t>Income taxes</w:t>
            </w:r>
          </w:p>
        </w:tc>
        <w:tc>
          <w:tcPr>
            <w:tcW w:w="620" w:type="dxa"/>
            <w:vAlign w:val="bottom"/>
          </w:tcPr>
          <w:p>
            <w:pPr>
              <w:jc w:val="right"/>
              <w:spacing w:after="0"/>
              <w:rPr>
                <w:sz w:val="20"/>
                <w:szCs w:val="20"/>
                <w:color w:val="auto"/>
              </w:rPr>
            </w:pPr>
            <w:r>
              <w:rPr>
                <w:rFonts w:ascii="Arial" w:cs="Arial" w:eastAsia="Arial" w:hAnsi="Arial"/>
                <w:sz w:val="22"/>
                <w:szCs w:val="22"/>
                <w:color w:val="auto"/>
              </w:rPr>
              <w:t>$89</w:t>
            </w:r>
          </w:p>
        </w:tc>
        <w:tc>
          <w:tcPr>
            <w:tcW w:w="920" w:type="dxa"/>
            <w:vAlign w:val="bottom"/>
            <w:gridSpan w:val="2"/>
          </w:tcPr>
          <w:p>
            <w:pPr>
              <w:jc w:val="right"/>
              <w:spacing w:after="0"/>
              <w:rPr>
                <w:sz w:val="20"/>
                <w:szCs w:val="20"/>
                <w:color w:val="auto"/>
              </w:rPr>
            </w:pPr>
            <w:r>
              <w:rPr>
                <w:rFonts w:ascii="Arial" w:cs="Arial" w:eastAsia="Arial" w:hAnsi="Arial"/>
                <w:sz w:val="22"/>
                <w:szCs w:val="22"/>
                <w:color w:val="auto"/>
              </w:rPr>
              <w:t>$38</w:t>
            </w:r>
          </w:p>
        </w:tc>
        <w:tc>
          <w:tcPr>
            <w:tcW w:w="1220" w:type="dxa"/>
            <w:vAlign w:val="bottom"/>
            <w:gridSpan w:val="3"/>
          </w:tcPr>
          <w:p>
            <w:pPr>
              <w:jc w:val="right"/>
              <w:ind w:right="300"/>
              <w:spacing w:after="0"/>
              <w:rPr>
                <w:sz w:val="20"/>
                <w:szCs w:val="20"/>
                <w:color w:val="auto"/>
              </w:rPr>
            </w:pPr>
            <w:r>
              <w:rPr>
                <w:rFonts w:ascii="Arial" w:cs="Arial" w:eastAsia="Arial" w:hAnsi="Arial"/>
                <w:sz w:val="22"/>
                <w:szCs w:val="22"/>
                <w:color w:val="auto"/>
              </w:rPr>
              <w:t>$150</w:t>
            </w:r>
          </w:p>
        </w:tc>
        <w:tc>
          <w:tcPr>
            <w:tcW w:w="600" w:type="dxa"/>
            <w:vAlign w:val="bottom"/>
          </w:tcPr>
          <w:p>
            <w:pPr>
              <w:jc w:val="right"/>
              <w:spacing w:after="0"/>
              <w:rPr>
                <w:sz w:val="20"/>
                <w:szCs w:val="20"/>
                <w:color w:val="auto"/>
              </w:rPr>
            </w:pPr>
            <w:r>
              <w:rPr>
                <w:rFonts w:ascii="Arial" w:cs="Arial" w:eastAsia="Arial" w:hAnsi="Arial"/>
                <w:sz w:val="22"/>
                <w:szCs w:val="22"/>
                <w:color w:val="auto"/>
              </w:rPr>
              <w:t>$53</w:t>
            </w:r>
          </w:p>
        </w:tc>
        <w:tc>
          <w:tcPr>
            <w:tcW w:w="140" w:type="dxa"/>
            <w:vAlign w:val="bottom"/>
          </w:tcPr>
          <w:p>
            <w:pPr>
              <w:spacing w:after="0"/>
              <w:rPr>
                <w:sz w:val="23"/>
                <w:szCs w:val="23"/>
                <w:color w:val="auto"/>
              </w:rPr>
            </w:pPr>
          </w:p>
        </w:tc>
      </w:tr>
    </w:tbl>
    <w:p>
      <w:pPr>
        <w:spacing w:after="0" w:line="212" w:lineRule="exact"/>
        <w:rPr>
          <w:sz w:val="20"/>
          <w:szCs w:val="20"/>
          <w:color w:val="auto"/>
        </w:rPr>
      </w:pPr>
    </w:p>
    <w:p>
      <w:pPr>
        <w:ind w:left="460" w:right="240"/>
        <w:spacing w:after="0" w:line="274" w:lineRule="auto"/>
        <w:rPr>
          <w:sz w:val="20"/>
          <w:szCs w:val="20"/>
          <w:color w:val="auto"/>
        </w:rPr>
      </w:pPr>
      <w:r>
        <w:rPr>
          <w:rFonts w:ascii="Arial" w:cs="Arial" w:eastAsia="Arial" w:hAnsi="Arial"/>
          <w:sz w:val="21"/>
          <w:szCs w:val="21"/>
          <w:color w:val="auto"/>
        </w:rPr>
        <w:t>The three and six month interim periods in 2004 include a federal income tax refund of approximately $536 million. During the three and six months ended June 30, 2004, we entered into non-cash financing and investing activities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6376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COMCAST CORPORATION AND SUBSIDIARIES</w:t>
      </w:r>
    </w:p>
    <w:p>
      <w:pPr>
        <w:jc w:val="center"/>
        <w:ind w:right="40"/>
        <w:spacing w:after="0" w:line="238" w:lineRule="auto"/>
        <w:rPr>
          <w:sz w:val="20"/>
          <w:szCs w:val="20"/>
          <w:color w:val="auto"/>
        </w:rPr>
      </w:pPr>
      <w:r>
        <w:rPr>
          <w:rFonts w:ascii="Arial" w:cs="Arial" w:eastAsia="Arial" w:hAnsi="Arial"/>
          <w:sz w:val="22"/>
          <w:szCs w:val="22"/>
          <w:color w:val="auto"/>
        </w:rPr>
        <w:t>FORM 10-Q</w:t>
      </w:r>
    </w:p>
    <w:p>
      <w:pPr>
        <w:jc w:val="center"/>
        <w:ind w:right="40"/>
        <w:spacing w:after="0" w:line="230" w:lineRule="auto"/>
        <w:rPr>
          <w:sz w:val="20"/>
          <w:szCs w:val="20"/>
          <w:color w:val="auto"/>
        </w:rPr>
      </w:pPr>
      <w:r>
        <w:rPr>
          <w:rFonts w:ascii="Arial" w:cs="Arial" w:eastAsia="Arial" w:hAnsi="Arial"/>
          <w:sz w:val="22"/>
          <w:szCs w:val="22"/>
          <w:color w:val="auto"/>
        </w:rPr>
        <w:t>QUARTER ENDED JUNE 30, 2004</w:t>
      </w:r>
    </w:p>
    <w:p>
      <w:pPr>
        <w:jc w:val="center"/>
        <w:ind w:right="40"/>
        <w:spacing w:after="0" w:line="231" w:lineRule="auto"/>
        <w:rPr>
          <w:sz w:val="20"/>
          <w:szCs w:val="20"/>
          <w:color w:val="auto"/>
        </w:rPr>
      </w:pPr>
      <w:r>
        <w:rPr>
          <w:rFonts w:ascii="Arial" w:cs="Arial" w:eastAsia="Arial" w:hAnsi="Arial"/>
          <w:sz w:val="22"/>
          <w:szCs w:val="22"/>
          <w:color w:val="auto"/>
        </w:rPr>
        <w:t>NOTES TO CONDENSED CONSOLIDATED FINANCIAL STATEMENTS - CONTINUED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(Unaudited)</w:t>
      </w:r>
    </w:p>
    <w:p>
      <w:pPr>
        <w:spacing w:after="0" w:line="188" w:lineRule="exact"/>
        <w:rPr>
          <w:sz w:val="20"/>
          <w:szCs w:val="20"/>
          <w:color w:val="auto"/>
        </w:rPr>
      </w:pPr>
    </w:p>
    <w:p>
      <w:pPr>
        <w:ind w:left="460" w:right="140"/>
        <w:spacing w:after="0" w:line="287" w:lineRule="auto"/>
        <w:rPr>
          <w:rFonts w:ascii="Arial" w:cs="Arial" w:eastAsia="Arial" w:hAnsi="Arial"/>
          <w:sz w:val="19"/>
          <w:szCs w:val="19"/>
          <w:color w:val="auto"/>
        </w:rPr>
      </w:pPr>
      <w:r>
        <w:rPr>
          <w:rFonts w:ascii="Arial" w:cs="Arial" w:eastAsia="Arial" w:hAnsi="Arial"/>
          <w:sz w:val="19"/>
          <w:szCs w:val="19"/>
          <w:color w:val="auto"/>
        </w:rPr>
        <w:t xml:space="preserve">related to certain of our Exchangeable Notes (see </w:t>
      </w:r>
      <w:hyperlink w:anchor="page10">
        <w:r>
          <w:rPr>
            <w:rFonts w:ascii="Arial" w:cs="Arial" w:eastAsia="Arial" w:hAnsi="Arial"/>
            <w:sz w:val="19"/>
            <w:szCs w:val="19"/>
            <w:u w:val="single" w:color="auto"/>
            <w:color w:val="0000EE"/>
          </w:rPr>
          <w:t>Note 6</w:t>
        </w:r>
      </w:hyperlink>
      <w:r>
        <w:rPr>
          <w:rFonts w:ascii="Arial" w:cs="Arial" w:eastAsia="Arial" w:hAnsi="Arial"/>
          <w:sz w:val="19"/>
          <w:szCs w:val="19"/>
          <w:color w:val="auto"/>
        </w:rPr>
        <w:t xml:space="preserve">). During the three months ended June 30, 2004, we acquired cable systems through the assumption of $68 million of debt, which is considered a non-cash financing and investing activity. Also during the three months ended June 30, 2004, in connection with the acquisition of TechTV (see </w:t>
      </w:r>
      <w:hyperlink w:anchor="page7">
        <w:r>
          <w:rPr>
            <w:rFonts w:ascii="Arial" w:cs="Arial" w:eastAsia="Arial" w:hAnsi="Arial"/>
            <w:sz w:val="19"/>
            <w:szCs w:val="19"/>
            <w:u w:val="single" w:color="auto"/>
            <w:color w:val="0000EE"/>
          </w:rPr>
          <w:t>Note 4</w:t>
        </w:r>
      </w:hyperlink>
      <w:r>
        <w:rPr>
          <w:rFonts w:ascii="Arial" w:cs="Arial" w:eastAsia="Arial" w:hAnsi="Arial"/>
          <w:sz w:val="19"/>
          <w:szCs w:val="19"/>
          <w:color w:val="auto"/>
        </w:rPr>
        <w:t>), we issued shares in G4techTV with a value of approximately $70 million, which is also considered a non-cash financing and investing activity.</w:t>
      </w:r>
    </w:p>
    <w:p>
      <w:pPr>
        <w:spacing w:after="0" w:line="170" w:lineRule="exact"/>
        <w:rPr>
          <w:sz w:val="20"/>
          <w:szCs w:val="20"/>
          <w:color w:val="auto"/>
        </w:rPr>
      </w:pPr>
    </w:p>
    <w:p>
      <w:pPr>
        <w:ind w:left="460" w:hanging="452"/>
        <w:spacing w:after="0"/>
        <w:tabs>
          <w:tab w:leader="none" w:pos="460" w:val="left"/>
        </w:tabs>
        <w:numPr>
          <w:ilvl w:val="0"/>
          <w:numId w:val="9"/>
        </w:numPr>
        <w:rPr>
          <w:rFonts w:ascii="Arial" w:cs="Arial" w:eastAsia="Arial" w:hAnsi="Arial"/>
          <w:sz w:val="22"/>
          <w:szCs w:val="22"/>
          <w:color w:val="auto"/>
        </w:rPr>
      </w:pPr>
      <w:r>
        <w:rPr>
          <w:rFonts w:ascii="Arial" w:cs="Arial" w:eastAsia="Arial" w:hAnsi="Arial"/>
          <w:sz w:val="22"/>
          <w:szCs w:val="22"/>
          <w:color w:val="auto"/>
        </w:rPr>
        <w:t>COMMITMENTS AND CONTINGENCIES</w:t>
      </w:r>
    </w:p>
    <w:p>
      <w:pPr>
        <w:spacing w:after="0" w:line="233" w:lineRule="exact"/>
        <w:rPr>
          <w:rFonts w:ascii="Arial" w:cs="Arial" w:eastAsia="Arial" w:hAnsi="Arial"/>
          <w:sz w:val="22"/>
          <w:szCs w:val="22"/>
          <w:color w:val="auto"/>
        </w:rPr>
      </w:pPr>
    </w:p>
    <w:p>
      <w:pPr>
        <w:ind w:left="460"/>
        <w:spacing w:after="0"/>
        <w:rPr>
          <w:rFonts w:ascii="Arial" w:cs="Arial" w:eastAsia="Arial" w:hAnsi="Arial"/>
          <w:sz w:val="22"/>
          <w:szCs w:val="22"/>
          <w:color w:val="auto"/>
        </w:rPr>
      </w:pPr>
      <w:r>
        <w:rPr>
          <w:rFonts w:ascii="Arial" w:cs="Arial" w:eastAsia="Arial" w:hAnsi="Arial"/>
          <w:sz w:val="22"/>
          <w:szCs w:val="22"/>
          <w:i w:val="1"/>
          <w:iCs w:val="1"/>
          <w:color w:val="auto"/>
        </w:rPr>
        <w:t>Commitments</w:t>
      </w:r>
    </w:p>
    <w:p>
      <w:pPr>
        <w:spacing w:after="0" w:line="8" w:lineRule="exact"/>
        <w:rPr>
          <w:rFonts w:ascii="Arial" w:cs="Arial" w:eastAsia="Arial" w:hAnsi="Arial"/>
          <w:sz w:val="22"/>
          <w:szCs w:val="22"/>
          <w:color w:val="auto"/>
        </w:rPr>
      </w:pPr>
    </w:p>
    <w:p>
      <w:pPr>
        <w:ind w:left="460" w:right="260"/>
        <w:spacing w:after="0" w:line="233" w:lineRule="auto"/>
        <w:rPr>
          <w:rFonts w:ascii="Arial" w:cs="Arial" w:eastAsia="Arial" w:hAnsi="Arial"/>
          <w:sz w:val="22"/>
          <w:szCs w:val="22"/>
          <w:color w:val="auto"/>
        </w:rPr>
      </w:pPr>
      <w:r>
        <w:rPr>
          <w:rFonts w:ascii="Arial" w:cs="Arial" w:eastAsia="Arial" w:hAnsi="Arial"/>
          <w:sz w:val="22"/>
          <w:szCs w:val="22"/>
          <w:color w:val="auto"/>
        </w:rPr>
        <w:t xml:space="preserve">Certain of our subsidiaries support debt compliance with respect to obligations of certain cable television partnerships and investments in which we hold an ownership interest (see </w:t>
      </w:r>
      <w:hyperlink w:anchor="page8">
        <w:r>
          <w:rPr>
            <w:rFonts w:ascii="Arial" w:cs="Arial" w:eastAsia="Arial" w:hAnsi="Arial"/>
            <w:sz w:val="22"/>
            <w:szCs w:val="22"/>
            <w:u w:val="single" w:color="auto"/>
            <w:color w:val="0000EE"/>
          </w:rPr>
          <w:t>Note 5</w:t>
        </w:r>
      </w:hyperlink>
      <w:r>
        <w:rPr>
          <w:rFonts w:ascii="Arial" w:cs="Arial" w:eastAsia="Arial" w:hAnsi="Arial"/>
          <w:sz w:val="22"/>
          <w:szCs w:val="22"/>
          <w:color w:val="auto"/>
        </w:rPr>
        <w:t>). The obligations expire between May 2008 and September 2010. Although there can be no assurance, we believe that we will not be required to meet our obligations under such commitments. The total notional amount of our commitments was $1.021 billion as of June 30, 2004, at which time there were no quoted market prices for similar agreements.</w:t>
      </w:r>
    </w:p>
    <w:p>
      <w:pPr>
        <w:spacing w:after="0" w:line="212" w:lineRule="exact"/>
        <w:rPr>
          <w:rFonts w:ascii="Arial" w:cs="Arial" w:eastAsia="Arial" w:hAnsi="Arial"/>
          <w:sz w:val="22"/>
          <w:szCs w:val="22"/>
          <w:color w:val="auto"/>
        </w:rPr>
      </w:pPr>
    </w:p>
    <w:p>
      <w:pPr>
        <w:ind w:left="460"/>
        <w:spacing w:after="0"/>
        <w:rPr>
          <w:rFonts w:ascii="Arial" w:cs="Arial" w:eastAsia="Arial" w:hAnsi="Arial"/>
          <w:sz w:val="22"/>
          <w:szCs w:val="22"/>
          <w:color w:val="auto"/>
        </w:rPr>
      </w:pPr>
      <w:r>
        <w:rPr>
          <w:rFonts w:ascii="Arial" w:cs="Arial" w:eastAsia="Arial" w:hAnsi="Arial"/>
          <w:sz w:val="22"/>
          <w:szCs w:val="22"/>
          <w:i w:val="1"/>
          <w:iCs w:val="1"/>
          <w:color w:val="auto"/>
        </w:rPr>
        <w:t>Contingencies</w:t>
      </w:r>
    </w:p>
    <w:p>
      <w:pPr>
        <w:spacing w:after="0" w:line="233" w:lineRule="exact"/>
        <w:rPr>
          <w:rFonts w:ascii="Arial" w:cs="Arial" w:eastAsia="Arial" w:hAnsi="Arial"/>
          <w:sz w:val="22"/>
          <w:szCs w:val="22"/>
          <w:color w:val="auto"/>
        </w:rPr>
      </w:pPr>
    </w:p>
    <w:p>
      <w:pPr>
        <w:ind w:left="460"/>
        <w:spacing w:after="0"/>
        <w:rPr>
          <w:rFonts w:ascii="Arial" w:cs="Arial" w:eastAsia="Arial" w:hAnsi="Arial"/>
          <w:sz w:val="22"/>
          <w:szCs w:val="22"/>
          <w:color w:val="auto"/>
        </w:rPr>
      </w:pPr>
      <w:r>
        <w:rPr>
          <w:rFonts w:ascii="Arial" w:cs="Arial" w:eastAsia="Arial" w:hAnsi="Arial"/>
          <w:sz w:val="22"/>
          <w:szCs w:val="22"/>
          <w:u w:val="single" w:color="auto"/>
          <w:color w:val="auto"/>
        </w:rPr>
        <w:t>At Home</w:t>
      </w:r>
    </w:p>
    <w:p>
      <w:pPr>
        <w:spacing w:after="0" w:line="8" w:lineRule="exact"/>
        <w:rPr>
          <w:rFonts w:ascii="Arial" w:cs="Arial" w:eastAsia="Arial" w:hAnsi="Arial"/>
          <w:sz w:val="22"/>
          <w:szCs w:val="22"/>
          <w:color w:val="auto"/>
        </w:rPr>
      </w:pPr>
    </w:p>
    <w:p>
      <w:pPr>
        <w:ind w:left="460"/>
        <w:spacing w:after="0" w:line="268" w:lineRule="auto"/>
        <w:rPr>
          <w:rFonts w:ascii="Arial" w:cs="Arial" w:eastAsia="Arial" w:hAnsi="Arial"/>
          <w:sz w:val="22"/>
          <w:szCs w:val="22"/>
          <w:color w:val="auto"/>
        </w:rPr>
      </w:pPr>
      <w:r>
        <w:rPr>
          <w:rFonts w:ascii="Arial" w:cs="Arial" w:eastAsia="Arial" w:hAnsi="Arial"/>
          <w:sz w:val="19"/>
          <w:szCs w:val="19"/>
          <w:color w:val="auto"/>
        </w:rPr>
        <w:t>Litigation has been filed against us as a result of our alleged conduct with respect to our investment in and distribution relationship with At Home Corporation. At Home was a provider of high-speed Internet services that filed for bankruptcy protection in September 2001. Filed actions are: (i) class action lawsuits against us, Brian L. Roberts (our President and Chief Executive Officer and a director), AT&amp;T (the former controlling shareholder of At Home and also a former distributor of the At Home service) and other corporate and individual defendants in the Superior Court of San Mateo County, California, alleging breaches of fiduciary duty in connection with transactions agreed to in March 2000 among At Home, AT&amp;T, Cox Communications, Inc. (Cox is also an investor in At Home and a former distributor of the At Home service) and us; (ii) class action lawsuits against Comcast Cable Communications, LLC, AT&amp;T and others in the United States District Court for the Southern District of New York, alleging securities law violations and common law fraud in connection with disclosures made by At Home in 2001; (iii) a lawsuit brought in the United States District Court for the District of Delaware in the name of At Home by certain At Home bondholders against us, Brian L. Roberts, Cox and others, alleging breaches of fiduciary duty relating to the March 2000 transactions and seeking recovery of alleged short-swing profits of at least $600 million pursuant to Section 16(b) of the Securities Exchange Act of 1934 purported to have arisen in connection with certain transactions relating to At Home stock effected pursuant to the March 2000 agreements; and (iv) a lawsuit brought in the United States Bankruptcy Court for the Northern District of California by certain At Home bondholders against Comcast Cable Holdings, LLC and Comcast Cable Communications Holdings, Inc., as well as AT&amp;T, AT&amp;T Credit Holdings, Inc. and AT&amp;T Wireless Services, Inc., seeking to avoid and recover certain alleged “preference” payments in excess of $89 million allegedly made to the defendants prior to the At Home bankruptcy filing. The actions in San Mateo County, California have been stayed by the United States Bankruptcy Court for the Northern District of California, the court in which At Home filed for bankruptcy, as violating the automatic bankruptcy stay. The preference action in U.S. Bankruptcy Court has also been stayed by agreement of the parties. In the Southern District of New York actions, the court ordered the actions consolidated into a single action. All of the defendants served motions to dismiss on February 11, 2003. The court dismissed the common law claims against us and Mr. Roberts, leaving only a claim for “control person” liability under the Securities Exchange Act of 1934. In a subsequent decision, the court limited the remaining claim against us and Mr. Roberts to disclosures that are alleged to have been made by At Home prior to August 28, 2000. The Delaware case has been transferred to the United States District Court for the Southern District of New York, and we have moved to dismiss the Section 16(b) claims.</w:t>
      </w:r>
    </w:p>
    <w:p>
      <w:pPr>
        <w:spacing w:after="0" w:line="200" w:lineRule="exact"/>
        <w:rPr>
          <w:rFonts w:ascii="Arial" w:cs="Arial" w:eastAsia="Arial" w:hAnsi="Arial"/>
          <w:sz w:val="22"/>
          <w:szCs w:val="22"/>
          <w:color w:val="auto"/>
        </w:rPr>
      </w:pPr>
    </w:p>
    <w:p>
      <w:pPr>
        <w:spacing w:after="0" w:line="246" w:lineRule="exact"/>
        <w:rPr>
          <w:rFonts w:ascii="Arial" w:cs="Arial" w:eastAsia="Arial" w:hAnsi="Arial"/>
          <w:sz w:val="22"/>
          <w:szCs w:val="22"/>
          <w:color w:val="auto"/>
        </w:rPr>
      </w:pPr>
    </w:p>
    <w:p>
      <w:pPr>
        <w:ind w:left="460" w:right="140"/>
        <w:spacing w:after="0" w:line="287" w:lineRule="auto"/>
        <w:rPr>
          <w:rFonts w:ascii="Arial" w:cs="Arial" w:eastAsia="Arial" w:hAnsi="Arial"/>
          <w:sz w:val="22"/>
          <w:szCs w:val="22"/>
          <w:color w:val="auto"/>
        </w:rPr>
      </w:pPr>
      <w:r>
        <w:rPr>
          <w:rFonts w:ascii="Arial" w:cs="Arial" w:eastAsia="Arial" w:hAnsi="Arial"/>
          <w:sz w:val="19"/>
          <w:szCs w:val="19"/>
          <w:color w:val="auto"/>
        </w:rPr>
        <w:t>Under the terms of the Broadband acquisition, we are generally contractually liable for 50% of any liabilities of AT&amp;T relating to At Home, including most liabilities resulting from any pending or threatened litigation, with the exception, among other things, of liabilities arising out of contracts between At Home and AT&amp;T (or its affiliates) for the benefit of the businesses retained by AT&amp;T following its divestiture of Broadband. In those situations that we are contractually liable for</w:t>
      </w:r>
    </w:p>
    <w:p>
      <w:pPr>
        <w:sectPr>
          <w:pgSz w:w="11900" w:h="16838" w:orient="portrait"/>
          <w:cols w:equalWidth="0" w:num="1">
            <w:col w:w="11420"/>
          </w:cols>
          <w:pgMar w:left="240" w:top="108" w:right="239" w:bottom="0" w:gutter="0" w:footer="0" w:header="0"/>
        </w:sectPr>
      </w:pPr>
    </w:p>
    <w:bookmarkStart w:id="14" w:name="page15"/>
    <w:bookmarkEnd w:id="14"/>
    <w:p>
      <w:pPr>
        <w:ind w:right="520"/>
        <w:spacing w:after="0" w:line="251" w:lineRule="auto"/>
        <w:rPr>
          <w:sz w:val="20"/>
          <w:szCs w:val="20"/>
          <w:color w:val="auto"/>
        </w:rPr>
      </w:pPr>
      <w:r>
        <w:rPr>
          <w:rFonts w:ascii="Arial" w:cs="Arial" w:eastAsia="Arial" w:hAnsi="Arial"/>
          <w:sz w:val="22"/>
          <w:szCs w:val="22"/>
          <w:color w:val="auto"/>
        </w:rPr>
        <w:t>50% of any liabilities, AT&amp;T will be liable for the other 50% of these liabilities. In addition to the actions against AT&amp;T described above, in which we are also a defendant, there are two additional</w:t>
      </w:r>
    </w:p>
    <w:p>
      <w:pPr>
        <w:spacing w:after="0" w:line="200" w:lineRule="exact"/>
        <w:rPr>
          <w:sz w:val="20"/>
          <w:szCs w:val="20"/>
          <w:color w:val="auto"/>
        </w:rPr>
      </w:pPr>
    </w:p>
    <w:p>
      <w:pPr>
        <w:spacing w:after="0" w:line="217" w:lineRule="exact"/>
        <w:rPr>
          <w:sz w:val="20"/>
          <w:szCs w:val="20"/>
          <w:color w:val="auto"/>
        </w:rPr>
      </w:pPr>
    </w:p>
    <w:p>
      <w:pPr>
        <w:jc w:val="center"/>
        <w:ind w:right="440"/>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144780</wp:posOffset>
            </wp:positionV>
            <wp:extent cx="726376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jc w:val="center"/>
        <w:ind w:right="500"/>
        <w:spacing w:after="0"/>
        <w:rPr>
          <w:sz w:val="20"/>
          <w:szCs w:val="20"/>
          <w:color w:val="auto"/>
        </w:rPr>
      </w:pPr>
      <w:r>
        <w:rPr>
          <w:rFonts w:ascii="Arial" w:cs="Arial" w:eastAsia="Arial" w:hAnsi="Arial"/>
          <w:sz w:val="22"/>
          <w:szCs w:val="22"/>
          <w:color w:val="auto"/>
        </w:rPr>
        <w:t>COMCAST CORPORATION AND SUBSIDIARIES</w:t>
      </w:r>
    </w:p>
    <w:p>
      <w:pPr>
        <w:jc w:val="center"/>
        <w:ind w:right="500"/>
        <w:spacing w:after="0" w:line="238" w:lineRule="auto"/>
        <w:rPr>
          <w:sz w:val="20"/>
          <w:szCs w:val="20"/>
          <w:color w:val="auto"/>
        </w:rPr>
      </w:pPr>
      <w:r>
        <w:rPr>
          <w:rFonts w:ascii="Arial" w:cs="Arial" w:eastAsia="Arial" w:hAnsi="Arial"/>
          <w:sz w:val="22"/>
          <w:szCs w:val="22"/>
          <w:color w:val="auto"/>
        </w:rPr>
        <w:t>FORM 10-Q</w:t>
      </w:r>
    </w:p>
    <w:p>
      <w:pPr>
        <w:jc w:val="center"/>
        <w:ind w:right="500"/>
        <w:spacing w:after="0" w:line="230" w:lineRule="auto"/>
        <w:rPr>
          <w:sz w:val="20"/>
          <w:szCs w:val="20"/>
          <w:color w:val="auto"/>
        </w:rPr>
      </w:pPr>
      <w:r>
        <w:rPr>
          <w:rFonts w:ascii="Arial" w:cs="Arial" w:eastAsia="Arial" w:hAnsi="Arial"/>
          <w:sz w:val="22"/>
          <w:szCs w:val="22"/>
          <w:color w:val="auto"/>
        </w:rPr>
        <w:t>QUARTER ENDED JUNE 30, 2004</w:t>
      </w:r>
    </w:p>
    <w:p>
      <w:pPr>
        <w:jc w:val="center"/>
        <w:ind w:right="500"/>
        <w:spacing w:after="0" w:line="231" w:lineRule="auto"/>
        <w:rPr>
          <w:sz w:val="20"/>
          <w:szCs w:val="20"/>
          <w:color w:val="auto"/>
        </w:rPr>
      </w:pPr>
      <w:r>
        <w:rPr>
          <w:rFonts w:ascii="Arial" w:cs="Arial" w:eastAsia="Arial" w:hAnsi="Arial"/>
          <w:sz w:val="22"/>
          <w:szCs w:val="22"/>
          <w:color w:val="auto"/>
        </w:rPr>
        <w:t>NOTES TO CONDENSED CONSOLIDATED FINANCIAL STATEMENTS - CONTINUED</w:t>
      </w:r>
    </w:p>
    <w:p>
      <w:pPr>
        <w:spacing w:after="0" w:line="1" w:lineRule="exact"/>
        <w:rPr>
          <w:sz w:val="20"/>
          <w:szCs w:val="20"/>
          <w:color w:val="auto"/>
        </w:rPr>
      </w:pPr>
    </w:p>
    <w:p>
      <w:pPr>
        <w:jc w:val="center"/>
        <w:ind w:right="440"/>
        <w:spacing w:after="0"/>
        <w:rPr>
          <w:sz w:val="20"/>
          <w:szCs w:val="20"/>
          <w:color w:val="auto"/>
        </w:rPr>
      </w:pPr>
      <w:r>
        <w:rPr>
          <w:rFonts w:ascii="Arial" w:cs="Arial" w:eastAsia="Arial" w:hAnsi="Arial"/>
          <w:sz w:val="22"/>
          <w:szCs w:val="22"/>
          <w:color w:val="auto"/>
        </w:rPr>
        <w:t>(Unaudited)</w:t>
      </w:r>
    </w:p>
    <w:p>
      <w:pPr>
        <w:spacing w:after="0" w:line="188" w:lineRule="exact"/>
        <w:rPr>
          <w:sz w:val="20"/>
          <w:szCs w:val="20"/>
          <w:color w:val="auto"/>
        </w:rPr>
      </w:pPr>
    </w:p>
    <w:p>
      <w:pPr>
        <w:ind w:right="80"/>
        <w:spacing w:after="0" w:line="279" w:lineRule="auto"/>
        <w:rPr>
          <w:sz w:val="20"/>
          <w:szCs w:val="20"/>
          <w:color w:val="auto"/>
        </w:rPr>
      </w:pPr>
      <w:r>
        <w:rPr>
          <w:rFonts w:ascii="Arial" w:cs="Arial" w:eastAsia="Arial" w:hAnsi="Arial"/>
          <w:sz w:val="19"/>
          <w:szCs w:val="19"/>
          <w:color w:val="auto"/>
        </w:rPr>
        <w:t>actions brought by At Home’s bondholders’ liquidating trust against AT&amp;T not naming us: (i) a lawsuit filed against AT&amp;T and certain of its senior officers in Santa Clara, California state court alleging various breaches of fiduciary duties, misappropriation of trade secrets and other causes of action in connection with the transactions in March 2000 described above, and prior and subsequent alleged conduct on the part of the defendants, and (ii) an action filed against AT&amp;T in the District Court for the Northern District of California, alleging that AT&amp;T infringes an At Home patent by using its broadband distribution and high-speed Internet backbone networks and equipment. Both of these actions are in the discovery stage.</w:t>
      </w:r>
    </w:p>
    <w:p>
      <w:pPr>
        <w:spacing w:after="0" w:line="178" w:lineRule="exact"/>
        <w:rPr>
          <w:sz w:val="20"/>
          <w:szCs w:val="20"/>
          <w:color w:val="auto"/>
        </w:rPr>
      </w:pPr>
    </w:p>
    <w:p>
      <w:pPr>
        <w:ind w:right="60"/>
        <w:spacing w:after="0" w:line="236" w:lineRule="auto"/>
        <w:rPr>
          <w:sz w:val="20"/>
          <w:szCs w:val="20"/>
          <w:color w:val="auto"/>
        </w:rPr>
      </w:pPr>
      <w:r>
        <w:rPr>
          <w:rFonts w:ascii="Arial" w:cs="Arial" w:eastAsia="Arial" w:hAnsi="Arial"/>
          <w:sz w:val="22"/>
          <w:szCs w:val="22"/>
          <w:color w:val="auto"/>
        </w:rPr>
        <w:t>We deny any wrongdoing in connection with the claims that have been made directly against us, our subsidiaries and Brian L. Roberts, and intend to defend all of these claims vigorously. In our opinion, the final disposition of these claims is not expected to have a material adverse effect on our consolidated financial position, but could possibly be material to our consolidated results of operations of any one period. Further, no assurance can be given that any adverse outcome would not be material to our consolidated financial position.</w:t>
      </w:r>
    </w:p>
    <w:p>
      <w:pPr>
        <w:spacing w:after="0" w:line="215" w:lineRule="exact"/>
        <w:rPr>
          <w:sz w:val="20"/>
          <w:szCs w:val="20"/>
          <w:color w:val="auto"/>
        </w:rPr>
      </w:pPr>
    </w:p>
    <w:p>
      <w:pPr>
        <w:spacing w:after="0" w:line="258" w:lineRule="auto"/>
        <w:rPr>
          <w:sz w:val="20"/>
          <w:szCs w:val="20"/>
          <w:color w:val="auto"/>
        </w:rPr>
      </w:pPr>
      <w:r>
        <w:rPr>
          <w:rFonts w:ascii="Arial" w:cs="Arial" w:eastAsia="Arial" w:hAnsi="Arial"/>
          <w:sz w:val="21"/>
          <w:szCs w:val="21"/>
          <w:color w:val="auto"/>
        </w:rPr>
        <w:t>We are currently waiting to obtain additional information, and, therefore, are unable to determine what impact, if any, the final resolution of our share of these AT&amp;T At Home potential liabilities would have on our consolidated financial position or results of operations. No assurance can be given that any adverse outcome would not be material.</w:t>
      </w:r>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AT&amp;T - Wireless and Common Stock Cases</w:t>
      </w:r>
    </w:p>
    <w:p>
      <w:pPr>
        <w:spacing w:after="0" w:line="8" w:lineRule="exact"/>
        <w:rPr>
          <w:sz w:val="20"/>
          <w:szCs w:val="20"/>
          <w:color w:val="auto"/>
        </w:rPr>
      </w:pPr>
    </w:p>
    <w:p>
      <w:pPr>
        <w:spacing w:after="0" w:line="271" w:lineRule="auto"/>
        <w:rPr>
          <w:sz w:val="20"/>
          <w:szCs w:val="20"/>
          <w:color w:val="auto"/>
        </w:rPr>
      </w:pPr>
      <w:r>
        <w:rPr>
          <w:rFonts w:ascii="Arial" w:cs="Arial" w:eastAsia="Arial" w:hAnsi="Arial"/>
          <w:sz w:val="19"/>
          <w:szCs w:val="19"/>
          <w:color w:val="auto"/>
        </w:rPr>
        <w:t>We, in connection with our acquisition of Broadband, are potentially responsible for a portion of the liabilities arising from two purported securities class action lawsuits brought against AT&amp;T and others and consolidated for pre-trial purposes in the United States District Court for the District of New Jersey. These lawsuits assert claims under Section 11, Section 12(a)(2) and Section 15 of the Securities Act of 1933, as amended, and Section 10(b) and Section 20(a) of the Securities Exchange Act of 1934, as amended. The first lawsuit, for which our portion of the exposure is up to 15%, alleges, among other things, that AT&amp;T made material misstatements and omissions in the Registration Statement and Prospectus for the AT&amp;T Wireless initial public offering (“Wireless Case”). The second lawsuit, for which our portion of the exposure is up to 50%, alleges, among other things, that AT&amp;T knowingly provided false projections relating to AT&amp;T common stock (“Common Stock Case”). The complaints seek damages in an unspecified amount, but, because the trading activity during the purported class periods was extensive, the amounts ultimately demanded may be significant. We and AT&amp;T believe that AT&amp;T has meritorious defenses and these actions are being vigorously defended.</w:t>
      </w:r>
    </w:p>
    <w:p>
      <w:pPr>
        <w:spacing w:after="0" w:line="185" w:lineRule="exact"/>
        <w:rPr>
          <w:sz w:val="20"/>
          <w:szCs w:val="20"/>
          <w:color w:val="auto"/>
        </w:rPr>
      </w:pPr>
    </w:p>
    <w:p>
      <w:pPr>
        <w:ind w:right="160"/>
        <w:spacing w:after="0" w:line="273" w:lineRule="auto"/>
        <w:rPr>
          <w:sz w:val="20"/>
          <w:szCs w:val="20"/>
          <w:color w:val="auto"/>
        </w:rPr>
      </w:pPr>
      <w:r>
        <w:rPr>
          <w:rFonts w:ascii="Arial" w:cs="Arial" w:eastAsia="Arial" w:hAnsi="Arial"/>
          <w:sz w:val="19"/>
          <w:szCs w:val="19"/>
          <w:color w:val="auto"/>
        </w:rPr>
        <w:t>In March 2004, AT&amp;T and the other defendants moved for summary judgment in both the Common Stock and Wireless Cases, and the plaintiffs moved for summary judgment in the Wireless Case. In June 2004, the Court granted in part and denied in part the motion for summary judgment in the Common Stock Case. The Court held that the plaintiffs could not prove that the alleged misrepresentation caused the decline in shareholder value with regard to any of their claims except for the December 1999 projections concerning AT&amp;T Business Services and AT&amp;T Consumer Services. This decision is ultimately subject to appeal, although such an appeal is unlikely until after a final judgment is entered in the case. The Court allowed the plaintiffs’ Section 20(a) claim to go forward. The trial on the remaining claims in the Common Stock Case is set to commence on October 5, 2004. No trial date has been set in the Wireless Case. In connection with the Broadband acquisition, we recorded an estimate of the fair value of the potential liability associated with these cases. We have not adjusted the amount recorded pending both the appeals process described above and final resolution of these cases.</w:t>
      </w:r>
    </w:p>
    <w:p>
      <w:pPr>
        <w:spacing w:after="0" w:line="189"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AT&amp;T-TCI</w:t>
      </w:r>
    </w:p>
    <w:p>
      <w:pPr>
        <w:spacing w:after="0" w:line="8" w:lineRule="exact"/>
        <w:rPr>
          <w:sz w:val="20"/>
          <w:szCs w:val="20"/>
          <w:color w:val="auto"/>
        </w:rPr>
      </w:pPr>
    </w:p>
    <w:p>
      <w:pPr>
        <w:ind w:right="180"/>
        <w:spacing w:after="0" w:line="273" w:lineRule="auto"/>
        <w:rPr>
          <w:sz w:val="20"/>
          <w:szCs w:val="20"/>
          <w:color w:val="auto"/>
        </w:rPr>
      </w:pPr>
      <w:r>
        <w:rPr>
          <w:rFonts w:ascii="Arial" w:cs="Arial" w:eastAsia="Arial" w:hAnsi="Arial"/>
          <w:sz w:val="19"/>
          <w:szCs w:val="19"/>
          <w:color w:val="auto"/>
        </w:rPr>
        <w:t>On June 24, 1998, the first of a number of purported class action lawsuits was filed by then-shareholders of Tele-Communications, Inc. (“TCI”) Series A TCI Group Common Stock (“Common A”) against AT&amp;T and the directors of TCI relating to the acquisition of TCI by AT&amp;T. A consolidated amended complaint combining the various different actions was filed on February 10, 1999 in the Delaware Court of Chancery. The consolidated amended complaint alleges that former members of the TCI board of directors breached their fiduciary duties to Common A shareholders by agreeing to transaction terms whereby holders of the Series B TCI Group Common Stock received a 10% premium over what Common A shareholders received in connection with the transaction. The complaint further</w:t>
      </w:r>
    </w:p>
    <w:p>
      <w:pPr>
        <w:sectPr>
          <w:pgSz w:w="11900" w:h="16838" w:orient="portrait"/>
          <w:cols w:equalWidth="0" w:num="1">
            <w:col w:w="10940"/>
          </w:cols>
          <w:pgMar w:left="700" w:top="118" w:right="259" w:bottom="50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440"/>
        <w:spacing w:after="0"/>
        <w:rPr>
          <w:sz w:val="20"/>
          <w:szCs w:val="20"/>
          <w:color w:val="auto"/>
        </w:rPr>
      </w:pPr>
      <w:r>
        <w:rPr>
          <w:rFonts w:ascii="Arial" w:cs="Arial" w:eastAsia="Arial" w:hAnsi="Arial"/>
          <w:sz w:val="19"/>
          <w:szCs w:val="19"/>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166370</wp:posOffset>
            </wp:positionV>
            <wp:extent cx="726376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0940"/>
          </w:cols>
          <w:pgMar w:left="700" w:top="118" w:right="259" w:bottom="500" w:gutter="0" w:footer="0" w:header="0"/>
          <w:type w:val="continuous"/>
        </w:sectPr>
      </w:pPr>
    </w:p>
    <w:bookmarkStart w:id="15" w:name="page16"/>
    <w:bookmarkEnd w:id="15"/>
    <w:p>
      <w:pPr>
        <w:spacing w:after="0" w:line="32" w:lineRule="exact"/>
        <w:rPr>
          <w:sz w:val="20"/>
          <w:szCs w:val="20"/>
          <w:color w:val="auto"/>
        </w:rPr>
      </w:pPr>
    </w:p>
    <w:p>
      <w:pPr>
        <w:jc w:val="center"/>
        <w:ind w:right="-11"/>
        <w:spacing w:after="0"/>
        <w:rPr>
          <w:sz w:val="20"/>
          <w:szCs w:val="20"/>
          <w:color w:val="auto"/>
        </w:rPr>
      </w:pPr>
      <w:r>
        <w:rPr>
          <w:rFonts w:ascii="Arial" w:cs="Arial" w:eastAsia="Arial" w:hAnsi="Arial"/>
          <w:sz w:val="22"/>
          <w:szCs w:val="22"/>
          <w:color w:val="auto"/>
        </w:rPr>
        <w:t>COMCAST CORPORATION AND SUBSIDIARIES</w:t>
      </w:r>
    </w:p>
    <w:p>
      <w:pPr>
        <w:jc w:val="center"/>
        <w:ind w:right="-11"/>
        <w:spacing w:after="0" w:line="238" w:lineRule="auto"/>
        <w:rPr>
          <w:sz w:val="20"/>
          <w:szCs w:val="20"/>
          <w:color w:val="auto"/>
        </w:rPr>
      </w:pPr>
      <w:r>
        <w:rPr>
          <w:rFonts w:ascii="Arial" w:cs="Arial" w:eastAsia="Arial" w:hAnsi="Arial"/>
          <w:sz w:val="22"/>
          <w:szCs w:val="22"/>
          <w:color w:val="auto"/>
        </w:rPr>
        <w:t>FORM 10-Q</w:t>
      </w:r>
    </w:p>
    <w:p>
      <w:pPr>
        <w:jc w:val="center"/>
        <w:ind w:right="-11"/>
        <w:spacing w:after="0" w:line="231" w:lineRule="auto"/>
        <w:rPr>
          <w:sz w:val="20"/>
          <w:szCs w:val="20"/>
          <w:color w:val="auto"/>
        </w:rPr>
      </w:pPr>
      <w:r>
        <w:rPr>
          <w:rFonts w:ascii="Arial" w:cs="Arial" w:eastAsia="Arial" w:hAnsi="Arial"/>
          <w:sz w:val="22"/>
          <w:szCs w:val="22"/>
          <w:color w:val="auto"/>
        </w:rPr>
        <w:t>QUARTER ENDED JUNE 30, 2004</w:t>
      </w:r>
    </w:p>
    <w:p>
      <w:pPr>
        <w:jc w:val="center"/>
        <w:ind w:right="-11"/>
        <w:spacing w:after="0" w:line="231" w:lineRule="auto"/>
        <w:rPr>
          <w:sz w:val="20"/>
          <w:szCs w:val="20"/>
          <w:color w:val="auto"/>
        </w:rPr>
      </w:pPr>
      <w:r>
        <w:rPr>
          <w:rFonts w:ascii="Arial" w:cs="Arial" w:eastAsia="Arial" w:hAnsi="Arial"/>
          <w:sz w:val="22"/>
          <w:szCs w:val="22"/>
          <w:color w:val="auto"/>
        </w:rPr>
        <w:t>NOTES TO CONDENSED CONSOLIDATED FINANCIAL STATEMENTS - CONTINUED</w:t>
      </w:r>
    </w:p>
    <w:p>
      <w:pPr>
        <w:jc w:val="center"/>
        <w:ind w:right="-71"/>
        <w:spacing w:after="0"/>
        <w:rPr>
          <w:sz w:val="20"/>
          <w:szCs w:val="20"/>
          <w:color w:val="auto"/>
        </w:rPr>
      </w:pPr>
      <w:r>
        <w:rPr>
          <w:rFonts w:ascii="Arial" w:cs="Arial" w:eastAsia="Arial" w:hAnsi="Arial"/>
          <w:sz w:val="22"/>
          <w:szCs w:val="22"/>
          <w:color w:val="auto"/>
        </w:rPr>
        <w:t>(Unaudited)</w:t>
      </w:r>
    </w:p>
    <w:p>
      <w:pPr>
        <w:spacing w:after="0" w:line="188" w:lineRule="exact"/>
        <w:rPr>
          <w:sz w:val="20"/>
          <w:szCs w:val="20"/>
          <w:color w:val="auto"/>
        </w:rPr>
      </w:pPr>
    </w:p>
    <w:p>
      <w:pPr>
        <w:ind w:left="452"/>
        <w:spacing w:after="0"/>
        <w:rPr>
          <w:sz w:val="20"/>
          <w:szCs w:val="20"/>
          <w:color w:val="auto"/>
        </w:rPr>
      </w:pPr>
      <w:r>
        <w:rPr>
          <w:rFonts w:ascii="Arial" w:cs="Arial" w:eastAsia="Arial" w:hAnsi="Arial"/>
          <w:sz w:val="22"/>
          <w:szCs w:val="22"/>
          <w:color w:val="auto"/>
        </w:rPr>
        <w:t>alleges that AT&amp;T aided and abetted the TCI directors’ breach.</w:t>
      </w:r>
    </w:p>
    <w:p>
      <w:pPr>
        <w:spacing w:after="0" w:line="233" w:lineRule="exact"/>
        <w:rPr>
          <w:sz w:val="20"/>
          <w:szCs w:val="20"/>
          <w:color w:val="auto"/>
        </w:rPr>
      </w:pPr>
    </w:p>
    <w:p>
      <w:pPr>
        <w:ind w:left="452" w:right="20"/>
        <w:spacing w:after="0" w:line="279" w:lineRule="auto"/>
        <w:rPr>
          <w:sz w:val="20"/>
          <w:szCs w:val="20"/>
          <w:color w:val="auto"/>
        </w:rPr>
      </w:pPr>
      <w:r>
        <w:rPr>
          <w:rFonts w:ascii="Arial" w:cs="Arial" w:eastAsia="Arial" w:hAnsi="Arial"/>
          <w:sz w:val="19"/>
          <w:szCs w:val="19"/>
          <w:color w:val="auto"/>
        </w:rPr>
        <w:t>In connection with the TCI acquisition, which was completed in early 1999, AT&amp;T agreed under certain circumstances to indemnify TCI’s former directors for certain losses, expenses, claims or liabilities, potentially including those incurred in connection with this action. In connection with the Broadband acquisition, Broadband agreed to indemnify AT&amp;T for certain losses, expenses, claims or liabilities. Those losses and expenses potentially include those incurred by AT&amp;T in connection with this action, both as a defendant and in connection with any obligation that AT&amp;T may have to indemnify the former TCI directors for liabilities incurred as a result of the claims against them in this action.</w:t>
      </w:r>
    </w:p>
    <w:p>
      <w:pPr>
        <w:spacing w:after="0" w:line="178" w:lineRule="exact"/>
        <w:rPr>
          <w:sz w:val="20"/>
          <w:szCs w:val="20"/>
          <w:color w:val="auto"/>
        </w:rPr>
      </w:pPr>
    </w:p>
    <w:p>
      <w:pPr>
        <w:jc w:val="both"/>
        <w:ind w:left="452"/>
        <w:spacing w:after="0" w:line="287" w:lineRule="auto"/>
        <w:rPr>
          <w:sz w:val="20"/>
          <w:szCs w:val="20"/>
          <w:color w:val="auto"/>
        </w:rPr>
      </w:pPr>
      <w:r>
        <w:rPr>
          <w:rFonts w:ascii="Arial" w:cs="Arial" w:eastAsia="Arial" w:hAnsi="Arial"/>
          <w:sz w:val="19"/>
          <w:szCs w:val="19"/>
          <w:color w:val="auto"/>
        </w:rPr>
        <w:t>On September 8, 1999, AT&amp;T moved to dismiss the amended complaint for failure to state a cause of action against AT&amp;T. On July 7, 2003, the Delaware Court of Chancery granted AT&amp;T’s motion to dismiss on the ground that the complaint failed to adequately plead AT&amp;T’s “knowing participation,” as required to state a claim for aiding and abetting a breach of fiduciary duty. The other claims made in the complaint remain outstanding. Discovery in this matter is now closed.</w:t>
      </w:r>
    </w:p>
    <w:p>
      <w:pPr>
        <w:spacing w:after="0" w:line="170" w:lineRule="exact"/>
        <w:rPr>
          <w:sz w:val="20"/>
          <w:szCs w:val="20"/>
          <w:color w:val="auto"/>
        </w:rPr>
      </w:pPr>
    </w:p>
    <w:p>
      <w:pPr>
        <w:jc w:val="both"/>
        <w:ind w:left="452" w:right="360"/>
        <w:spacing w:after="0" w:line="297" w:lineRule="auto"/>
        <w:rPr>
          <w:sz w:val="20"/>
          <w:szCs w:val="20"/>
          <w:color w:val="auto"/>
        </w:rPr>
      </w:pPr>
      <w:r>
        <w:rPr>
          <w:rFonts w:ascii="Arial" w:cs="Arial" w:eastAsia="Arial" w:hAnsi="Arial"/>
          <w:sz w:val="19"/>
          <w:szCs w:val="19"/>
          <w:color w:val="auto"/>
        </w:rPr>
        <w:t>In our opinion, the final disposition of these AT&amp;T related claims is not expected to have a material adverse effect on our consolidated financial position, but could possibly be material to our consolidated results of operations of any one period. Further, no assurance can be given that any adverse outcome would not be material to our consolidated financial position.</w:t>
      </w:r>
    </w:p>
    <w:p>
      <w:pPr>
        <w:spacing w:after="0" w:line="161" w:lineRule="exact"/>
        <w:rPr>
          <w:sz w:val="20"/>
          <w:szCs w:val="20"/>
          <w:color w:val="auto"/>
        </w:rPr>
      </w:pPr>
    </w:p>
    <w:p>
      <w:pPr>
        <w:ind w:left="452"/>
        <w:spacing w:after="0"/>
        <w:rPr>
          <w:sz w:val="20"/>
          <w:szCs w:val="20"/>
          <w:color w:val="auto"/>
        </w:rPr>
      </w:pPr>
      <w:r>
        <w:rPr>
          <w:rFonts w:ascii="Arial" w:cs="Arial" w:eastAsia="Arial" w:hAnsi="Arial"/>
          <w:sz w:val="22"/>
          <w:szCs w:val="22"/>
          <w:u w:val="single" w:color="auto"/>
          <w:color w:val="auto"/>
        </w:rPr>
        <w:t>Liberty Digital</w:t>
      </w:r>
    </w:p>
    <w:p>
      <w:pPr>
        <w:spacing w:after="0" w:line="8" w:lineRule="exact"/>
        <w:rPr>
          <w:sz w:val="20"/>
          <w:szCs w:val="20"/>
          <w:color w:val="auto"/>
        </w:rPr>
      </w:pPr>
    </w:p>
    <w:p>
      <w:pPr>
        <w:ind w:left="452" w:right="20"/>
        <w:spacing w:after="0" w:line="243" w:lineRule="auto"/>
        <w:rPr>
          <w:sz w:val="20"/>
          <w:szCs w:val="20"/>
          <w:color w:val="auto"/>
        </w:rPr>
      </w:pPr>
      <w:r>
        <w:rPr>
          <w:rFonts w:ascii="Arial" w:cs="Arial" w:eastAsia="Arial" w:hAnsi="Arial"/>
          <w:sz w:val="21"/>
          <w:szCs w:val="21"/>
          <w:color w:val="auto"/>
        </w:rPr>
        <w:t>On January 8, 2003, Liberty Digital, Inc. filed a complaint in Colorado state court against us and Comcast Cable Holdings, LLC. The complaint alleges that Comcast Cable Holdings breached a 1997 “contribution agreement” between Liberty Digital and Comcast Cable Holdings and that we tortiously interfered with that agreement. The complaint alleges that this purported agreement obligates Comcast Cable Holdings to pay fees to Liberty Digital totaling $18 million (increasing at CPI) per year through 2017. Liberty Digital seeks, among other things, compensatory damages, specific performance of the purported agreement, a declaration that the agreement is valid and enforceable going forward, and an unspecified amount of exemplary damages from us based on the alleged intentional interference claim. We and Comcast Cable Holdings filed our answer to the complaint on March 5, 2003, in which we denied the essential allegations of the complaint and asserted various affirmative defenses.</w:t>
      </w:r>
    </w:p>
    <w:p>
      <w:pPr>
        <w:spacing w:after="0" w:line="212" w:lineRule="exact"/>
        <w:rPr>
          <w:sz w:val="20"/>
          <w:szCs w:val="20"/>
          <w:color w:val="auto"/>
        </w:rPr>
      </w:pPr>
    </w:p>
    <w:p>
      <w:pPr>
        <w:ind w:left="452" w:right="280"/>
        <w:spacing w:after="0" w:line="287" w:lineRule="auto"/>
        <w:rPr>
          <w:sz w:val="20"/>
          <w:szCs w:val="20"/>
          <w:color w:val="auto"/>
        </w:rPr>
      </w:pPr>
      <w:r>
        <w:rPr>
          <w:rFonts w:ascii="Arial" w:cs="Arial" w:eastAsia="Arial" w:hAnsi="Arial"/>
          <w:sz w:val="19"/>
          <w:szCs w:val="19"/>
          <w:color w:val="auto"/>
        </w:rPr>
        <w:t>On July 20, 2004, we and certain of our affiliates entered into an exchange agreement with Liberty (the parent company of Liberty Digital) and certain of its affiliates. The closing of the transactions in the exchange agreement on July 28, 2004 resolved all claims in the litigation. Pursuant to the terms of the exchange agreement, the parties submitted to the court a stipulation of dismissal that, upon approval by the court, will dismiss the litigation with prejudice.</w:t>
      </w:r>
    </w:p>
    <w:p>
      <w:pPr>
        <w:spacing w:after="0" w:line="170" w:lineRule="exact"/>
        <w:rPr>
          <w:sz w:val="20"/>
          <w:szCs w:val="20"/>
          <w:color w:val="auto"/>
        </w:rPr>
      </w:pPr>
    </w:p>
    <w:p>
      <w:pPr>
        <w:ind w:left="452"/>
        <w:spacing w:after="0"/>
        <w:rPr>
          <w:sz w:val="20"/>
          <w:szCs w:val="20"/>
          <w:color w:val="auto"/>
        </w:rPr>
      </w:pPr>
      <w:r>
        <w:rPr>
          <w:rFonts w:ascii="Arial" w:cs="Arial" w:eastAsia="Arial" w:hAnsi="Arial"/>
          <w:sz w:val="22"/>
          <w:szCs w:val="22"/>
          <w:u w:val="single" w:color="auto"/>
          <w:color w:val="auto"/>
        </w:rPr>
        <w:t>Other</w:t>
      </w:r>
    </w:p>
    <w:p>
      <w:pPr>
        <w:spacing w:after="0" w:line="8" w:lineRule="exact"/>
        <w:rPr>
          <w:sz w:val="20"/>
          <w:szCs w:val="20"/>
          <w:color w:val="auto"/>
        </w:rPr>
      </w:pPr>
    </w:p>
    <w:p>
      <w:pPr>
        <w:ind w:left="452" w:right="200"/>
        <w:spacing w:after="0" w:line="234" w:lineRule="auto"/>
        <w:rPr>
          <w:sz w:val="20"/>
          <w:szCs w:val="20"/>
          <w:color w:val="auto"/>
        </w:rPr>
      </w:pPr>
      <w:r>
        <w:rPr>
          <w:rFonts w:ascii="Arial" w:cs="Arial" w:eastAsia="Arial" w:hAnsi="Arial"/>
          <w:sz w:val="22"/>
          <w:szCs w:val="22"/>
          <w:color w:val="auto"/>
        </w:rPr>
        <w:t>We are subject to other legal proceedings and claims that arise in the ordinary course of our business. In our opinion, the amount of ultimate liability with respect to such actions is not expected to materially affect our financial position, results of operations or liquidity.</w:t>
      </w:r>
    </w:p>
    <w:p>
      <w:pPr>
        <w:spacing w:after="0" w:line="200" w:lineRule="exact"/>
        <w:rPr>
          <w:sz w:val="20"/>
          <w:szCs w:val="20"/>
          <w:color w:val="auto"/>
        </w:rPr>
      </w:pPr>
    </w:p>
    <w:p>
      <w:pPr>
        <w:spacing w:after="0" w:line="231" w:lineRule="exact"/>
        <w:rPr>
          <w:sz w:val="20"/>
          <w:szCs w:val="20"/>
          <w:color w:val="auto"/>
        </w:rPr>
      </w:pPr>
    </w:p>
    <w:p>
      <w:pPr>
        <w:jc w:val="center"/>
        <w:ind w:right="-71"/>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6376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jc w:val="center"/>
        <w:ind w:right="-11"/>
        <w:spacing w:after="0"/>
        <w:rPr>
          <w:sz w:val="20"/>
          <w:szCs w:val="20"/>
          <w:color w:val="auto"/>
        </w:rPr>
      </w:pPr>
      <w:r>
        <w:rPr>
          <w:rFonts w:ascii="Arial" w:cs="Arial" w:eastAsia="Arial" w:hAnsi="Arial"/>
          <w:sz w:val="22"/>
          <w:szCs w:val="22"/>
          <w:color w:val="auto"/>
        </w:rPr>
        <w:t>COMCAST CORPORATION AND SUBSIDIARIES</w:t>
      </w:r>
    </w:p>
    <w:p>
      <w:pPr>
        <w:jc w:val="center"/>
        <w:ind w:right="-11"/>
        <w:spacing w:after="0" w:line="238" w:lineRule="auto"/>
        <w:rPr>
          <w:sz w:val="20"/>
          <w:szCs w:val="20"/>
          <w:color w:val="auto"/>
        </w:rPr>
      </w:pPr>
      <w:r>
        <w:rPr>
          <w:rFonts w:ascii="Arial" w:cs="Arial" w:eastAsia="Arial" w:hAnsi="Arial"/>
          <w:sz w:val="22"/>
          <w:szCs w:val="22"/>
          <w:color w:val="auto"/>
        </w:rPr>
        <w:t>FORM 10-Q</w:t>
      </w:r>
    </w:p>
    <w:p>
      <w:pPr>
        <w:jc w:val="center"/>
        <w:ind w:right="-11"/>
        <w:spacing w:after="0" w:line="230" w:lineRule="auto"/>
        <w:rPr>
          <w:sz w:val="20"/>
          <w:szCs w:val="20"/>
          <w:color w:val="auto"/>
        </w:rPr>
      </w:pPr>
      <w:r>
        <w:rPr>
          <w:rFonts w:ascii="Arial" w:cs="Arial" w:eastAsia="Arial" w:hAnsi="Arial"/>
          <w:sz w:val="22"/>
          <w:szCs w:val="22"/>
          <w:color w:val="auto"/>
        </w:rPr>
        <w:t>QUARTER ENDED JUNE 30, 2004</w:t>
      </w:r>
    </w:p>
    <w:p>
      <w:pPr>
        <w:jc w:val="center"/>
        <w:ind w:right="-11"/>
        <w:spacing w:after="0" w:line="231" w:lineRule="auto"/>
        <w:rPr>
          <w:sz w:val="20"/>
          <w:szCs w:val="20"/>
          <w:color w:val="auto"/>
        </w:rPr>
      </w:pPr>
      <w:r>
        <w:rPr>
          <w:rFonts w:ascii="Arial" w:cs="Arial" w:eastAsia="Arial" w:hAnsi="Arial"/>
          <w:sz w:val="22"/>
          <w:szCs w:val="22"/>
          <w:color w:val="auto"/>
        </w:rPr>
        <w:t>NOTES TO CONDENSED CONSOLIDATED FINANCIAL STATEMENTS - CONTINUED</w:t>
      </w:r>
    </w:p>
    <w:p>
      <w:pPr>
        <w:spacing w:after="0" w:line="1" w:lineRule="exact"/>
        <w:rPr>
          <w:sz w:val="20"/>
          <w:szCs w:val="20"/>
          <w:color w:val="auto"/>
        </w:rPr>
      </w:pPr>
    </w:p>
    <w:p>
      <w:pPr>
        <w:jc w:val="center"/>
        <w:ind w:right="-71"/>
        <w:spacing w:after="0"/>
        <w:rPr>
          <w:sz w:val="20"/>
          <w:szCs w:val="20"/>
          <w:color w:val="auto"/>
        </w:rPr>
      </w:pPr>
      <w:r>
        <w:rPr>
          <w:rFonts w:ascii="Arial" w:cs="Arial" w:eastAsia="Arial" w:hAnsi="Arial"/>
          <w:sz w:val="22"/>
          <w:szCs w:val="22"/>
          <w:color w:val="auto"/>
        </w:rPr>
        <w:t>(Unaudited)</w:t>
      </w:r>
    </w:p>
    <w:p>
      <w:pPr>
        <w:spacing w:after="0" w:line="188" w:lineRule="exact"/>
        <w:rPr>
          <w:sz w:val="20"/>
          <w:szCs w:val="20"/>
          <w:color w:val="auto"/>
        </w:rPr>
      </w:pPr>
    </w:p>
    <w:p>
      <w:pPr>
        <w:ind w:left="452" w:hanging="452"/>
        <w:spacing w:after="0"/>
        <w:tabs>
          <w:tab w:leader="none" w:pos="452" w:val="left"/>
        </w:tabs>
        <w:numPr>
          <w:ilvl w:val="0"/>
          <w:numId w:val="10"/>
        </w:numPr>
        <w:rPr>
          <w:rFonts w:ascii="Arial" w:cs="Arial" w:eastAsia="Arial" w:hAnsi="Arial"/>
          <w:sz w:val="22"/>
          <w:szCs w:val="22"/>
          <w:color w:val="auto"/>
        </w:rPr>
      </w:pPr>
      <w:r>
        <w:rPr>
          <w:rFonts w:ascii="Arial" w:cs="Arial" w:eastAsia="Arial" w:hAnsi="Arial"/>
          <w:sz w:val="22"/>
          <w:szCs w:val="22"/>
          <w:color w:val="auto"/>
        </w:rPr>
        <w:t>FINANCIAL DATA BY BUSINESS SEGMENT</w:t>
      </w:r>
    </w:p>
    <w:p>
      <w:pPr>
        <w:spacing w:after="0" w:line="233" w:lineRule="exact"/>
        <w:rPr>
          <w:rFonts w:ascii="Arial" w:cs="Arial" w:eastAsia="Arial" w:hAnsi="Arial"/>
          <w:sz w:val="22"/>
          <w:szCs w:val="22"/>
          <w:color w:val="auto"/>
        </w:rPr>
      </w:pPr>
    </w:p>
    <w:p>
      <w:pPr>
        <w:ind w:left="452"/>
        <w:spacing w:after="0" w:line="277" w:lineRule="auto"/>
        <w:rPr>
          <w:rFonts w:ascii="Arial" w:cs="Arial" w:eastAsia="Arial" w:hAnsi="Arial"/>
          <w:sz w:val="22"/>
          <w:szCs w:val="22"/>
          <w:color w:val="auto"/>
        </w:rPr>
      </w:pPr>
      <w:r>
        <w:rPr>
          <w:rFonts w:ascii="Arial" w:cs="Arial" w:eastAsia="Arial" w:hAnsi="Arial"/>
          <w:sz w:val="19"/>
          <w:szCs w:val="19"/>
          <w:color w:val="auto"/>
        </w:rPr>
        <w:t>Our reportable segments consist of our Cable and Content businesses. Beginning in the first quarter of 2004, although they do not meet the quantitative disclosure requirements of SFAS No. 131, “Disclosures About Segments of an Enterprise and Related Information,” we elected to disclose our content businesses separately as a reportable segment. Our content segment consists of our national networks E! Entertainment, Style Network, The Golf Channel, Outdoor Life Network and G4techTV. As a result of this change, we have presented the comparable 2003 Content segment amounts. In evaluating our segments’ profitability, the components of net income (loss) below operating income (loss) before depreciation and amortization are not separately evaluated by our management (amounts in millions).</w:t>
      </w:r>
    </w:p>
    <w:p>
      <w:pPr>
        <w:spacing w:after="0" w:line="170" w:lineRule="exact"/>
        <w:rPr>
          <w:sz w:val="20"/>
          <w:szCs w:val="20"/>
          <w:color w:val="auto"/>
        </w:rPr>
      </w:pPr>
    </w:p>
    <w:tbl>
      <w:tblPr>
        <w:tblLayout w:type="fixed"/>
        <w:tblInd w:w="5352" w:type="dxa"/>
        <w:tblCellMar>
          <w:top w:w="0" w:type="dxa"/>
          <w:left w:w="0" w:type="dxa"/>
          <w:bottom w:w="0" w:type="dxa"/>
          <w:right w:w="0" w:type="dxa"/>
        </w:tblCellMar>
      </w:tblPr>
      <w:tr>
        <w:trPr>
          <w:trHeight w:val="253"/>
        </w:trPr>
        <w:tc>
          <w:tcPr>
            <w:tcW w:w="9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center"/>
              <w:spacing w:after="0"/>
              <w:rPr>
                <w:sz w:val="20"/>
                <w:szCs w:val="20"/>
                <w:color w:val="auto"/>
              </w:rPr>
            </w:pPr>
            <w:r>
              <w:rPr>
                <w:rFonts w:ascii="Arial" w:cs="Arial" w:eastAsia="Arial" w:hAnsi="Arial"/>
                <w:sz w:val="22"/>
                <w:szCs w:val="22"/>
                <w:color w:val="auto"/>
                <w:w w:val="87"/>
              </w:rPr>
              <w:t>Corporate</w:t>
            </w:r>
          </w:p>
        </w:tc>
        <w:tc>
          <w:tcPr>
            <w:tcW w:w="42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43"/>
        </w:trPr>
        <w:tc>
          <w:tcPr>
            <w:tcW w:w="9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center"/>
              <w:spacing w:after="0" w:line="243" w:lineRule="exact"/>
              <w:rPr>
                <w:sz w:val="20"/>
                <w:szCs w:val="20"/>
                <w:color w:val="auto"/>
              </w:rPr>
            </w:pPr>
            <w:r>
              <w:rPr>
                <w:rFonts w:ascii="Arial" w:cs="Arial" w:eastAsia="Arial" w:hAnsi="Arial"/>
                <w:sz w:val="22"/>
                <w:szCs w:val="22"/>
                <w:color w:val="auto"/>
                <w:w w:val="81"/>
              </w:rPr>
              <w:t>and</w:t>
            </w:r>
          </w:p>
        </w:tc>
        <w:tc>
          <w:tcPr>
            <w:tcW w:w="42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5"/>
        </w:trPr>
        <w:tc>
          <w:tcPr>
            <w:tcW w:w="940" w:type="dxa"/>
            <w:vAlign w:val="bottom"/>
          </w:tcPr>
          <w:p>
            <w:pPr>
              <w:ind w:left="80"/>
              <w:spacing w:after="0"/>
              <w:rPr>
                <w:sz w:val="20"/>
                <w:szCs w:val="20"/>
                <w:color w:val="auto"/>
              </w:rPr>
            </w:pPr>
            <w:r>
              <w:rPr>
                <w:rFonts w:ascii="Arial" w:cs="Arial" w:eastAsia="Arial" w:hAnsi="Arial"/>
                <w:sz w:val="22"/>
                <w:szCs w:val="22"/>
                <w:color w:val="auto"/>
                <w:w w:val="92"/>
              </w:rPr>
              <w:t>Cable (1)</w:t>
            </w:r>
          </w:p>
        </w:tc>
        <w:tc>
          <w:tcPr>
            <w:tcW w:w="320" w:type="dxa"/>
            <w:vAlign w:val="bottom"/>
          </w:tcPr>
          <w:p>
            <w:pPr>
              <w:spacing w:after="0"/>
              <w:rPr>
                <w:sz w:val="23"/>
                <w:szCs w:val="23"/>
                <w:color w:val="auto"/>
              </w:rPr>
            </w:pPr>
          </w:p>
        </w:tc>
        <w:tc>
          <w:tcPr>
            <w:tcW w:w="920" w:type="dxa"/>
            <w:vAlign w:val="bottom"/>
          </w:tcPr>
          <w:p>
            <w:pPr>
              <w:ind w:left="100"/>
              <w:spacing w:after="0"/>
              <w:rPr>
                <w:sz w:val="20"/>
                <w:szCs w:val="20"/>
                <w:color w:val="auto"/>
              </w:rPr>
            </w:pPr>
            <w:r>
              <w:rPr>
                <w:rFonts w:ascii="Arial" w:cs="Arial" w:eastAsia="Arial" w:hAnsi="Arial"/>
                <w:sz w:val="22"/>
                <w:szCs w:val="22"/>
                <w:color w:val="auto"/>
              </w:rPr>
              <w:t>Content</w:t>
            </w:r>
          </w:p>
        </w:tc>
        <w:tc>
          <w:tcPr>
            <w:tcW w:w="280" w:type="dxa"/>
            <w:vAlign w:val="bottom"/>
          </w:tcPr>
          <w:p>
            <w:pPr>
              <w:spacing w:after="0"/>
              <w:rPr>
                <w:sz w:val="23"/>
                <w:szCs w:val="23"/>
                <w:color w:val="auto"/>
              </w:rPr>
            </w:pPr>
          </w:p>
        </w:tc>
        <w:tc>
          <w:tcPr>
            <w:tcW w:w="920" w:type="dxa"/>
            <w:vAlign w:val="bottom"/>
          </w:tcPr>
          <w:p>
            <w:pPr>
              <w:jc w:val="center"/>
              <w:spacing w:after="0"/>
              <w:rPr>
                <w:sz w:val="20"/>
                <w:szCs w:val="20"/>
                <w:color w:val="auto"/>
              </w:rPr>
            </w:pPr>
            <w:r>
              <w:rPr>
                <w:rFonts w:ascii="Arial" w:cs="Arial" w:eastAsia="Arial" w:hAnsi="Arial"/>
                <w:sz w:val="22"/>
                <w:szCs w:val="22"/>
                <w:color w:val="auto"/>
                <w:w w:val="90"/>
              </w:rPr>
              <w:t>Other (2)</w:t>
            </w:r>
          </w:p>
        </w:tc>
        <w:tc>
          <w:tcPr>
            <w:tcW w:w="420" w:type="dxa"/>
            <w:vAlign w:val="bottom"/>
          </w:tcPr>
          <w:p>
            <w:pPr>
              <w:spacing w:after="0"/>
              <w:rPr>
                <w:sz w:val="23"/>
                <w:szCs w:val="23"/>
                <w:color w:val="auto"/>
              </w:rPr>
            </w:pPr>
          </w:p>
        </w:tc>
        <w:tc>
          <w:tcPr>
            <w:tcW w:w="900" w:type="dxa"/>
            <w:vAlign w:val="bottom"/>
          </w:tcPr>
          <w:p>
            <w:pPr>
              <w:ind w:left="220"/>
              <w:spacing w:after="0"/>
              <w:rPr>
                <w:sz w:val="20"/>
                <w:szCs w:val="20"/>
                <w:color w:val="auto"/>
              </w:rPr>
            </w:pPr>
            <w:r>
              <w:rPr>
                <w:rFonts w:ascii="Arial" w:cs="Arial" w:eastAsia="Arial" w:hAnsi="Arial"/>
                <w:sz w:val="22"/>
                <w:szCs w:val="22"/>
                <w:color w:val="auto"/>
              </w:rPr>
              <w:t>Total</w:t>
            </w:r>
          </w:p>
        </w:tc>
      </w:tr>
      <w:tr>
        <w:trPr>
          <w:trHeight w:val="98"/>
        </w:trPr>
        <w:tc>
          <w:tcPr>
            <w:tcW w:w="94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r>
    </w:tbl>
    <w:p>
      <w:pPr>
        <w:sectPr>
          <w:pgSz w:w="11900" w:h="16870" w:orient="portrait"/>
          <w:cols w:equalWidth="0" w:num="1">
            <w:col w:w="11332"/>
          </w:cols>
          <w:pgMar w:left="248" w:top="118" w:right="319" w:bottom="0" w:gutter="0" w:footer="0" w:header="0"/>
        </w:sectPr>
      </w:pPr>
    </w:p>
    <w:bookmarkStart w:id="16" w:name="page17"/>
    <w:bookmarkEnd w:id="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980" w:type="dxa"/>
            <w:vAlign w:val="bottom"/>
            <w:gridSpan w:val="6"/>
          </w:tcPr>
          <w:p>
            <w:pPr>
              <w:spacing w:after="0"/>
              <w:rPr>
                <w:sz w:val="20"/>
                <w:szCs w:val="20"/>
                <w:color w:val="auto"/>
              </w:rPr>
            </w:pPr>
            <w:r>
              <w:rPr>
                <w:rFonts w:ascii="Arial" w:cs="Arial" w:eastAsia="Arial" w:hAnsi="Arial"/>
                <w:sz w:val="22"/>
                <w:szCs w:val="22"/>
                <w:color w:val="auto"/>
              </w:rPr>
              <w:t>Three Months Ended March 31, 2004</w:t>
            </w:r>
          </w:p>
        </w:tc>
        <w:tc>
          <w:tcPr>
            <w:tcW w:w="1640" w:type="dxa"/>
            <w:vAlign w:val="bottom"/>
            <w:vMerge w:val="restart"/>
          </w:tcPr>
          <w:p>
            <w:pPr>
              <w:jc w:val="right"/>
              <w:ind w:right="212"/>
              <w:spacing w:after="0"/>
              <w:rPr>
                <w:sz w:val="20"/>
                <w:szCs w:val="20"/>
                <w:color w:val="auto"/>
              </w:rPr>
            </w:pPr>
            <w:r>
              <w:rPr>
                <w:rFonts w:ascii="Arial" w:cs="Arial" w:eastAsia="Arial" w:hAnsi="Arial"/>
                <w:sz w:val="22"/>
                <w:szCs w:val="22"/>
                <w:color w:val="auto"/>
              </w:rPr>
              <w:t>$4,838</w:t>
            </w:r>
          </w:p>
        </w:tc>
        <w:tc>
          <w:tcPr>
            <w:tcW w:w="1220" w:type="dxa"/>
            <w:vAlign w:val="bottom"/>
            <w:vMerge w:val="restart"/>
          </w:tcPr>
          <w:p>
            <w:pPr>
              <w:jc w:val="right"/>
              <w:ind w:right="192"/>
              <w:spacing w:after="0"/>
              <w:rPr>
                <w:sz w:val="20"/>
                <w:szCs w:val="20"/>
                <w:color w:val="auto"/>
              </w:rPr>
            </w:pPr>
            <w:r>
              <w:rPr>
                <w:rFonts w:ascii="Arial" w:cs="Arial" w:eastAsia="Arial" w:hAnsi="Arial"/>
                <w:sz w:val="22"/>
                <w:szCs w:val="22"/>
                <w:color w:val="auto"/>
              </w:rPr>
              <w:t>$199</w:t>
            </w:r>
          </w:p>
        </w:tc>
        <w:tc>
          <w:tcPr>
            <w:tcW w:w="1200" w:type="dxa"/>
            <w:vAlign w:val="bottom"/>
            <w:vMerge w:val="restart"/>
          </w:tcPr>
          <w:p>
            <w:pPr>
              <w:jc w:val="right"/>
              <w:ind w:right="192"/>
              <w:spacing w:after="0"/>
              <w:rPr>
                <w:sz w:val="20"/>
                <w:szCs w:val="20"/>
                <w:color w:val="auto"/>
              </w:rPr>
            </w:pPr>
            <w:r>
              <w:rPr>
                <w:rFonts w:ascii="Arial" w:cs="Arial" w:eastAsia="Arial" w:hAnsi="Arial"/>
                <w:sz w:val="22"/>
                <w:szCs w:val="22"/>
                <w:color w:val="auto"/>
              </w:rPr>
              <w:t>$29</w:t>
            </w:r>
          </w:p>
        </w:tc>
        <w:tc>
          <w:tcPr>
            <w:tcW w:w="1020" w:type="dxa"/>
            <w:vAlign w:val="bottom"/>
            <w:vMerge w:val="restart"/>
          </w:tcPr>
          <w:p>
            <w:pPr>
              <w:jc w:val="right"/>
              <w:spacing w:after="0"/>
              <w:rPr>
                <w:sz w:val="20"/>
                <w:szCs w:val="20"/>
                <w:color w:val="auto"/>
              </w:rPr>
            </w:pPr>
            <w:r>
              <w:rPr>
                <w:rFonts w:ascii="Arial" w:cs="Arial" w:eastAsia="Arial" w:hAnsi="Arial"/>
                <w:sz w:val="22"/>
                <w:szCs w:val="22"/>
                <w:color w:val="auto"/>
              </w:rPr>
              <w:t>$5,066</w:t>
            </w:r>
          </w:p>
        </w:tc>
        <w:tc>
          <w:tcPr>
            <w:tcW w:w="0" w:type="dxa"/>
            <w:vAlign w:val="bottom"/>
          </w:tcPr>
          <w:p>
            <w:pPr>
              <w:spacing w:after="0"/>
              <w:rPr>
                <w:sz w:val="1"/>
                <w:szCs w:val="1"/>
                <w:color w:val="auto"/>
              </w:rPr>
            </w:pPr>
          </w:p>
        </w:tc>
      </w:tr>
      <w:tr>
        <w:trPr>
          <w:trHeight w:val="242"/>
        </w:trPr>
        <w:tc>
          <w:tcPr>
            <w:tcW w:w="3260" w:type="dxa"/>
            <w:vAlign w:val="bottom"/>
            <w:tcBorders>
              <w:top w:val="single" w:sz="8" w:color="auto"/>
            </w:tcBorders>
            <w:gridSpan w:val="5"/>
          </w:tcPr>
          <w:p>
            <w:pPr>
              <w:ind w:left="280"/>
              <w:spacing w:after="0" w:line="242" w:lineRule="exact"/>
              <w:rPr>
                <w:sz w:val="20"/>
                <w:szCs w:val="20"/>
                <w:color w:val="auto"/>
              </w:rPr>
            </w:pPr>
            <w:r>
              <w:rPr>
                <w:rFonts w:ascii="Arial" w:cs="Arial" w:eastAsia="Arial" w:hAnsi="Arial"/>
                <w:sz w:val="22"/>
                <w:szCs w:val="22"/>
                <w:color w:val="auto"/>
              </w:rPr>
              <w:t>Revenues (3)</w:t>
            </w:r>
          </w:p>
        </w:tc>
        <w:tc>
          <w:tcPr>
            <w:tcW w:w="1720" w:type="dxa"/>
            <w:vAlign w:val="bottom"/>
          </w:tcPr>
          <w:p>
            <w:pPr>
              <w:spacing w:after="0"/>
              <w:rPr>
                <w:sz w:val="21"/>
                <w:szCs w:val="21"/>
                <w:color w:val="auto"/>
              </w:rPr>
            </w:pPr>
          </w:p>
        </w:tc>
        <w:tc>
          <w:tcPr>
            <w:tcW w:w="1640" w:type="dxa"/>
            <w:vAlign w:val="bottom"/>
            <w:vMerge w:val="continue"/>
          </w:tcPr>
          <w:p>
            <w:pPr>
              <w:spacing w:after="0"/>
              <w:rPr>
                <w:sz w:val="21"/>
                <w:szCs w:val="21"/>
                <w:color w:val="auto"/>
              </w:rPr>
            </w:pPr>
          </w:p>
        </w:tc>
        <w:tc>
          <w:tcPr>
            <w:tcW w:w="1220" w:type="dxa"/>
            <w:vAlign w:val="bottom"/>
            <w:vMerge w:val="continue"/>
          </w:tcPr>
          <w:p>
            <w:pPr>
              <w:spacing w:after="0"/>
              <w:rPr>
                <w:sz w:val="21"/>
                <w:szCs w:val="21"/>
                <w:color w:val="auto"/>
              </w:rPr>
            </w:pPr>
          </w:p>
        </w:tc>
        <w:tc>
          <w:tcPr>
            <w:tcW w:w="1200" w:type="dxa"/>
            <w:vAlign w:val="bottom"/>
            <w:vMerge w:val="continue"/>
          </w:tcPr>
          <w:p>
            <w:pPr>
              <w:spacing w:after="0"/>
              <w:rPr>
                <w:sz w:val="21"/>
                <w:szCs w:val="21"/>
                <w:color w:val="auto"/>
              </w:rPr>
            </w:pPr>
          </w:p>
        </w:tc>
        <w:tc>
          <w:tcPr>
            <w:tcW w:w="10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80" w:type="dxa"/>
            <w:vAlign w:val="bottom"/>
            <w:gridSpan w:val="6"/>
          </w:tcPr>
          <w:p>
            <w:pPr>
              <w:ind w:left="280"/>
              <w:spacing w:after="0" w:line="243" w:lineRule="exact"/>
              <w:rPr>
                <w:sz w:val="20"/>
                <w:szCs w:val="20"/>
                <w:color w:val="auto"/>
              </w:rPr>
            </w:pPr>
            <w:r>
              <w:rPr>
                <w:rFonts w:ascii="Arial" w:cs="Arial" w:eastAsia="Arial" w:hAnsi="Arial"/>
                <w:sz w:val="22"/>
                <w:szCs w:val="22"/>
                <w:color w:val="auto"/>
                <w:w w:val="99"/>
              </w:rPr>
              <w:t>Operating income (loss) before depreciation and</w:t>
            </w:r>
          </w:p>
        </w:tc>
        <w:tc>
          <w:tcPr>
            <w:tcW w:w="16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80" w:type="dxa"/>
            <w:vAlign w:val="bottom"/>
            <w:gridSpan w:val="6"/>
          </w:tcPr>
          <w:p>
            <w:pPr>
              <w:ind w:left="540"/>
              <w:spacing w:after="0" w:line="243" w:lineRule="exact"/>
              <w:rPr>
                <w:sz w:val="20"/>
                <w:szCs w:val="20"/>
                <w:color w:val="auto"/>
              </w:rPr>
            </w:pPr>
            <w:r>
              <w:rPr>
                <w:rFonts w:ascii="Arial" w:cs="Arial" w:eastAsia="Arial" w:hAnsi="Arial"/>
                <w:sz w:val="22"/>
                <w:szCs w:val="22"/>
                <w:color w:val="auto"/>
              </w:rPr>
              <w:t>amortization (4)</w:t>
            </w:r>
          </w:p>
        </w:tc>
        <w:tc>
          <w:tcPr>
            <w:tcW w:w="1640" w:type="dxa"/>
            <w:vAlign w:val="bottom"/>
          </w:tcPr>
          <w:p>
            <w:pPr>
              <w:jc w:val="right"/>
              <w:ind w:right="212"/>
              <w:spacing w:after="0" w:line="243" w:lineRule="exact"/>
              <w:rPr>
                <w:sz w:val="20"/>
                <w:szCs w:val="20"/>
                <w:color w:val="auto"/>
              </w:rPr>
            </w:pPr>
            <w:r>
              <w:rPr>
                <w:rFonts w:ascii="Arial" w:cs="Arial" w:eastAsia="Arial" w:hAnsi="Arial"/>
                <w:sz w:val="22"/>
                <w:szCs w:val="22"/>
                <w:color w:val="auto"/>
              </w:rPr>
              <w:t>1,920</w:t>
            </w:r>
          </w:p>
        </w:tc>
        <w:tc>
          <w:tcPr>
            <w:tcW w:w="1220" w:type="dxa"/>
            <w:vAlign w:val="bottom"/>
          </w:tcPr>
          <w:p>
            <w:pPr>
              <w:jc w:val="right"/>
              <w:ind w:right="192"/>
              <w:spacing w:after="0" w:line="243" w:lineRule="exact"/>
              <w:rPr>
                <w:sz w:val="20"/>
                <w:szCs w:val="20"/>
                <w:color w:val="auto"/>
              </w:rPr>
            </w:pPr>
            <w:r>
              <w:rPr>
                <w:rFonts w:ascii="Arial" w:cs="Arial" w:eastAsia="Arial" w:hAnsi="Arial"/>
                <w:sz w:val="22"/>
                <w:szCs w:val="22"/>
                <w:color w:val="auto"/>
              </w:rPr>
              <w:t>77</w:t>
            </w:r>
          </w:p>
        </w:tc>
        <w:tc>
          <w:tcPr>
            <w:tcW w:w="1200" w:type="dxa"/>
            <w:vAlign w:val="bottom"/>
          </w:tcPr>
          <w:p>
            <w:pPr>
              <w:jc w:val="right"/>
              <w:ind w:right="112"/>
              <w:spacing w:after="0" w:line="243" w:lineRule="exact"/>
              <w:rPr>
                <w:sz w:val="20"/>
                <w:szCs w:val="20"/>
                <w:color w:val="auto"/>
              </w:rPr>
            </w:pPr>
            <w:r>
              <w:rPr>
                <w:rFonts w:ascii="Arial" w:cs="Arial" w:eastAsia="Arial" w:hAnsi="Arial"/>
                <w:sz w:val="22"/>
                <w:szCs w:val="22"/>
                <w:color w:val="auto"/>
              </w:rPr>
              <w:t>(45)</w:t>
            </w:r>
          </w:p>
        </w:tc>
        <w:tc>
          <w:tcPr>
            <w:tcW w:w="1020" w:type="dxa"/>
            <w:vAlign w:val="bottom"/>
          </w:tcPr>
          <w:p>
            <w:pPr>
              <w:jc w:val="right"/>
              <w:spacing w:after="0" w:line="243" w:lineRule="exact"/>
              <w:rPr>
                <w:sz w:val="20"/>
                <w:szCs w:val="20"/>
                <w:color w:val="auto"/>
              </w:rPr>
            </w:pPr>
            <w:r>
              <w:rPr>
                <w:rFonts w:ascii="Arial" w:cs="Arial" w:eastAsia="Arial" w:hAnsi="Arial"/>
                <w:sz w:val="22"/>
                <w:szCs w:val="22"/>
                <w:color w:val="auto"/>
              </w:rPr>
              <w:t>1,952</w:t>
            </w:r>
          </w:p>
        </w:tc>
        <w:tc>
          <w:tcPr>
            <w:tcW w:w="0" w:type="dxa"/>
            <w:vAlign w:val="bottom"/>
          </w:tcPr>
          <w:p>
            <w:pPr>
              <w:spacing w:after="0"/>
              <w:rPr>
                <w:sz w:val="1"/>
                <w:szCs w:val="1"/>
                <w:color w:val="auto"/>
              </w:rPr>
            </w:pPr>
          </w:p>
        </w:tc>
      </w:tr>
      <w:tr>
        <w:trPr>
          <w:trHeight w:val="243"/>
        </w:trPr>
        <w:tc>
          <w:tcPr>
            <w:tcW w:w="4980" w:type="dxa"/>
            <w:vAlign w:val="bottom"/>
            <w:gridSpan w:val="6"/>
          </w:tcPr>
          <w:p>
            <w:pPr>
              <w:ind w:left="280"/>
              <w:spacing w:after="0" w:line="243" w:lineRule="exact"/>
              <w:rPr>
                <w:sz w:val="20"/>
                <w:szCs w:val="20"/>
                <w:color w:val="auto"/>
              </w:rPr>
            </w:pPr>
            <w:r>
              <w:rPr>
                <w:rFonts w:ascii="Arial" w:cs="Arial" w:eastAsia="Arial" w:hAnsi="Arial"/>
                <w:sz w:val="22"/>
                <w:szCs w:val="22"/>
                <w:color w:val="auto"/>
              </w:rPr>
              <w:t>Depreciation and amortization</w:t>
            </w:r>
          </w:p>
        </w:tc>
        <w:tc>
          <w:tcPr>
            <w:tcW w:w="1640" w:type="dxa"/>
            <w:vAlign w:val="bottom"/>
          </w:tcPr>
          <w:p>
            <w:pPr>
              <w:jc w:val="right"/>
              <w:ind w:right="212"/>
              <w:spacing w:after="0" w:line="243" w:lineRule="exact"/>
              <w:rPr>
                <w:sz w:val="20"/>
                <w:szCs w:val="20"/>
                <w:color w:val="auto"/>
              </w:rPr>
            </w:pPr>
            <w:r>
              <w:rPr>
                <w:rFonts w:ascii="Arial" w:cs="Arial" w:eastAsia="Arial" w:hAnsi="Arial"/>
                <w:sz w:val="22"/>
                <w:szCs w:val="22"/>
                <w:color w:val="auto"/>
              </w:rPr>
              <w:t>1,043</w:t>
            </w:r>
          </w:p>
        </w:tc>
        <w:tc>
          <w:tcPr>
            <w:tcW w:w="1220" w:type="dxa"/>
            <w:vAlign w:val="bottom"/>
          </w:tcPr>
          <w:p>
            <w:pPr>
              <w:jc w:val="right"/>
              <w:ind w:right="192"/>
              <w:spacing w:after="0" w:line="243" w:lineRule="exact"/>
              <w:rPr>
                <w:sz w:val="20"/>
                <w:szCs w:val="20"/>
                <w:color w:val="auto"/>
              </w:rPr>
            </w:pPr>
            <w:r>
              <w:rPr>
                <w:rFonts w:ascii="Arial" w:cs="Arial" w:eastAsia="Arial" w:hAnsi="Arial"/>
                <w:sz w:val="22"/>
                <w:szCs w:val="22"/>
                <w:color w:val="auto"/>
              </w:rPr>
              <w:t>39</w:t>
            </w:r>
          </w:p>
        </w:tc>
        <w:tc>
          <w:tcPr>
            <w:tcW w:w="1200" w:type="dxa"/>
            <w:vAlign w:val="bottom"/>
          </w:tcPr>
          <w:p>
            <w:pPr>
              <w:jc w:val="right"/>
              <w:ind w:right="192"/>
              <w:spacing w:after="0" w:line="243" w:lineRule="exact"/>
              <w:rPr>
                <w:sz w:val="20"/>
                <w:szCs w:val="20"/>
                <w:color w:val="auto"/>
              </w:rPr>
            </w:pPr>
            <w:r>
              <w:rPr>
                <w:rFonts w:ascii="Arial" w:cs="Arial" w:eastAsia="Arial" w:hAnsi="Arial"/>
                <w:sz w:val="22"/>
                <w:szCs w:val="22"/>
                <w:color w:val="auto"/>
              </w:rPr>
              <w:t>18</w:t>
            </w:r>
          </w:p>
        </w:tc>
        <w:tc>
          <w:tcPr>
            <w:tcW w:w="1020" w:type="dxa"/>
            <w:vAlign w:val="bottom"/>
          </w:tcPr>
          <w:p>
            <w:pPr>
              <w:jc w:val="right"/>
              <w:spacing w:after="0" w:line="243" w:lineRule="exact"/>
              <w:rPr>
                <w:sz w:val="20"/>
                <w:szCs w:val="20"/>
                <w:color w:val="auto"/>
              </w:rPr>
            </w:pPr>
            <w:r>
              <w:rPr>
                <w:rFonts w:ascii="Arial" w:cs="Arial" w:eastAsia="Arial" w:hAnsi="Arial"/>
                <w:sz w:val="22"/>
                <w:szCs w:val="22"/>
                <w:color w:val="auto"/>
              </w:rPr>
              <w:t>1,100</w:t>
            </w:r>
          </w:p>
        </w:tc>
        <w:tc>
          <w:tcPr>
            <w:tcW w:w="0" w:type="dxa"/>
            <w:vAlign w:val="bottom"/>
          </w:tcPr>
          <w:p>
            <w:pPr>
              <w:spacing w:after="0"/>
              <w:rPr>
                <w:sz w:val="1"/>
                <w:szCs w:val="1"/>
                <w:color w:val="auto"/>
              </w:rPr>
            </w:pPr>
          </w:p>
        </w:tc>
      </w:tr>
      <w:tr>
        <w:trPr>
          <w:trHeight w:val="243"/>
        </w:trPr>
        <w:tc>
          <w:tcPr>
            <w:tcW w:w="4980" w:type="dxa"/>
            <w:vAlign w:val="bottom"/>
            <w:gridSpan w:val="6"/>
          </w:tcPr>
          <w:p>
            <w:pPr>
              <w:ind w:left="280"/>
              <w:spacing w:after="0" w:line="243" w:lineRule="exact"/>
              <w:rPr>
                <w:sz w:val="20"/>
                <w:szCs w:val="20"/>
                <w:color w:val="auto"/>
              </w:rPr>
            </w:pPr>
            <w:r>
              <w:rPr>
                <w:rFonts w:ascii="Arial" w:cs="Arial" w:eastAsia="Arial" w:hAnsi="Arial"/>
                <w:sz w:val="22"/>
                <w:szCs w:val="22"/>
                <w:color w:val="auto"/>
              </w:rPr>
              <w:t>Operating income (loss)</w:t>
            </w:r>
          </w:p>
        </w:tc>
        <w:tc>
          <w:tcPr>
            <w:tcW w:w="1640" w:type="dxa"/>
            <w:vAlign w:val="bottom"/>
          </w:tcPr>
          <w:p>
            <w:pPr>
              <w:jc w:val="right"/>
              <w:ind w:right="212"/>
              <w:spacing w:after="0" w:line="243" w:lineRule="exact"/>
              <w:rPr>
                <w:sz w:val="20"/>
                <w:szCs w:val="20"/>
                <w:color w:val="auto"/>
              </w:rPr>
            </w:pPr>
            <w:r>
              <w:rPr>
                <w:rFonts w:ascii="Arial" w:cs="Arial" w:eastAsia="Arial" w:hAnsi="Arial"/>
                <w:sz w:val="22"/>
                <w:szCs w:val="22"/>
                <w:color w:val="auto"/>
              </w:rPr>
              <w:t>877</w:t>
            </w:r>
          </w:p>
        </w:tc>
        <w:tc>
          <w:tcPr>
            <w:tcW w:w="1220" w:type="dxa"/>
            <w:vAlign w:val="bottom"/>
          </w:tcPr>
          <w:p>
            <w:pPr>
              <w:jc w:val="right"/>
              <w:ind w:right="192"/>
              <w:spacing w:after="0" w:line="243" w:lineRule="exact"/>
              <w:rPr>
                <w:sz w:val="20"/>
                <w:szCs w:val="20"/>
                <w:color w:val="auto"/>
              </w:rPr>
            </w:pPr>
            <w:r>
              <w:rPr>
                <w:rFonts w:ascii="Arial" w:cs="Arial" w:eastAsia="Arial" w:hAnsi="Arial"/>
                <w:sz w:val="22"/>
                <w:szCs w:val="22"/>
                <w:color w:val="auto"/>
              </w:rPr>
              <w:t>38</w:t>
            </w:r>
          </w:p>
        </w:tc>
        <w:tc>
          <w:tcPr>
            <w:tcW w:w="1200" w:type="dxa"/>
            <w:vAlign w:val="bottom"/>
          </w:tcPr>
          <w:p>
            <w:pPr>
              <w:jc w:val="right"/>
              <w:ind w:right="112"/>
              <w:spacing w:after="0" w:line="243" w:lineRule="exact"/>
              <w:rPr>
                <w:sz w:val="20"/>
                <w:szCs w:val="20"/>
                <w:color w:val="auto"/>
              </w:rPr>
            </w:pPr>
            <w:r>
              <w:rPr>
                <w:rFonts w:ascii="Arial" w:cs="Arial" w:eastAsia="Arial" w:hAnsi="Arial"/>
                <w:sz w:val="22"/>
                <w:szCs w:val="22"/>
                <w:color w:val="auto"/>
              </w:rPr>
              <w:t>(63)</w:t>
            </w:r>
          </w:p>
        </w:tc>
        <w:tc>
          <w:tcPr>
            <w:tcW w:w="1020" w:type="dxa"/>
            <w:vAlign w:val="bottom"/>
          </w:tcPr>
          <w:p>
            <w:pPr>
              <w:jc w:val="right"/>
              <w:spacing w:after="0" w:line="243" w:lineRule="exact"/>
              <w:rPr>
                <w:sz w:val="20"/>
                <w:szCs w:val="20"/>
                <w:color w:val="auto"/>
              </w:rPr>
            </w:pPr>
            <w:r>
              <w:rPr>
                <w:rFonts w:ascii="Arial" w:cs="Arial" w:eastAsia="Arial" w:hAnsi="Arial"/>
                <w:sz w:val="22"/>
                <w:szCs w:val="22"/>
                <w:color w:val="auto"/>
              </w:rPr>
              <w:t>852</w:t>
            </w:r>
          </w:p>
        </w:tc>
        <w:tc>
          <w:tcPr>
            <w:tcW w:w="0" w:type="dxa"/>
            <w:vAlign w:val="bottom"/>
          </w:tcPr>
          <w:p>
            <w:pPr>
              <w:spacing w:after="0"/>
              <w:rPr>
                <w:sz w:val="1"/>
                <w:szCs w:val="1"/>
                <w:color w:val="auto"/>
              </w:rPr>
            </w:pPr>
          </w:p>
        </w:tc>
      </w:tr>
      <w:tr>
        <w:trPr>
          <w:trHeight w:val="275"/>
        </w:trPr>
        <w:tc>
          <w:tcPr>
            <w:tcW w:w="4980" w:type="dxa"/>
            <w:vAlign w:val="bottom"/>
            <w:gridSpan w:val="6"/>
          </w:tcPr>
          <w:p>
            <w:pPr>
              <w:ind w:left="280"/>
              <w:spacing w:after="0"/>
              <w:rPr>
                <w:sz w:val="20"/>
                <w:szCs w:val="20"/>
                <w:color w:val="auto"/>
              </w:rPr>
            </w:pPr>
            <w:r>
              <w:rPr>
                <w:rFonts w:ascii="Arial" w:cs="Arial" w:eastAsia="Arial" w:hAnsi="Arial"/>
                <w:sz w:val="22"/>
                <w:szCs w:val="22"/>
                <w:color w:val="auto"/>
              </w:rPr>
              <w:t>Capital expenditures</w:t>
            </w:r>
          </w:p>
        </w:tc>
        <w:tc>
          <w:tcPr>
            <w:tcW w:w="1640" w:type="dxa"/>
            <w:vAlign w:val="bottom"/>
          </w:tcPr>
          <w:p>
            <w:pPr>
              <w:jc w:val="right"/>
              <w:ind w:right="212"/>
              <w:spacing w:after="0"/>
              <w:rPr>
                <w:sz w:val="20"/>
                <w:szCs w:val="20"/>
                <w:color w:val="auto"/>
              </w:rPr>
            </w:pPr>
            <w:r>
              <w:rPr>
                <w:rFonts w:ascii="Arial" w:cs="Arial" w:eastAsia="Arial" w:hAnsi="Arial"/>
                <w:sz w:val="22"/>
                <w:szCs w:val="22"/>
                <w:color w:val="auto"/>
              </w:rPr>
              <w:t>893</w:t>
            </w:r>
          </w:p>
        </w:tc>
        <w:tc>
          <w:tcPr>
            <w:tcW w:w="1220" w:type="dxa"/>
            <w:vAlign w:val="bottom"/>
          </w:tcPr>
          <w:p>
            <w:pPr>
              <w:jc w:val="right"/>
              <w:ind w:right="192"/>
              <w:spacing w:after="0"/>
              <w:rPr>
                <w:sz w:val="20"/>
                <w:szCs w:val="20"/>
                <w:color w:val="auto"/>
              </w:rPr>
            </w:pPr>
            <w:r>
              <w:rPr>
                <w:rFonts w:ascii="Arial" w:cs="Arial" w:eastAsia="Arial" w:hAnsi="Arial"/>
                <w:sz w:val="22"/>
                <w:szCs w:val="22"/>
                <w:color w:val="auto"/>
              </w:rPr>
              <w:t>6</w:t>
            </w:r>
          </w:p>
        </w:tc>
        <w:tc>
          <w:tcPr>
            <w:tcW w:w="1200" w:type="dxa"/>
            <w:vAlign w:val="bottom"/>
          </w:tcPr>
          <w:p>
            <w:pPr>
              <w:jc w:val="right"/>
              <w:ind w:right="192"/>
              <w:spacing w:after="0"/>
              <w:rPr>
                <w:sz w:val="20"/>
                <w:szCs w:val="20"/>
                <w:color w:val="auto"/>
              </w:rPr>
            </w:pPr>
            <w:r>
              <w:rPr>
                <w:rFonts w:ascii="Arial" w:cs="Arial" w:eastAsia="Arial" w:hAnsi="Arial"/>
                <w:sz w:val="22"/>
                <w:szCs w:val="22"/>
                <w:color w:val="auto"/>
              </w:rPr>
              <w:t>5</w:t>
            </w:r>
          </w:p>
        </w:tc>
        <w:tc>
          <w:tcPr>
            <w:tcW w:w="1020" w:type="dxa"/>
            <w:vAlign w:val="bottom"/>
          </w:tcPr>
          <w:p>
            <w:pPr>
              <w:jc w:val="right"/>
              <w:spacing w:after="0"/>
              <w:rPr>
                <w:sz w:val="20"/>
                <w:szCs w:val="20"/>
                <w:color w:val="auto"/>
              </w:rPr>
            </w:pPr>
            <w:r>
              <w:rPr>
                <w:rFonts w:ascii="Arial" w:cs="Arial" w:eastAsia="Arial" w:hAnsi="Arial"/>
                <w:sz w:val="22"/>
                <w:szCs w:val="22"/>
                <w:color w:val="auto"/>
              </w:rPr>
              <w:t>904</w:t>
            </w:r>
          </w:p>
        </w:tc>
        <w:tc>
          <w:tcPr>
            <w:tcW w:w="0" w:type="dxa"/>
            <w:vAlign w:val="bottom"/>
          </w:tcPr>
          <w:p>
            <w:pPr>
              <w:spacing w:after="0"/>
              <w:rPr>
                <w:sz w:val="1"/>
                <w:szCs w:val="1"/>
                <w:color w:val="auto"/>
              </w:rPr>
            </w:pPr>
          </w:p>
        </w:tc>
      </w:tr>
      <w:tr>
        <w:trPr>
          <w:trHeight w:val="436"/>
        </w:trPr>
        <w:tc>
          <w:tcPr>
            <w:tcW w:w="3100" w:type="dxa"/>
            <w:vAlign w:val="bottom"/>
            <w:tcBorders>
              <w:bottom w:val="single" w:sz="8" w:color="auto"/>
            </w:tcBorders>
            <w:gridSpan w:val="4"/>
          </w:tcPr>
          <w:p>
            <w:pPr>
              <w:spacing w:after="0"/>
              <w:rPr>
                <w:sz w:val="20"/>
                <w:szCs w:val="20"/>
                <w:color w:val="auto"/>
              </w:rPr>
            </w:pPr>
            <w:r>
              <w:rPr>
                <w:rFonts w:ascii="Arial" w:cs="Arial" w:eastAsia="Arial" w:hAnsi="Arial"/>
                <w:sz w:val="22"/>
                <w:szCs w:val="22"/>
                <w:color w:val="auto"/>
                <w:w w:val="87"/>
              </w:rPr>
              <w:t>Three Months Ended June 30, 2003</w:t>
            </w:r>
          </w:p>
        </w:tc>
        <w:tc>
          <w:tcPr>
            <w:tcW w:w="1880" w:type="dxa"/>
            <w:vAlign w:val="bottom"/>
            <w:gridSpan w:val="2"/>
          </w:tcPr>
          <w:p>
            <w:pPr>
              <w:spacing w:after="0"/>
              <w:rPr>
                <w:sz w:val="24"/>
                <w:szCs w:val="24"/>
                <w:color w:val="auto"/>
              </w:rPr>
            </w:pPr>
          </w:p>
        </w:tc>
        <w:tc>
          <w:tcPr>
            <w:tcW w:w="1640" w:type="dxa"/>
            <w:vAlign w:val="bottom"/>
            <w:vMerge w:val="restart"/>
          </w:tcPr>
          <w:p>
            <w:pPr>
              <w:jc w:val="right"/>
              <w:ind w:right="212"/>
              <w:spacing w:after="0"/>
              <w:rPr>
                <w:sz w:val="20"/>
                <w:szCs w:val="20"/>
                <w:color w:val="auto"/>
              </w:rPr>
            </w:pPr>
            <w:r>
              <w:rPr>
                <w:rFonts w:ascii="Arial" w:cs="Arial" w:eastAsia="Arial" w:hAnsi="Arial"/>
                <w:sz w:val="22"/>
                <w:szCs w:val="22"/>
                <w:color w:val="auto"/>
              </w:rPr>
              <w:t>$4,379</w:t>
            </w:r>
          </w:p>
        </w:tc>
        <w:tc>
          <w:tcPr>
            <w:tcW w:w="1220" w:type="dxa"/>
            <w:vAlign w:val="bottom"/>
            <w:vMerge w:val="restart"/>
          </w:tcPr>
          <w:p>
            <w:pPr>
              <w:jc w:val="right"/>
              <w:ind w:right="192"/>
              <w:spacing w:after="0"/>
              <w:rPr>
                <w:sz w:val="20"/>
                <w:szCs w:val="20"/>
                <w:color w:val="auto"/>
              </w:rPr>
            </w:pPr>
            <w:r>
              <w:rPr>
                <w:rFonts w:ascii="Arial" w:cs="Arial" w:eastAsia="Arial" w:hAnsi="Arial"/>
                <w:sz w:val="22"/>
                <w:szCs w:val="22"/>
                <w:color w:val="auto"/>
              </w:rPr>
              <w:t>$159</w:t>
            </w:r>
          </w:p>
        </w:tc>
        <w:tc>
          <w:tcPr>
            <w:tcW w:w="1200" w:type="dxa"/>
            <w:vAlign w:val="bottom"/>
            <w:vMerge w:val="restart"/>
          </w:tcPr>
          <w:p>
            <w:pPr>
              <w:jc w:val="right"/>
              <w:ind w:right="192"/>
              <w:spacing w:after="0"/>
              <w:rPr>
                <w:sz w:val="20"/>
                <w:szCs w:val="20"/>
                <w:color w:val="auto"/>
              </w:rPr>
            </w:pPr>
            <w:r>
              <w:rPr>
                <w:rFonts w:ascii="Arial" w:cs="Arial" w:eastAsia="Arial" w:hAnsi="Arial"/>
                <w:sz w:val="22"/>
                <w:szCs w:val="22"/>
                <w:color w:val="auto"/>
              </w:rPr>
              <w:t>$56</w:t>
            </w:r>
          </w:p>
        </w:tc>
        <w:tc>
          <w:tcPr>
            <w:tcW w:w="1020" w:type="dxa"/>
            <w:vAlign w:val="bottom"/>
            <w:vMerge w:val="restart"/>
          </w:tcPr>
          <w:p>
            <w:pPr>
              <w:jc w:val="right"/>
              <w:spacing w:after="0"/>
              <w:rPr>
                <w:sz w:val="20"/>
                <w:szCs w:val="20"/>
                <w:color w:val="auto"/>
              </w:rPr>
            </w:pPr>
            <w:r>
              <w:rPr>
                <w:rFonts w:ascii="Arial" w:cs="Arial" w:eastAsia="Arial" w:hAnsi="Arial"/>
                <w:sz w:val="22"/>
                <w:szCs w:val="22"/>
                <w:color w:val="auto"/>
              </w:rPr>
              <w:t>$4,594</w:t>
            </w:r>
          </w:p>
        </w:tc>
        <w:tc>
          <w:tcPr>
            <w:tcW w:w="0" w:type="dxa"/>
            <w:vAlign w:val="bottom"/>
          </w:tcPr>
          <w:p>
            <w:pPr>
              <w:spacing w:after="0"/>
              <w:rPr>
                <w:sz w:val="1"/>
                <w:szCs w:val="1"/>
                <w:color w:val="auto"/>
              </w:rPr>
            </w:pPr>
          </w:p>
        </w:tc>
      </w:tr>
      <w:tr>
        <w:trPr>
          <w:trHeight w:val="242"/>
        </w:trPr>
        <w:tc>
          <w:tcPr>
            <w:tcW w:w="4980" w:type="dxa"/>
            <w:vAlign w:val="bottom"/>
            <w:gridSpan w:val="6"/>
          </w:tcPr>
          <w:p>
            <w:pPr>
              <w:ind w:left="280"/>
              <w:spacing w:after="0" w:line="242" w:lineRule="exact"/>
              <w:rPr>
                <w:sz w:val="20"/>
                <w:szCs w:val="20"/>
                <w:color w:val="auto"/>
              </w:rPr>
            </w:pPr>
            <w:r>
              <w:rPr>
                <w:rFonts w:ascii="Arial" w:cs="Arial" w:eastAsia="Arial" w:hAnsi="Arial"/>
                <w:sz w:val="22"/>
                <w:szCs w:val="22"/>
                <w:color w:val="auto"/>
              </w:rPr>
              <w:t>Revenues (3)</w:t>
            </w:r>
          </w:p>
        </w:tc>
        <w:tc>
          <w:tcPr>
            <w:tcW w:w="1640" w:type="dxa"/>
            <w:vAlign w:val="bottom"/>
            <w:vMerge w:val="continue"/>
          </w:tcPr>
          <w:p>
            <w:pPr>
              <w:spacing w:after="0"/>
              <w:rPr>
                <w:sz w:val="21"/>
                <w:szCs w:val="21"/>
                <w:color w:val="auto"/>
              </w:rPr>
            </w:pPr>
          </w:p>
        </w:tc>
        <w:tc>
          <w:tcPr>
            <w:tcW w:w="1220" w:type="dxa"/>
            <w:vAlign w:val="bottom"/>
            <w:vMerge w:val="continue"/>
          </w:tcPr>
          <w:p>
            <w:pPr>
              <w:spacing w:after="0"/>
              <w:rPr>
                <w:sz w:val="21"/>
                <w:szCs w:val="21"/>
                <w:color w:val="auto"/>
              </w:rPr>
            </w:pPr>
          </w:p>
        </w:tc>
        <w:tc>
          <w:tcPr>
            <w:tcW w:w="1200" w:type="dxa"/>
            <w:vAlign w:val="bottom"/>
            <w:vMerge w:val="continue"/>
          </w:tcPr>
          <w:p>
            <w:pPr>
              <w:spacing w:after="0"/>
              <w:rPr>
                <w:sz w:val="21"/>
                <w:szCs w:val="21"/>
                <w:color w:val="auto"/>
              </w:rPr>
            </w:pPr>
          </w:p>
        </w:tc>
        <w:tc>
          <w:tcPr>
            <w:tcW w:w="10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80" w:type="dxa"/>
            <w:vAlign w:val="bottom"/>
            <w:gridSpan w:val="6"/>
          </w:tcPr>
          <w:p>
            <w:pPr>
              <w:ind w:left="280"/>
              <w:spacing w:after="0" w:line="243" w:lineRule="exact"/>
              <w:rPr>
                <w:sz w:val="20"/>
                <w:szCs w:val="20"/>
                <w:color w:val="auto"/>
              </w:rPr>
            </w:pPr>
            <w:r>
              <w:rPr>
                <w:rFonts w:ascii="Arial" w:cs="Arial" w:eastAsia="Arial" w:hAnsi="Arial"/>
                <w:sz w:val="22"/>
                <w:szCs w:val="22"/>
                <w:color w:val="auto"/>
                <w:w w:val="99"/>
              </w:rPr>
              <w:t>Operating income (loss) before depreciation and</w:t>
            </w:r>
          </w:p>
        </w:tc>
        <w:tc>
          <w:tcPr>
            <w:tcW w:w="16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80" w:type="dxa"/>
            <w:vAlign w:val="bottom"/>
            <w:gridSpan w:val="6"/>
          </w:tcPr>
          <w:p>
            <w:pPr>
              <w:ind w:left="540"/>
              <w:spacing w:after="0" w:line="243" w:lineRule="exact"/>
              <w:rPr>
                <w:sz w:val="20"/>
                <w:szCs w:val="20"/>
                <w:color w:val="auto"/>
              </w:rPr>
            </w:pPr>
            <w:r>
              <w:rPr>
                <w:rFonts w:ascii="Arial" w:cs="Arial" w:eastAsia="Arial" w:hAnsi="Arial"/>
                <w:sz w:val="22"/>
                <w:szCs w:val="22"/>
                <w:color w:val="auto"/>
              </w:rPr>
              <w:t>amortization (4)</w:t>
            </w:r>
          </w:p>
        </w:tc>
        <w:tc>
          <w:tcPr>
            <w:tcW w:w="1640" w:type="dxa"/>
            <w:vAlign w:val="bottom"/>
          </w:tcPr>
          <w:p>
            <w:pPr>
              <w:jc w:val="right"/>
              <w:ind w:right="212"/>
              <w:spacing w:after="0" w:line="243" w:lineRule="exact"/>
              <w:rPr>
                <w:sz w:val="20"/>
                <w:szCs w:val="20"/>
                <w:color w:val="auto"/>
              </w:rPr>
            </w:pPr>
            <w:r>
              <w:rPr>
                <w:rFonts w:ascii="Arial" w:cs="Arial" w:eastAsia="Arial" w:hAnsi="Arial"/>
                <w:sz w:val="22"/>
                <w:szCs w:val="22"/>
                <w:color w:val="auto"/>
              </w:rPr>
              <w:t>1,597</w:t>
            </w:r>
          </w:p>
        </w:tc>
        <w:tc>
          <w:tcPr>
            <w:tcW w:w="1220" w:type="dxa"/>
            <w:vAlign w:val="bottom"/>
          </w:tcPr>
          <w:p>
            <w:pPr>
              <w:jc w:val="right"/>
              <w:ind w:right="192"/>
              <w:spacing w:after="0" w:line="243" w:lineRule="exact"/>
              <w:rPr>
                <w:sz w:val="20"/>
                <w:szCs w:val="20"/>
                <w:color w:val="auto"/>
              </w:rPr>
            </w:pPr>
            <w:r>
              <w:rPr>
                <w:rFonts w:ascii="Arial" w:cs="Arial" w:eastAsia="Arial" w:hAnsi="Arial"/>
                <w:sz w:val="22"/>
                <w:szCs w:val="22"/>
                <w:color w:val="auto"/>
              </w:rPr>
              <w:t>56</w:t>
            </w:r>
          </w:p>
        </w:tc>
        <w:tc>
          <w:tcPr>
            <w:tcW w:w="1200" w:type="dxa"/>
            <w:vAlign w:val="bottom"/>
          </w:tcPr>
          <w:p>
            <w:pPr>
              <w:jc w:val="right"/>
              <w:ind w:right="112"/>
              <w:spacing w:after="0" w:line="243" w:lineRule="exact"/>
              <w:rPr>
                <w:sz w:val="20"/>
                <w:szCs w:val="20"/>
                <w:color w:val="auto"/>
              </w:rPr>
            </w:pPr>
            <w:r>
              <w:rPr>
                <w:rFonts w:ascii="Arial" w:cs="Arial" w:eastAsia="Arial" w:hAnsi="Arial"/>
                <w:sz w:val="22"/>
                <w:szCs w:val="22"/>
                <w:color w:val="auto"/>
              </w:rPr>
              <w:t>(41)</w:t>
            </w:r>
          </w:p>
        </w:tc>
        <w:tc>
          <w:tcPr>
            <w:tcW w:w="1020" w:type="dxa"/>
            <w:vAlign w:val="bottom"/>
          </w:tcPr>
          <w:p>
            <w:pPr>
              <w:jc w:val="right"/>
              <w:spacing w:after="0" w:line="243" w:lineRule="exact"/>
              <w:rPr>
                <w:sz w:val="20"/>
                <w:szCs w:val="20"/>
                <w:color w:val="auto"/>
              </w:rPr>
            </w:pPr>
            <w:r>
              <w:rPr>
                <w:rFonts w:ascii="Arial" w:cs="Arial" w:eastAsia="Arial" w:hAnsi="Arial"/>
                <w:sz w:val="22"/>
                <w:szCs w:val="22"/>
                <w:color w:val="auto"/>
              </w:rPr>
              <w:t>1,612</w:t>
            </w:r>
          </w:p>
        </w:tc>
        <w:tc>
          <w:tcPr>
            <w:tcW w:w="0" w:type="dxa"/>
            <w:vAlign w:val="bottom"/>
          </w:tcPr>
          <w:p>
            <w:pPr>
              <w:spacing w:after="0"/>
              <w:rPr>
                <w:sz w:val="1"/>
                <w:szCs w:val="1"/>
                <w:color w:val="auto"/>
              </w:rPr>
            </w:pPr>
          </w:p>
        </w:tc>
      </w:tr>
      <w:tr>
        <w:trPr>
          <w:trHeight w:val="243"/>
        </w:trPr>
        <w:tc>
          <w:tcPr>
            <w:tcW w:w="4980" w:type="dxa"/>
            <w:vAlign w:val="bottom"/>
            <w:gridSpan w:val="6"/>
          </w:tcPr>
          <w:p>
            <w:pPr>
              <w:ind w:left="280"/>
              <w:spacing w:after="0" w:line="243" w:lineRule="exact"/>
              <w:rPr>
                <w:sz w:val="20"/>
                <w:szCs w:val="20"/>
                <w:color w:val="auto"/>
              </w:rPr>
            </w:pPr>
            <w:r>
              <w:rPr>
                <w:rFonts w:ascii="Arial" w:cs="Arial" w:eastAsia="Arial" w:hAnsi="Arial"/>
                <w:sz w:val="22"/>
                <w:szCs w:val="22"/>
                <w:color w:val="auto"/>
              </w:rPr>
              <w:t>Depreciation and amortization</w:t>
            </w:r>
          </w:p>
        </w:tc>
        <w:tc>
          <w:tcPr>
            <w:tcW w:w="1640" w:type="dxa"/>
            <w:vAlign w:val="bottom"/>
          </w:tcPr>
          <w:p>
            <w:pPr>
              <w:jc w:val="right"/>
              <w:ind w:right="212"/>
              <w:spacing w:after="0" w:line="243" w:lineRule="exact"/>
              <w:rPr>
                <w:sz w:val="20"/>
                <w:szCs w:val="20"/>
                <w:color w:val="auto"/>
              </w:rPr>
            </w:pPr>
            <w:r>
              <w:rPr>
                <w:rFonts w:ascii="Arial" w:cs="Arial" w:eastAsia="Arial" w:hAnsi="Arial"/>
                <w:sz w:val="22"/>
                <w:szCs w:val="22"/>
                <w:color w:val="auto"/>
              </w:rPr>
              <w:t>1,133</w:t>
            </w:r>
          </w:p>
        </w:tc>
        <w:tc>
          <w:tcPr>
            <w:tcW w:w="1220" w:type="dxa"/>
            <w:vAlign w:val="bottom"/>
          </w:tcPr>
          <w:p>
            <w:pPr>
              <w:jc w:val="right"/>
              <w:ind w:right="192"/>
              <w:spacing w:after="0" w:line="243" w:lineRule="exact"/>
              <w:rPr>
                <w:sz w:val="20"/>
                <w:szCs w:val="20"/>
                <w:color w:val="auto"/>
              </w:rPr>
            </w:pPr>
            <w:r>
              <w:rPr>
                <w:rFonts w:ascii="Arial" w:cs="Arial" w:eastAsia="Arial" w:hAnsi="Arial"/>
                <w:sz w:val="22"/>
                <w:szCs w:val="22"/>
                <w:color w:val="auto"/>
              </w:rPr>
              <w:t>32</w:t>
            </w:r>
          </w:p>
        </w:tc>
        <w:tc>
          <w:tcPr>
            <w:tcW w:w="1200" w:type="dxa"/>
            <w:vAlign w:val="bottom"/>
          </w:tcPr>
          <w:p>
            <w:pPr>
              <w:jc w:val="right"/>
              <w:ind w:right="192"/>
              <w:spacing w:after="0" w:line="243" w:lineRule="exact"/>
              <w:rPr>
                <w:sz w:val="20"/>
                <w:szCs w:val="20"/>
                <w:color w:val="auto"/>
              </w:rPr>
            </w:pPr>
            <w:r>
              <w:rPr>
                <w:rFonts w:ascii="Arial" w:cs="Arial" w:eastAsia="Arial" w:hAnsi="Arial"/>
                <w:sz w:val="22"/>
                <w:szCs w:val="22"/>
                <w:color w:val="auto"/>
              </w:rPr>
              <w:t>22</w:t>
            </w:r>
          </w:p>
        </w:tc>
        <w:tc>
          <w:tcPr>
            <w:tcW w:w="1020" w:type="dxa"/>
            <w:vAlign w:val="bottom"/>
          </w:tcPr>
          <w:p>
            <w:pPr>
              <w:jc w:val="right"/>
              <w:spacing w:after="0" w:line="243" w:lineRule="exact"/>
              <w:rPr>
                <w:sz w:val="20"/>
                <w:szCs w:val="20"/>
                <w:color w:val="auto"/>
              </w:rPr>
            </w:pPr>
            <w:r>
              <w:rPr>
                <w:rFonts w:ascii="Arial" w:cs="Arial" w:eastAsia="Arial" w:hAnsi="Arial"/>
                <w:sz w:val="22"/>
                <w:szCs w:val="22"/>
                <w:color w:val="auto"/>
              </w:rPr>
              <w:t>1,187</w:t>
            </w:r>
          </w:p>
        </w:tc>
        <w:tc>
          <w:tcPr>
            <w:tcW w:w="0" w:type="dxa"/>
            <w:vAlign w:val="bottom"/>
          </w:tcPr>
          <w:p>
            <w:pPr>
              <w:spacing w:after="0"/>
              <w:rPr>
                <w:sz w:val="1"/>
                <w:szCs w:val="1"/>
                <w:color w:val="auto"/>
              </w:rPr>
            </w:pPr>
          </w:p>
        </w:tc>
      </w:tr>
      <w:tr>
        <w:trPr>
          <w:trHeight w:val="243"/>
        </w:trPr>
        <w:tc>
          <w:tcPr>
            <w:tcW w:w="4980" w:type="dxa"/>
            <w:vAlign w:val="bottom"/>
            <w:gridSpan w:val="6"/>
          </w:tcPr>
          <w:p>
            <w:pPr>
              <w:ind w:left="280"/>
              <w:spacing w:after="0" w:line="243" w:lineRule="exact"/>
              <w:rPr>
                <w:sz w:val="20"/>
                <w:szCs w:val="20"/>
                <w:color w:val="auto"/>
              </w:rPr>
            </w:pPr>
            <w:r>
              <w:rPr>
                <w:rFonts w:ascii="Arial" w:cs="Arial" w:eastAsia="Arial" w:hAnsi="Arial"/>
                <w:sz w:val="22"/>
                <w:szCs w:val="22"/>
                <w:color w:val="auto"/>
              </w:rPr>
              <w:t>Operating income (loss)</w:t>
            </w:r>
          </w:p>
        </w:tc>
        <w:tc>
          <w:tcPr>
            <w:tcW w:w="1640" w:type="dxa"/>
            <w:vAlign w:val="bottom"/>
          </w:tcPr>
          <w:p>
            <w:pPr>
              <w:jc w:val="right"/>
              <w:ind w:right="212"/>
              <w:spacing w:after="0" w:line="243" w:lineRule="exact"/>
              <w:rPr>
                <w:sz w:val="20"/>
                <w:szCs w:val="20"/>
                <w:color w:val="auto"/>
              </w:rPr>
            </w:pPr>
            <w:r>
              <w:rPr>
                <w:rFonts w:ascii="Arial" w:cs="Arial" w:eastAsia="Arial" w:hAnsi="Arial"/>
                <w:sz w:val="22"/>
                <w:szCs w:val="22"/>
                <w:color w:val="auto"/>
              </w:rPr>
              <w:t>464</w:t>
            </w:r>
          </w:p>
        </w:tc>
        <w:tc>
          <w:tcPr>
            <w:tcW w:w="1220" w:type="dxa"/>
            <w:vAlign w:val="bottom"/>
          </w:tcPr>
          <w:p>
            <w:pPr>
              <w:jc w:val="right"/>
              <w:ind w:right="192"/>
              <w:spacing w:after="0" w:line="243" w:lineRule="exact"/>
              <w:rPr>
                <w:sz w:val="20"/>
                <w:szCs w:val="20"/>
                <w:color w:val="auto"/>
              </w:rPr>
            </w:pPr>
            <w:r>
              <w:rPr>
                <w:rFonts w:ascii="Arial" w:cs="Arial" w:eastAsia="Arial" w:hAnsi="Arial"/>
                <w:sz w:val="22"/>
                <w:szCs w:val="22"/>
                <w:color w:val="auto"/>
              </w:rPr>
              <w:t>24</w:t>
            </w:r>
          </w:p>
        </w:tc>
        <w:tc>
          <w:tcPr>
            <w:tcW w:w="1200" w:type="dxa"/>
            <w:vAlign w:val="bottom"/>
          </w:tcPr>
          <w:p>
            <w:pPr>
              <w:jc w:val="right"/>
              <w:ind w:right="112"/>
              <w:spacing w:after="0" w:line="243" w:lineRule="exact"/>
              <w:rPr>
                <w:sz w:val="20"/>
                <w:szCs w:val="20"/>
                <w:color w:val="auto"/>
              </w:rPr>
            </w:pPr>
            <w:r>
              <w:rPr>
                <w:rFonts w:ascii="Arial" w:cs="Arial" w:eastAsia="Arial" w:hAnsi="Arial"/>
                <w:sz w:val="22"/>
                <w:szCs w:val="22"/>
                <w:color w:val="auto"/>
              </w:rPr>
              <w:t>(63)</w:t>
            </w:r>
          </w:p>
        </w:tc>
        <w:tc>
          <w:tcPr>
            <w:tcW w:w="1020" w:type="dxa"/>
            <w:vAlign w:val="bottom"/>
          </w:tcPr>
          <w:p>
            <w:pPr>
              <w:jc w:val="right"/>
              <w:spacing w:after="0" w:line="243" w:lineRule="exact"/>
              <w:rPr>
                <w:sz w:val="20"/>
                <w:szCs w:val="20"/>
                <w:color w:val="auto"/>
              </w:rPr>
            </w:pPr>
            <w:r>
              <w:rPr>
                <w:rFonts w:ascii="Arial" w:cs="Arial" w:eastAsia="Arial" w:hAnsi="Arial"/>
                <w:sz w:val="22"/>
                <w:szCs w:val="22"/>
                <w:color w:val="auto"/>
              </w:rPr>
              <w:t>425</w:t>
            </w:r>
          </w:p>
        </w:tc>
        <w:tc>
          <w:tcPr>
            <w:tcW w:w="0" w:type="dxa"/>
            <w:vAlign w:val="bottom"/>
          </w:tcPr>
          <w:p>
            <w:pPr>
              <w:spacing w:after="0"/>
              <w:rPr>
                <w:sz w:val="1"/>
                <w:szCs w:val="1"/>
                <w:color w:val="auto"/>
              </w:rPr>
            </w:pPr>
          </w:p>
        </w:tc>
      </w:tr>
      <w:tr>
        <w:trPr>
          <w:trHeight w:val="275"/>
        </w:trPr>
        <w:tc>
          <w:tcPr>
            <w:tcW w:w="4980" w:type="dxa"/>
            <w:vAlign w:val="bottom"/>
            <w:gridSpan w:val="6"/>
          </w:tcPr>
          <w:p>
            <w:pPr>
              <w:ind w:left="280"/>
              <w:spacing w:after="0"/>
              <w:rPr>
                <w:sz w:val="20"/>
                <w:szCs w:val="20"/>
                <w:color w:val="auto"/>
              </w:rPr>
            </w:pPr>
            <w:r>
              <w:rPr>
                <w:rFonts w:ascii="Arial" w:cs="Arial" w:eastAsia="Arial" w:hAnsi="Arial"/>
                <w:sz w:val="22"/>
                <w:szCs w:val="22"/>
                <w:color w:val="auto"/>
              </w:rPr>
              <w:t>Capital expenditures</w:t>
            </w:r>
          </w:p>
        </w:tc>
        <w:tc>
          <w:tcPr>
            <w:tcW w:w="1640" w:type="dxa"/>
            <w:vAlign w:val="bottom"/>
          </w:tcPr>
          <w:p>
            <w:pPr>
              <w:jc w:val="right"/>
              <w:ind w:right="212"/>
              <w:spacing w:after="0"/>
              <w:rPr>
                <w:sz w:val="20"/>
                <w:szCs w:val="20"/>
                <w:color w:val="auto"/>
              </w:rPr>
            </w:pPr>
            <w:r>
              <w:rPr>
                <w:rFonts w:ascii="Arial" w:cs="Arial" w:eastAsia="Arial" w:hAnsi="Arial"/>
                <w:sz w:val="22"/>
                <w:szCs w:val="22"/>
                <w:color w:val="auto"/>
              </w:rPr>
              <w:t>1,047</w:t>
            </w:r>
          </w:p>
        </w:tc>
        <w:tc>
          <w:tcPr>
            <w:tcW w:w="1220" w:type="dxa"/>
            <w:vAlign w:val="bottom"/>
          </w:tcPr>
          <w:p>
            <w:pPr>
              <w:jc w:val="right"/>
              <w:ind w:right="192"/>
              <w:spacing w:after="0"/>
              <w:rPr>
                <w:sz w:val="20"/>
                <w:szCs w:val="20"/>
                <w:color w:val="auto"/>
              </w:rPr>
            </w:pPr>
            <w:r>
              <w:rPr>
                <w:rFonts w:ascii="Arial" w:cs="Arial" w:eastAsia="Arial" w:hAnsi="Arial"/>
                <w:sz w:val="22"/>
                <w:szCs w:val="22"/>
                <w:color w:val="auto"/>
              </w:rPr>
              <w:t>4</w:t>
            </w:r>
          </w:p>
        </w:tc>
        <w:tc>
          <w:tcPr>
            <w:tcW w:w="1200" w:type="dxa"/>
            <w:vAlign w:val="bottom"/>
          </w:tcPr>
          <w:p>
            <w:pPr>
              <w:jc w:val="right"/>
              <w:ind w:right="192"/>
              <w:spacing w:after="0"/>
              <w:rPr>
                <w:sz w:val="20"/>
                <w:szCs w:val="20"/>
                <w:color w:val="auto"/>
              </w:rPr>
            </w:pPr>
            <w:r>
              <w:rPr>
                <w:rFonts w:ascii="Arial" w:cs="Arial" w:eastAsia="Arial" w:hAnsi="Arial"/>
                <w:sz w:val="22"/>
                <w:szCs w:val="22"/>
                <w:color w:val="auto"/>
              </w:rPr>
              <w:t>3</w:t>
            </w:r>
          </w:p>
        </w:tc>
        <w:tc>
          <w:tcPr>
            <w:tcW w:w="1020" w:type="dxa"/>
            <w:vAlign w:val="bottom"/>
          </w:tcPr>
          <w:p>
            <w:pPr>
              <w:jc w:val="right"/>
              <w:spacing w:after="0"/>
              <w:rPr>
                <w:sz w:val="20"/>
                <w:szCs w:val="20"/>
                <w:color w:val="auto"/>
              </w:rPr>
            </w:pPr>
            <w:r>
              <w:rPr>
                <w:rFonts w:ascii="Arial" w:cs="Arial" w:eastAsia="Arial" w:hAnsi="Arial"/>
                <w:sz w:val="22"/>
                <w:szCs w:val="22"/>
                <w:color w:val="auto"/>
              </w:rPr>
              <w:t>1,054</w:t>
            </w:r>
          </w:p>
        </w:tc>
        <w:tc>
          <w:tcPr>
            <w:tcW w:w="0" w:type="dxa"/>
            <w:vAlign w:val="bottom"/>
          </w:tcPr>
          <w:p>
            <w:pPr>
              <w:spacing w:after="0"/>
              <w:rPr>
                <w:sz w:val="1"/>
                <w:szCs w:val="1"/>
                <w:color w:val="auto"/>
              </w:rPr>
            </w:pPr>
          </w:p>
        </w:tc>
      </w:tr>
      <w:tr>
        <w:trPr>
          <w:trHeight w:val="436"/>
        </w:trPr>
        <w:tc>
          <w:tcPr>
            <w:tcW w:w="2880" w:type="dxa"/>
            <w:vAlign w:val="bottom"/>
            <w:tcBorders>
              <w:bottom w:val="single" w:sz="8" w:color="auto"/>
            </w:tcBorders>
            <w:gridSpan w:val="3"/>
          </w:tcPr>
          <w:p>
            <w:pPr>
              <w:spacing w:after="0"/>
              <w:rPr>
                <w:sz w:val="20"/>
                <w:szCs w:val="20"/>
                <w:color w:val="auto"/>
              </w:rPr>
            </w:pPr>
            <w:r>
              <w:rPr>
                <w:rFonts w:ascii="Arial" w:cs="Arial" w:eastAsia="Arial" w:hAnsi="Arial"/>
                <w:sz w:val="22"/>
                <w:szCs w:val="22"/>
                <w:color w:val="auto"/>
                <w:w w:val="88"/>
              </w:rPr>
              <w:t>Six Months Ended June 30, 2004</w:t>
            </w:r>
          </w:p>
        </w:tc>
        <w:tc>
          <w:tcPr>
            <w:tcW w:w="2100" w:type="dxa"/>
            <w:vAlign w:val="bottom"/>
            <w:gridSpan w:val="3"/>
          </w:tcPr>
          <w:p>
            <w:pPr>
              <w:spacing w:after="0"/>
              <w:rPr>
                <w:sz w:val="24"/>
                <w:szCs w:val="24"/>
                <w:color w:val="auto"/>
              </w:rPr>
            </w:pPr>
          </w:p>
        </w:tc>
        <w:tc>
          <w:tcPr>
            <w:tcW w:w="1640" w:type="dxa"/>
            <w:vAlign w:val="bottom"/>
            <w:vMerge w:val="restart"/>
          </w:tcPr>
          <w:p>
            <w:pPr>
              <w:jc w:val="right"/>
              <w:ind w:right="212"/>
              <w:spacing w:after="0"/>
              <w:rPr>
                <w:sz w:val="20"/>
                <w:szCs w:val="20"/>
                <w:color w:val="auto"/>
              </w:rPr>
            </w:pPr>
            <w:r>
              <w:rPr>
                <w:rFonts w:ascii="Arial" w:cs="Arial" w:eastAsia="Arial" w:hAnsi="Arial"/>
                <w:sz w:val="22"/>
                <w:szCs w:val="22"/>
                <w:color w:val="auto"/>
              </w:rPr>
              <w:t>$9,485</w:t>
            </w:r>
          </w:p>
        </w:tc>
        <w:tc>
          <w:tcPr>
            <w:tcW w:w="1220" w:type="dxa"/>
            <w:vAlign w:val="bottom"/>
            <w:vMerge w:val="restart"/>
          </w:tcPr>
          <w:p>
            <w:pPr>
              <w:jc w:val="right"/>
              <w:ind w:right="192"/>
              <w:spacing w:after="0"/>
              <w:rPr>
                <w:sz w:val="20"/>
                <w:szCs w:val="20"/>
                <w:color w:val="auto"/>
              </w:rPr>
            </w:pPr>
            <w:r>
              <w:rPr>
                <w:rFonts w:ascii="Arial" w:cs="Arial" w:eastAsia="Arial" w:hAnsi="Arial"/>
                <w:sz w:val="22"/>
                <w:szCs w:val="22"/>
                <w:color w:val="auto"/>
              </w:rPr>
              <w:t>$375</w:t>
            </w:r>
          </w:p>
        </w:tc>
        <w:tc>
          <w:tcPr>
            <w:tcW w:w="1200" w:type="dxa"/>
            <w:vAlign w:val="bottom"/>
            <w:vMerge w:val="restart"/>
          </w:tcPr>
          <w:p>
            <w:pPr>
              <w:jc w:val="right"/>
              <w:ind w:right="192"/>
              <w:spacing w:after="0"/>
              <w:rPr>
                <w:sz w:val="20"/>
                <w:szCs w:val="20"/>
                <w:color w:val="auto"/>
              </w:rPr>
            </w:pPr>
            <w:r>
              <w:rPr>
                <w:rFonts w:ascii="Arial" w:cs="Arial" w:eastAsia="Arial" w:hAnsi="Arial"/>
                <w:sz w:val="22"/>
                <w:szCs w:val="22"/>
                <w:color w:val="auto"/>
              </w:rPr>
              <w:t>$114</w:t>
            </w:r>
          </w:p>
        </w:tc>
        <w:tc>
          <w:tcPr>
            <w:tcW w:w="1020" w:type="dxa"/>
            <w:vAlign w:val="bottom"/>
            <w:vMerge w:val="restart"/>
          </w:tcPr>
          <w:p>
            <w:pPr>
              <w:jc w:val="right"/>
              <w:spacing w:after="0"/>
              <w:rPr>
                <w:sz w:val="20"/>
                <w:szCs w:val="20"/>
                <w:color w:val="auto"/>
              </w:rPr>
            </w:pPr>
            <w:r>
              <w:rPr>
                <w:rFonts w:ascii="Arial" w:cs="Arial" w:eastAsia="Arial" w:hAnsi="Arial"/>
                <w:sz w:val="22"/>
                <w:szCs w:val="22"/>
                <w:color w:val="auto"/>
              </w:rPr>
              <w:t>$9,974</w:t>
            </w:r>
          </w:p>
        </w:tc>
        <w:tc>
          <w:tcPr>
            <w:tcW w:w="0" w:type="dxa"/>
            <w:vAlign w:val="bottom"/>
          </w:tcPr>
          <w:p>
            <w:pPr>
              <w:spacing w:after="0"/>
              <w:rPr>
                <w:sz w:val="1"/>
                <w:szCs w:val="1"/>
                <w:color w:val="auto"/>
              </w:rPr>
            </w:pPr>
          </w:p>
        </w:tc>
      </w:tr>
      <w:tr>
        <w:trPr>
          <w:trHeight w:val="242"/>
        </w:trPr>
        <w:tc>
          <w:tcPr>
            <w:tcW w:w="4980" w:type="dxa"/>
            <w:vAlign w:val="bottom"/>
            <w:gridSpan w:val="6"/>
          </w:tcPr>
          <w:p>
            <w:pPr>
              <w:ind w:left="280"/>
              <w:spacing w:after="0" w:line="242" w:lineRule="exact"/>
              <w:rPr>
                <w:sz w:val="20"/>
                <w:szCs w:val="20"/>
                <w:color w:val="auto"/>
              </w:rPr>
            </w:pPr>
            <w:r>
              <w:rPr>
                <w:rFonts w:ascii="Arial" w:cs="Arial" w:eastAsia="Arial" w:hAnsi="Arial"/>
                <w:sz w:val="22"/>
                <w:szCs w:val="22"/>
                <w:color w:val="auto"/>
              </w:rPr>
              <w:t>Revenues (3)</w:t>
            </w:r>
          </w:p>
        </w:tc>
        <w:tc>
          <w:tcPr>
            <w:tcW w:w="1640" w:type="dxa"/>
            <w:vAlign w:val="bottom"/>
            <w:vMerge w:val="continue"/>
          </w:tcPr>
          <w:p>
            <w:pPr>
              <w:spacing w:after="0"/>
              <w:rPr>
                <w:sz w:val="21"/>
                <w:szCs w:val="21"/>
                <w:color w:val="auto"/>
              </w:rPr>
            </w:pPr>
          </w:p>
        </w:tc>
        <w:tc>
          <w:tcPr>
            <w:tcW w:w="1220" w:type="dxa"/>
            <w:vAlign w:val="bottom"/>
            <w:vMerge w:val="continue"/>
          </w:tcPr>
          <w:p>
            <w:pPr>
              <w:spacing w:after="0"/>
              <w:rPr>
                <w:sz w:val="21"/>
                <w:szCs w:val="21"/>
                <w:color w:val="auto"/>
              </w:rPr>
            </w:pPr>
          </w:p>
        </w:tc>
        <w:tc>
          <w:tcPr>
            <w:tcW w:w="1200" w:type="dxa"/>
            <w:vAlign w:val="bottom"/>
            <w:vMerge w:val="continue"/>
          </w:tcPr>
          <w:p>
            <w:pPr>
              <w:spacing w:after="0"/>
              <w:rPr>
                <w:sz w:val="21"/>
                <w:szCs w:val="21"/>
                <w:color w:val="auto"/>
              </w:rPr>
            </w:pPr>
          </w:p>
        </w:tc>
        <w:tc>
          <w:tcPr>
            <w:tcW w:w="10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80" w:type="dxa"/>
            <w:vAlign w:val="bottom"/>
            <w:gridSpan w:val="6"/>
          </w:tcPr>
          <w:p>
            <w:pPr>
              <w:ind w:left="280"/>
              <w:spacing w:after="0" w:line="243" w:lineRule="exact"/>
              <w:rPr>
                <w:sz w:val="20"/>
                <w:szCs w:val="20"/>
                <w:color w:val="auto"/>
              </w:rPr>
            </w:pPr>
            <w:r>
              <w:rPr>
                <w:rFonts w:ascii="Arial" w:cs="Arial" w:eastAsia="Arial" w:hAnsi="Arial"/>
                <w:sz w:val="22"/>
                <w:szCs w:val="22"/>
                <w:color w:val="auto"/>
                <w:w w:val="99"/>
              </w:rPr>
              <w:t>Operating income (loss) before depreciation and</w:t>
            </w:r>
          </w:p>
        </w:tc>
        <w:tc>
          <w:tcPr>
            <w:tcW w:w="16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80" w:type="dxa"/>
            <w:vAlign w:val="bottom"/>
            <w:gridSpan w:val="6"/>
          </w:tcPr>
          <w:p>
            <w:pPr>
              <w:ind w:left="540"/>
              <w:spacing w:after="0" w:line="243" w:lineRule="exact"/>
              <w:rPr>
                <w:sz w:val="20"/>
                <w:szCs w:val="20"/>
                <w:color w:val="auto"/>
              </w:rPr>
            </w:pPr>
            <w:r>
              <w:rPr>
                <w:rFonts w:ascii="Arial" w:cs="Arial" w:eastAsia="Arial" w:hAnsi="Arial"/>
                <w:sz w:val="22"/>
                <w:szCs w:val="22"/>
                <w:color w:val="auto"/>
              </w:rPr>
              <w:t>amortization (4)</w:t>
            </w:r>
          </w:p>
        </w:tc>
        <w:tc>
          <w:tcPr>
            <w:tcW w:w="1640" w:type="dxa"/>
            <w:vAlign w:val="bottom"/>
          </w:tcPr>
          <w:p>
            <w:pPr>
              <w:jc w:val="right"/>
              <w:ind w:right="212"/>
              <w:spacing w:after="0" w:line="243" w:lineRule="exact"/>
              <w:rPr>
                <w:sz w:val="20"/>
                <w:szCs w:val="20"/>
                <w:color w:val="auto"/>
              </w:rPr>
            </w:pPr>
            <w:r>
              <w:rPr>
                <w:rFonts w:ascii="Arial" w:cs="Arial" w:eastAsia="Arial" w:hAnsi="Arial"/>
                <w:sz w:val="22"/>
                <w:szCs w:val="22"/>
                <w:color w:val="auto"/>
              </w:rPr>
              <w:t>3,639</w:t>
            </w:r>
          </w:p>
        </w:tc>
        <w:tc>
          <w:tcPr>
            <w:tcW w:w="1220" w:type="dxa"/>
            <w:vAlign w:val="bottom"/>
          </w:tcPr>
          <w:p>
            <w:pPr>
              <w:jc w:val="right"/>
              <w:ind w:right="192"/>
              <w:spacing w:after="0" w:line="243" w:lineRule="exact"/>
              <w:rPr>
                <w:sz w:val="20"/>
                <w:szCs w:val="20"/>
                <w:color w:val="auto"/>
              </w:rPr>
            </w:pPr>
            <w:r>
              <w:rPr>
                <w:rFonts w:ascii="Arial" w:cs="Arial" w:eastAsia="Arial" w:hAnsi="Arial"/>
                <w:sz w:val="22"/>
                <w:szCs w:val="22"/>
                <w:color w:val="auto"/>
              </w:rPr>
              <w:t>146</w:t>
            </w:r>
          </w:p>
        </w:tc>
        <w:tc>
          <w:tcPr>
            <w:tcW w:w="1200" w:type="dxa"/>
            <w:vAlign w:val="bottom"/>
          </w:tcPr>
          <w:p>
            <w:pPr>
              <w:jc w:val="right"/>
              <w:ind w:right="112"/>
              <w:spacing w:after="0" w:line="243" w:lineRule="exact"/>
              <w:rPr>
                <w:sz w:val="20"/>
                <w:szCs w:val="20"/>
                <w:color w:val="auto"/>
              </w:rPr>
            </w:pPr>
            <w:r>
              <w:rPr>
                <w:rFonts w:ascii="Arial" w:cs="Arial" w:eastAsia="Arial" w:hAnsi="Arial"/>
                <w:sz w:val="22"/>
                <w:szCs w:val="22"/>
                <w:color w:val="auto"/>
              </w:rPr>
              <w:t>(100)</w:t>
            </w:r>
          </w:p>
        </w:tc>
        <w:tc>
          <w:tcPr>
            <w:tcW w:w="1020" w:type="dxa"/>
            <w:vAlign w:val="bottom"/>
          </w:tcPr>
          <w:p>
            <w:pPr>
              <w:jc w:val="right"/>
              <w:spacing w:after="0" w:line="243" w:lineRule="exact"/>
              <w:rPr>
                <w:sz w:val="20"/>
                <w:szCs w:val="20"/>
                <w:color w:val="auto"/>
              </w:rPr>
            </w:pPr>
            <w:r>
              <w:rPr>
                <w:rFonts w:ascii="Arial" w:cs="Arial" w:eastAsia="Arial" w:hAnsi="Arial"/>
                <w:sz w:val="22"/>
                <w:szCs w:val="22"/>
                <w:color w:val="auto"/>
              </w:rPr>
              <w:t>3,685</w:t>
            </w:r>
          </w:p>
        </w:tc>
        <w:tc>
          <w:tcPr>
            <w:tcW w:w="0" w:type="dxa"/>
            <w:vAlign w:val="bottom"/>
          </w:tcPr>
          <w:p>
            <w:pPr>
              <w:spacing w:after="0"/>
              <w:rPr>
                <w:sz w:val="1"/>
                <w:szCs w:val="1"/>
                <w:color w:val="auto"/>
              </w:rPr>
            </w:pPr>
          </w:p>
        </w:tc>
      </w:tr>
      <w:tr>
        <w:trPr>
          <w:trHeight w:val="243"/>
        </w:trPr>
        <w:tc>
          <w:tcPr>
            <w:tcW w:w="4980" w:type="dxa"/>
            <w:vAlign w:val="bottom"/>
            <w:gridSpan w:val="6"/>
          </w:tcPr>
          <w:p>
            <w:pPr>
              <w:ind w:left="280"/>
              <w:spacing w:after="0" w:line="243" w:lineRule="exact"/>
              <w:rPr>
                <w:sz w:val="20"/>
                <w:szCs w:val="20"/>
                <w:color w:val="auto"/>
              </w:rPr>
            </w:pPr>
            <w:r>
              <w:rPr>
                <w:rFonts w:ascii="Arial" w:cs="Arial" w:eastAsia="Arial" w:hAnsi="Arial"/>
                <w:sz w:val="22"/>
                <w:szCs w:val="22"/>
                <w:color w:val="auto"/>
              </w:rPr>
              <w:t>Depreciation and amortization</w:t>
            </w:r>
          </w:p>
        </w:tc>
        <w:tc>
          <w:tcPr>
            <w:tcW w:w="1640" w:type="dxa"/>
            <w:vAlign w:val="bottom"/>
          </w:tcPr>
          <w:p>
            <w:pPr>
              <w:jc w:val="right"/>
              <w:ind w:right="212"/>
              <w:spacing w:after="0" w:line="243" w:lineRule="exact"/>
              <w:rPr>
                <w:sz w:val="20"/>
                <w:szCs w:val="20"/>
                <w:color w:val="auto"/>
              </w:rPr>
            </w:pPr>
            <w:r>
              <w:rPr>
                <w:rFonts w:ascii="Arial" w:cs="Arial" w:eastAsia="Arial" w:hAnsi="Arial"/>
                <w:sz w:val="22"/>
                <w:szCs w:val="22"/>
                <w:color w:val="auto"/>
              </w:rPr>
              <w:t>2,060</w:t>
            </w:r>
          </w:p>
        </w:tc>
        <w:tc>
          <w:tcPr>
            <w:tcW w:w="1220" w:type="dxa"/>
            <w:vAlign w:val="bottom"/>
          </w:tcPr>
          <w:p>
            <w:pPr>
              <w:jc w:val="right"/>
              <w:ind w:right="192"/>
              <w:spacing w:after="0" w:line="243" w:lineRule="exact"/>
              <w:rPr>
                <w:sz w:val="20"/>
                <w:szCs w:val="20"/>
                <w:color w:val="auto"/>
              </w:rPr>
            </w:pPr>
            <w:r>
              <w:rPr>
                <w:rFonts w:ascii="Arial" w:cs="Arial" w:eastAsia="Arial" w:hAnsi="Arial"/>
                <w:sz w:val="22"/>
                <w:szCs w:val="22"/>
                <w:color w:val="auto"/>
              </w:rPr>
              <w:t>74</w:t>
            </w:r>
          </w:p>
        </w:tc>
        <w:tc>
          <w:tcPr>
            <w:tcW w:w="1200" w:type="dxa"/>
            <w:vAlign w:val="bottom"/>
          </w:tcPr>
          <w:p>
            <w:pPr>
              <w:jc w:val="right"/>
              <w:ind w:right="192"/>
              <w:spacing w:after="0" w:line="243" w:lineRule="exact"/>
              <w:rPr>
                <w:sz w:val="20"/>
                <w:szCs w:val="20"/>
                <w:color w:val="auto"/>
              </w:rPr>
            </w:pPr>
            <w:r>
              <w:rPr>
                <w:rFonts w:ascii="Arial" w:cs="Arial" w:eastAsia="Arial" w:hAnsi="Arial"/>
                <w:sz w:val="22"/>
                <w:szCs w:val="22"/>
                <w:color w:val="auto"/>
              </w:rPr>
              <w:t>40</w:t>
            </w:r>
          </w:p>
        </w:tc>
        <w:tc>
          <w:tcPr>
            <w:tcW w:w="1020" w:type="dxa"/>
            <w:vAlign w:val="bottom"/>
          </w:tcPr>
          <w:p>
            <w:pPr>
              <w:jc w:val="right"/>
              <w:spacing w:after="0" w:line="243" w:lineRule="exact"/>
              <w:rPr>
                <w:sz w:val="20"/>
                <w:szCs w:val="20"/>
                <w:color w:val="auto"/>
              </w:rPr>
            </w:pPr>
            <w:r>
              <w:rPr>
                <w:rFonts w:ascii="Arial" w:cs="Arial" w:eastAsia="Arial" w:hAnsi="Arial"/>
                <w:sz w:val="22"/>
                <w:szCs w:val="22"/>
                <w:color w:val="auto"/>
              </w:rPr>
              <w:t>2,174</w:t>
            </w:r>
          </w:p>
        </w:tc>
        <w:tc>
          <w:tcPr>
            <w:tcW w:w="0" w:type="dxa"/>
            <w:vAlign w:val="bottom"/>
          </w:tcPr>
          <w:p>
            <w:pPr>
              <w:spacing w:after="0"/>
              <w:rPr>
                <w:sz w:val="1"/>
                <w:szCs w:val="1"/>
                <w:color w:val="auto"/>
              </w:rPr>
            </w:pPr>
          </w:p>
        </w:tc>
      </w:tr>
      <w:tr>
        <w:trPr>
          <w:trHeight w:val="243"/>
        </w:trPr>
        <w:tc>
          <w:tcPr>
            <w:tcW w:w="4980" w:type="dxa"/>
            <w:vAlign w:val="bottom"/>
            <w:gridSpan w:val="6"/>
          </w:tcPr>
          <w:p>
            <w:pPr>
              <w:ind w:left="280"/>
              <w:spacing w:after="0" w:line="243" w:lineRule="exact"/>
              <w:rPr>
                <w:sz w:val="20"/>
                <w:szCs w:val="20"/>
                <w:color w:val="auto"/>
              </w:rPr>
            </w:pPr>
            <w:r>
              <w:rPr>
                <w:rFonts w:ascii="Arial" w:cs="Arial" w:eastAsia="Arial" w:hAnsi="Arial"/>
                <w:sz w:val="22"/>
                <w:szCs w:val="22"/>
                <w:color w:val="auto"/>
              </w:rPr>
              <w:t>Operating income (loss)</w:t>
            </w:r>
          </w:p>
        </w:tc>
        <w:tc>
          <w:tcPr>
            <w:tcW w:w="1640" w:type="dxa"/>
            <w:vAlign w:val="bottom"/>
          </w:tcPr>
          <w:p>
            <w:pPr>
              <w:jc w:val="right"/>
              <w:ind w:right="212"/>
              <w:spacing w:after="0" w:line="243" w:lineRule="exact"/>
              <w:rPr>
                <w:sz w:val="20"/>
                <w:szCs w:val="20"/>
                <w:color w:val="auto"/>
              </w:rPr>
            </w:pPr>
            <w:r>
              <w:rPr>
                <w:rFonts w:ascii="Arial" w:cs="Arial" w:eastAsia="Arial" w:hAnsi="Arial"/>
                <w:sz w:val="22"/>
                <w:szCs w:val="22"/>
                <w:color w:val="auto"/>
              </w:rPr>
              <w:t>1,579</w:t>
            </w:r>
          </w:p>
        </w:tc>
        <w:tc>
          <w:tcPr>
            <w:tcW w:w="1220" w:type="dxa"/>
            <w:vAlign w:val="bottom"/>
          </w:tcPr>
          <w:p>
            <w:pPr>
              <w:jc w:val="right"/>
              <w:ind w:right="192"/>
              <w:spacing w:after="0" w:line="243" w:lineRule="exact"/>
              <w:rPr>
                <w:sz w:val="20"/>
                <w:szCs w:val="20"/>
                <w:color w:val="auto"/>
              </w:rPr>
            </w:pPr>
            <w:r>
              <w:rPr>
                <w:rFonts w:ascii="Arial" w:cs="Arial" w:eastAsia="Arial" w:hAnsi="Arial"/>
                <w:sz w:val="22"/>
                <w:szCs w:val="22"/>
                <w:color w:val="auto"/>
              </w:rPr>
              <w:t>72</w:t>
            </w:r>
          </w:p>
        </w:tc>
        <w:tc>
          <w:tcPr>
            <w:tcW w:w="1200" w:type="dxa"/>
            <w:vAlign w:val="bottom"/>
          </w:tcPr>
          <w:p>
            <w:pPr>
              <w:jc w:val="right"/>
              <w:ind w:right="112"/>
              <w:spacing w:after="0" w:line="243" w:lineRule="exact"/>
              <w:rPr>
                <w:sz w:val="20"/>
                <w:szCs w:val="20"/>
                <w:color w:val="auto"/>
              </w:rPr>
            </w:pPr>
            <w:r>
              <w:rPr>
                <w:rFonts w:ascii="Arial" w:cs="Arial" w:eastAsia="Arial" w:hAnsi="Arial"/>
                <w:sz w:val="22"/>
                <w:szCs w:val="22"/>
                <w:color w:val="auto"/>
              </w:rPr>
              <w:t>(140)</w:t>
            </w:r>
          </w:p>
        </w:tc>
        <w:tc>
          <w:tcPr>
            <w:tcW w:w="1020" w:type="dxa"/>
            <w:vAlign w:val="bottom"/>
          </w:tcPr>
          <w:p>
            <w:pPr>
              <w:jc w:val="right"/>
              <w:spacing w:after="0" w:line="243" w:lineRule="exact"/>
              <w:rPr>
                <w:sz w:val="20"/>
                <w:szCs w:val="20"/>
                <w:color w:val="auto"/>
              </w:rPr>
            </w:pPr>
            <w:r>
              <w:rPr>
                <w:rFonts w:ascii="Arial" w:cs="Arial" w:eastAsia="Arial" w:hAnsi="Arial"/>
                <w:sz w:val="22"/>
                <w:szCs w:val="22"/>
                <w:color w:val="auto"/>
              </w:rPr>
              <w:t>1,511</w:t>
            </w:r>
          </w:p>
        </w:tc>
        <w:tc>
          <w:tcPr>
            <w:tcW w:w="0" w:type="dxa"/>
            <w:vAlign w:val="bottom"/>
          </w:tcPr>
          <w:p>
            <w:pPr>
              <w:spacing w:after="0"/>
              <w:rPr>
                <w:sz w:val="1"/>
                <w:szCs w:val="1"/>
                <w:color w:val="auto"/>
              </w:rPr>
            </w:pPr>
          </w:p>
        </w:tc>
      </w:tr>
      <w:tr>
        <w:trPr>
          <w:trHeight w:val="275"/>
        </w:trPr>
        <w:tc>
          <w:tcPr>
            <w:tcW w:w="4980" w:type="dxa"/>
            <w:vAlign w:val="bottom"/>
            <w:gridSpan w:val="6"/>
          </w:tcPr>
          <w:p>
            <w:pPr>
              <w:ind w:left="280"/>
              <w:spacing w:after="0"/>
              <w:rPr>
                <w:sz w:val="20"/>
                <w:szCs w:val="20"/>
                <w:color w:val="auto"/>
              </w:rPr>
            </w:pPr>
            <w:r>
              <w:rPr>
                <w:rFonts w:ascii="Arial" w:cs="Arial" w:eastAsia="Arial" w:hAnsi="Arial"/>
                <w:sz w:val="22"/>
                <w:szCs w:val="22"/>
                <w:color w:val="auto"/>
              </w:rPr>
              <w:t>Capital expenditures</w:t>
            </w:r>
          </w:p>
        </w:tc>
        <w:tc>
          <w:tcPr>
            <w:tcW w:w="1640" w:type="dxa"/>
            <w:vAlign w:val="bottom"/>
          </w:tcPr>
          <w:p>
            <w:pPr>
              <w:jc w:val="right"/>
              <w:ind w:right="212"/>
              <w:spacing w:after="0"/>
              <w:rPr>
                <w:sz w:val="20"/>
                <w:szCs w:val="20"/>
                <w:color w:val="auto"/>
              </w:rPr>
            </w:pPr>
            <w:r>
              <w:rPr>
                <w:rFonts w:ascii="Arial" w:cs="Arial" w:eastAsia="Arial" w:hAnsi="Arial"/>
                <w:sz w:val="22"/>
                <w:szCs w:val="22"/>
                <w:color w:val="auto"/>
              </w:rPr>
              <w:t>1,707</w:t>
            </w:r>
          </w:p>
        </w:tc>
        <w:tc>
          <w:tcPr>
            <w:tcW w:w="1220" w:type="dxa"/>
            <w:vAlign w:val="bottom"/>
          </w:tcPr>
          <w:p>
            <w:pPr>
              <w:jc w:val="right"/>
              <w:ind w:right="192"/>
              <w:spacing w:after="0"/>
              <w:rPr>
                <w:sz w:val="20"/>
                <w:szCs w:val="20"/>
                <w:color w:val="auto"/>
              </w:rPr>
            </w:pPr>
            <w:r>
              <w:rPr>
                <w:rFonts w:ascii="Arial" w:cs="Arial" w:eastAsia="Arial" w:hAnsi="Arial"/>
                <w:sz w:val="22"/>
                <w:szCs w:val="22"/>
                <w:color w:val="auto"/>
              </w:rPr>
              <w:t>10</w:t>
            </w:r>
          </w:p>
        </w:tc>
        <w:tc>
          <w:tcPr>
            <w:tcW w:w="1200" w:type="dxa"/>
            <w:vAlign w:val="bottom"/>
          </w:tcPr>
          <w:p>
            <w:pPr>
              <w:jc w:val="right"/>
              <w:ind w:right="192"/>
              <w:spacing w:after="0"/>
              <w:rPr>
                <w:sz w:val="20"/>
                <w:szCs w:val="20"/>
                <w:color w:val="auto"/>
              </w:rPr>
            </w:pPr>
            <w:r>
              <w:rPr>
                <w:rFonts w:ascii="Arial" w:cs="Arial" w:eastAsia="Arial" w:hAnsi="Arial"/>
                <w:sz w:val="22"/>
                <w:szCs w:val="22"/>
                <w:color w:val="auto"/>
              </w:rPr>
              <w:t>15</w:t>
            </w:r>
          </w:p>
        </w:tc>
        <w:tc>
          <w:tcPr>
            <w:tcW w:w="1020" w:type="dxa"/>
            <w:vAlign w:val="bottom"/>
          </w:tcPr>
          <w:p>
            <w:pPr>
              <w:jc w:val="right"/>
              <w:spacing w:after="0"/>
              <w:rPr>
                <w:sz w:val="20"/>
                <w:szCs w:val="20"/>
                <w:color w:val="auto"/>
              </w:rPr>
            </w:pPr>
            <w:r>
              <w:rPr>
                <w:rFonts w:ascii="Arial" w:cs="Arial" w:eastAsia="Arial" w:hAnsi="Arial"/>
                <w:sz w:val="22"/>
                <w:szCs w:val="22"/>
                <w:color w:val="auto"/>
              </w:rPr>
              <w:t>1,732</w:t>
            </w:r>
          </w:p>
        </w:tc>
        <w:tc>
          <w:tcPr>
            <w:tcW w:w="0" w:type="dxa"/>
            <w:vAlign w:val="bottom"/>
          </w:tcPr>
          <w:p>
            <w:pPr>
              <w:spacing w:after="0"/>
              <w:rPr>
                <w:sz w:val="1"/>
                <w:szCs w:val="1"/>
                <w:color w:val="auto"/>
              </w:rPr>
            </w:pPr>
          </w:p>
        </w:tc>
      </w:tr>
      <w:tr>
        <w:trPr>
          <w:trHeight w:val="436"/>
        </w:trPr>
        <w:tc>
          <w:tcPr>
            <w:tcW w:w="2880" w:type="dxa"/>
            <w:vAlign w:val="bottom"/>
            <w:tcBorders>
              <w:bottom w:val="single" w:sz="8" w:color="auto"/>
            </w:tcBorders>
            <w:gridSpan w:val="3"/>
          </w:tcPr>
          <w:p>
            <w:pPr>
              <w:spacing w:after="0"/>
              <w:rPr>
                <w:sz w:val="20"/>
                <w:szCs w:val="20"/>
                <w:color w:val="auto"/>
              </w:rPr>
            </w:pPr>
            <w:r>
              <w:rPr>
                <w:rFonts w:ascii="Arial" w:cs="Arial" w:eastAsia="Arial" w:hAnsi="Arial"/>
                <w:sz w:val="22"/>
                <w:szCs w:val="22"/>
                <w:color w:val="auto"/>
                <w:w w:val="88"/>
              </w:rPr>
              <w:t>Six Months Ended June 30, 2003</w:t>
            </w:r>
          </w:p>
        </w:tc>
        <w:tc>
          <w:tcPr>
            <w:tcW w:w="2100" w:type="dxa"/>
            <w:vAlign w:val="bottom"/>
            <w:gridSpan w:val="3"/>
          </w:tcPr>
          <w:p>
            <w:pPr>
              <w:spacing w:after="0"/>
              <w:rPr>
                <w:sz w:val="24"/>
                <w:szCs w:val="24"/>
                <w:color w:val="auto"/>
              </w:rPr>
            </w:pPr>
          </w:p>
        </w:tc>
        <w:tc>
          <w:tcPr>
            <w:tcW w:w="1640" w:type="dxa"/>
            <w:vAlign w:val="bottom"/>
            <w:vMerge w:val="restart"/>
          </w:tcPr>
          <w:p>
            <w:pPr>
              <w:jc w:val="right"/>
              <w:ind w:right="212"/>
              <w:spacing w:after="0"/>
              <w:rPr>
                <w:sz w:val="20"/>
                <w:szCs w:val="20"/>
                <w:color w:val="auto"/>
              </w:rPr>
            </w:pPr>
            <w:r>
              <w:rPr>
                <w:rFonts w:ascii="Arial" w:cs="Arial" w:eastAsia="Arial" w:hAnsi="Arial"/>
                <w:sz w:val="22"/>
                <w:szCs w:val="22"/>
                <w:color w:val="auto"/>
              </w:rPr>
              <w:t>$8,611</w:t>
            </w:r>
          </w:p>
        </w:tc>
        <w:tc>
          <w:tcPr>
            <w:tcW w:w="1220" w:type="dxa"/>
            <w:vAlign w:val="bottom"/>
            <w:vMerge w:val="restart"/>
          </w:tcPr>
          <w:p>
            <w:pPr>
              <w:jc w:val="right"/>
              <w:ind w:right="192"/>
              <w:spacing w:after="0"/>
              <w:rPr>
                <w:sz w:val="20"/>
                <w:szCs w:val="20"/>
                <w:color w:val="auto"/>
              </w:rPr>
            </w:pPr>
            <w:r>
              <w:rPr>
                <w:rFonts w:ascii="Arial" w:cs="Arial" w:eastAsia="Arial" w:hAnsi="Arial"/>
                <w:sz w:val="22"/>
                <w:szCs w:val="22"/>
                <w:color w:val="auto"/>
              </w:rPr>
              <w:t>$304</w:t>
            </w:r>
          </w:p>
        </w:tc>
        <w:tc>
          <w:tcPr>
            <w:tcW w:w="1200" w:type="dxa"/>
            <w:vAlign w:val="bottom"/>
            <w:vMerge w:val="restart"/>
          </w:tcPr>
          <w:p>
            <w:pPr>
              <w:jc w:val="right"/>
              <w:ind w:right="192"/>
              <w:spacing w:after="0"/>
              <w:rPr>
                <w:sz w:val="20"/>
                <w:szCs w:val="20"/>
                <w:color w:val="auto"/>
              </w:rPr>
            </w:pPr>
            <w:r>
              <w:rPr>
                <w:rFonts w:ascii="Arial" w:cs="Arial" w:eastAsia="Arial" w:hAnsi="Arial"/>
                <w:sz w:val="22"/>
                <w:szCs w:val="22"/>
                <w:color w:val="auto"/>
              </w:rPr>
              <w:t>$145</w:t>
            </w:r>
          </w:p>
        </w:tc>
        <w:tc>
          <w:tcPr>
            <w:tcW w:w="1020" w:type="dxa"/>
            <w:vAlign w:val="bottom"/>
            <w:vMerge w:val="restart"/>
          </w:tcPr>
          <w:p>
            <w:pPr>
              <w:jc w:val="right"/>
              <w:spacing w:after="0"/>
              <w:rPr>
                <w:sz w:val="20"/>
                <w:szCs w:val="20"/>
                <w:color w:val="auto"/>
              </w:rPr>
            </w:pPr>
            <w:r>
              <w:rPr>
                <w:rFonts w:ascii="Arial" w:cs="Arial" w:eastAsia="Arial" w:hAnsi="Arial"/>
                <w:sz w:val="22"/>
                <w:szCs w:val="22"/>
                <w:color w:val="auto"/>
              </w:rPr>
              <w:t>$9,060</w:t>
            </w:r>
          </w:p>
        </w:tc>
        <w:tc>
          <w:tcPr>
            <w:tcW w:w="0" w:type="dxa"/>
            <w:vAlign w:val="bottom"/>
          </w:tcPr>
          <w:p>
            <w:pPr>
              <w:spacing w:after="0"/>
              <w:rPr>
                <w:sz w:val="1"/>
                <w:szCs w:val="1"/>
                <w:color w:val="auto"/>
              </w:rPr>
            </w:pPr>
          </w:p>
        </w:tc>
      </w:tr>
      <w:tr>
        <w:trPr>
          <w:trHeight w:val="242"/>
        </w:trPr>
        <w:tc>
          <w:tcPr>
            <w:tcW w:w="4980" w:type="dxa"/>
            <w:vAlign w:val="bottom"/>
            <w:gridSpan w:val="6"/>
          </w:tcPr>
          <w:p>
            <w:pPr>
              <w:ind w:left="280"/>
              <w:spacing w:after="0" w:line="242" w:lineRule="exact"/>
              <w:rPr>
                <w:sz w:val="20"/>
                <w:szCs w:val="20"/>
                <w:color w:val="auto"/>
              </w:rPr>
            </w:pPr>
            <w:r>
              <w:rPr>
                <w:rFonts w:ascii="Arial" w:cs="Arial" w:eastAsia="Arial" w:hAnsi="Arial"/>
                <w:sz w:val="22"/>
                <w:szCs w:val="22"/>
                <w:color w:val="auto"/>
              </w:rPr>
              <w:t>Revenues (3)</w:t>
            </w:r>
          </w:p>
        </w:tc>
        <w:tc>
          <w:tcPr>
            <w:tcW w:w="1640" w:type="dxa"/>
            <w:vAlign w:val="bottom"/>
            <w:vMerge w:val="continue"/>
          </w:tcPr>
          <w:p>
            <w:pPr>
              <w:spacing w:after="0"/>
              <w:rPr>
                <w:sz w:val="21"/>
                <w:szCs w:val="21"/>
                <w:color w:val="auto"/>
              </w:rPr>
            </w:pPr>
          </w:p>
        </w:tc>
        <w:tc>
          <w:tcPr>
            <w:tcW w:w="1220" w:type="dxa"/>
            <w:vAlign w:val="bottom"/>
            <w:vMerge w:val="continue"/>
          </w:tcPr>
          <w:p>
            <w:pPr>
              <w:spacing w:after="0"/>
              <w:rPr>
                <w:sz w:val="21"/>
                <w:szCs w:val="21"/>
                <w:color w:val="auto"/>
              </w:rPr>
            </w:pPr>
          </w:p>
        </w:tc>
        <w:tc>
          <w:tcPr>
            <w:tcW w:w="1200" w:type="dxa"/>
            <w:vAlign w:val="bottom"/>
            <w:vMerge w:val="continue"/>
          </w:tcPr>
          <w:p>
            <w:pPr>
              <w:spacing w:after="0"/>
              <w:rPr>
                <w:sz w:val="21"/>
                <w:szCs w:val="21"/>
                <w:color w:val="auto"/>
              </w:rPr>
            </w:pPr>
          </w:p>
        </w:tc>
        <w:tc>
          <w:tcPr>
            <w:tcW w:w="10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80" w:type="dxa"/>
            <w:vAlign w:val="bottom"/>
            <w:gridSpan w:val="6"/>
          </w:tcPr>
          <w:p>
            <w:pPr>
              <w:ind w:left="280"/>
              <w:spacing w:after="0" w:line="243" w:lineRule="exact"/>
              <w:rPr>
                <w:sz w:val="20"/>
                <w:szCs w:val="20"/>
                <w:color w:val="auto"/>
              </w:rPr>
            </w:pPr>
            <w:r>
              <w:rPr>
                <w:rFonts w:ascii="Arial" w:cs="Arial" w:eastAsia="Arial" w:hAnsi="Arial"/>
                <w:sz w:val="22"/>
                <w:szCs w:val="22"/>
                <w:color w:val="auto"/>
                <w:w w:val="99"/>
              </w:rPr>
              <w:t>Operating income (loss) before depreciation and</w:t>
            </w:r>
          </w:p>
        </w:tc>
        <w:tc>
          <w:tcPr>
            <w:tcW w:w="16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80" w:type="dxa"/>
            <w:vAlign w:val="bottom"/>
            <w:gridSpan w:val="6"/>
          </w:tcPr>
          <w:p>
            <w:pPr>
              <w:ind w:left="540"/>
              <w:spacing w:after="0" w:line="243" w:lineRule="exact"/>
              <w:rPr>
                <w:sz w:val="20"/>
                <w:szCs w:val="20"/>
                <w:color w:val="auto"/>
              </w:rPr>
            </w:pPr>
            <w:r>
              <w:rPr>
                <w:rFonts w:ascii="Arial" w:cs="Arial" w:eastAsia="Arial" w:hAnsi="Arial"/>
                <w:sz w:val="22"/>
                <w:szCs w:val="22"/>
                <w:color w:val="auto"/>
              </w:rPr>
              <w:t>amortization (4)</w:t>
            </w:r>
          </w:p>
        </w:tc>
        <w:tc>
          <w:tcPr>
            <w:tcW w:w="1640" w:type="dxa"/>
            <w:vAlign w:val="bottom"/>
          </w:tcPr>
          <w:p>
            <w:pPr>
              <w:jc w:val="right"/>
              <w:ind w:right="212"/>
              <w:spacing w:after="0" w:line="243" w:lineRule="exact"/>
              <w:rPr>
                <w:sz w:val="20"/>
                <w:szCs w:val="20"/>
                <w:color w:val="auto"/>
              </w:rPr>
            </w:pPr>
            <w:r>
              <w:rPr>
                <w:rFonts w:ascii="Arial" w:cs="Arial" w:eastAsia="Arial" w:hAnsi="Arial"/>
                <w:sz w:val="22"/>
                <w:szCs w:val="22"/>
                <w:color w:val="auto"/>
              </w:rPr>
              <w:t>3,018</w:t>
            </w:r>
          </w:p>
        </w:tc>
        <w:tc>
          <w:tcPr>
            <w:tcW w:w="1220" w:type="dxa"/>
            <w:vAlign w:val="bottom"/>
          </w:tcPr>
          <w:p>
            <w:pPr>
              <w:jc w:val="right"/>
              <w:ind w:right="192"/>
              <w:spacing w:after="0" w:line="243" w:lineRule="exact"/>
              <w:rPr>
                <w:sz w:val="20"/>
                <w:szCs w:val="20"/>
                <w:color w:val="auto"/>
              </w:rPr>
            </w:pPr>
            <w:r>
              <w:rPr>
                <w:rFonts w:ascii="Arial" w:cs="Arial" w:eastAsia="Arial" w:hAnsi="Arial"/>
                <w:sz w:val="22"/>
                <w:szCs w:val="22"/>
                <w:color w:val="auto"/>
              </w:rPr>
              <w:t>97</w:t>
            </w:r>
          </w:p>
        </w:tc>
        <w:tc>
          <w:tcPr>
            <w:tcW w:w="1200" w:type="dxa"/>
            <w:vAlign w:val="bottom"/>
          </w:tcPr>
          <w:p>
            <w:pPr>
              <w:jc w:val="right"/>
              <w:ind w:right="112"/>
              <w:spacing w:after="0" w:line="243" w:lineRule="exact"/>
              <w:rPr>
                <w:sz w:val="20"/>
                <w:szCs w:val="20"/>
                <w:color w:val="auto"/>
              </w:rPr>
            </w:pPr>
            <w:r>
              <w:rPr>
                <w:rFonts w:ascii="Arial" w:cs="Arial" w:eastAsia="Arial" w:hAnsi="Arial"/>
                <w:sz w:val="22"/>
                <w:szCs w:val="22"/>
                <w:color w:val="auto"/>
              </w:rPr>
              <w:t>(75)</w:t>
            </w:r>
          </w:p>
        </w:tc>
        <w:tc>
          <w:tcPr>
            <w:tcW w:w="1020" w:type="dxa"/>
            <w:vAlign w:val="bottom"/>
          </w:tcPr>
          <w:p>
            <w:pPr>
              <w:jc w:val="right"/>
              <w:spacing w:after="0" w:line="243" w:lineRule="exact"/>
              <w:rPr>
                <w:sz w:val="20"/>
                <w:szCs w:val="20"/>
                <w:color w:val="auto"/>
              </w:rPr>
            </w:pPr>
            <w:r>
              <w:rPr>
                <w:rFonts w:ascii="Arial" w:cs="Arial" w:eastAsia="Arial" w:hAnsi="Arial"/>
                <w:sz w:val="22"/>
                <w:szCs w:val="22"/>
                <w:color w:val="auto"/>
              </w:rPr>
              <w:t>3,040</w:t>
            </w:r>
          </w:p>
        </w:tc>
        <w:tc>
          <w:tcPr>
            <w:tcW w:w="0" w:type="dxa"/>
            <w:vAlign w:val="bottom"/>
          </w:tcPr>
          <w:p>
            <w:pPr>
              <w:spacing w:after="0"/>
              <w:rPr>
                <w:sz w:val="1"/>
                <w:szCs w:val="1"/>
                <w:color w:val="auto"/>
              </w:rPr>
            </w:pPr>
          </w:p>
        </w:tc>
      </w:tr>
      <w:tr>
        <w:trPr>
          <w:trHeight w:val="243"/>
        </w:trPr>
        <w:tc>
          <w:tcPr>
            <w:tcW w:w="4980" w:type="dxa"/>
            <w:vAlign w:val="bottom"/>
            <w:gridSpan w:val="6"/>
          </w:tcPr>
          <w:p>
            <w:pPr>
              <w:ind w:left="280"/>
              <w:spacing w:after="0" w:line="243" w:lineRule="exact"/>
              <w:rPr>
                <w:sz w:val="20"/>
                <w:szCs w:val="20"/>
                <w:color w:val="auto"/>
              </w:rPr>
            </w:pPr>
            <w:r>
              <w:rPr>
                <w:rFonts w:ascii="Arial" w:cs="Arial" w:eastAsia="Arial" w:hAnsi="Arial"/>
                <w:sz w:val="22"/>
                <w:szCs w:val="22"/>
                <w:color w:val="auto"/>
              </w:rPr>
              <w:t>Depreciation and amortization</w:t>
            </w:r>
          </w:p>
        </w:tc>
        <w:tc>
          <w:tcPr>
            <w:tcW w:w="1640" w:type="dxa"/>
            <w:vAlign w:val="bottom"/>
          </w:tcPr>
          <w:p>
            <w:pPr>
              <w:jc w:val="right"/>
              <w:ind w:right="212"/>
              <w:spacing w:after="0" w:line="243" w:lineRule="exact"/>
              <w:rPr>
                <w:sz w:val="20"/>
                <w:szCs w:val="20"/>
                <w:color w:val="auto"/>
              </w:rPr>
            </w:pPr>
            <w:r>
              <w:rPr>
                <w:rFonts w:ascii="Arial" w:cs="Arial" w:eastAsia="Arial" w:hAnsi="Arial"/>
                <w:sz w:val="22"/>
                <w:szCs w:val="22"/>
                <w:color w:val="auto"/>
              </w:rPr>
              <w:t>2,213</w:t>
            </w:r>
          </w:p>
        </w:tc>
        <w:tc>
          <w:tcPr>
            <w:tcW w:w="1220" w:type="dxa"/>
            <w:vAlign w:val="bottom"/>
          </w:tcPr>
          <w:p>
            <w:pPr>
              <w:jc w:val="right"/>
              <w:ind w:right="192"/>
              <w:spacing w:after="0" w:line="243" w:lineRule="exact"/>
              <w:rPr>
                <w:sz w:val="20"/>
                <w:szCs w:val="20"/>
                <w:color w:val="auto"/>
              </w:rPr>
            </w:pPr>
            <w:r>
              <w:rPr>
                <w:rFonts w:ascii="Arial" w:cs="Arial" w:eastAsia="Arial" w:hAnsi="Arial"/>
                <w:sz w:val="22"/>
                <w:szCs w:val="22"/>
                <w:color w:val="auto"/>
              </w:rPr>
              <w:t>64</w:t>
            </w:r>
          </w:p>
        </w:tc>
        <w:tc>
          <w:tcPr>
            <w:tcW w:w="1200" w:type="dxa"/>
            <w:vAlign w:val="bottom"/>
          </w:tcPr>
          <w:p>
            <w:pPr>
              <w:jc w:val="right"/>
              <w:ind w:right="192"/>
              <w:spacing w:after="0" w:line="243" w:lineRule="exact"/>
              <w:rPr>
                <w:sz w:val="20"/>
                <w:szCs w:val="20"/>
                <w:color w:val="auto"/>
              </w:rPr>
            </w:pPr>
            <w:r>
              <w:rPr>
                <w:rFonts w:ascii="Arial" w:cs="Arial" w:eastAsia="Arial" w:hAnsi="Arial"/>
                <w:sz w:val="22"/>
                <w:szCs w:val="22"/>
                <w:color w:val="auto"/>
              </w:rPr>
              <w:t>44</w:t>
            </w:r>
          </w:p>
        </w:tc>
        <w:tc>
          <w:tcPr>
            <w:tcW w:w="1020" w:type="dxa"/>
            <w:vAlign w:val="bottom"/>
          </w:tcPr>
          <w:p>
            <w:pPr>
              <w:jc w:val="right"/>
              <w:spacing w:after="0" w:line="243" w:lineRule="exact"/>
              <w:rPr>
                <w:sz w:val="20"/>
                <w:szCs w:val="20"/>
                <w:color w:val="auto"/>
              </w:rPr>
            </w:pPr>
            <w:r>
              <w:rPr>
                <w:rFonts w:ascii="Arial" w:cs="Arial" w:eastAsia="Arial" w:hAnsi="Arial"/>
                <w:sz w:val="22"/>
                <w:szCs w:val="22"/>
                <w:color w:val="auto"/>
              </w:rPr>
              <w:t>2,321</w:t>
            </w:r>
          </w:p>
        </w:tc>
        <w:tc>
          <w:tcPr>
            <w:tcW w:w="0" w:type="dxa"/>
            <w:vAlign w:val="bottom"/>
          </w:tcPr>
          <w:p>
            <w:pPr>
              <w:spacing w:after="0"/>
              <w:rPr>
                <w:sz w:val="1"/>
                <w:szCs w:val="1"/>
                <w:color w:val="auto"/>
              </w:rPr>
            </w:pPr>
          </w:p>
        </w:tc>
      </w:tr>
      <w:tr>
        <w:trPr>
          <w:trHeight w:val="243"/>
        </w:trPr>
        <w:tc>
          <w:tcPr>
            <w:tcW w:w="4980" w:type="dxa"/>
            <w:vAlign w:val="bottom"/>
            <w:gridSpan w:val="6"/>
          </w:tcPr>
          <w:p>
            <w:pPr>
              <w:ind w:left="280"/>
              <w:spacing w:after="0" w:line="243" w:lineRule="exact"/>
              <w:rPr>
                <w:sz w:val="20"/>
                <w:szCs w:val="20"/>
                <w:color w:val="auto"/>
              </w:rPr>
            </w:pPr>
            <w:r>
              <w:rPr>
                <w:rFonts w:ascii="Arial" w:cs="Arial" w:eastAsia="Arial" w:hAnsi="Arial"/>
                <w:sz w:val="22"/>
                <w:szCs w:val="22"/>
                <w:color w:val="auto"/>
              </w:rPr>
              <w:t>Operating income (loss)</w:t>
            </w:r>
          </w:p>
        </w:tc>
        <w:tc>
          <w:tcPr>
            <w:tcW w:w="1640" w:type="dxa"/>
            <w:vAlign w:val="bottom"/>
          </w:tcPr>
          <w:p>
            <w:pPr>
              <w:jc w:val="right"/>
              <w:ind w:right="212"/>
              <w:spacing w:after="0" w:line="243" w:lineRule="exact"/>
              <w:rPr>
                <w:sz w:val="20"/>
                <w:szCs w:val="20"/>
                <w:color w:val="auto"/>
              </w:rPr>
            </w:pPr>
            <w:r>
              <w:rPr>
                <w:rFonts w:ascii="Arial" w:cs="Arial" w:eastAsia="Arial" w:hAnsi="Arial"/>
                <w:sz w:val="22"/>
                <w:szCs w:val="22"/>
                <w:color w:val="auto"/>
              </w:rPr>
              <w:t>805</w:t>
            </w:r>
          </w:p>
        </w:tc>
        <w:tc>
          <w:tcPr>
            <w:tcW w:w="1220" w:type="dxa"/>
            <w:vAlign w:val="bottom"/>
          </w:tcPr>
          <w:p>
            <w:pPr>
              <w:jc w:val="right"/>
              <w:ind w:right="192"/>
              <w:spacing w:after="0" w:line="243" w:lineRule="exact"/>
              <w:rPr>
                <w:sz w:val="20"/>
                <w:szCs w:val="20"/>
                <w:color w:val="auto"/>
              </w:rPr>
            </w:pPr>
            <w:r>
              <w:rPr>
                <w:rFonts w:ascii="Arial" w:cs="Arial" w:eastAsia="Arial" w:hAnsi="Arial"/>
                <w:sz w:val="22"/>
                <w:szCs w:val="22"/>
                <w:color w:val="auto"/>
              </w:rPr>
              <w:t>33</w:t>
            </w:r>
          </w:p>
        </w:tc>
        <w:tc>
          <w:tcPr>
            <w:tcW w:w="1200" w:type="dxa"/>
            <w:vAlign w:val="bottom"/>
          </w:tcPr>
          <w:p>
            <w:pPr>
              <w:jc w:val="right"/>
              <w:ind w:right="112"/>
              <w:spacing w:after="0" w:line="243" w:lineRule="exact"/>
              <w:rPr>
                <w:sz w:val="20"/>
                <w:szCs w:val="20"/>
                <w:color w:val="auto"/>
              </w:rPr>
            </w:pPr>
            <w:r>
              <w:rPr>
                <w:rFonts w:ascii="Arial" w:cs="Arial" w:eastAsia="Arial" w:hAnsi="Arial"/>
                <w:sz w:val="22"/>
                <w:szCs w:val="22"/>
                <w:color w:val="auto"/>
              </w:rPr>
              <w:t>(119)</w:t>
            </w:r>
          </w:p>
        </w:tc>
        <w:tc>
          <w:tcPr>
            <w:tcW w:w="1020" w:type="dxa"/>
            <w:vAlign w:val="bottom"/>
          </w:tcPr>
          <w:p>
            <w:pPr>
              <w:jc w:val="right"/>
              <w:spacing w:after="0" w:line="243" w:lineRule="exact"/>
              <w:rPr>
                <w:sz w:val="20"/>
                <w:szCs w:val="20"/>
                <w:color w:val="auto"/>
              </w:rPr>
            </w:pPr>
            <w:r>
              <w:rPr>
                <w:rFonts w:ascii="Arial" w:cs="Arial" w:eastAsia="Arial" w:hAnsi="Arial"/>
                <w:sz w:val="22"/>
                <w:szCs w:val="22"/>
                <w:color w:val="auto"/>
              </w:rPr>
              <w:t>719</w:t>
            </w:r>
          </w:p>
        </w:tc>
        <w:tc>
          <w:tcPr>
            <w:tcW w:w="0" w:type="dxa"/>
            <w:vAlign w:val="bottom"/>
          </w:tcPr>
          <w:p>
            <w:pPr>
              <w:spacing w:after="0"/>
              <w:rPr>
                <w:sz w:val="1"/>
                <w:szCs w:val="1"/>
                <w:color w:val="auto"/>
              </w:rPr>
            </w:pPr>
          </w:p>
        </w:tc>
      </w:tr>
      <w:tr>
        <w:trPr>
          <w:trHeight w:val="275"/>
        </w:trPr>
        <w:tc>
          <w:tcPr>
            <w:tcW w:w="4980" w:type="dxa"/>
            <w:vAlign w:val="bottom"/>
            <w:gridSpan w:val="6"/>
          </w:tcPr>
          <w:p>
            <w:pPr>
              <w:ind w:left="280"/>
              <w:spacing w:after="0"/>
              <w:rPr>
                <w:sz w:val="20"/>
                <w:szCs w:val="20"/>
                <w:color w:val="auto"/>
              </w:rPr>
            </w:pPr>
            <w:r>
              <w:rPr>
                <w:rFonts w:ascii="Arial" w:cs="Arial" w:eastAsia="Arial" w:hAnsi="Arial"/>
                <w:sz w:val="22"/>
                <w:szCs w:val="22"/>
                <w:color w:val="auto"/>
              </w:rPr>
              <w:t>Capital expenditures</w:t>
            </w:r>
          </w:p>
        </w:tc>
        <w:tc>
          <w:tcPr>
            <w:tcW w:w="1640" w:type="dxa"/>
            <w:vAlign w:val="bottom"/>
          </w:tcPr>
          <w:p>
            <w:pPr>
              <w:jc w:val="right"/>
              <w:ind w:right="212"/>
              <w:spacing w:after="0"/>
              <w:rPr>
                <w:sz w:val="20"/>
                <w:szCs w:val="20"/>
                <w:color w:val="auto"/>
              </w:rPr>
            </w:pPr>
            <w:r>
              <w:rPr>
                <w:rFonts w:ascii="Arial" w:cs="Arial" w:eastAsia="Arial" w:hAnsi="Arial"/>
                <w:sz w:val="22"/>
                <w:szCs w:val="22"/>
                <w:color w:val="auto"/>
              </w:rPr>
              <w:t>2,000</w:t>
            </w:r>
          </w:p>
        </w:tc>
        <w:tc>
          <w:tcPr>
            <w:tcW w:w="1220" w:type="dxa"/>
            <w:vAlign w:val="bottom"/>
          </w:tcPr>
          <w:p>
            <w:pPr>
              <w:jc w:val="right"/>
              <w:ind w:right="192"/>
              <w:spacing w:after="0"/>
              <w:rPr>
                <w:sz w:val="20"/>
                <w:szCs w:val="20"/>
                <w:color w:val="auto"/>
              </w:rPr>
            </w:pPr>
            <w:r>
              <w:rPr>
                <w:rFonts w:ascii="Arial" w:cs="Arial" w:eastAsia="Arial" w:hAnsi="Arial"/>
                <w:sz w:val="22"/>
                <w:szCs w:val="22"/>
                <w:color w:val="auto"/>
              </w:rPr>
              <w:t>7</w:t>
            </w:r>
          </w:p>
        </w:tc>
        <w:tc>
          <w:tcPr>
            <w:tcW w:w="1200" w:type="dxa"/>
            <w:vAlign w:val="bottom"/>
          </w:tcPr>
          <w:p>
            <w:pPr>
              <w:jc w:val="right"/>
              <w:ind w:right="192"/>
              <w:spacing w:after="0"/>
              <w:rPr>
                <w:sz w:val="20"/>
                <w:szCs w:val="20"/>
                <w:color w:val="auto"/>
              </w:rPr>
            </w:pPr>
            <w:r>
              <w:rPr>
                <w:rFonts w:ascii="Arial" w:cs="Arial" w:eastAsia="Arial" w:hAnsi="Arial"/>
                <w:sz w:val="22"/>
                <w:szCs w:val="22"/>
                <w:color w:val="auto"/>
              </w:rPr>
              <w:t>5</w:t>
            </w:r>
          </w:p>
        </w:tc>
        <w:tc>
          <w:tcPr>
            <w:tcW w:w="1020" w:type="dxa"/>
            <w:vAlign w:val="bottom"/>
          </w:tcPr>
          <w:p>
            <w:pPr>
              <w:jc w:val="right"/>
              <w:spacing w:after="0"/>
              <w:rPr>
                <w:sz w:val="20"/>
                <w:szCs w:val="20"/>
                <w:color w:val="auto"/>
              </w:rPr>
            </w:pPr>
            <w:r>
              <w:rPr>
                <w:rFonts w:ascii="Arial" w:cs="Arial" w:eastAsia="Arial" w:hAnsi="Arial"/>
                <w:sz w:val="22"/>
                <w:szCs w:val="22"/>
                <w:color w:val="auto"/>
              </w:rPr>
              <w:t>2,012</w:t>
            </w:r>
          </w:p>
        </w:tc>
        <w:tc>
          <w:tcPr>
            <w:tcW w:w="0" w:type="dxa"/>
            <w:vAlign w:val="bottom"/>
          </w:tcPr>
          <w:p>
            <w:pPr>
              <w:spacing w:after="0"/>
              <w:rPr>
                <w:sz w:val="1"/>
                <w:szCs w:val="1"/>
                <w:color w:val="auto"/>
              </w:rPr>
            </w:pPr>
          </w:p>
        </w:tc>
      </w:tr>
      <w:tr>
        <w:trPr>
          <w:trHeight w:val="436"/>
        </w:trPr>
        <w:tc>
          <w:tcPr>
            <w:tcW w:w="4980" w:type="dxa"/>
            <w:vAlign w:val="bottom"/>
            <w:gridSpan w:val="6"/>
          </w:tcPr>
          <w:p>
            <w:pPr>
              <w:spacing w:after="0"/>
              <w:rPr>
                <w:sz w:val="20"/>
                <w:szCs w:val="20"/>
                <w:color w:val="auto"/>
              </w:rPr>
            </w:pPr>
            <w:r>
              <w:rPr>
                <w:rFonts w:ascii="Arial" w:cs="Arial" w:eastAsia="Arial" w:hAnsi="Arial"/>
                <w:sz w:val="22"/>
                <w:szCs w:val="22"/>
                <w:color w:val="auto"/>
              </w:rPr>
              <w:t>As of June 30, 2004</w:t>
            </w:r>
          </w:p>
        </w:tc>
        <w:tc>
          <w:tcPr>
            <w:tcW w:w="1640" w:type="dxa"/>
            <w:vAlign w:val="bottom"/>
            <w:vMerge w:val="restart"/>
          </w:tcPr>
          <w:p>
            <w:pPr>
              <w:jc w:val="right"/>
              <w:ind w:right="212"/>
              <w:spacing w:after="0"/>
              <w:rPr>
                <w:sz w:val="20"/>
                <w:szCs w:val="20"/>
                <w:color w:val="auto"/>
              </w:rPr>
            </w:pPr>
            <w:r>
              <w:rPr>
                <w:rFonts w:ascii="Arial" w:cs="Arial" w:eastAsia="Arial" w:hAnsi="Arial"/>
                <w:sz w:val="22"/>
                <w:szCs w:val="22"/>
                <w:color w:val="auto"/>
              </w:rPr>
              <w:t>$105,486</w:t>
            </w:r>
          </w:p>
        </w:tc>
        <w:tc>
          <w:tcPr>
            <w:tcW w:w="1220" w:type="dxa"/>
            <w:vAlign w:val="bottom"/>
            <w:vMerge w:val="restart"/>
          </w:tcPr>
          <w:p>
            <w:pPr>
              <w:jc w:val="right"/>
              <w:ind w:right="192"/>
              <w:spacing w:after="0"/>
              <w:rPr>
                <w:sz w:val="20"/>
                <w:szCs w:val="20"/>
                <w:color w:val="auto"/>
              </w:rPr>
            </w:pPr>
            <w:r>
              <w:rPr>
                <w:rFonts w:ascii="Arial" w:cs="Arial" w:eastAsia="Arial" w:hAnsi="Arial"/>
                <w:sz w:val="22"/>
                <w:szCs w:val="22"/>
                <w:color w:val="auto"/>
              </w:rPr>
              <w:t>$2,460</w:t>
            </w:r>
          </w:p>
        </w:tc>
        <w:tc>
          <w:tcPr>
            <w:tcW w:w="1200" w:type="dxa"/>
            <w:vAlign w:val="bottom"/>
            <w:vMerge w:val="restart"/>
          </w:tcPr>
          <w:p>
            <w:pPr>
              <w:jc w:val="right"/>
              <w:ind w:right="192"/>
              <w:spacing w:after="0"/>
              <w:rPr>
                <w:sz w:val="20"/>
                <w:szCs w:val="20"/>
                <w:color w:val="auto"/>
              </w:rPr>
            </w:pPr>
            <w:r>
              <w:rPr>
                <w:rFonts w:ascii="Arial" w:cs="Arial" w:eastAsia="Arial" w:hAnsi="Arial"/>
                <w:sz w:val="22"/>
                <w:szCs w:val="22"/>
                <w:color w:val="auto"/>
              </w:rPr>
              <w:t>$135</w:t>
            </w:r>
          </w:p>
        </w:tc>
        <w:tc>
          <w:tcPr>
            <w:tcW w:w="1020" w:type="dxa"/>
            <w:vAlign w:val="bottom"/>
            <w:vMerge w:val="restart"/>
          </w:tcPr>
          <w:p>
            <w:pPr>
              <w:jc w:val="right"/>
              <w:spacing w:after="0"/>
              <w:rPr>
                <w:sz w:val="20"/>
                <w:szCs w:val="20"/>
                <w:color w:val="auto"/>
              </w:rPr>
            </w:pPr>
            <w:r>
              <w:rPr>
                <w:rFonts w:ascii="Arial" w:cs="Arial" w:eastAsia="Arial" w:hAnsi="Arial"/>
                <w:sz w:val="22"/>
                <w:szCs w:val="22"/>
                <w:color w:val="auto"/>
              </w:rPr>
              <w:t>$108,081</w:t>
            </w:r>
          </w:p>
        </w:tc>
        <w:tc>
          <w:tcPr>
            <w:tcW w:w="0" w:type="dxa"/>
            <w:vAlign w:val="bottom"/>
          </w:tcPr>
          <w:p>
            <w:pPr>
              <w:spacing w:after="0"/>
              <w:rPr>
                <w:sz w:val="1"/>
                <w:szCs w:val="1"/>
                <w:color w:val="auto"/>
              </w:rPr>
            </w:pPr>
          </w:p>
        </w:tc>
      </w:tr>
      <w:tr>
        <w:trPr>
          <w:trHeight w:val="274"/>
        </w:trPr>
        <w:tc>
          <w:tcPr>
            <w:tcW w:w="1740" w:type="dxa"/>
            <w:vAlign w:val="bottom"/>
            <w:tcBorders>
              <w:top w:val="single" w:sz="8" w:color="auto"/>
            </w:tcBorders>
          </w:tcPr>
          <w:p>
            <w:pPr>
              <w:ind w:left="260"/>
              <w:spacing w:after="0"/>
              <w:rPr>
                <w:sz w:val="20"/>
                <w:szCs w:val="20"/>
                <w:color w:val="auto"/>
              </w:rPr>
            </w:pPr>
            <w:r>
              <w:rPr>
                <w:rFonts w:ascii="Arial" w:cs="Arial" w:eastAsia="Arial" w:hAnsi="Arial"/>
                <w:sz w:val="22"/>
                <w:szCs w:val="22"/>
                <w:color w:val="auto"/>
              </w:rPr>
              <w:t>Assets</w:t>
            </w:r>
          </w:p>
        </w:tc>
        <w:tc>
          <w:tcPr>
            <w:tcW w:w="3240" w:type="dxa"/>
            <w:vAlign w:val="bottom"/>
            <w:gridSpan w:val="5"/>
          </w:tcPr>
          <w:p>
            <w:pPr>
              <w:spacing w:after="0"/>
              <w:rPr>
                <w:sz w:val="23"/>
                <w:szCs w:val="23"/>
                <w:color w:val="auto"/>
              </w:rPr>
            </w:pPr>
          </w:p>
        </w:tc>
        <w:tc>
          <w:tcPr>
            <w:tcW w:w="1640" w:type="dxa"/>
            <w:vAlign w:val="bottom"/>
            <w:vMerge w:val="continue"/>
          </w:tcPr>
          <w:p>
            <w:pPr>
              <w:spacing w:after="0"/>
              <w:rPr>
                <w:sz w:val="23"/>
                <w:szCs w:val="23"/>
                <w:color w:val="auto"/>
              </w:rPr>
            </w:pPr>
          </w:p>
        </w:tc>
        <w:tc>
          <w:tcPr>
            <w:tcW w:w="1220" w:type="dxa"/>
            <w:vAlign w:val="bottom"/>
            <w:vMerge w:val="continue"/>
          </w:tcPr>
          <w:p>
            <w:pPr>
              <w:spacing w:after="0"/>
              <w:rPr>
                <w:sz w:val="23"/>
                <w:szCs w:val="23"/>
                <w:color w:val="auto"/>
              </w:rPr>
            </w:pPr>
          </w:p>
        </w:tc>
        <w:tc>
          <w:tcPr>
            <w:tcW w:w="1200" w:type="dxa"/>
            <w:vAlign w:val="bottom"/>
            <w:vMerge w:val="continue"/>
          </w:tcPr>
          <w:p>
            <w:pPr>
              <w:spacing w:after="0"/>
              <w:rPr>
                <w:sz w:val="23"/>
                <w:szCs w:val="23"/>
                <w:color w:val="auto"/>
              </w:rPr>
            </w:pPr>
          </w:p>
        </w:tc>
        <w:tc>
          <w:tcPr>
            <w:tcW w:w="102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436"/>
        </w:trPr>
        <w:tc>
          <w:tcPr>
            <w:tcW w:w="2240" w:type="dxa"/>
            <w:vAlign w:val="bottom"/>
            <w:tcBorders>
              <w:bottom w:val="single" w:sz="8" w:color="auto"/>
            </w:tcBorders>
            <w:gridSpan w:val="2"/>
          </w:tcPr>
          <w:p>
            <w:pPr>
              <w:spacing w:after="0"/>
              <w:rPr>
                <w:sz w:val="20"/>
                <w:szCs w:val="20"/>
                <w:color w:val="auto"/>
              </w:rPr>
            </w:pPr>
            <w:r>
              <w:rPr>
                <w:rFonts w:ascii="Arial" w:cs="Arial" w:eastAsia="Arial" w:hAnsi="Arial"/>
                <w:sz w:val="22"/>
                <w:szCs w:val="22"/>
                <w:color w:val="auto"/>
                <w:w w:val="88"/>
              </w:rPr>
              <w:t>As of December 31, 2003</w:t>
            </w:r>
          </w:p>
        </w:tc>
        <w:tc>
          <w:tcPr>
            <w:tcW w:w="2740" w:type="dxa"/>
            <w:vAlign w:val="bottom"/>
            <w:gridSpan w:val="4"/>
          </w:tcPr>
          <w:p>
            <w:pPr>
              <w:spacing w:after="0"/>
              <w:rPr>
                <w:sz w:val="24"/>
                <w:szCs w:val="24"/>
                <w:color w:val="auto"/>
              </w:rPr>
            </w:pPr>
          </w:p>
        </w:tc>
        <w:tc>
          <w:tcPr>
            <w:tcW w:w="1640" w:type="dxa"/>
            <w:vAlign w:val="bottom"/>
            <w:vMerge w:val="restart"/>
          </w:tcPr>
          <w:p>
            <w:pPr>
              <w:jc w:val="right"/>
              <w:ind w:right="212"/>
              <w:spacing w:after="0"/>
              <w:rPr>
                <w:sz w:val="20"/>
                <w:szCs w:val="20"/>
                <w:color w:val="auto"/>
              </w:rPr>
            </w:pPr>
            <w:r>
              <w:rPr>
                <w:rFonts w:ascii="Arial" w:cs="Arial" w:eastAsia="Arial" w:hAnsi="Arial"/>
                <w:sz w:val="22"/>
                <w:szCs w:val="22"/>
                <w:color w:val="auto"/>
              </w:rPr>
              <w:t>$105,316</w:t>
            </w:r>
          </w:p>
        </w:tc>
        <w:tc>
          <w:tcPr>
            <w:tcW w:w="1220" w:type="dxa"/>
            <w:vAlign w:val="bottom"/>
            <w:vMerge w:val="restart"/>
          </w:tcPr>
          <w:p>
            <w:pPr>
              <w:jc w:val="right"/>
              <w:ind w:right="192"/>
              <w:spacing w:after="0"/>
              <w:rPr>
                <w:sz w:val="20"/>
                <w:szCs w:val="20"/>
                <w:color w:val="auto"/>
              </w:rPr>
            </w:pPr>
            <w:r>
              <w:rPr>
                <w:rFonts w:ascii="Arial" w:cs="Arial" w:eastAsia="Arial" w:hAnsi="Arial"/>
                <w:sz w:val="22"/>
                <w:szCs w:val="22"/>
                <w:color w:val="auto"/>
              </w:rPr>
              <w:t>$2,110</w:t>
            </w:r>
          </w:p>
        </w:tc>
        <w:tc>
          <w:tcPr>
            <w:tcW w:w="1200" w:type="dxa"/>
            <w:vAlign w:val="bottom"/>
            <w:vMerge w:val="restart"/>
          </w:tcPr>
          <w:p>
            <w:pPr>
              <w:jc w:val="right"/>
              <w:ind w:right="192"/>
              <w:spacing w:after="0"/>
              <w:rPr>
                <w:sz w:val="20"/>
                <w:szCs w:val="20"/>
                <w:color w:val="auto"/>
              </w:rPr>
            </w:pPr>
            <w:r>
              <w:rPr>
                <w:rFonts w:ascii="Arial" w:cs="Arial" w:eastAsia="Arial" w:hAnsi="Arial"/>
                <w:sz w:val="22"/>
                <w:szCs w:val="22"/>
                <w:color w:val="auto"/>
              </w:rPr>
              <w:t>$1,733</w:t>
            </w:r>
          </w:p>
        </w:tc>
        <w:tc>
          <w:tcPr>
            <w:tcW w:w="1020" w:type="dxa"/>
            <w:vAlign w:val="bottom"/>
            <w:vMerge w:val="restart"/>
          </w:tcPr>
          <w:p>
            <w:pPr>
              <w:jc w:val="right"/>
              <w:spacing w:after="0"/>
              <w:rPr>
                <w:sz w:val="20"/>
                <w:szCs w:val="20"/>
                <w:color w:val="auto"/>
              </w:rPr>
            </w:pPr>
            <w:r>
              <w:rPr>
                <w:rFonts w:ascii="Arial" w:cs="Arial" w:eastAsia="Arial" w:hAnsi="Arial"/>
                <w:sz w:val="22"/>
                <w:szCs w:val="22"/>
                <w:color w:val="auto"/>
              </w:rPr>
              <w:t>$109,159</w:t>
            </w:r>
          </w:p>
        </w:tc>
        <w:tc>
          <w:tcPr>
            <w:tcW w:w="0" w:type="dxa"/>
            <w:vAlign w:val="bottom"/>
          </w:tcPr>
          <w:p>
            <w:pPr>
              <w:spacing w:after="0"/>
              <w:rPr>
                <w:sz w:val="1"/>
                <w:szCs w:val="1"/>
                <w:color w:val="auto"/>
              </w:rPr>
            </w:pPr>
          </w:p>
        </w:tc>
      </w:tr>
      <w:tr>
        <w:trPr>
          <w:trHeight w:val="274"/>
        </w:trPr>
        <w:tc>
          <w:tcPr>
            <w:tcW w:w="4980" w:type="dxa"/>
            <w:vAlign w:val="bottom"/>
            <w:gridSpan w:val="6"/>
          </w:tcPr>
          <w:p>
            <w:pPr>
              <w:ind w:left="260"/>
              <w:spacing w:after="0"/>
              <w:rPr>
                <w:sz w:val="20"/>
                <w:szCs w:val="20"/>
                <w:color w:val="auto"/>
              </w:rPr>
            </w:pPr>
            <w:r>
              <w:rPr>
                <w:rFonts w:ascii="Arial" w:cs="Arial" w:eastAsia="Arial" w:hAnsi="Arial"/>
                <w:sz w:val="22"/>
                <w:szCs w:val="22"/>
                <w:color w:val="auto"/>
              </w:rPr>
              <w:t>Assets</w:t>
            </w:r>
          </w:p>
        </w:tc>
        <w:tc>
          <w:tcPr>
            <w:tcW w:w="1640" w:type="dxa"/>
            <w:vAlign w:val="bottom"/>
            <w:vMerge w:val="continue"/>
          </w:tcPr>
          <w:p>
            <w:pPr>
              <w:spacing w:after="0"/>
              <w:rPr>
                <w:sz w:val="23"/>
                <w:szCs w:val="23"/>
                <w:color w:val="auto"/>
              </w:rPr>
            </w:pPr>
          </w:p>
        </w:tc>
        <w:tc>
          <w:tcPr>
            <w:tcW w:w="1220" w:type="dxa"/>
            <w:vAlign w:val="bottom"/>
            <w:vMerge w:val="continue"/>
          </w:tcPr>
          <w:p>
            <w:pPr>
              <w:spacing w:after="0"/>
              <w:rPr>
                <w:sz w:val="23"/>
                <w:szCs w:val="23"/>
                <w:color w:val="auto"/>
              </w:rPr>
            </w:pPr>
          </w:p>
        </w:tc>
        <w:tc>
          <w:tcPr>
            <w:tcW w:w="1200" w:type="dxa"/>
            <w:vAlign w:val="bottom"/>
            <w:vMerge w:val="continue"/>
          </w:tcPr>
          <w:p>
            <w:pPr>
              <w:spacing w:after="0"/>
              <w:rPr>
                <w:sz w:val="23"/>
                <w:szCs w:val="23"/>
                <w:color w:val="auto"/>
              </w:rPr>
            </w:pPr>
          </w:p>
        </w:tc>
        <w:tc>
          <w:tcPr>
            <w:tcW w:w="102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22"/>
          <w:szCs w:val="22"/>
          <w:color w:val="auto"/>
        </w:rPr>
        <w:t>_____________</w:t>
      </w:r>
    </w:p>
    <w:p>
      <w:pPr>
        <w:spacing w:after="0" w:line="206" w:lineRule="exact"/>
        <w:rPr>
          <w:sz w:val="20"/>
          <w:szCs w:val="20"/>
          <w:color w:val="auto"/>
        </w:rPr>
      </w:pPr>
    </w:p>
    <w:p>
      <w:pPr>
        <w:ind w:left="700" w:right="180" w:hanging="341"/>
        <w:spacing w:after="0" w:line="274" w:lineRule="auto"/>
        <w:tabs>
          <w:tab w:leader="none" w:pos="700" w:val="left"/>
        </w:tabs>
        <w:numPr>
          <w:ilvl w:val="0"/>
          <w:numId w:val="11"/>
        </w:numPr>
        <w:rPr>
          <w:rFonts w:ascii="Arial" w:cs="Arial" w:eastAsia="Arial" w:hAnsi="Arial"/>
          <w:sz w:val="21"/>
          <w:szCs w:val="21"/>
          <w:color w:val="auto"/>
        </w:rPr>
      </w:pPr>
      <w:r>
        <w:rPr>
          <w:rFonts w:ascii="Arial" w:cs="Arial" w:eastAsia="Arial" w:hAnsi="Arial"/>
          <w:sz w:val="21"/>
          <w:szCs w:val="21"/>
          <w:color w:val="auto"/>
        </w:rPr>
        <w:t>Our regional programming networks Comcast SportsNet, Comcast SportsNet Mid-Atlantic, Comcast SportsNet Chicago, Cable Sports Southeast and CN8-The Comcast Network are included in our cable segment.</w:t>
      </w:r>
    </w:p>
    <w:p>
      <w:pPr>
        <w:spacing w:after="0" w:line="177" w:lineRule="exact"/>
        <w:rPr>
          <w:rFonts w:ascii="Arial" w:cs="Arial" w:eastAsia="Arial" w:hAnsi="Arial"/>
          <w:sz w:val="21"/>
          <w:szCs w:val="21"/>
          <w:color w:val="auto"/>
        </w:rPr>
      </w:pPr>
    </w:p>
    <w:p>
      <w:pPr>
        <w:ind w:left="700" w:right="120" w:hanging="341"/>
        <w:spacing w:after="0" w:line="274" w:lineRule="auto"/>
        <w:tabs>
          <w:tab w:leader="none" w:pos="700" w:val="left"/>
        </w:tabs>
        <w:numPr>
          <w:ilvl w:val="0"/>
          <w:numId w:val="11"/>
        </w:numPr>
        <w:rPr>
          <w:rFonts w:ascii="Arial" w:cs="Arial" w:eastAsia="Arial" w:hAnsi="Arial"/>
          <w:sz w:val="21"/>
          <w:szCs w:val="21"/>
          <w:color w:val="auto"/>
        </w:rPr>
      </w:pPr>
      <w:r>
        <w:rPr>
          <w:rFonts w:ascii="Arial" w:cs="Arial" w:eastAsia="Arial" w:hAnsi="Arial"/>
          <w:sz w:val="21"/>
          <w:szCs w:val="21"/>
          <w:color w:val="auto"/>
        </w:rPr>
        <w:t xml:space="preserve">Corporate and other includes corporate activities, elimination entries and all other businesses not presented in our cable or content segments. Assets included in this caption consist primarily of our investments (see </w:t>
      </w:r>
      <w:hyperlink w:anchor="page8">
        <w:r>
          <w:rPr>
            <w:rFonts w:ascii="Arial" w:cs="Arial" w:eastAsia="Arial" w:hAnsi="Arial"/>
            <w:sz w:val="21"/>
            <w:szCs w:val="21"/>
            <w:u w:val="single" w:color="auto"/>
            <w:color w:val="0000EE"/>
          </w:rPr>
          <w:t>Note 5</w:t>
        </w:r>
      </w:hyperlink>
      <w:r>
        <w:rPr>
          <w:rFonts w:ascii="Arial" w:cs="Arial" w:eastAsia="Arial" w:hAnsi="Arial"/>
          <w:sz w:val="21"/>
          <w:szCs w:val="21"/>
          <w:color w:val="auto"/>
        </w:rPr>
        <w:t>).</w:t>
      </w:r>
    </w:p>
    <w:p>
      <w:pPr>
        <w:spacing w:after="0" w:line="394"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6376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COMCAST CORPORATION AND SUBSIDIARIES</w:t>
      </w:r>
    </w:p>
    <w:p>
      <w:pPr>
        <w:jc w:val="center"/>
        <w:ind w:right="-19"/>
        <w:spacing w:after="0" w:line="238" w:lineRule="auto"/>
        <w:rPr>
          <w:sz w:val="20"/>
          <w:szCs w:val="20"/>
          <w:color w:val="auto"/>
        </w:rPr>
      </w:pPr>
      <w:r>
        <w:rPr>
          <w:rFonts w:ascii="Arial" w:cs="Arial" w:eastAsia="Arial" w:hAnsi="Arial"/>
          <w:sz w:val="22"/>
          <w:szCs w:val="22"/>
          <w:color w:val="auto"/>
        </w:rPr>
        <w:t>FORM 10-Q</w:t>
      </w:r>
    </w:p>
    <w:p>
      <w:pPr>
        <w:jc w:val="center"/>
        <w:ind w:right="-19"/>
        <w:spacing w:after="0" w:line="230" w:lineRule="auto"/>
        <w:rPr>
          <w:sz w:val="20"/>
          <w:szCs w:val="20"/>
          <w:color w:val="auto"/>
        </w:rPr>
      </w:pPr>
      <w:r>
        <w:rPr>
          <w:rFonts w:ascii="Arial" w:cs="Arial" w:eastAsia="Arial" w:hAnsi="Arial"/>
          <w:sz w:val="22"/>
          <w:szCs w:val="22"/>
          <w:color w:val="auto"/>
        </w:rPr>
        <w:t>QUARTER ENDED JUNE 30, 2004</w:t>
      </w:r>
    </w:p>
    <w:p>
      <w:pPr>
        <w:jc w:val="center"/>
        <w:ind w:right="-19"/>
        <w:spacing w:after="0" w:line="231" w:lineRule="auto"/>
        <w:rPr>
          <w:sz w:val="20"/>
          <w:szCs w:val="20"/>
          <w:color w:val="auto"/>
        </w:rPr>
      </w:pPr>
      <w:r>
        <w:rPr>
          <w:rFonts w:ascii="Arial" w:cs="Arial" w:eastAsia="Arial" w:hAnsi="Arial"/>
          <w:sz w:val="22"/>
          <w:szCs w:val="22"/>
          <w:color w:val="auto"/>
        </w:rPr>
        <w:t>NOTES TO CONDENSED CONSOLIDATED FINANCIAL STATEMENTS - CONTINUED</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(Unaudited)</w:t>
      </w:r>
    </w:p>
    <w:p>
      <w:pPr>
        <w:spacing w:after="0" w:line="188" w:lineRule="exact"/>
        <w:rPr>
          <w:sz w:val="20"/>
          <w:szCs w:val="20"/>
          <w:color w:val="auto"/>
        </w:rPr>
      </w:pPr>
    </w:p>
    <w:p>
      <w:pPr>
        <w:ind w:left="700" w:hanging="341"/>
        <w:spacing w:after="0" w:line="251" w:lineRule="auto"/>
        <w:tabs>
          <w:tab w:leader="none" w:pos="700" w:val="left"/>
        </w:tabs>
        <w:numPr>
          <w:ilvl w:val="0"/>
          <w:numId w:val="12"/>
        </w:numPr>
        <w:rPr>
          <w:rFonts w:ascii="Arial" w:cs="Arial" w:eastAsia="Arial" w:hAnsi="Arial"/>
          <w:sz w:val="22"/>
          <w:szCs w:val="22"/>
          <w:color w:val="auto"/>
        </w:rPr>
      </w:pPr>
      <w:r>
        <w:rPr>
          <w:rFonts w:ascii="Arial" w:cs="Arial" w:eastAsia="Arial" w:hAnsi="Arial"/>
          <w:sz w:val="22"/>
          <w:szCs w:val="22"/>
          <w:color w:val="auto"/>
        </w:rPr>
        <w:t>Non-US revenues were not significant in any period. No single customer accounted for a significant amount of our revenue in any period.</w:t>
      </w:r>
    </w:p>
    <w:p>
      <w:pPr>
        <w:spacing w:after="0" w:line="200" w:lineRule="exact"/>
        <w:rPr>
          <w:rFonts w:ascii="Arial" w:cs="Arial" w:eastAsia="Arial" w:hAnsi="Arial"/>
          <w:sz w:val="22"/>
          <w:szCs w:val="22"/>
          <w:color w:val="auto"/>
        </w:rPr>
      </w:pPr>
    </w:p>
    <w:p>
      <w:pPr>
        <w:ind w:left="700" w:right="20" w:hanging="341"/>
        <w:spacing w:after="0" w:line="275" w:lineRule="auto"/>
        <w:tabs>
          <w:tab w:leader="none" w:pos="700" w:val="left"/>
        </w:tabs>
        <w:numPr>
          <w:ilvl w:val="0"/>
          <w:numId w:val="12"/>
        </w:numPr>
        <w:rPr>
          <w:rFonts w:ascii="Arial" w:cs="Arial" w:eastAsia="Arial" w:hAnsi="Arial"/>
          <w:sz w:val="19"/>
          <w:szCs w:val="19"/>
          <w:color w:val="auto"/>
        </w:rPr>
      </w:pPr>
      <w:r>
        <w:rPr>
          <w:rFonts w:ascii="Arial" w:cs="Arial" w:eastAsia="Arial" w:hAnsi="Arial"/>
          <w:sz w:val="19"/>
          <w:szCs w:val="19"/>
          <w:color w:val="auto"/>
        </w:rPr>
        <w:t>Operating income (loss) before depreciation and amortization is defined as operating income before depreciation and amortization, impairment charges, if any, related to fixed and intangible assets and gains or losses from the sale of assets, if any. As such, it eliminates the significant level of non-cash depreciation and amortization expense that results from the capital intensive nature of our businesses and intangible assets recognized in business combinations, and is unaffected by our capital structure or investment activities. Our management and Board of Directors use this measure in evaluating our consolidated operating performance and the operating performance of all of our operating segments. This metric is used to allocate resources and capital to our operating segments and is a significant component of our annual incentive compensation programs. We believe that this measure is also useful to investors as it is one of the bases for comparing our</w:t>
      </w:r>
    </w:p>
    <w:p>
      <w:pPr>
        <w:sectPr>
          <w:pgSz w:w="11900" w:h="16838" w:orient="portrait"/>
          <w:cols w:equalWidth="0" w:num="1">
            <w:col w:w="11360"/>
          </w:cols>
          <w:pgMar w:left="240" w:top="157" w:right="299" w:bottom="0" w:gutter="0" w:footer="0" w:header="0"/>
        </w:sectPr>
      </w:pPr>
    </w:p>
    <w:bookmarkStart w:id="17" w:name="page18"/>
    <w:bookmarkEnd w:id="17"/>
    <w:p>
      <w:pPr>
        <w:ind w:left="700"/>
        <w:spacing w:after="0" w:line="238" w:lineRule="auto"/>
        <w:rPr>
          <w:sz w:val="20"/>
          <w:szCs w:val="20"/>
          <w:color w:val="auto"/>
        </w:rPr>
      </w:pPr>
      <w:r>
        <w:rPr>
          <w:rFonts w:ascii="Arial" w:cs="Arial" w:eastAsia="Arial" w:hAnsi="Arial"/>
          <w:sz w:val="22"/>
          <w:szCs w:val="22"/>
          <w:color w:val="auto"/>
        </w:rPr>
        <w:t>operating performance with other companies in our industries, although our measure may not be directly comparable to similar measures used by other companies. This measure should not be considered as a substitute for operating income (loss), net income (loss), net cash provided by operating activities or other measures of performance or liquidity reported in accordance with generally accepted accounting principles.</w:t>
      </w:r>
    </w:p>
    <w:p>
      <w:pPr>
        <w:spacing w:after="0" w:line="200" w:lineRule="exact"/>
        <w:rPr>
          <w:sz w:val="20"/>
          <w:szCs w:val="20"/>
          <w:color w:val="auto"/>
        </w:rPr>
      </w:pPr>
    </w:p>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6376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COMCAST CORPORATION AND SUBSIDIARIES</w:t>
      </w:r>
    </w:p>
    <w:p>
      <w:pPr>
        <w:jc w:val="center"/>
        <w:spacing w:after="0" w:line="238" w:lineRule="auto"/>
        <w:rPr>
          <w:sz w:val="20"/>
          <w:szCs w:val="20"/>
          <w:color w:val="auto"/>
        </w:rPr>
      </w:pPr>
      <w:r>
        <w:rPr>
          <w:rFonts w:ascii="Arial" w:cs="Arial" w:eastAsia="Arial" w:hAnsi="Arial"/>
          <w:sz w:val="22"/>
          <w:szCs w:val="22"/>
          <w:color w:val="auto"/>
        </w:rPr>
        <w:t>FORM 10-Q</w:t>
      </w:r>
    </w:p>
    <w:p>
      <w:pPr>
        <w:jc w:val="center"/>
        <w:spacing w:after="0" w:line="230" w:lineRule="auto"/>
        <w:rPr>
          <w:sz w:val="20"/>
          <w:szCs w:val="20"/>
          <w:color w:val="auto"/>
        </w:rPr>
      </w:pPr>
      <w:r>
        <w:rPr>
          <w:rFonts w:ascii="Arial" w:cs="Arial" w:eastAsia="Arial" w:hAnsi="Arial"/>
          <w:sz w:val="22"/>
          <w:szCs w:val="22"/>
          <w:color w:val="auto"/>
        </w:rPr>
        <w:t>QUARTER ENDED JUNE 30, 2004</w:t>
      </w:r>
    </w:p>
    <w:p>
      <w:pPr>
        <w:jc w:val="center"/>
        <w:spacing w:after="0" w:line="231" w:lineRule="auto"/>
        <w:rPr>
          <w:sz w:val="20"/>
          <w:szCs w:val="20"/>
          <w:color w:val="auto"/>
        </w:rPr>
      </w:pPr>
      <w:r>
        <w:rPr>
          <w:rFonts w:ascii="Arial" w:cs="Arial" w:eastAsia="Arial" w:hAnsi="Arial"/>
          <w:sz w:val="22"/>
          <w:szCs w:val="22"/>
          <w:color w:val="auto"/>
        </w:rPr>
        <w:t>NOTES TO CONDENSED CONSOLIDATED FINANCIAL STATEMENTS - CONTINUED</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(Unaudited)</w:t>
      </w:r>
    </w:p>
    <w:p>
      <w:pPr>
        <w:spacing w:after="0" w:line="188"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22"/>
          <w:szCs w:val="22"/>
          <w:color w:val="auto"/>
        </w:rPr>
      </w:pPr>
      <w:r>
        <w:rPr>
          <w:rFonts w:ascii="Arial" w:cs="Arial" w:eastAsia="Arial" w:hAnsi="Arial"/>
          <w:sz w:val="22"/>
          <w:szCs w:val="22"/>
          <w:color w:val="auto"/>
        </w:rPr>
        <w:t>CONDENSED CONSOLIDATING FINANCIAL INFORMATION</w:t>
      </w:r>
    </w:p>
    <w:p>
      <w:pPr>
        <w:spacing w:after="0" w:line="233" w:lineRule="exact"/>
        <w:rPr>
          <w:rFonts w:ascii="Arial" w:cs="Arial" w:eastAsia="Arial" w:hAnsi="Arial"/>
          <w:sz w:val="22"/>
          <w:szCs w:val="22"/>
          <w:color w:val="auto"/>
        </w:rPr>
      </w:pPr>
    </w:p>
    <w:p>
      <w:pPr>
        <w:ind w:left="460" w:right="40"/>
        <w:spacing w:after="0" w:line="248" w:lineRule="auto"/>
        <w:rPr>
          <w:rFonts w:ascii="Arial" w:cs="Arial" w:eastAsia="Arial" w:hAnsi="Arial"/>
          <w:sz w:val="22"/>
          <w:szCs w:val="22"/>
          <w:color w:val="auto"/>
        </w:rPr>
      </w:pPr>
      <w:r>
        <w:rPr>
          <w:rFonts w:ascii="Arial" w:cs="Arial" w:eastAsia="Arial" w:hAnsi="Arial"/>
          <w:sz w:val="21"/>
          <w:szCs w:val="21"/>
          <w:color w:val="auto"/>
        </w:rPr>
        <w:t>We and five of our cable holding company subsidiaries, Comcast Cable Communications, LLC (Comcast Cable or “CCCL”), Comcast Cable Communications Holdings, Inc. (Comcast Cable Communications Holdings or “CCCH”), Comcast MO Group, Inc. (“Comcast MO Group”), Comcast Cable Holdings, LLC (Comcast Cable Holdings or “CCH”), and Comcast MO of Delaware, LLC (“Comcast MO of Delaware”) fully and unconditionally guarantee each other’s debt securities. Comcast MO Group, CCH and Comcast MO of Delaware are collectively referred to as the “Combined CCHMO Parents.” Our condensed consolidating financial information is as follows (in millions):</w:t>
      </w:r>
    </w:p>
    <w:p>
      <w:pPr>
        <w:spacing w:after="0" w:line="204" w:lineRule="exact"/>
        <w:rPr>
          <w:sz w:val="20"/>
          <w:szCs w:val="20"/>
          <w:color w:val="auto"/>
        </w:rPr>
      </w:pPr>
    </w:p>
    <w:p>
      <w:pPr>
        <w:jc w:val="center"/>
        <w:ind w:right="1080"/>
        <w:spacing w:after="0"/>
        <w:rPr>
          <w:sz w:val="20"/>
          <w:szCs w:val="20"/>
          <w:color w:val="auto"/>
        </w:rPr>
      </w:pPr>
      <w:r>
        <w:rPr>
          <w:rFonts w:ascii="Arial" w:cs="Arial" w:eastAsia="Arial" w:hAnsi="Arial"/>
          <w:sz w:val="22"/>
          <w:szCs w:val="22"/>
          <w:color w:val="auto"/>
        </w:rPr>
        <w:t>Comcast Corporation</w:t>
      </w:r>
    </w:p>
    <w:p>
      <w:pPr>
        <w:jc w:val="center"/>
        <w:ind w:right="1080"/>
        <w:spacing w:after="0" w:line="238" w:lineRule="auto"/>
        <w:rPr>
          <w:sz w:val="20"/>
          <w:szCs w:val="20"/>
          <w:color w:val="auto"/>
        </w:rPr>
      </w:pPr>
      <w:r>
        <w:rPr>
          <w:rFonts w:ascii="Arial" w:cs="Arial" w:eastAsia="Arial" w:hAnsi="Arial"/>
          <w:sz w:val="22"/>
          <w:szCs w:val="22"/>
          <w:color w:val="auto"/>
        </w:rPr>
        <w:t>Condensed Consolidating Balance Sheet</w:t>
      </w:r>
    </w:p>
    <w:p>
      <w:pPr>
        <w:jc w:val="center"/>
        <w:ind w:right="1080"/>
        <w:spacing w:after="0"/>
        <w:rPr>
          <w:sz w:val="20"/>
          <w:szCs w:val="20"/>
          <w:color w:val="auto"/>
        </w:rPr>
      </w:pPr>
      <w:r>
        <w:rPr>
          <w:rFonts w:ascii="Arial" w:cs="Arial" w:eastAsia="Arial" w:hAnsi="Arial"/>
          <w:sz w:val="22"/>
          <w:szCs w:val="22"/>
          <w:color w:val="auto"/>
        </w:rPr>
        <w:t>As of June 30, 2004</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Elimination</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90"/>
              </w:rPr>
              <w:t>Combined</w:t>
            </w:r>
          </w:p>
        </w:tc>
        <w:tc>
          <w:tcPr>
            <w:tcW w:w="180" w:type="dxa"/>
            <w:vAlign w:val="bottom"/>
          </w:tcPr>
          <w:p>
            <w:pPr>
              <w:spacing w:after="0"/>
              <w:rPr>
                <w:sz w:val="18"/>
                <w:szCs w:val="18"/>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Non-</w:t>
            </w: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color w:val="auto"/>
                <w:w w:val="86"/>
              </w:rPr>
              <w:t>and</w:t>
            </w:r>
          </w:p>
        </w:tc>
        <w:tc>
          <w:tcPr>
            <w:tcW w:w="920" w:type="dxa"/>
            <w:vAlign w:val="bottom"/>
          </w:tcPr>
          <w:p>
            <w:pPr>
              <w:jc w:val="center"/>
              <w:spacing w:after="0"/>
              <w:rPr>
                <w:sz w:val="20"/>
                <w:szCs w:val="20"/>
                <w:color w:val="auto"/>
              </w:rPr>
            </w:pPr>
            <w:r>
              <w:rPr>
                <w:rFonts w:ascii="Arial" w:cs="Arial" w:eastAsia="Arial" w:hAnsi="Arial"/>
                <w:sz w:val="18"/>
                <w:szCs w:val="18"/>
                <w:color w:val="auto"/>
                <w:w w:val="87"/>
              </w:rPr>
              <w:t>Consolidated</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84"/>
              </w:rPr>
              <w:t>Comcast</w:t>
            </w:r>
          </w:p>
        </w:tc>
        <w:tc>
          <w:tcPr>
            <w:tcW w:w="180" w:type="dxa"/>
            <w:vAlign w:val="bottom"/>
          </w:tcPr>
          <w:p>
            <w:pPr>
              <w:spacing w:after="0"/>
              <w:rPr>
                <w:sz w:val="18"/>
                <w:szCs w:val="18"/>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8"/>
                <w:szCs w:val="18"/>
                <w:color w:val="auto"/>
                <w:w w:val="93"/>
              </w:rPr>
              <w:t>CCCL</w:t>
            </w:r>
          </w:p>
        </w:tc>
        <w:tc>
          <w:tcPr>
            <w:tcW w:w="720" w:type="dxa"/>
            <w:vAlign w:val="bottom"/>
          </w:tcPr>
          <w:p>
            <w:pPr>
              <w:jc w:val="center"/>
              <w:spacing w:after="0"/>
              <w:rPr>
                <w:sz w:val="20"/>
                <w:szCs w:val="20"/>
                <w:color w:val="auto"/>
              </w:rPr>
            </w:pPr>
            <w:r>
              <w:rPr>
                <w:rFonts w:ascii="Arial" w:cs="Arial" w:eastAsia="Arial" w:hAnsi="Arial"/>
                <w:sz w:val="18"/>
                <w:szCs w:val="18"/>
                <w:color w:val="auto"/>
                <w:w w:val="92"/>
              </w:rPr>
              <w:t>CCCH</w:t>
            </w:r>
          </w:p>
        </w:tc>
        <w:tc>
          <w:tcPr>
            <w:tcW w:w="18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97"/>
              </w:rPr>
              <w:t>CCHMO</w:t>
            </w:r>
          </w:p>
        </w:tc>
        <w:tc>
          <w:tcPr>
            <w:tcW w:w="180" w:type="dxa"/>
            <w:vAlign w:val="bottom"/>
          </w:tcPr>
          <w:p>
            <w:pPr>
              <w:spacing w:after="0"/>
              <w:rPr>
                <w:sz w:val="18"/>
                <w:szCs w:val="18"/>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8"/>
                <w:szCs w:val="18"/>
                <w:color w:val="auto"/>
                <w:w w:val="86"/>
              </w:rPr>
              <w:t>Guarantor</w:t>
            </w: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Consolidation</w:t>
            </w:r>
          </w:p>
        </w:tc>
        <w:tc>
          <w:tcPr>
            <w:tcW w:w="920" w:type="dxa"/>
            <w:vAlign w:val="bottom"/>
          </w:tcPr>
          <w:p>
            <w:pPr>
              <w:jc w:val="center"/>
              <w:spacing w:after="0"/>
              <w:rPr>
                <w:sz w:val="20"/>
                <w:szCs w:val="20"/>
                <w:color w:val="auto"/>
              </w:rPr>
            </w:pPr>
            <w:r>
              <w:rPr>
                <w:rFonts w:ascii="Arial" w:cs="Arial" w:eastAsia="Arial" w:hAnsi="Arial"/>
                <w:sz w:val="18"/>
                <w:szCs w:val="18"/>
                <w:color w:val="auto"/>
                <w:w w:val="87"/>
              </w:rPr>
              <w:t>Comcast</w:t>
            </w:r>
          </w:p>
        </w:tc>
        <w:tc>
          <w:tcPr>
            <w:tcW w:w="0" w:type="dxa"/>
            <w:vAlign w:val="bottom"/>
          </w:tcPr>
          <w:p>
            <w:pPr>
              <w:spacing w:after="0"/>
              <w:rPr>
                <w:sz w:val="1"/>
                <w:szCs w:val="1"/>
                <w:color w:val="auto"/>
              </w:rPr>
            </w:pPr>
          </w:p>
        </w:tc>
      </w:tr>
      <w:tr>
        <w:trPr>
          <w:trHeight w:val="222"/>
        </w:trPr>
        <w:tc>
          <w:tcPr>
            <w:tcW w:w="7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82"/>
              </w:rPr>
              <w:t>Parent</w:t>
            </w:r>
          </w:p>
        </w:tc>
        <w:tc>
          <w:tcPr>
            <w:tcW w:w="180" w:type="dxa"/>
            <w:vAlign w:val="bottom"/>
          </w:tcPr>
          <w:p>
            <w:pPr>
              <w:spacing w:after="0"/>
              <w:rPr>
                <w:sz w:val="19"/>
                <w:szCs w:val="19"/>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8"/>
                <w:szCs w:val="18"/>
                <w:color w:val="auto"/>
                <w:w w:val="86"/>
              </w:rPr>
              <w:t>Parent</w:t>
            </w:r>
          </w:p>
        </w:tc>
        <w:tc>
          <w:tcPr>
            <w:tcW w:w="720" w:type="dxa"/>
            <w:vAlign w:val="bottom"/>
          </w:tcPr>
          <w:p>
            <w:pPr>
              <w:jc w:val="center"/>
              <w:spacing w:after="0"/>
              <w:rPr>
                <w:sz w:val="20"/>
                <w:szCs w:val="20"/>
                <w:color w:val="auto"/>
              </w:rPr>
            </w:pPr>
            <w:r>
              <w:rPr>
                <w:rFonts w:ascii="Arial" w:cs="Arial" w:eastAsia="Arial" w:hAnsi="Arial"/>
                <w:sz w:val="18"/>
                <w:szCs w:val="18"/>
                <w:color w:val="auto"/>
                <w:w w:val="82"/>
              </w:rPr>
              <w:t>Parent</w:t>
            </w:r>
          </w:p>
        </w:tc>
        <w:tc>
          <w:tcPr>
            <w:tcW w:w="180" w:type="dxa"/>
            <w:vAlign w:val="bottom"/>
          </w:tcPr>
          <w:p>
            <w:pPr>
              <w:spacing w:after="0"/>
              <w:rPr>
                <w:sz w:val="19"/>
                <w:szCs w:val="19"/>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80"/>
              </w:rPr>
              <w:t>Parents</w:t>
            </w:r>
          </w:p>
        </w:tc>
        <w:tc>
          <w:tcPr>
            <w:tcW w:w="180" w:type="dxa"/>
            <w:vAlign w:val="bottom"/>
          </w:tcPr>
          <w:p>
            <w:pPr>
              <w:spacing w:after="0"/>
              <w:rPr>
                <w:sz w:val="19"/>
                <w:szCs w:val="19"/>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8"/>
                <w:szCs w:val="18"/>
                <w:color w:val="auto"/>
                <w:w w:val="87"/>
              </w:rPr>
              <w:t>Subsidiaries</w:t>
            </w: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Adjustments</w:t>
            </w: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Corporation</w:t>
            </w:r>
          </w:p>
        </w:tc>
        <w:tc>
          <w:tcPr>
            <w:tcW w:w="0" w:type="dxa"/>
            <w:vAlign w:val="bottom"/>
          </w:tcPr>
          <w:p>
            <w:pPr>
              <w:spacing w:after="0"/>
              <w:rPr>
                <w:sz w:val="1"/>
                <w:szCs w:val="1"/>
                <w:color w:val="auto"/>
              </w:rPr>
            </w:pPr>
          </w:p>
        </w:tc>
      </w:tr>
      <w:tr>
        <w:trPr>
          <w:trHeight w:val="110"/>
        </w:trPr>
        <w:tc>
          <w:tcPr>
            <w:tcW w:w="3340" w:type="dxa"/>
            <w:vAlign w:val="bottom"/>
            <w:gridSpan w:val="4"/>
            <w:vMerge w:val="restart"/>
          </w:tcPr>
          <w:p>
            <w:pPr>
              <w:spacing w:after="0"/>
              <w:rPr>
                <w:sz w:val="20"/>
                <w:szCs w:val="20"/>
                <w:color w:val="auto"/>
              </w:rPr>
            </w:pPr>
            <w:r>
              <w:rPr>
                <w:rFonts w:ascii="Arial" w:cs="Arial" w:eastAsia="Arial" w:hAnsi="Arial"/>
                <w:sz w:val="22"/>
                <w:szCs w:val="22"/>
                <w:color w:val="auto"/>
              </w:rPr>
              <w:t>ASSETS</w:t>
            </w:r>
          </w:p>
        </w:tc>
        <w:tc>
          <w:tcPr>
            <w:tcW w:w="7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04"/>
        </w:trPr>
        <w:tc>
          <w:tcPr>
            <w:tcW w:w="3340" w:type="dxa"/>
            <w:vAlign w:val="bottom"/>
            <w:gridSpan w:val="4"/>
            <w:vMerge w:val="continue"/>
          </w:tcPr>
          <w:p>
            <w:pPr>
              <w:spacing w:after="0"/>
              <w:rPr>
                <w:sz w:val="24"/>
                <w:szCs w:val="24"/>
                <w:color w:val="auto"/>
              </w:rPr>
            </w:pPr>
          </w:p>
        </w:tc>
        <w:tc>
          <w:tcPr>
            <w:tcW w:w="720" w:type="dxa"/>
            <w:vAlign w:val="bottom"/>
            <w:vMerge w:val="restart"/>
          </w:tcPr>
          <w:p>
            <w:pPr>
              <w:jc w:val="center"/>
              <w:spacing w:after="0"/>
              <w:rPr>
                <w:sz w:val="20"/>
                <w:szCs w:val="20"/>
                <w:color w:val="auto"/>
              </w:rPr>
            </w:pPr>
            <w:r>
              <w:rPr>
                <w:rFonts w:ascii="Arial" w:cs="Arial" w:eastAsia="Arial" w:hAnsi="Arial"/>
                <w:sz w:val="22"/>
                <w:szCs w:val="22"/>
                <w:color w:val="auto"/>
                <w:w w:val="97"/>
              </w:rPr>
              <w:t>$</w:t>
            </w:r>
          </w:p>
        </w:tc>
        <w:tc>
          <w:tcPr>
            <w:tcW w:w="900" w:type="dxa"/>
            <w:vAlign w:val="bottom"/>
            <w:gridSpan w:val="2"/>
            <w:vMerge w:val="restart"/>
          </w:tcPr>
          <w:p>
            <w:pPr>
              <w:jc w:val="center"/>
              <w:ind w:left="52"/>
              <w:spacing w:after="0"/>
              <w:rPr>
                <w:sz w:val="20"/>
                <w:szCs w:val="20"/>
                <w:color w:val="auto"/>
              </w:rPr>
            </w:pPr>
            <w:r>
              <w:rPr>
                <w:rFonts w:ascii="Arial" w:cs="Arial" w:eastAsia="Arial" w:hAnsi="Arial"/>
                <w:sz w:val="22"/>
                <w:szCs w:val="22"/>
                <w:color w:val="auto"/>
                <w:w w:val="81"/>
              </w:rPr>
              <w:t>$</w:t>
            </w:r>
          </w:p>
        </w:tc>
        <w:tc>
          <w:tcPr>
            <w:tcW w:w="160" w:type="dxa"/>
            <w:vAlign w:val="bottom"/>
          </w:tcPr>
          <w:p>
            <w:pPr>
              <w:spacing w:after="0"/>
              <w:rPr>
                <w:sz w:val="24"/>
                <w:szCs w:val="24"/>
                <w:color w:val="auto"/>
              </w:rPr>
            </w:pPr>
          </w:p>
        </w:tc>
        <w:tc>
          <w:tcPr>
            <w:tcW w:w="720" w:type="dxa"/>
            <w:vAlign w:val="bottom"/>
            <w:vMerge w:val="restart"/>
          </w:tcPr>
          <w:p>
            <w:pPr>
              <w:jc w:val="center"/>
              <w:spacing w:after="0"/>
              <w:rPr>
                <w:sz w:val="20"/>
                <w:szCs w:val="20"/>
                <w:color w:val="auto"/>
              </w:rPr>
            </w:pPr>
            <w:r>
              <w:rPr>
                <w:rFonts w:ascii="Arial" w:cs="Arial" w:eastAsia="Arial" w:hAnsi="Arial"/>
                <w:sz w:val="22"/>
                <w:szCs w:val="22"/>
                <w:color w:val="auto"/>
                <w:w w:val="81"/>
              </w:rPr>
              <w:t>$</w:t>
            </w:r>
          </w:p>
        </w:tc>
        <w:tc>
          <w:tcPr>
            <w:tcW w:w="920" w:type="dxa"/>
            <w:vAlign w:val="bottom"/>
            <w:gridSpan w:val="2"/>
            <w:vMerge w:val="restart"/>
          </w:tcPr>
          <w:p>
            <w:pPr>
              <w:jc w:val="center"/>
              <w:ind w:left="72"/>
              <w:spacing w:after="0"/>
              <w:rPr>
                <w:sz w:val="20"/>
                <w:szCs w:val="20"/>
                <w:color w:val="auto"/>
              </w:rPr>
            </w:pPr>
            <w:r>
              <w:rPr>
                <w:rFonts w:ascii="Arial" w:cs="Arial" w:eastAsia="Arial" w:hAnsi="Arial"/>
                <w:sz w:val="22"/>
                <w:szCs w:val="22"/>
                <w:color w:val="auto"/>
                <w:w w:val="81"/>
              </w:rPr>
              <w:t>$</w:t>
            </w:r>
          </w:p>
        </w:tc>
        <w:tc>
          <w:tcPr>
            <w:tcW w:w="1220" w:type="dxa"/>
            <w:vAlign w:val="bottom"/>
            <w:gridSpan w:val="3"/>
            <w:vMerge w:val="restart"/>
          </w:tcPr>
          <w:p>
            <w:pPr>
              <w:jc w:val="right"/>
              <w:ind w:right="180"/>
              <w:spacing w:after="0"/>
              <w:rPr>
                <w:sz w:val="20"/>
                <w:szCs w:val="20"/>
                <w:color w:val="auto"/>
              </w:rPr>
            </w:pPr>
            <w:r>
              <w:rPr>
                <w:rFonts w:ascii="Arial" w:cs="Arial" w:eastAsia="Arial" w:hAnsi="Arial"/>
                <w:sz w:val="22"/>
                <w:szCs w:val="22"/>
                <w:color w:val="auto"/>
              </w:rPr>
              <w:t>$594</w:t>
            </w:r>
          </w:p>
        </w:tc>
        <w:tc>
          <w:tcPr>
            <w:tcW w:w="980" w:type="dxa"/>
            <w:vAlign w:val="bottom"/>
            <w:vMerge w:val="restart"/>
          </w:tcPr>
          <w:p>
            <w:pPr>
              <w:jc w:val="center"/>
              <w:spacing w:after="0"/>
              <w:rPr>
                <w:sz w:val="20"/>
                <w:szCs w:val="20"/>
                <w:color w:val="auto"/>
              </w:rPr>
            </w:pPr>
            <w:r>
              <w:rPr>
                <w:rFonts w:ascii="Arial" w:cs="Arial" w:eastAsia="Arial" w:hAnsi="Arial"/>
                <w:sz w:val="22"/>
                <w:szCs w:val="22"/>
                <w:color w:val="auto"/>
                <w:w w:val="81"/>
              </w:rPr>
              <w:t>$</w:t>
            </w:r>
          </w:p>
        </w:tc>
        <w:tc>
          <w:tcPr>
            <w:tcW w:w="200" w:type="dxa"/>
            <w:vAlign w:val="bottom"/>
          </w:tcPr>
          <w:p>
            <w:pPr>
              <w:spacing w:after="0"/>
              <w:rPr>
                <w:sz w:val="24"/>
                <w:szCs w:val="24"/>
                <w:color w:val="auto"/>
              </w:rPr>
            </w:pPr>
          </w:p>
        </w:tc>
        <w:tc>
          <w:tcPr>
            <w:tcW w:w="920" w:type="dxa"/>
            <w:vAlign w:val="bottom"/>
            <w:vMerge w:val="restart"/>
          </w:tcPr>
          <w:p>
            <w:pPr>
              <w:jc w:val="right"/>
              <w:spacing w:after="0"/>
              <w:rPr>
                <w:sz w:val="20"/>
                <w:szCs w:val="20"/>
                <w:color w:val="auto"/>
              </w:rPr>
            </w:pPr>
            <w:r>
              <w:rPr>
                <w:rFonts w:ascii="Arial" w:cs="Arial" w:eastAsia="Arial" w:hAnsi="Arial"/>
                <w:sz w:val="22"/>
                <w:szCs w:val="22"/>
                <w:color w:val="auto"/>
              </w:rPr>
              <w:t>$594</w:t>
            </w:r>
          </w:p>
        </w:tc>
        <w:tc>
          <w:tcPr>
            <w:tcW w:w="0" w:type="dxa"/>
            <w:vAlign w:val="bottom"/>
          </w:tcPr>
          <w:p>
            <w:pPr>
              <w:spacing w:after="0"/>
              <w:rPr>
                <w:sz w:val="1"/>
                <w:szCs w:val="1"/>
                <w:color w:val="auto"/>
              </w:rPr>
            </w:pPr>
          </w:p>
        </w:tc>
      </w:tr>
      <w:tr>
        <w:trPr>
          <w:trHeight w:val="20"/>
        </w:trPr>
        <w:tc>
          <w:tcPr>
            <w:tcW w:w="78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vMerge w:val="continue"/>
          </w:tcPr>
          <w:p>
            <w:pPr>
              <w:spacing w:after="0" w:line="20" w:lineRule="exact"/>
              <w:rPr>
                <w:sz w:val="1"/>
                <w:szCs w:val="1"/>
                <w:color w:val="auto"/>
              </w:rPr>
            </w:pPr>
          </w:p>
        </w:tc>
        <w:tc>
          <w:tcPr>
            <w:tcW w:w="900" w:type="dxa"/>
            <w:vAlign w:val="bottom"/>
            <w:gridSpan w:val="2"/>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vMerge w:val="continue"/>
          </w:tcPr>
          <w:p>
            <w:pPr>
              <w:spacing w:after="0" w:line="20" w:lineRule="exact"/>
              <w:rPr>
                <w:sz w:val="1"/>
                <w:szCs w:val="1"/>
                <w:color w:val="auto"/>
              </w:rPr>
            </w:pPr>
          </w:p>
        </w:tc>
        <w:tc>
          <w:tcPr>
            <w:tcW w:w="920" w:type="dxa"/>
            <w:vAlign w:val="bottom"/>
            <w:gridSpan w:val="2"/>
            <w:vMerge w:val="continue"/>
          </w:tcPr>
          <w:p>
            <w:pPr>
              <w:spacing w:after="0" w:line="20" w:lineRule="exact"/>
              <w:rPr>
                <w:sz w:val="1"/>
                <w:szCs w:val="1"/>
                <w:color w:val="auto"/>
              </w:rPr>
            </w:pPr>
          </w:p>
        </w:tc>
        <w:tc>
          <w:tcPr>
            <w:tcW w:w="1220" w:type="dxa"/>
            <w:vAlign w:val="bottom"/>
            <w:gridSpan w:val="3"/>
            <w:vMerge w:val="continue"/>
          </w:tcPr>
          <w:p>
            <w:pPr>
              <w:spacing w:after="0" w:line="20" w:lineRule="exact"/>
              <w:rPr>
                <w:sz w:val="1"/>
                <w:szCs w:val="1"/>
                <w:color w:val="auto"/>
              </w:rPr>
            </w:pPr>
          </w:p>
        </w:tc>
        <w:tc>
          <w:tcPr>
            <w:tcW w:w="980" w:type="dxa"/>
            <w:vAlign w:val="bottom"/>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3340" w:type="dxa"/>
            <w:vAlign w:val="bottom"/>
            <w:gridSpan w:val="4"/>
          </w:tcPr>
          <w:p>
            <w:pPr>
              <w:ind w:left="180"/>
              <w:spacing w:after="0" w:line="242" w:lineRule="exact"/>
              <w:rPr>
                <w:sz w:val="20"/>
                <w:szCs w:val="20"/>
                <w:color w:val="auto"/>
              </w:rPr>
            </w:pPr>
            <w:r>
              <w:rPr>
                <w:rFonts w:ascii="Arial" w:cs="Arial" w:eastAsia="Arial" w:hAnsi="Arial"/>
                <w:sz w:val="22"/>
                <w:szCs w:val="22"/>
                <w:color w:val="auto"/>
              </w:rPr>
              <w:t>Cash and cash equivalents</w:t>
            </w:r>
          </w:p>
        </w:tc>
        <w:tc>
          <w:tcPr>
            <w:tcW w:w="720" w:type="dxa"/>
            <w:vAlign w:val="bottom"/>
            <w:vMerge w:val="continue"/>
          </w:tcPr>
          <w:p>
            <w:pPr>
              <w:spacing w:after="0"/>
              <w:rPr>
                <w:sz w:val="21"/>
                <w:szCs w:val="21"/>
                <w:color w:val="auto"/>
              </w:rPr>
            </w:pPr>
          </w:p>
        </w:tc>
        <w:tc>
          <w:tcPr>
            <w:tcW w:w="900" w:type="dxa"/>
            <w:vAlign w:val="bottom"/>
            <w:gridSpan w:val="2"/>
            <w:vMerge w:val="continue"/>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vMerge w:val="continue"/>
          </w:tcPr>
          <w:p>
            <w:pPr>
              <w:spacing w:after="0"/>
              <w:rPr>
                <w:sz w:val="21"/>
                <w:szCs w:val="21"/>
                <w:color w:val="auto"/>
              </w:rPr>
            </w:pPr>
          </w:p>
        </w:tc>
        <w:tc>
          <w:tcPr>
            <w:tcW w:w="920" w:type="dxa"/>
            <w:vAlign w:val="bottom"/>
            <w:gridSpan w:val="2"/>
            <w:vMerge w:val="continue"/>
          </w:tcPr>
          <w:p>
            <w:pPr>
              <w:spacing w:after="0"/>
              <w:rPr>
                <w:sz w:val="21"/>
                <w:szCs w:val="21"/>
                <w:color w:val="auto"/>
              </w:rPr>
            </w:pPr>
          </w:p>
        </w:tc>
        <w:tc>
          <w:tcPr>
            <w:tcW w:w="1220" w:type="dxa"/>
            <w:vAlign w:val="bottom"/>
            <w:gridSpan w:val="3"/>
            <w:vMerge w:val="continue"/>
          </w:tcPr>
          <w:p>
            <w:pPr>
              <w:spacing w:after="0"/>
              <w:rPr>
                <w:sz w:val="21"/>
                <w:szCs w:val="21"/>
                <w:color w:val="auto"/>
              </w:rPr>
            </w:pPr>
          </w:p>
        </w:tc>
        <w:tc>
          <w:tcPr>
            <w:tcW w:w="98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gridSpan w:val="4"/>
          </w:tcPr>
          <w:p>
            <w:pPr>
              <w:ind w:left="180"/>
              <w:spacing w:after="0" w:line="243" w:lineRule="exact"/>
              <w:rPr>
                <w:sz w:val="20"/>
                <w:szCs w:val="20"/>
                <w:color w:val="auto"/>
              </w:rPr>
            </w:pPr>
            <w:r>
              <w:rPr>
                <w:rFonts w:ascii="Arial" w:cs="Arial" w:eastAsia="Arial" w:hAnsi="Arial"/>
                <w:sz w:val="22"/>
                <w:szCs w:val="22"/>
                <w:color w:val="auto"/>
              </w:rPr>
              <w:t>Investments</w:t>
            </w: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20" w:type="dxa"/>
            <w:vAlign w:val="bottom"/>
            <w:gridSpan w:val="3"/>
          </w:tcPr>
          <w:p>
            <w:pPr>
              <w:jc w:val="right"/>
              <w:ind w:right="180"/>
              <w:spacing w:after="0" w:line="243" w:lineRule="exact"/>
              <w:rPr>
                <w:sz w:val="20"/>
                <w:szCs w:val="20"/>
                <w:color w:val="auto"/>
              </w:rPr>
            </w:pPr>
            <w:r>
              <w:rPr>
                <w:rFonts w:ascii="Arial" w:cs="Arial" w:eastAsia="Arial" w:hAnsi="Arial"/>
                <w:sz w:val="22"/>
                <w:szCs w:val="22"/>
                <w:color w:val="auto"/>
              </w:rPr>
              <w:t>2,481</w:t>
            </w: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line="243" w:lineRule="exact"/>
              <w:rPr>
                <w:sz w:val="20"/>
                <w:szCs w:val="20"/>
                <w:color w:val="auto"/>
              </w:rPr>
            </w:pPr>
            <w:r>
              <w:rPr>
                <w:rFonts w:ascii="Arial" w:cs="Arial" w:eastAsia="Arial" w:hAnsi="Arial"/>
                <w:sz w:val="22"/>
                <w:szCs w:val="22"/>
                <w:color w:val="auto"/>
              </w:rPr>
              <w:t>2,481</w:t>
            </w:r>
          </w:p>
        </w:tc>
        <w:tc>
          <w:tcPr>
            <w:tcW w:w="0" w:type="dxa"/>
            <w:vAlign w:val="bottom"/>
          </w:tcPr>
          <w:p>
            <w:pPr>
              <w:spacing w:after="0"/>
              <w:rPr>
                <w:sz w:val="1"/>
                <w:szCs w:val="1"/>
                <w:color w:val="auto"/>
              </w:rPr>
            </w:pPr>
          </w:p>
        </w:tc>
      </w:tr>
      <w:tr>
        <w:trPr>
          <w:trHeight w:val="243"/>
        </w:trPr>
        <w:tc>
          <w:tcPr>
            <w:tcW w:w="3340" w:type="dxa"/>
            <w:vAlign w:val="bottom"/>
            <w:gridSpan w:val="4"/>
          </w:tcPr>
          <w:p>
            <w:pPr>
              <w:ind w:left="160"/>
              <w:spacing w:after="0" w:line="243" w:lineRule="exact"/>
              <w:rPr>
                <w:sz w:val="20"/>
                <w:szCs w:val="20"/>
                <w:color w:val="auto"/>
              </w:rPr>
            </w:pPr>
            <w:r>
              <w:rPr>
                <w:rFonts w:ascii="Arial" w:cs="Arial" w:eastAsia="Arial" w:hAnsi="Arial"/>
                <w:sz w:val="22"/>
                <w:szCs w:val="22"/>
                <w:color w:val="auto"/>
              </w:rPr>
              <w:t>Accounts receivable, net</w:t>
            </w: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20" w:type="dxa"/>
            <w:vAlign w:val="bottom"/>
            <w:gridSpan w:val="3"/>
          </w:tcPr>
          <w:p>
            <w:pPr>
              <w:jc w:val="right"/>
              <w:ind w:right="180"/>
              <w:spacing w:after="0" w:line="243" w:lineRule="exact"/>
              <w:rPr>
                <w:sz w:val="20"/>
                <w:szCs w:val="20"/>
                <w:color w:val="auto"/>
              </w:rPr>
            </w:pPr>
            <w:r>
              <w:rPr>
                <w:rFonts w:ascii="Arial" w:cs="Arial" w:eastAsia="Arial" w:hAnsi="Arial"/>
                <w:sz w:val="22"/>
                <w:szCs w:val="22"/>
                <w:color w:val="auto"/>
              </w:rPr>
              <w:t>925</w:t>
            </w: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line="243" w:lineRule="exact"/>
              <w:rPr>
                <w:sz w:val="20"/>
                <w:szCs w:val="20"/>
                <w:color w:val="auto"/>
              </w:rPr>
            </w:pPr>
            <w:r>
              <w:rPr>
                <w:rFonts w:ascii="Arial" w:cs="Arial" w:eastAsia="Arial" w:hAnsi="Arial"/>
                <w:sz w:val="22"/>
                <w:szCs w:val="22"/>
                <w:color w:val="auto"/>
              </w:rPr>
              <w:t>925</w:t>
            </w:r>
          </w:p>
        </w:tc>
        <w:tc>
          <w:tcPr>
            <w:tcW w:w="0" w:type="dxa"/>
            <w:vAlign w:val="bottom"/>
          </w:tcPr>
          <w:p>
            <w:pPr>
              <w:spacing w:after="0"/>
              <w:rPr>
                <w:sz w:val="1"/>
                <w:szCs w:val="1"/>
                <w:color w:val="auto"/>
              </w:rPr>
            </w:pPr>
          </w:p>
        </w:tc>
      </w:tr>
      <w:tr>
        <w:trPr>
          <w:trHeight w:val="275"/>
        </w:trPr>
        <w:tc>
          <w:tcPr>
            <w:tcW w:w="3340" w:type="dxa"/>
            <w:vAlign w:val="bottom"/>
            <w:gridSpan w:val="4"/>
          </w:tcPr>
          <w:p>
            <w:pPr>
              <w:ind w:left="180"/>
              <w:spacing w:after="0"/>
              <w:rPr>
                <w:sz w:val="20"/>
                <w:szCs w:val="20"/>
                <w:color w:val="auto"/>
              </w:rPr>
            </w:pPr>
            <w:r>
              <w:rPr>
                <w:rFonts w:ascii="Arial" w:cs="Arial" w:eastAsia="Arial" w:hAnsi="Arial"/>
                <w:sz w:val="22"/>
                <w:szCs w:val="22"/>
                <w:color w:val="auto"/>
              </w:rPr>
              <w:t>Other current assets</w:t>
            </w:r>
          </w:p>
        </w:tc>
        <w:tc>
          <w:tcPr>
            <w:tcW w:w="720" w:type="dxa"/>
            <w:vAlign w:val="bottom"/>
          </w:tcPr>
          <w:p>
            <w:pPr>
              <w:jc w:val="right"/>
              <w:spacing w:after="0"/>
              <w:rPr>
                <w:sz w:val="20"/>
                <w:szCs w:val="20"/>
                <w:color w:val="auto"/>
              </w:rPr>
            </w:pPr>
            <w:r>
              <w:rPr>
                <w:rFonts w:ascii="Arial" w:cs="Arial" w:eastAsia="Arial" w:hAnsi="Arial"/>
                <w:sz w:val="22"/>
                <w:szCs w:val="22"/>
                <w:color w:val="auto"/>
              </w:rPr>
              <w:t>13</w:t>
            </w:r>
          </w:p>
        </w:tc>
        <w:tc>
          <w:tcPr>
            <w:tcW w:w="1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20" w:type="dxa"/>
            <w:vAlign w:val="bottom"/>
            <w:gridSpan w:val="3"/>
          </w:tcPr>
          <w:p>
            <w:pPr>
              <w:jc w:val="right"/>
              <w:ind w:right="180"/>
              <w:spacing w:after="0"/>
              <w:rPr>
                <w:sz w:val="20"/>
                <w:szCs w:val="20"/>
                <w:color w:val="auto"/>
              </w:rPr>
            </w:pPr>
            <w:r>
              <w:rPr>
                <w:rFonts w:ascii="Arial" w:cs="Arial" w:eastAsia="Arial" w:hAnsi="Arial"/>
                <w:sz w:val="22"/>
                <w:szCs w:val="22"/>
                <w:color w:val="auto"/>
              </w:rPr>
              <w:t>405</w:t>
            </w:r>
          </w:p>
        </w:tc>
        <w:tc>
          <w:tcPr>
            <w:tcW w:w="9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22"/>
                <w:szCs w:val="22"/>
                <w:color w:val="auto"/>
              </w:rPr>
              <w:t>418</w:t>
            </w:r>
          </w:p>
        </w:tc>
        <w:tc>
          <w:tcPr>
            <w:tcW w:w="0" w:type="dxa"/>
            <w:vAlign w:val="bottom"/>
          </w:tcPr>
          <w:p>
            <w:pPr>
              <w:spacing w:after="0"/>
              <w:rPr>
                <w:sz w:val="1"/>
                <w:szCs w:val="1"/>
                <w:color w:val="auto"/>
              </w:rPr>
            </w:pPr>
          </w:p>
        </w:tc>
      </w:tr>
      <w:tr>
        <w:trPr>
          <w:trHeight w:val="98"/>
        </w:trPr>
        <w:tc>
          <w:tcPr>
            <w:tcW w:w="780" w:type="dxa"/>
            <w:vAlign w:val="bottom"/>
          </w:tcPr>
          <w:p>
            <w:pPr>
              <w:spacing w:after="0"/>
              <w:rPr>
                <w:sz w:val="8"/>
                <w:szCs w:val="8"/>
                <w:color w:val="auto"/>
              </w:rPr>
            </w:pPr>
          </w:p>
        </w:tc>
        <w:tc>
          <w:tcPr>
            <w:tcW w:w="980" w:type="dxa"/>
            <w:vAlign w:val="bottom"/>
          </w:tcPr>
          <w:p>
            <w:pPr>
              <w:spacing w:after="0"/>
              <w:rPr>
                <w:sz w:val="8"/>
                <w:szCs w:val="8"/>
                <w:color w:val="auto"/>
              </w:rPr>
            </w:pPr>
          </w:p>
        </w:tc>
        <w:tc>
          <w:tcPr>
            <w:tcW w:w="8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55"/>
        </w:trPr>
        <w:tc>
          <w:tcPr>
            <w:tcW w:w="3340" w:type="dxa"/>
            <w:vAlign w:val="bottom"/>
            <w:gridSpan w:val="4"/>
          </w:tcPr>
          <w:p>
            <w:pPr>
              <w:ind w:left="280"/>
              <w:spacing w:after="0"/>
              <w:rPr>
                <w:sz w:val="20"/>
                <w:szCs w:val="20"/>
                <w:color w:val="auto"/>
              </w:rPr>
            </w:pPr>
            <w:r>
              <w:rPr>
                <w:rFonts w:ascii="Arial" w:cs="Arial" w:eastAsia="Arial" w:hAnsi="Arial"/>
                <w:sz w:val="22"/>
                <w:szCs w:val="22"/>
                <w:color w:val="auto"/>
              </w:rPr>
              <w:t>Total current assets</w:t>
            </w:r>
          </w:p>
        </w:tc>
        <w:tc>
          <w:tcPr>
            <w:tcW w:w="720" w:type="dxa"/>
            <w:vAlign w:val="bottom"/>
          </w:tcPr>
          <w:p>
            <w:pPr>
              <w:jc w:val="right"/>
              <w:spacing w:after="0"/>
              <w:rPr>
                <w:sz w:val="20"/>
                <w:szCs w:val="20"/>
                <w:color w:val="auto"/>
              </w:rPr>
            </w:pPr>
            <w:r>
              <w:rPr>
                <w:rFonts w:ascii="Arial" w:cs="Arial" w:eastAsia="Arial" w:hAnsi="Arial"/>
                <w:sz w:val="22"/>
                <w:szCs w:val="22"/>
                <w:color w:val="auto"/>
              </w:rPr>
              <w:t>13</w:t>
            </w: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20" w:type="dxa"/>
            <w:vAlign w:val="bottom"/>
            <w:gridSpan w:val="3"/>
          </w:tcPr>
          <w:p>
            <w:pPr>
              <w:jc w:val="right"/>
              <w:ind w:right="180"/>
              <w:spacing w:after="0"/>
              <w:rPr>
                <w:sz w:val="20"/>
                <w:szCs w:val="20"/>
                <w:color w:val="auto"/>
              </w:rPr>
            </w:pPr>
            <w:r>
              <w:rPr>
                <w:rFonts w:ascii="Arial" w:cs="Arial" w:eastAsia="Arial" w:hAnsi="Arial"/>
                <w:sz w:val="22"/>
                <w:szCs w:val="22"/>
                <w:color w:val="auto"/>
              </w:rPr>
              <w:t>4,405</w:t>
            </w: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2"/>
                <w:szCs w:val="22"/>
                <w:color w:val="auto"/>
              </w:rPr>
              <w:t>4,418</w:t>
            </w:r>
          </w:p>
        </w:tc>
        <w:tc>
          <w:tcPr>
            <w:tcW w:w="0" w:type="dxa"/>
            <w:vAlign w:val="bottom"/>
          </w:tcPr>
          <w:p>
            <w:pPr>
              <w:spacing w:after="0"/>
              <w:rPr>
                <w:sz w:val="1"/>
                <w:szCs w:val="1"/>
                <w:color w:val="auto"/>
              </w:rPr>
            </w:pPr>
          </w:p>
        </w:tc>
      </w:tr>
      <w:tr>
        <w:trPr>
          <w:trHeight w:val="98"/>
        </w:trPr>
        <w:tc>
          <w:tcPr>
            <w:tcW w:w="780" w:type="dxa"/>
            <w:vAlign w:val="bottom"/>
          </w:tcPr>
          <w:p>
            <w:pPr>
              <w:spacing w:after="0"/>
              <w:rPr>
                <w:sz w:val="8"/>
                <w:szCs w:val="8"/>
                <w:color w:val="auto"/>
              </w:rPr>
            </w:pPr>
          </w:p>
        </w:tc>
        <w:tc>
          <w:tcPr>
            <w:tcW w:w="980" w:type="dxa"/>
            <w:vAlign w:val="bottom"/>
          </w:tcPr>
          <w:p>
            <w:pPr>
              <w:spacing w:after="0"/>
              <w:rPr>
                <w:sz w:val="8"/>
                <w:szCs w:val="8"/>
                <w:color w:val="auto"/>
              </w:rPr>
            </w:pPr>
          </w:p>
        </w:tc>
        <w:tc>
          <w:tcPr>
            <w:tcW w:w="8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23"/>
        </w:trPr>
        <w:tc>
          <w:tcPr>
            <w:tcW w:w="3340" w:type="dxa"/>
            <w:vAlign w:val="bottom"/>
            <w:gridSpan w:val="4"/>
          </w:tcPr>
          <w:p>
            <w:pPr>
              <w:ind w:left="180"/>
              <w:spacing w:after="0"/>
              <w:rPr>
                <w:sz w:val="20"/>
                <w:szCs w:val="20"/>
                <w:color w:val="auto"/>
              </w:rPr>
            </w:pPr>
            <w:r>
              <w:rPr>
                <w:rFonts w:ascii="Arial" w:cs="Arial" w:eastAsia="Arial" w:hAnsi="Arial"/>
                <w:sz w:val="22"/>
                <w:szCs w:val="22"/>
                <w:color w:val="auto"/>
              </w:rPr>
              <w:t>INVESTMENTS</w:t>
            </w: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20" w:type="dxa"/>
            <w:vAlign w:val="bottom"/>
            <w:gridSpan w:val="3"/>
          </w:tcPr>
          <w:p>
            <w:pPr>
              <w:jc w:val="right"/>
              <w:ind w:right="180"/>
              <w:spacing w:after="0"/>
              <w:rPr>
                <w:sz w:val="20"/>
                <w:szCs w:val="20"/>
                <w:color w:val="auto"/>
              </w:rPr>
            </w:pPr>
            <w:r>
              <w:rPr>
                <w:rFonts w:ascii="Arial" w:cs="Arial" w:eastAsia="Arial" w:hAnsi="Arial"/>
                <w:sz w:val="22"/>
                <w:szCs w:val="22"/>
                <w:color w:val="auto"/>
              </w:rPr>
              <w:t>14,204</w:t>
            </w: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2"/>
                <w:szCs w:val="22"/>
                <w:color w:val="auto"/>
              </w:rPr>
              <w:t>14,204</w:t>
            </w:r>
          </w:p>
        </w:tc>
        <w:tc>
          <w:tcPr>
            <w:tcW w:w="0" w:type="dxa"/>
            <w:vAlign w:val="bottom"/>
          </w:tcPr>
          <w:p>
            <w:pPr>
              <w:spacing w:after="0"/>
              <w:rPr>
                <w:sz w:val="1"/>
                <w:szCs w:val="1"/>
                <w:color w:val="auto"/>
              </w:rPr>
            </w:pPr>
          </w:p>
        </w:tc>
      </w:tr>
      <w:tr>
        <w:trPr>
          <w:trHeight w:val="243"/>
        </w:trPr>
        <w:tc>
          <w:tcPr>
            <w:tcW w:w="3340" w:type="dxa"/>
            <w:vAlign w:val="bottom"/>
            <w:gridSpan w:val="4"/>
          </w:tcPr>
          <w:p>
            <w:pPr>
              <w:ind w:left="180"/>
              <w:spacing w:after="0" w:line="243" w:lineRule="exact"/>
              <w:rPr>
                <w:sz w:val="20"/>
                <w:szCs w:val="20"/>
                <w:color w:val="auto"/>
              </w:rPr>
            </w:pPr>
            <w:r>
              <w:rPr>
                <w:rFonts w:ascii="Arial" w:cs="Arial" w:eastAsia="Arial" w:hAnsi="Arial"/>
                <w:sz w:val="22"/>
                <w:szCs w:val="22"/>
                <w:color w:val="auto"/>
              </w:rPr>
              <w:t>INVESTMENTS IN AND</w:t>
            </w: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gridSpan w:val="4"/>
          </w:tcPr>
          <w:p>
            <w:pPr>
              <w:spacing w:after="0" w:line="243" w:lineRule="exact"/>
              <w:rPr>
                <w:sz w:val="20"/>
                <w:szCs w:val="20"/>
                <w:color w:val="auto"/>
              </w:rPr>
            </w:pPr>
            <w:r>
              <w:rPr>
                <w:rFonts w:ascii="Arial" w:cs="Arial" w:eastAsia="Arial" w:hAnsi="Arial"/>
                <w:sz w:val="22"/>
                <w:szCs w:val="22"/>
                <w:color w:val="auto"/>
              </w:rPr>
              <w:t>AMOUNTS DUE</w:t>
            </w: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gridSpan w:val="4"/>
          </w:tcPr>
          <w:p>
            <w:pPr>
              <w:ind w:left="280"/>
              <w:spacing w:after="0" w:line="243" w:lineRule="exact"/>
              <w:rPr>
                <w:sz w:val="20"/>
                <w:szCs w:val="20"/>
                <w:color w:val="auto"/>
              </w:rPr>
            </w:pPr>
            <w:r>
              <w:rPr>
                <w:rFonts w:ascii="Arial" w:cs="Arial" w:eastAsia="Arial" w:hAnsi="Arial"/>
                <w:sz w:val="22"/>
                <w:szCs w:val="22"/>
                <w:color w:val="auto"/>
              </w:rPr>
              <w:t>FROM SUBSIDIARIES</w:t>
            </w: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gridSpan w:val="4"/>
          </w:tcPr>
          <w:p>
            <w:pPr>
              <w:spacing w:after="0" w:line="243" w:lineRule="exact"/>
              <w:rPr>
                <w:sz w:val="20"/>
                <w:szCs w:val="20"/>
                <w:color w:val="auto"/>
              </w:rPr>
            </w:pPr>
            <w:r>
              <w:rPr>
                <w:rFonts w:ascii="Arial" w:cs="Arial" w:eastAsia="Arial" w:hAnsi="Arial"/>
                <w:sz w:val="22"/>
                <w:szCs w:val="22"/>
                <w:color w:val="auto"/>
              </w:rPr>
              <w:t>ELIMINATED</w:t>
            </w: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gridSpan w:val="4"/>
          </w:tcPr>
          <w:p>
            <w:pPr>
              <w:ind w:left="280"/>
              <w:spacing w:after="0" w:line="243" w:lineRule="exact"/>
              <w:rPr>
                <w:sz w:val="20"/>
                <w:szCs w:val="20"/>
                <w:color w:val="auto"/>
              </w:rPr>
            </w:pPr>
            <w:r>
              <w:rPr>
                <w:rFonts w:ascii="Arial" w:cs="Arial" w:eastAsia="Arial" w:hAnsi="Arial"/>
                <w:sz w:val="22"/>
                <w:szCs w:val="22"/>
                <w:color w:val="auto"/>
              </w:rPr>
              <w:t>UPON CONSOLIDATION</w:t>
            </w:r>
          </w:p>
        </w:tc>
        <w:tc>
          <w:tcPr>
            <w:tcW w:w="720" w:type="dxa"/>
            <w:vAlign w:val="bottom"/>
          </w:tcPr>
          <w:p>
            <w:pPr>
              <w:jc w:val="right"/>
              <w:spacing w:after="0" w:line="243" w:lineRule="exact"/>
              <w:rPr>
                <w:sz w:val="20"/>
                <w:szCs w:val="20"/>
                <w:color w:val="auto"/>
              </w:rPr>
            </w:pPr>
            <w:r>
              <w:rPr>
                <w:rFonts w:ascii="Arial" w:cs="Arial" w:eastAsia="Arial" w:hAnsi="Arial"/>
                <w:sz w:val="22"/>
                <w:szCs w:val="22"/>
                <w:color w:val="auto"/>
              </w:rPr>
              <w:t>46,653</w:t>
            </w:r>
          </w:p>
        </w:tc>
        <w:tc>
          <w:tcPr>
            <w:tcW w:w="1060" w:type="dxa"/>
            <w:vAlign w:val="bottom"/>
            <w:gridSpan w:val="3"/>
          </w:tcPr>
          <w:p>
            <w:pPr>
              <w:jc w:val="right"/>
              <w:ind w:right="160"/>
              <w:spacing w:after="0" w:line="243" w:lineRule="exact"/>
              <w:rPr>
                <w:sz w:val="20"/>
                <w:szCs w:val="20"/>
                <w:color w:val="auto"/>
              </w:rPr>
            </w:pPr>
            <w:r>
              <w:rPr>
                <w:rFonts w:ascii="Arial" w:cs="Arial" w:eastAsia="Arial" w:hAnsi="Arial"/>
                <w:sz w:val="22"/>
                <w:szCs w:val="22"/>
                <w:color w:val="auto"/>
              </w:rPr>
              <w:t>26,652</w:t>
            </w:r>
          </w:p>
        </w:tc>
        <w:tc>
          <w:tcPr>
            <w:tcW w:w="720" w:type="dxa"/>
            <w:vAlign w:val="bottom"/>
          </w:tcPr>
          <w:p>
            <w:pPr>
              <w:jc w:val="right"/>
              <w:spacing w:after="0" w:line="243" w:lineRule="exact"/>
              <w:rPr>
                <w:sz w:val="20"/>
                <w:szCs w:val="20"/>
                <w:color w:val="auto"/>
              </w:rPr>
            </w:pPr>
            <w:r>
              <w:rPr>
                <w:rFonts w:ascii="Arial" w:cs="Arial" w:eastAsia="Arial" w:hAnsi="Arial"/>
                <w:sz w:val="22"/>
                <w:szCs w:val="22"/>
                <w:color w:val="auto"/>
              </w:rPr>
              <w:t>33,539</w:t>
            </w:r>
          </w:p>
        </w:tc>
        <w:tc>
          <w:tcPr>
            <w:tcW w:w="92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40,224</w:t>
            </w:r>
          </w:p>
        </w:tc>
        <w:tc>
          <w:tcPr>
            <w:tcW w:w="1220" w:type="dxa"/>
            <w:vAlign w:val="bottom"/>
            <w:gridSpan w:val="3"/>
          </w:tcPr>
          <w:p>
            <w:pPr>
              <w:jc w:val="right"/>
              <w:ind w:right="180"/>
              <w:spacing w:after="0" w:line="243" w:lineRule="exact"/>
              <w:rPr>
                <w:sz w:val="20"/>
                <w:szCs w:val="20"/>
                <w:color w:val="auto"/>
              </w:rPr>
            </w:pPr>
            <w:r>
              <w:rPr>
                <w:rFonts w:ascii="Arial" w:cs="Arial" w:eastAsia="Arial" w:hAnsi="Arial"/>
                <w:sz w:val="22"/>
                <w:szCs w:val="22"/>
                <w:color w:val="auto"/>
              </w:rPr>
              <w:t>20,108</w:t>
            </w:r>
          </w:p>
        </w:tc>
        <w:tc>
          <w:tcPr>
            <w:tcW w:w="1180" w:type="dxa"/>
            <w:vAlign w:val="bottom"/>
            <w:gridSpan w:val="2"/>
          </w:tcPr>
          <w:p>
            <w:pPr>
              <w:jc w:val="right"/>
              <w:ind w:right="120"/>
              <w:spacing w:after="0" w:line="243" w:lineRule="exact"/>
              <w:rPr>
                <w:sz w:val="20"/>
                <w:szCs w:val="20"/>
                <w:color w:val="auto"/>
              </w:rPr>
            </w:pPr>
            <w:r>
              <w:rPr>
                <w:rFonts w:ascii="Arial" w:cs="Arial" w:eastAsia="Arial" w:hAnsi="Arial"/>
                <w:sz w:val="22"/>
                <w:szCs w:val="22"/>
                <w:color w:val="auto"/>
              </w:rPr>
              <w:t>(167,176)</w:t>
            </w: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gridSpan w:val="4"/>
          </w:tcPr>
          <w:p>
            <w:pPr>
              <w:ind w:left="180"/>
              <w:spacing w:after="0" w:line="243" w:lineRule="exact"/>
              <w:rPr>
                <w:sz w:val="20"/>
                <w:szCs w:val="20"/>
                <w:color w:val="auto"/>
              </w:rPr>
            </w:pPr>
            <w:r>
              <w:rPr>
                <w:rFonts w:ascii="Arial" w:cs="Arial" w:eastAsia="Arial" w:hAnsi="Arial"/>
                <w:sz w:val="22"/>
                <w:szCs w:val="22"/>
                <w:color w:val="auto"/>
                <w:w w:val="99"/>
              </w:rPr>
              <w:t>PROPERTY AND EQUIPMENT,</w:t>
            </w: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gridSpan w:val="4"/>
          </w:tcPr>
          <w:p>
            <w:pPr>
              <w:spacing w:after="0" w:line="243" w:lineRule="exact"/>
              <w:rPr>
                <w:sz w:val="20"/>
                <w:szCs w:val="20"/>
                <w:color w:val="auto"/>
              </w:rPr>
            </w:pPr>
            <w:r>
              <w:rPr>
                <w:rFonts w:ascii="Arial" w:cs="Arial" w:eastAsia="Arial" w:hAnsi="Arial"/>
                <w:sz w:val="22"/>
                <w:szCs w:val="22"/>
                <w:color w:val="auto"/>
              </w:rPr>
              <w:t>net</w:t>
            </w:r>
          </w:p>
        </w:tc>
        <w:tc>
          <w:tcPr>
            <w:tcW w:w="720" w:type="dxa"/>
            <w:vAlign w:val="bottom"/>
          </w:tcPr>
          <w:p>
            <w:pPr>
              <w:jc w:val="right"/>
              <w:spacing w:after="0" w:line="243" w:lineRule="exact"/>
              <w:rPr>
                <w:sz w:val="20"/>
                <w:szCs w:val="20"/>
                <w:color w:val="auto"/>
              </w:rPr>
            </w:pPr>
            <w:r>
              <w:rPr>
                <w:rFonts w:ascii="Arial" w:cs="Arial" w:eastAsia="Arial" w:hAnsi="Arial"/>
                <w:sz w:val="22"/>
                <w:szCs w:val="22"/>
                <w:color w:val="auto"/>
              </w:rPr>
              <w:t>8</w:t>
            </w: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spacing w:after="0" w:line="243" w:lineRule="exact"/>
              <w:rPr>
                <w:sz w:val="20"/>
                <w:szCs w:val="20"/>
                <w:color w:val="auto"/>
              </w:rPr>
            </w:pPr>
            <w:r>
              <w:rPr>
                <w:rFonts w:ascii="Arial" w:cs="Arial" w:eastAsia="Arial" w:hAnsi="Arial"/>
                <w:sz w:val="22"/>
                <w:szCs w:val="22"/>
                <w:color w:val="auto"/>
              </w:rPr>
              <w:t>3</w:t>
            </w: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20" w:type="dxa"/>
            <w:vAlign w:val="bottom"/>
            <w:gridSpan w:val="3"/>
          </w:tcPr>
          <w:p>
            <w:pPr>
              <w:jc w:val="right"/>
              <w:ind w:right="180"/>
              <w:spacing w:after="0" w:line="243" w:lineRule="exact"/>
              <w:rPr>
                <w:sz w:val="20"/>
                <w:szCs w:val="20"/>
                <w:color w:val="auto"/>
              </w:rPr>
            </w:pPr>
            <w:r>
              <w:rPr>
                <w:rFonts w:ascii="Arial" w:cs="Arial" w:eastAsia="Arial" w:hAnsi="Arial"/>
                <w:sz w:val="22"/>
                <w:szCs w:val="22"/>
                <w:color w:val="auto"/>
              </w:rPr>
              <w:t>18,604</w:t>
            </w: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line="243" w:lineRule="exact"/>
              <w:rPr>
                <w:sz w:val="20"/>
                <w:szCs w:val="20"/>
                <w:color w:val="auto"/>
              </w:rPr>
            </w:pPr>
            <w:r>
              <w:rPr>
                <w:rFonts w:ascii="Arial" w:cs="Arial" w:eastAsia="Arial" w:hAnsi="Arial"/>
                <w:sz w:val="22"/>
                <w:szCs w:val="22"/>
                <w:color w:val="auto"/>
              </w:rPr>
              <w:t>18,615</w:t>
            </w:r>
          </w:p>
        </w:tc>
        <w:tc>
          <w:tcPr>
            <w:tcW w:w="0" w:type="dxa"/>
            <w:vAlign w:val="bottom"/>
          </w:tcPr>
          <w:p>
            <w:pPr>
              <w:spacing w:after="0"/>
              <w:rPr>
                <w:sz w:val="1"/>
                <w:szCs w:val="1"/>
                <w:color w:val="auto"/>
              </w:rPr>
            </w:pPr>
          </w:p>
        </w:tc>
      </w:tr>
      <w:tr>
        <w:trPr>
          <w:trHeight w:val="243"/>
        </w:trPr>
        <w:tc>
          <w:tcPr>
            <w:tcW w:w="3340" w:type="dxa"/>
            <w:vAlign w:val="bottom"/>
            <w:gridSpan w:val="4"/>
          </w:tcPr>
          <w:p>
            <w:pPr>
              <w:ind w:left="180"/>
              <w:spacing w:after="0" w:line="243" w:lineRule="exact"/>
              <w:rPr>
                <w:sz w:val="20"/>
                <w:szCs w:val="20"/>
                <w:color w:val="auto"/>
              </w:rPr>
            </w:pPr>
            <w:r>
              <w:rPr>
                <w:rFonts w:ascii="Arial" w:cs="Arial" w:eastAsia="Arial" w:hAnsi="Arial"/>
                <w:sz w:val="22"/>
                <w:szCs w:val="22"/>
                <w:color w:val="auto"/>
              </w:rPr>
              <w:t>FRANCHISE RIGHTS</w:t>
            </w: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20" w:type="dxa"/>
            <w:vAlign w:val="bottom"/>
            <w:gridSpan w:val="3"/>
          </w:tcPr>
          <w:p>
            <w:pPr>
              <w:jc w:val="right"/>
              <w:ind w:right="180"/>
              <w:spacing w:after="0" w:line="243" w:lineRule="exact"/>
              <w:rPr>
                <w:sz w:val="20"/>
                <w:szCs w:val="20"/>
                <w:color w:val="auto"/>
              </w:rPr>
            </w:pPr>
            <w:r>
              <w:rPr>
                <w:rFonts w:ascii="Arial" w:cs="Arial" w:eastAsia="Arial" w:hAnsi="Arial"/>
                <w:sz w:val="22"/>
                <w:szCs w:val="22"/>
                <w:color w:val="auto"/>
              </w:rPr>
              <w:t>51,070</w:t>
            </w: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line="243" w:lineRule="exact"/>
              <w:rPr>
                <w:sz w:val="20"/>
                <w:szCs w:val="20"/>
                <w:color w:val="auto"/>
              </w:rPr>
            </w:pPr>
            <w:r>
              <w:rPr>
                <w:rFonts w:ascii="Arial" w:cs="Arial" w:eastAsia="Arial" w:hAnsi="Arial"/>
                <w:sz w:val="22"/>
                <w:szCs w:val="22"/>
                <w:color w:val="auto"/>
              </w:rPr>
              <w:t>51,070</w:t>
            </w:r>
          </w:p>
        </w:tc>
        <w:tc>
          <w:tcPr>
            <w:tcW w:w="0" w:type="dxa"/>
            <w:vAlign w:val="bottom"/>
          </w:tcPr>
          <w:p>
            <w:pPr>
              <w:spacing w:after="0"/>
              <w:rPr>
                <w:sz w:val="1"/>
                <w:szCs w:val="1"/>
                <w:color w:val="auto"/>
              </w:rPr>
            </w:pPr>
          </w:p>
        </w:tc>
      </w:tr>
      <w:tr>
        <w:trPr>
          <w:trHeight w:val="243"/>
        </w:trPr>
        <w:tc>
          <w:tcPr>
            <w:tcW w:w="3340" w:type="dxa"/>
            <w:vAlign w:val="bottom"/>
            <w:gridSpan w:val="4"/>
          </w:tcPr>
          <w:p>
            <w:pPr>
              <w:ind w:left="180"/>
              <w:spacing w:after="0" w:line="243" w:lineRule="exact"/>
              <w:rPr>
                <w:sz w:val="20"/>
                <w:szCs w:val="20"/>
                <w:color w:val="auto"/>
              </w:rPr>
            </w:pPr>
            <w:r>
              <w:rPr>
                <w:rFonts w:ascii="Arial" w:cs="Arial" w:eastAsia="Arial" w:hAnsi="Arial"/>
                <w:sz w:val="22"/>
                <w:szCs w:val="22"/>
                <w:color w:val="auto"/>
              </w:rPr>
              <w:t>GOODWILL</w:t>
            </w: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20" w:type="dxa"/>
            <w:vAlign w:val="bottom"/>
            <w:gridSpan w:val="3"/>
          </w:tcPr>
          <w:p>
            <w:pPr>
              <w:jc w:val="right"/>
              <w:ind w:right="180"/>
              <w:spacing w:after="0" w:line="243" w:lineRule="exact"/>
              <w:rPr>
                <w:sz w:val="20"/>
                <w:szCs w:val="20"/>
                <w:color w:val="auto"/>
              </w:rPr>
            </w:pPr>
            <w:r>
              <w:rPr>
                <w:rFonts w:ascii="Arial" w:cs="Arial" w:eastAsia="Arial" w:hAnsi="Arial"/>
                <w:sz w:val="22"/>
                <w:szCs w:val="22"/>
                <w:color w:val="auto"/>
              </w:rPr>
              <w:t>14,816</w:t>
            </w: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line="243" w:lineRule="exact"/>
              <w:rPr>
                <w:sz w:val="20"/>
                <w:szCs w:val="20"/>
                <w:color w:val="auto"/>
              </w:rPr>
            </w:pPr>
            <w:r>
              <w:rPr>
                <w:rFonts w:ascii="Arial" w:cs="Arial" w:eastAsia="Arial" w:hAnsi="Arial"/>
                <w:sz w:val="22"/>
                <w:szCs w:val="22"/>
                <w:color w:val="auto"/>
              </w:rPr>
              <w:t>14,816</w:t>
            </w:r>
          </w:p>
        </w:tc>
        <w:tc>
          <w:tcPr>
            <w:tcW w:w="0" w:type="dxa"/>
            <w:vAlign w:val="bottom"/>
          </w:tcPr>
          <w:p>
            <w:pPr>
              <w:spacing w:after="0"/>
              <w:rPr>
                <w:sz w:val="1"/>
                <w:szCs w:val="1"/>
                <w:color w:val="auto"/>
              </w:rPr>
            </w:pPr>
          </w:p>
        </w:tc>
      </w:tr>
      <w:tr>
        <w:trPr>
          <w:trHeight w:val="243"/>
        </w:trPr>
        <w:tc>
          <w:tcPr>
            <w:tcW w:w="3340" w:type="dxa"/>
            <w:vAlign w:val="bottom"/>
            <w:gridSpan w:val="4"/>
          </w:tcPr>
          <w:p>
            <w:pPr>
              <w:ind w:left="180"/>
              <w:spacing w:after="0" w:line="243" w:lineRule="exact"/>
              <w:rPr>
                <w:sz w:val="20"/>
                <w:szCs w:val="20"/>
                <w:color w:val="auto"/>
              </w:rPr>
            </w:pPr>
            <w:r>
              <w:rPr>
                <w:rFonts w:ascii="Arial" w:cs="Arial" w:eastAsia="Arial" w:hAnsi="Arial"/>
                <w:sz w:val="22"/>
                <w:szCs w:val="22"/>
                <w:color w:val="auto"/>
              </w:rPr>
              <w:t>OTHER INTANGIBLE ASSETS,</w:t>
            </w: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gridSpan w:val="4"/>
          </w:tcPr>
          <w:p>
            <w:pPr>
              <w:spacing w:after="0" w:line="243" w:lineRule="exact"/>
              <w:rPr>
                <w:sz w:val="20"/>
                <w:szCs w:val="20"/>
                <w:color w:val="auto"/>
              </w:rPr>
            </w:pPr>
            <w:r>
              <w:rPr>
                <w:rFonts w:ascii="Arial" w:cs="Arial" w:eastAsia="Arial" w:hAnsi="Arial"/>
                <w:sz w:val="22"/>
                <w:szCs w:val="22"/>
                <w:color w:val="auto"/>
              </w:rPr>
              <w:t>net</w:t>
            </w:r>
          </w:p>
        </w:tc>
        <w:tc>
          <w:tcPr>
            <w:tcW w:w="720" w:type="dxa"/>
            <w:vAlign w:val="bottom"/>
          </w:tcPr>
          <w:p>
            <w:pPr>
              <w:jc w:val="right"/>
              <w:spacing w:after="0" w:line="243" w:lineRule="exact"/>
              <w:rPr>
                <w:sz w:val="20"/>
                <w:szCs w:val="20"/>
                <w:color w:val="auto"/>
              </w:rPr>
            </w:pPr>
            <w:r>
              <w:rPr>
                <w:rFonts w:ascii="Arial" w:cs="Arial" w:eastAsia="Arial" w:hAnsi="Arial"/>
                <w:sz w:val="22"/>
                <w:szCs w:val="22"/>
                <w:color w:val="auto"/>
              </w:rPr>
              <w:t>47</w:t>
            </w: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20" w:type="dxa"/>
            <w:vAlign w:val="bottom"/>
            <w:gridSpan w:val="3"/>
          </w:tcPr>
          <w:p>
            <w:pPr>
              <w:jc w:val="right"/>
              <w:ind w:right="180"/>
              <w:spacing w:after="0" w:line="243" w:lineRule="exact"/>
              <w:rPr>
                <w:sz w:val="20"/>
                <w:szCs w:val="20"/>
                <w:color w:val="auto"/>
              </w:rPr>
            </w:pPr>
            <w:r>
              <w:rPr>
                <w:rFonts w:ascii="Arial" w:cs="Arial" w:eastAsia="Arial" w:hAnsi="Arial"/>
                <w:sz w:val="22"/>
                <w:szCs w:val="22"/>
                <w:color w:val="auto"/>
              </w:rPr>
              <w:t>4,275</w:t>
            </w: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line="243" w:lineRule="exact"/>
              <w:rPr>
                <w:sz w:val="20"/>
                <w:szCs w:val="20"/>
                <w:color w:val="auto"/>
              </w:rPr>
            </w:pPr>
            <w:r>
              <w:rPr>
                <w:rFonts w:ascii="Arial" w:cs="Arial" w:eastAsia="Arial" w:hAnsi="Arial"/>
                <w:sz w:val="22"/>
                <w:szCs w:val="22"/>
                <w:color w:val="auto"/>
              </w:rPr>
              <w:t>4,322</w:t>
            </w:r>
          </w:p>
        </w:tc>
        <w:tc>
          <w:tcPr>
            <w:tcW w:w="0" w:type="dxa"/>
            <w:vAlign w:val="bottom"/>
          </w:tcPr>
          <w:p>
            <w:pPr>
              <w:spacing w:after="0"/>
              <w:rPr>
                <w:sz w:val="1"/>
                <w:szCs w:val="1"/>
                <w:color w:val="auto"/>
              </w:rPr>
            </w:pPr>
          </w:p>
        </w:tc>
      </w:tr>
      <w:tr>
        <w:trPr>
          <w:trHeight w:val="243"/>
        </w:trPr>
        <w:tc>
          <w:tcPr>
            <w:tcW w:w="3340" w:type="dxa"/>
            <w:vAlign w:val="bottom"/>
            <w:gridSpan w:val="4"/>
          </w:tcPr>
          <w:p>
            <w:pPr>
              <w:ind w:left="180"/>
              <w:spacing w:after="0" w:line="243" w:lineRule="exact"/>
              <w:rPr>
                <w:sz w:val="20"/>
                <w:szCs w:val="20"/>
                <w:color w:val="auto"/>
              </w:rPr>
            </w:pPr>
            <w:r>
              <w:rPr>
                <w:rFonts w:ascii="Arial" w:cs="Arial" w:eastAsia="Arial" w:hAnsi="Arial"/>
                <w:sz w:val="22"/>
                <w:szCs w:val="22"/>
                <w:color w:val="auto"/>
              </w:rPr>
              <w:t>OTHER NONCURRENT</w:t>
            </w: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3340" w:type="dxa"/>
            <w:vAlign w:val="bottom"/>
            <w:gridSpan w:val="4"/>
          </w:tcPr>
          <w:p>
            <w:pPr>
              <w:spacing w:after="0"/>
              <w:rPr>
                <w:sz w:val="20"/>
                <w:szCs w:val="20"/>
                <w:color w:val="auto"/>
              </w:rPr>
            </w:pPr>
            <w:r>
              <w:rPr>
                <w:rFonts w:ascii="Arial" w:cs="Arial" w:eastAsia="Arial" w:hAnsi="Arial"/>
                <w:sz w:val="22"/>
                <w:szCs w:val="22"/>
                <w:color w:val="auto"/>
              </w:rPr>
              <w:t>ASSETS, net</w:t>
            </w:r>
          </w:p>
        </w:tc>
        <w:tc>
          <w:tcPr>
            <w:tcW w:w="720" w:type="dxa"/>
            <w:vAlign w:val="bottom"/>
          </w:tcPr>
          <w:p>
            <w:pPr>
              <w:jc w:val="right"/>
              <w:spacing w:after="0"/>
              <w:rPr>
                <w:sz w:val="20"/>
                <w:szCs w:val="20"/>
                <w:color w:val="auto"/>
              </w:rPr>
            </w:pPr>
            <w:r>
              <w:rPr>
                <w:rFonts w:ascii="Arial" w:cs="Arial" w:eastAsia="Arial" w:hAnsi="Arial"/>
                <w:sz w:val="22"/>
                <w:szCs w:val="22"/>
                <w:color w:val="auto"/>
              </w:rPr>
              <w:t>48</w:t>
            </w:r>
          </w:p>
        </w:tc>
        <w:tc>
          <w:tcPr>
            <w:tcW w:w="1060" w:type="dxa"/>
            <w:vAlign w:val="bottom"/>
            <w:gridSpan w:val="3"/>
          </w:tcPr>
          <w:p>
            <w:pPr>
              <w:jc w:val="right"/>
              <w:ind w:right="160"/>
              <w:spacing w:after="0"/>
              <w:rPr>
                <w:sz w:val="20"/>
                <w:szCs w:val="20"/>
                <w:color w:val="auto"/>
              </w:rPr>
            </w:pPr>
            <w:r>
              <w:rPr>
                <w:rFonts w:ascii="Arial" w:cs="Arial" w:eastAsia="Arial" w:hAnsi="Arial"/>
                <w:sz w:val="22"/>
                <w:szCs w:val="22"/>
                <w:color w:val="auto"/>
              </w:rPr>
              <w:t>36</w:t>
            </w:r>
          </w:p>
        </w:tc>
        <w:tc>
          <w:tcPr>
            <w:tcW w:w="720" w:type="dxa"/>
            <w:vAlign w:val="bottom"/>
          </w:tcPr>
          <w:p>
            <w:pPr>
              <w:jc w:val="right"/>
              <w:spacing w:after="0"/>
              <w:rPr>
                <w:sz w:val="20"/>
                <w:szCs w:val="20"/>
                <w:color w:val="auto"/>
              </w:rPr>
            </w:pPr>
            <w:r>
              <w:rPr>
                <w:rFonts w:ascii="Arial" w:cs="Arial" w:eastAsia="Arial" w:hAnsi="Arial"/>
                <w:sz w:val="22"/>
                <w:szCs w:val="22"/>
                <w:color w:val="auto"/>
              </w:rPr>
              <w:t>29</w:t>
            </w:r>
          </w:p>
        </w:tc>
        <w:tc>
          <w:tcPr>
            <w:tcW w:w="1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20" w:type="dxa"/>
            <w:vAlign w:val="bottom"/>
            <w:gridSpan w:val="3"/>
          </w:tcPr>
          <w:p>
            <w:pPr>
              <w:jc w:val="right"/>
              <w:ind w:right="180"/>
              <w:spacing w:after="0"/>
              <w:rPr>
                <w:sz w:val="20"/>
                <w:szCs w:val="20"/>
                <w:color w:val="auto"/>
              </w:rPr>
            </w:pPr>
            <w:r>
              <w:rPr>
                <w:rFonts w:ascii="Arial" w:cs="Arial" w:eastAsia="Arial" w:hAnsi="Arial"/>
                <w:sz w:val="22"/>
                <w:szCs w:val="22"/>
                <w:color w:val="auto"/>
              </w:rPr>
              <w:t>523</w:t>
            </w:r>
          </w:p>
        </w:tc>
        <w:tc>
          <w:tcPr>
            <w:tcW w:w="9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22"/>
                <w:szCs w:val="22"/>
                <w:color w:val="auto"/>
              </w:rPr>
              <w:t>636</w:t>
            </w:r>
          </w:p>
        </w:tc>
        <w:tc>
          <w:tcPr>
            <w:tcW w:w="0" w:type="dxa"/>
            <w:vAlign w:val="bottom"/>
          </w:tcPr>
          <w:p>
            <w:pPr>
              <w:spacing w:after="0"/>
              <w:rPr>
                <w:sz w:val="1"/>
                <w:szCs w:val="1"/>
                <w:color w:val="auto"/>
              </w:rPr>
            </w:pPr>
          </w:p>
        </w:tc>
      </w:tr>
      <w:tr>
        <w:trPr>
          <w:trHeight w:val="98"/>
        </w:trPr>
        <w:tc>
          <w:tcPr>
            <w:tcW w:w="780" w:type="dxa"/>
            <w:vAlign w:val="bottom"/>
          </w:tcPr>
          <w:p>
            <w:pPr>
              <w:spacing w:after="0"/>
              <w:rPr>
                <w:sz w:val="8"/>
                <w:szCs w:val="8"/>
                <w:color w:val="auto"/>
              </w:rPr>
            </w:pPr>
          </w:p>
        </w:tc>
        <w:tc>
          <w:tcPr>
            <w:tcW w:w="980" w:type="dxa"/>
            <w:vAlign w:val="bottom"/>
          </w:tcPr>
          <w:p>
            <w:pPr>
              <w:spacing w:after="0"/>
              <w:rPr>
                <w:sz w:val="8"/>
                <w:szCs w:val="8"/>
                <w:color w:val="auto"/>
              </w:rPr>
            </w:pPr>
          </w:p>
        </w:tc>
        <w:tc>
          <w:tcPr>
            <w:tcW w:w="8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598"/>
        </w:trPr>
        <w:tc>
          <w:tcPr>
            <w:tcW w:w="3340" w:type="dxa"/>
            <w:vAlign w:val="bottom"/>
            <w:gridSpan w:val="4"/>
          </w:tcPr>
          <w:p>
            <w:pPr>
              <w:ind w:left="160"/>
              <w:spacing w:after="0"/>
              <w:rPr>
                <w:sz w:val="20"/>
                <w:szCs w:val="20"/>
                <w:color w:val="auto"/>
              </w:rPr>
            </w:pPr>
            <w:r>
              <w:rPr>
                <w:rFonts w:ascii="Arial" w:cs="Arial" w:eastAsia="Arial" w:hAnsi="Arial"/>
                <w:sz w:val="22"/>
                <w:szCs w:val="22"/>
                <w:color w:val="auto"/>
              </w:rPr>
              <w:t>Total Assets</w:t>
            </w:r>
          </w:p>
        </w:tc>
        <w:tc>
          <w:tcPr>
            <w:tcW w:w="720" w:type="dxa"/>
            <w:vAlign w:val="bottom"/>
          </w:tcPr>
          <w:p>
            <w:pPr>
              <w:jc w:val="right"/>
              <w:spacing w:after="0"/>
              <w:rPr>
                <w:sz w:val="20"/>
                <w:szCs w:val="20"/>
                <w:color w:val="auto"/>
              </w:rPr>
            </w:pPr>
            <w:r>
              <w:rPr>
                <w:rFonts w:ascii="Arial" w:cs="Arial" w:eastAsia="Arial" w:hAnsi="Arial"/>
                <w:sz w:val="22"/>
                <w:szCs w:val="22"/>
                <w:color w:val="auto"/>
                <w:w w:val="87"/>
              </w:rPr>
              <w:t>$46,769</w:t>
            </w:r>
          </w:p>
        </w:tc>
        <w:tc>
          <w:tcPr>
            <w:tcW w:w="1060" w:type="dxa"/>
            <w:vAlign w:val="bottom"/>
            <w:gridSpan w:val="3"/>
          </w:tcPr>
          <w:p>
            <w:pPr>
              <w:jc w:val="right"/>
              <w:ind w:right="160"/>
              <w:spacing w:after="0"/>
              <w:rPr>
                <w:sz w:val="20"/>
                <w:szCs w:val="20"/>
                <w:color w:val="auto"/>
              </w:rPr>
            </w:pPr>
            <w:r>
              <w:rPr>
                <w:rFonts w:ascii="Arial" w:cs="Arial" w:eastAsia="Arial" w:hAnsi="Arial"/>
                <w:sz w:val="22"/>
                <w:szCs w:val="22"/>
                <w:color w:val="auto"/>
              </w:rPr>
              <w:t>$26,688</w:t>
            </w:r>
          </w:p>
        </w:tc>
        <w:tc>
          <w:tcPr>
            <w:tcW w:w="720" w:type="dxa"/>
            <w:vAlign w:val="bottom"/>
          </w:tcPr>
          <w:p>
            <w:pPr>
              <w:jc w:val="right"/>
              <w:spacing w:after="0"/>
              <w:rPr>
                <w:sz w:val="20"/>
                <w:szCs w:val="20"/>
                <w:color w:val="auto"/>
              </w:rPr>
            </w:pPr>
            <w:r>
              <w:rPr>
                <w:rFonts w:ascii="Arial" w:cs="Arial" w:eastAsia="Arial" w:hAnsi="Arial"/>
                <w:sz w:val="22"/>
                <w:szCs w:val="22"/>
                <w:color w:val="auto"/>
                <w:w w:val="87"/>
              </w:rPr>
              <w:t>$33,571</w:t>
            </w:r>
          </w:p>
        </w:tc>
        <w:tc>
          <w:tcPr>
            <w:tcW w:w="920" w:type="dxa"/>
            <w:vAlign w:val="bottom"/>
            <w:gridSpan w:val="2"/>
          </w:tcPr>
          <w:p>
            <w:pPr>
              <w:jc w:val="right"/>
              <w:spacing w:after="0"/>
              <w:rPr>
                <w:sz w:val="20"/>
                <w:szCs w:val="20"/>
                <w:color w:val="auto"/>
              </w:rPr>
            </w:pPr>
            <w:r>
              <w:rPr>
                <w:rFonts w:ascii="Arial" w:cs="Arial" w:eastAsia="Arial" w:hAnsi="Arial"/>
                <w:sz w:val="22"/>
                <w:szCs w:val="22"/>
                <w:color w:val="auto"/>
              </w:rPr>
              <w:t>$40,224</w:t>
            </w:r>
          </w:p>
        </w:tc>
        <w:tc>
          <w:tcPr>
            <w:tcW w:w="1220" w:type="dxa"/>
            <w:vAlign w:val="bottom"/>
            <w:gridSpan w:val="3"/>
          </w:tcPr>
          <w:p>
            <w:pPr>
              <w:jc w:val="right"/>
              <w:ind w:right="180"/>
              <w:spacing w:after="0"/>
              <w:rPr>
                <w:sz w:val="20"/>
                <w:szCs w:val="20"/>
                <w:color w:val="auto"/>
              </w:rPr>
            </w:pPr>
            <w:r>
              <w:rPr>
                <w:rFonts w:ascii="Arial" w:cs="Arial" w:eastAsia="Arial" w:hAnsi="Arial"/>
                <w:sz w:val="22"/>
                <w:szCs w:val="22"/>
                <w:color w:val="auto"/>
              </w:rPr>
              <w:t>$128,005</w:t>
            </w:r>
          </w:p>
        </w:tc>
        <w:tc>
          <w:tcPr>
            <w:tcW w:w="1180" w:type="dxa"/>
            <w:vAlign w:val="bottom"/>
            <w:gridSpan w:val="2"/>
          </w:tcPr>
          <w:p>
            <w:pPr>
              <w:jc w:val="right"/>
              <w:ind w:right="120"/>
              <w:spacing w:after="0"/>
              <w:rPr>
                <w:sz w:val="20"/>
                <w:szCs w:val="20"/>
                <w:color w:val="auto"/>
              </w:rPr>
            </w:pPr>
            <w:r>
              <w:rPr>
                <w:rFonts w:ascii="Arial" w:cs="Arial" w:eastAsia="Arial" w:hAnsi="Arial"/>
                <w:sz w:val="22"/>
                <w:szCs w:val="22"/>
                <w:color w:val="auto"/>
                <w:w w:val="97"/>
              </w:rPr>
              <w:t>($167,176)</w:t>
            </w:r>
          </w:p>
        </w:tc>
        <w:tc>
          <w:tcPr>
            <w:tcW w:w="920" w:type="dxa"/>
            <w:vAlign w:val="bottom"/>
          </w:tcPr>
          <w:p>
            <w:pPr>
              <w:jc w:val="right"/>
              <w:spacing w:after="0"/>
              <w:rPr>
                <w:sz w:val="20"/>
                <w:szCs w:val="20"/>
                <w:color w:val="auto"/>
              </w:rPr>
            </w:pPr>
            <w:r>
              <w:rPr>
                <w:rFonts w:ascii="Arial" w:cs="Arial" w:eastAsia="Arial" w:hAnsi="Arial"/>
                <w:sz w:val="22"/>
                <w:szCs w:val="22"/>
                <w:color w:val="auto"/>
                <w:w w:val="98"/>
              </w:rPr>
              <w:t>$108,081</w:t>
            </w:r>
          </w:p>
        </w:tc>
        <w:tc>
          <w:tcPr>
            <w:tcW w:w="0" w:type="dxa"/>
            <w:vAlign w:val="bottom"/>
          </w:tcPr>
          <w:p>
            <w:pPr>
              <w:spacing w:after="0"/>
              <w:rPr>
                <w:sz w:val="1"/>
                <w:szCs w:val="1"/>
                <w:color w:val="auto"/>
              </w:rPr>
            </w:pPr>
          </w:p>
        </w:tc>
      </w:tr>
      <w:tr>
        <w:trPr>
          <w:trHeight w:val="108"/>
        </w:trPr>
        <w:tc>
          <w:tcPr>
            <w:tcW w:w="3340" w:type="dxa"/>
            <w:vAlign w:val="bottom"/>
            <w:gridSpan w:val="4"/>
            <w:vMerge w:val="restart"/>
          </w:tcPr>
          <w:p>
            <w:pPr>
              <w:spacing w:after="0"/>
              <w:rPr>
                <w:sz w:val="20"/>
                <w:szCs w:val="20"/>
                <w:color w:val="auto"/>
              </w:rPr>
            </w:pPr>
            <w:r>
              <w:rPr>
                <w:rFonts w:ascii="Arial" w:cs="Arial" w:eastAsia="Arial" w:hAnsi="Arial"/>
                <w:sz w:val="22"/>
                <w:szCs w:val="22"/>
                <w:color w:val="auto"/>
              </w:rPr>
              <w:t>LIABILITIES AND</w:t>
            </w:r>
          </w:p>
        </w:tc>
        <w:tc>
          <w:tcPr>
            <w:tcW w:w="7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550"/>
        </w:trPr>
        <w:tc>
          <w:tcPr>
            <w:tcW w:w="3340" w:type="dxa"/>
            <w:vAlign w:val="bottom"/>
            <w:gridSpan w:val="4"/>
            <w:vMerge w:val="continue"/>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760" w:type="dxa"/>
            <w:vAlign w:val="bottom"/>
            <w:gridSpan w:val="2"/>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340" w:type="dxa"/>
            <w:vAlign w:val="bottom"/>
            <w:gridSpan w:val="4"/>
          </w:tcPr>
          <w:p>
            <w:pPr>
              <w:spacing w:after="0" w:line="223" w:lineRule="exact"/>
              <w:rPr>
                <w:sz w:val="20"/>
                <w:szCs w:val="20"/>
                <w:color w:val="auto"/>
              </w:rPr>
            </w:pPr>
            <w:r>
              <w:rPr>
                <w:rFonts w:ascii="Arial" w:cs="Arial" w:eastAsia="Arial" w:hAnsi="Arial"/>
                <w:sz w:val="22"/>
                <w:szCs w:val="22"/>
                <w:color w:val="auto"/>
              </w:rPr>
              <w:t>STOCKHOLDERS' EQUITY</w:t>
            </w:r>
          </w:p>
        </w:tc>
        <w:tc>
          <w:tcPr>
            <w:tcW w:w="720" w:type="dxa"/>
            <w:vAlign w:val="bottom"/>
            <w:vMerge w:val="restart"/>
          </w:tcPr>
          <w:p>
            <w:pPr>
              <w:jc w:val="center"/>
              <w:spacing w:after="0"/>
              <w:rPr>
                <w:sz w:val="20"/>
                <w:szCs w:val="20"/>
                <w:color w:val="auto"/>
              </w:rPr>
            </w:pPr>
            <w:r>
              <w:rPr>
                <w:rFonts w:ascii="Arial" w:cs="Arial" w:eastAsia="Arial" w:hAnsi="Arial"/>
                <w:sz w:val="22"/>
                <w:szCs w:val="22"/>
                <w:color w:val="auto"/>
                <w:w w:val="97"/>
              </w:rPr>
              <w:t>$</w:t>
            </w:r>
          </w:p>
        </w:tc>
        <w:tc>
          <w:tcPr>
            <w:tcW w:w="900" w:type="dxa"/>
            <w:vAlign w:val="bottom"/>
            <w:gridSpan w:val="2"/>
            <w:vMerge w:val="restart"/>
          </w:tcPr>
          <w:p>
            <w:pPr>
              <w:jc w:val="center"/>
              <w:ind w:left="52"/>
              <w:spacing w:after="0"/>
              <w:rPr>
                <w:sz w:val="20"/>
                <w:szCs w:val="20"/>
                <w:color w:val="auto"/>
              </w:rPr>
            </w:pPr>
            <w:r>
              <w:rPr>
                <w:rFonts w:ascii="Arial" w:cs="Arial" w:eastAsia="Arial" w:hAnsi="Arial"/>
                <w:sz w:val="22"/>
                <w:szCs w:val="22"/>
                <w:color w:val="auto"/>
                <w:w w:val="81"/>
              </w:rPr>
              <w:t>$</w:t>
            </w:r>
          </w:p>
        </w:tc>
        <w:tc>
          <w:tcPr>
            <w:tcW w:w="160" w:type="dxa"/>
            <w:vAlign w:val="bottom"/>
          </w:tcPr>
          <w:p>
            <w:pPr>
              <w:spacing w:after="0"/>
              <w:rPr>
                <w:sz w:val="19"/>
                <w:szCs w:val="19"/>
                <w:color w:val="auto"/>
              </w:rPr>
            </w:pPr>
          </w:p>
        </w:tc>
        <w:tc>
          <w:tcPr>
            <w:tcW w:w="720" w:type="dxa"/>
            <w:vAlign w:val="bottom"/>
            <w:vMerge w:val="restart"/>
          </w:tcPr>
          <w:p>
            <w:pPr>
              <w:jc w:val="center"/>
              <w:spacing w:after="0"/>
              <w:rPr>
                <w:sz w:val="20"/>
                <w:szCs w:val="20"/>
                <w:color w:val="auto"/>
              </w:rPr>
            </w:pPr>
            <w:r>
              <w:rPr>
                <w:rFonts w:ascii="Arial" w:cs="Arial" w:eastAsia="Arial" w:hAnsi="Arial"/>
                <w:sz w:val="22"/>
                <w:szCs w:val="22"/>
                <w:color w:val="auto"/>
                <w:w w:val="81"/>
              </w:rPr>
              <w:t>$</w:t>
            </w:r>
          </w:p>
        </w:tc>
        <w:tc>
          <w:tcPr>
            <w:tcW w:w="920" w:type="dxa"/>
            <w:vAlign w:val="bottom"/>
            <w:gridSpan w:val="2"/>
            <w:vMerge w:val="restart"/>
          </w:tcPr>
          <w:p>
            <w:pPr>
              <w:jc w:val="center"/>
              <w:ind w:left="72"/>
              <w:spacing w:after="0"/>
              <w:rPr>
                <w:sz w:val="20"/>
                <w:szCs w:val="20"/>
                <w:color w:val="auto"/>
              </w:rPr>
            </w:pPr>
            <w:r>
              <w:rPr>
                <w:rFonts w:ascii="Arial" w:cs="Arial" w:eastAsia="Arial" w:hAnsi="Arial"/>
                <w:sz w:val="22"/>
                <w:szCs w:val="22"/>
                <w:color w:val="auto"/>
                <w:w w:val="81"/>
              </w:rPr>
              <w:t>$</w:t>
            </w:r>
          </w:p>
        </w:tc>
        <w:tc>
          <w:tcPr>
            <w:tcW w:w="1220" w:type="dxa"/>
            <w:vAlign w:val="bottom"/>
            <w:gridSpan w:val="3"/>
            <w:vMerge w:val="restart"/>
          </w:tcPr>
          <w:p>
            <w:pPr>
              <w:jc w:val="right"/>
              <w:ind w:right="180"/>
              <w:spacing w:after="0"/>
              <w:rPr>
                <w:sz w:val="20"/>
                <w:szCs w:val="20"/>
                <w:color w:val="auto"/>
              </w:rPr>
            </w:pPr>
            <w:r>
              <w:rPr>
                <w:rFonts w:ascii="Arial" w:cs="Arial" w:eastAsia="Arial" w:hAnsi="Arial"/>
                <w:sz w:val="22"/>
                <w:szCs w:val="22"/>
                <w:color w:val="auto"/>
              </w:rPr>
              <w:t>$988</w:t>
            </w:r>
          </w:p>
        </w:tc>
        <w:tc>
          <w:tcPr>
            <w:tcW w:w="980" w:type="dxa"/>
            <w:vAlign w:val="bottom"/>
            <w:vMerge w:val="restart"/>
          </w:tcPr>
          <w:p>
            <w:pPr>
              <w:jc w:val="center"/>
              <w:spacing w:after="0"/>
              <w:rPr>
                <w:sz w:val="20"/>
                <w:szCs w:val="20"/>
                <w:color w:val="auto"/>
              </w:rPr>
            </w:pPr>
            <w:r>
              <w:rPr>
                <w:rFonts w:ascii="Arial" w:cs="Arial" w:eastAsia="Arial" w:hAnsi="Arial"/>
                <w:sz w:val="22"/>
                <w:szCs w:val="22"/>
                <w:color w:val="auto"/>
                <w:w w:val="81"/>
              </w:rPr>
              <w:t>$</w:t>
            </w:r>
          </w:p>
        </w:tc>
        <w:tc>
          <w:tcPr>
            <w:tcW w:w="200" w:type="dxa"/>
            <w:vAlign w:val="bottom"/>
          </w:tcPr>
          <w:p>
            <w:pPr>
              <w:spacing w:after="0"/>
              <w:rPr>
                <w:sz w:val="19"/>
                <w:szCs w:val="19"/>
                <w:color w:val="auto"/>
              </w:rPr>
            </w:pPr>
          </w:p>
        </w:tc>
        <w:tc>
          <w:tcPr>
            <w:tcW w:w="920" w:type="dxa"/>
            <w:vAlign w:val="bottom"/>
            <w:vMerge w:val="restart"/>
          </w:tcPr>
          <w:p>
            <w:pPr>
              <w:jc w:val="right"/>
              <w:spacing w:after="0"/>
              <w:rPr>
                <w:sz w:val="20"/>
                <w:szCs w:val="20"/>
                <w:color w:val="auto"/>
              </w:rPr>
            </w:pPr>
            <w:r>
              <w:rPr>
                <w:rFonts w:ascii="Arial" w:cs="Arial" w:eastAsia="Arial" w:hAnsi="Arial"/>
                <w:sz w:val="22"/>
                <w:szCs w:val="22"/>
                <w:color w:val="auto"/>
              </w:rPr>
              <w:t>$988</w:t>
            </w:r>
          </w:p>
        </w:tc>
        <w:tc>
          <w:tcPr>
            <w:tcW w:w="0" w:type="dxa"/>
            <w:vAlign w:val="bottom"/>
          </w:tcPr>
          <w:p>
            <w:pPr>
              <w:spacing w:after="0"/>
              <w:rPr>
                <w:sz w:val="1"/>
                <w:szCs w:val="1"/>
                <w:color w:val="auto"/>
              </w:rPr>
            </w:pPr>
          </w:p>
        </w:tc>
      </w:tr>
      <w:tr>
        <w:trPr>
          <w:trHeight w:val="242"/>
        </w:trPr>
        <w:tc>
          <w:tcPr>
            <w:tcW w:w="2600" w:type="dxa"/>
            <w:vAlign w:val="bottom"/>
            <w:tcBorders>
              <w:top w:val="single" w:sz="8" w:color="auto"/>
            </w:tcBorders>
            <w:gridSpan w:val="3"/>
          </w:tcPr>
          <w:p>
            <w:pPr>
              <w:ind w:left="160"/>
              <w:spacing w:after="0" w:line="242" w:lineRule="exact"/>
              <w:rPr>
                <w:sz w:val="20"/>
                <w:szCs w:val="20"/>
                <w:color w:val="auto"/>
              </w:rPr>
            </w:pPr>
            <w:r>
              <w:rPr>
                <w:rFonts w:ascii="Arial" w:cs="Arial" w:eastAsia="Arial" w:hAnsi="Arial"/>
                <w:sz w:val="22"/>
                <w:szCs w:val="22"/>
                <w:color w:val="auto"/>
              </w:rPr>
              <w:t>Accounts payable</w:t>
            </w:r>
          </w:p>
        </w:tc>
        <w:tc>
          <w:tcPr>
            <w:tcW w:w="740" w:type="dxa"/>
            <w:vAlign w:val="bottom"/>
          </w:tcPr>
          <w:p>
            <w:pPr>
              <w:spacing w:after="0"/>
              <w:rPr>
                <w:sz w:val="21"/>
                <w:szCs w:val="21"/>
                <w:color w:val="auto"/>
              </w:rPr>
            </w:pPr>
          </w:p>
        </w:tc>
        <w:tc>
          <w:tcPr>
            <w:tcW w:w="720" w:type="dxa"/>
            <w:vAlign w:val="bottom"/>
            <w:vMerge w:val="continue"/>
          </w:tcPr>
          <w:p>
            <w:pPr>
              <w:spacing w:after="0"/>
              <w:rPr>
                <w:sz w:val="21"/>
                <w:szCs w:val="21"/>
                <w:color w:val="auto"/>
              </w:rPr>
            </w:pPr>
          </w:p>
        </w:tc>
        <w:tc>
          <w:tcPr>
            <w:tcW w:w="900" w:type="dxa"/>
            <w:vAlign w:val="bottom"/>
            <w:gridSpan w:val="2"/>
            <w:vMerge w:val="continue"/>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vMerge w:val="continue"/>
          </w:tcPr>
          <w:p>
            <w:pPr>
              <w:spacing w:after="0"/>
              <w:rPr>
                <w:sz w:val="21"/>
                <w:szCs w:val="21"/>
                <w:color w:val="auto"/>
              </w:rPr>
            </w:pPr>
          </w:p>
        </w:tc>
        <w:tc>
          <w:tcPr>
            <w:tcW w:w="920" w:type="dxa"/>
            <w:vAlign w:val="bottom"/>
            <w:gridSpan w:val="2"/>
            <w:vMerge w:val="continue"/>
          </w:tcPr>
          <w:p>
            <w:pPr>
              <w:spacing w:after="0"/>
              <w:rPr>
                <w:sz w:val="21"/>
                <w:szCs w:val="21"/>
                <w:color w:val="auto"/>
              </w:rPr>
            </w:pPr>
          </w:p>
        </w:tc>
        <w:tc>
          <w:tcPr>
            <w:tcW w:w="1220" w:type="dxa"/>
            <w:vAlign w:val="bottom"/>
            <w:gridSpan w:val="3"/>
            <w:vMerge w:val="continue"/>
          </w:tcPr>
          <w:p>
            <w:pPr>
              <w:spacing w:after="0"/>
              <w:rPr>
                <w:sz w:val="21"/>
                <w:szCs w:val="21"/>
                <w:color w:val="auto"/>
              </w:rPr>
            </w:pPr>
          </w:p>
        </w:tc>
        <w:tc>
          <w:tcPr>
            <w:tcW w:w="98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gridSpan w:val="4"/>
          </w:tcPr>
          <w:p>
            <w:pPr>
              <w:ind w:left="160"/>
              <w:spacing w:after="0" w:line="243" w:lineRule="exact"/>
              <w:rPr>
                <w:sz w:val="20"/>
                <w:szCs w:val="20"/>
                <w:color w:val="auto"/>
              </w:rPr>
            </w:pPr>
            <w:r>
              <w:rPr>
                <w:rFonts w:ascii="Arial" w:cs="Arial" w:eastAsia="Arial" w:hAnsi="Arial"/>
                <w:sz w:val="22"/>
                <w:szCs w:val="22"/>
                <w:color w:val="auto"/>
              </w:rPr>
              <w:t>Accrued expenses and other</w:t>
            </w: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gridSpan w:val="4"/>
          </w:tcPr>
          <w:p>
            <w:pPr>
              <w:spacing w:after="0" w:line="243" w:lineRule="exact"/>
              <w:rPr>
                <w:sz w:val="20"/>
                <w:szCs w:val="20"/>
                <w:color w:val="auto"/>
              </w:rPr>
            </w:pPr>
            <w:r>
              <w:rPr>
                <w:rFonts w:ascii="Arial" w:cs="Arial" w:eastAsia="Arial" w:hAnsi="Arial"/>
                <w:sz w:val="22"/>
                <w:szCs w:val="22"/>
                <w:color w:val="auto"/>
              </w:rPr>
              <w:t>current</w:t>
            </w: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gridSpan w:val="4"/>
          </w:tcPr>
          <w:p>
            <w:pPr>
              <w:ind w:left="280"/>
              <w:spacing w:after="0" w:line="243" w:lineRule="exact"/>
              <w:rPr>
                <w:sz w:val="20"/>
                <w:szCs w:val="20"/>
                <w:color w:val="auto"/>
              </w:rPr>
            </w:pPr>
            <w:r>
              <w:rPr>
                <w:rFonts w:ascii="Arial" w:cs="Arial" w:eastAsia="Arial" w:hAnsi="Arial"/>
                <w:sz w:val="22"/>
                <w:szCs w:val="22"/>
                <w:color w:val="auto"/>
              </w:rPr>
              <w:t>liabilities</w:t>
            </w:r>
          </w:p>
        </w:tc>
        <w:tc>
          <w:tcPr>
            <w:tcW w:w="720" w:type="dxa"/>
            <w:vAlign w:val="bottom"/>
          </w:tcPr>
          <w:p>
            <w:pPr>
              <w:jc w:val="right"/>
              <w:spacing w:after="0" w:line="243" w:lineRule="exact"/>
              <w:rPr>
                <w:sz w:val="20"/>
                <w:szCs w:val="20"/>
                <w:color w:val="auto"/>
              </w:rPr>
            </w:pPr>
            <w:r>
              <w:rPr>
                <w:rFonts w:ascii="Arial" w:cs="Arial" w:eastAsia="Arial" w:hAnsi="Arial"/>
                <w:sz w:val="22"/>
                <w:szCs w:val="22"/>
                <w:color w:val="auto"/>
              </w:rPr>
              <w:t>395</w:t>
            </w:r>
          </w:p>
        </w:tc>
        <w:tc>
          <w:tcPr>
            <w:tcW w:w="1060" w:type="dxa"/>
            <w:vAlign w:val="bottom"/>
            <w:gridSpan w:val="3"/>
          </w:tcPr>
          <w:p>
            <w:pPr>
              <w:jc w:val="right"/>
              <w:ind w:right="160"/>
              <w:spacing w:after="0" w:line="243" w:lineRule="exact"/>
              <w:rPr>
                <w:sz w:val="20"/>
                <w:szCs w:val="20"/>
                <w:color w:val="auto"/>
              </w:rPr>
            </w:pPr>
            <w:r>
              <w:rPr>
                <w:rFonts w:ascii="Arial" w:cs="Arial" w:eastAsia="Arial" w:hAnsi="Arial"/>
                <w:sz w:val="22"/>
                <w:szCs w:val="22"/>
                <w:color w:val="auto"/>
              </w:rPr>
              <w:t>212</w:t>
            </w:r>
          </w:p>
        </w:tc>
        <w:tc>
          <w:tcPr>
            <w:tcW w:w="720" w:type="dxa"/>
            <w:vAlign w:val="bottom"/>
          </w:tcPr>
          <w:p>
            <w:pPr>
              <w:jc w:val="right"/>
              <w:spacing w:after="0" w:line="243" w:lineRule="exact"/>
              <w:rPr>
                <w:sz w:val="20"/>
                <w:szCs w:val="20"/>
                <w:color w:val="auto"/>
              </w:rPr>
            </w:pPr>
            <w:r>
              <w:rPr>
                <w:rFonts w:ascii="Arial" w:cs="Arial" w:eastAsia="Arial" w:hAnsi="Arial"/>
                <w:sz w:val="22"/>
                <w:szCs w:val="22"/>
                <w:color w:val="auto"/>
              </w:rPr>
              <w:t>211</w:t>
            </w:r>
          </w:p>
        </w:tc>
        <w:tc>
          <w:tcPr>
            <w:tcW w:w="92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279</w:t>
            </w:r>
          </w:p>
        </w:tc>
        <w:tc>
          <w:tcPr>
            <w:tcW w:w="1220" w:type="dxa"/>
            <w:vAlign w:val="bottom"/>
            <w:gridSpan w:val="3"/>
          </w:tcPr>
          <w:p>
            <w:pPr>
              <w:jc w:val="right"/>
              <w:ind w:right="180"/>
              <w:spacing w:after="0" w:line="243" w:lineRule="exact"/>
              <w:rPr>
                <w:sz w:val="20"/>
                <w:szCs w:val="20"/>
                <w:color w:val="auto"/>
              </w:rPr>
            </w:pPr>
            <w:r>
              <w:rPr>
                <w:rFonts w:ascii="Arial" w:cs="Arial" w:eastAsia="Arial" w:hAnsi="Arial"/>
                <w:sz w:val="22"/>
                <w:szCs w:val="22"/>
                <w:color w:val="auto"/>
              </w:rPr>
              <w:t>3,097</w:t>
            </w: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line="243" w:lineRule="exact"/>
              <w:rPr>
                <w:sz w:val="20"/>
                <w:szCs w:val="20"/>
                <w:color w:val="auto"/>
              </w:rPr>
            </w:pPr>
            <w:r>
              <w:rPr>
                <w:rFonts w:ascii="Arial" w:cs="Arial" w:eastAsia="Arial" w:hAnsi="Arial"/>
                <w:sz w:val="22"/>
                <w:szCs w:val="22"/>
                <w:color w:val="auto"/>
              </w:rPr>
              <w:t>4,194</w:t>
            </w:r>
          </w:p>
        </w:tc>
        <w:tc>
          <w:tcPr>
            <w:tcW w:w="0" w:type="dxa"/>
            <w:vAlign w:val="bottom"/>
          </w:tcPr>
          <w:p>
            <w:pPr>
              <w:spacing w:after="0"/>
              <w:rPr>
                <w:sz w:val="1"/>
                <w:szCs w:val="1"/>
                <w:color w:val="auto"/>
              </w:rPr>
            </w:pPr>
          </w:p>
        </w:tc>
      </w:tr>
      <w:tr>
        <w:trPr>
          <w:trHeight w:val="243"/>
        </w:trPr>
        <w:tc>
          <w:tcPr>
            <w:tcW w:w="3340" w:type="dxa"/>
            <w:vAlign w:val="bottom"/>
            <w:gridSpan w:val="4"/>
          </w:tcPr>
          <w:p>
            <w:pPr>
              <w:ind w:left="180"/>
              <w:spacing w:after="0" w:line="243" w:lineRule="exact"/>
              <w:rPr>
                <w:sz w:val="20"/>
                <w:szCs w:val="20"/>
                <w:color w:val="auto"/>
              </w:rPr>
            </w:pPr>
            <w:r>
              <w:rPr>
                <w:rFonts w:ascii="Arial" w:cs="Arial" w:eastAsia="Arial" w:hAnsi="Arial"/>
                <w:sz w:val="22"/>
                <w:szCs w:val="22"/>
                <w:color w:val="auto"/>
              </w:rPr>
              <w:t>Deferred income taxes</w:t>
            </w: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20" w:type="dxa"/>
            <w:vAlign w:val="bottom"/>
            <w:gridSpan w:val="3"/>
          </w:tcPr>
          <w:p>
            <w:pPr>
              <w:jc w:val="right"/>
              <w:ind w:right="180"/>
              <w:spacing w:after="0" w:line="243" w:lineRule="exact"/>
              <w:rPr>
                <w:sz w:val="20"/>
                <w:szCs w:val="20"/>
                <w:color w:val="auto"/>
              </w:rPr>
            </w:pPr>
            <w:r>
              <w:rPr>
                <w:rFonts w:ascii="Arial" w:cs="Arial" w:eastAsia="Arial" w:hAnsi="Arial"/>
                <w:sz w:val="22"/>
                <w:szCs w:val="22"/>
                <w:color w:val="auto"/>
              </w:rPr>
              <w:t>657</w:t>
            </w: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line="243" w:lineRule="exact"/>
              <w:rPr>
                <w:sz w:val="20"/>
                <w:szCs w:val="20"/>
                <w:color w:val="auto"/>
              </w:rPr>
            </w:pPr>
            <w:r>
              <w:rPr>
                <w:rFonts w:ascii="Arial" w:cs="Arial" w:eastAsia="Arial" w:hAnsi="Arial"/>
                <w:sz w:val="22"/>
                <w:szCs w:val="22"/>
                <w:color w:val="auto"/>
              </w:rPr>
              <w:t>657</w:t>
            </w:r>
          </w:p>
        </w:tc>
        <w:tc>
          <w:tcPr>
            <w:tcW w:w="0" w:type="dxa"/>
            <w:vAlign w:val="bottom"/>
          </w:tcPr>
          <w:p>
            <w:pPr>
              <w:spacing w:after="0"/>
              <w:rPr>
                <w:sz w:val="1"/>
                <w:szCs w:val="1"/>
                <w:color w:val="auto"/>
              </w:rPr>
            </w:pPr>
          </w:p>
        </w:tc>
      </w:tr>
      <w:tr>
        <w:trPr>
          <w:trHeight w:val="275"/>
        </w:trPr>
        <w:tc>
          <w:tcPr>
            <w:tcW w:w="3340" w:type="dxa"/>
            <w:vAlign w:val="bottom"/>
            <w:gridSpan w:val="4"/>
          </w:tcPr>
          <w:p>
            <w:pPr>
              <w:ind w:left="180"/>
              <w:spacing w:after="0"/>
              <w:rPr>
                <w:sz w:val="20"/>
                <w:szCs w:val="20"/>
                <w:color w:val="auto"/>
              </w:rPr>
            </w:pPr>
            <w:r>
              <w:rPr>
                <w:rFonts w:ascii="Arial" w:cs="Arial" w:eastAsia="Arial" w:hAnsi="Arial"/>
                <w:sz w:val="22"/>
                <w:szCs w:val="22"/>
                <w:color w:val="auto"/>
                <w:w w:val="98"/>
              </w:rPr>
              <w:t>Current portion of long-term debt</w:t>
            </w:r>
          </w:p>
        </w:tc>
        <w:tc>
          <w:tcPr>
            <w:tcW w:w="7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20" w:type="dxa"/>
            <w:vAlign w:val="bottom"/>
            <w:gridSpan w:val="2"/>
          </w:tcPr>
          <w:p>
            <w:pPr>
              <w:jc w:val="right"/>
              <w:spacing w:after="0"/>
              <w:rPr>
                <w:sz w:val="20"/>
                <w:szCs w:val="20"/>
                <w:color w:val="auto"/>
              </w:rPr>
            </w:pPr>
            <w:r>
              <w:rPr>
                <w:rFonts w:ascii="Arial" w:cs="Arial" w:eastAsia="Arial" w:hAnsi="Arial"/>
                <w:sz w:val="22"/>
                <w:szCs w:val="22"/>
                <w:color w:val="auto"/>
              </w:rPr>
              <w:t>404</w:t>
            </w:r>
          </w:p>
        </w:tc>
        <w:tc>
          <w:tcPr>
            <w:tcW w:w="1220" w:type="dxa"/>
            <w:vAlign w:val="bottom"/>
            <w:gridSpan w:val="3"/>
          </w:tcPr>
          <w:p>
            <w:pPr>
              <w:jc w:val="right"/>
              <w:ind w:right="180"/>
              <w:spacing w:after="0"/>
              <w:rPr>
                <w:sz w:val="20"/>
                <w:szCs w:val="20"/>
                <w:color w:val="auto"/>
              </w:rPr>
            </w:pPr>
            <w:r>
              <w:rPr>
                <w:rFonts w:ascii="Arial" w:cs="Arial" w:eastAsia="Arial" w:hAnsi="Arial"/>
                <w:sz w:val="22"/>
                <w:szCs w:val="22"/>
                <w:color w:val="auto"/>
              </w:rPr>
              <w:t>2,388</w:t>
            </w:r>
          </w:p>
        </w:tc>
        <w:tc>
          <w:tcPr>
            <w:tcW w:w="9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22"/>
                <w:szCs w:val="22"/>
                <w:color w:val="auto"/>
              </w:rPr>
              <w:t>2,792</w:t>
            </w:r>
          </w:p>
        </w:tc>
        <w:tc>
          <w:tcPr>
            <w:tcW w:w="0" w:type="dxa"/>
            <w:vAlign w:val="bottom"/>
          </w:tcPr>
          <w:p>
            <w:pPr>
              <w:spacing w:after="0"/>
              <w:rPr>
                <w:sz w:val="1"/>
                <w:szCs w:val="1"/>
                <w:color w:val="auto"/>
              </w:rPr>
            </w:pPr>
          </w:p>
        </w:tc>
      </w:tr>
      <w:tr>
        <w:trPr>
          <w:trHeight w:val="98"/>
        </w:trPr>
        <w:tc>
          <w:tcPr>
            <w:tcW w:w="780" w:type="dxa"/>
            <w:vAlign w:val="bottom"/>
          </w:tcPr>
          <w:p>
            <w:pPr>
              <w:spacing w:after="0"/>
              <w:rPr>
                <w:sz w:val="8"/>
                <w:szCs w:val="8"/>
                <w:color w:val="auto"/>
              </w:rPr>
            </w:pPr>
          </w:p>
        </w:tc>
        <w:tc>
          <w:tcPr>
            <w:tcW w:w="980" w:type="dxa"/>
            <w:vAlign w:val="bottom"/>
          </w:tcPr>
          <w:p>
            <w:pPr>
              <w:spacing w:after="0"/>
              <w:rPr>
                <w:sz w:val="8"/>
                <w:szCs w:val="8"/>
                <w:color w:val="auto"/>
              </w:rPr>
            </w:pPr>
          </w:p>
        </w:tc>
        <w:tc>
          <w:tcPr>
            <w:tcW w:w="8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2567305</wp:posOffset>
            </wp:positionH>
            <wp:positionV relativeFrom="paragraph">
              <wp:posOffset>-1547495</wp:posOffset>
            </wp:positionV>
            <wp:extent cx="1270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2121535</wp:posOffset>
            </wp:positionH>
            <wp:positionV relativeFrom="paragraph">
              <wp:posOffset>-1547495</wp:posOffset>
            </wp:positionV>
            <wp:extent cx="1270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3133090</wp:posOffset>
            </wp:positionH>
            <wp:positionV relativeFrom="paragraph">
              <wp:posOffset>-1547495</wp:posOffset>
            </wp:positionV>
            <wp:extent cx="1270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-1547495</wp:posOffset>
            </wp:positionV>
            <wp:extent cx="1270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-1547495</wp:posOffset>
            </wp:positionV>
            <wp:extent cx="1270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3253105</wp:posOffset>
            </wp:positionH>
            <wp:positionV relativeFrom="paragraph">
              <wp:posOffset>-1547495</wp:posOffset>
            </wp:positionV>
            <wp:extent cx="1270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-1547495</wp:posOffset>
            </wp:positionV>
            <wp:extent cx="1270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-1547495</wp:posOffset>
            </wp:positionV>
            <wp:extent cx="1270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-1547495</wp:posOffset>
            </wp:positionV>
            <wp:extent cx="1270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-1547495</wp:posOffset>
            </wp:positionV>
            <wp:extent cx="1270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-1547495</wp:posOffset>
            </wp:positionV>
            <wp:extent cx="1270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-1547495</wp:posOffset>
            </wp:positionV>
            <wp:extent cx="1270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-1547495</wp:posOffset>
            </wp:positionV>
            <wp:extent cx="1270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-1547495</wp:posOffset>
            </wp:positionV>
            <wp:extent cx="1270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360"/>
          </w:cols>
          <w:pgMar w:left="240" w:top="118" w:right="299" w:bottom="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75"/>
        </w:trPr>
        <w:tc>
          <w:tcPr>
            <w:tcW w:w="3340" w:type="dxa"/>
            <w:vAlign w:val="bottom"/>
          </w:tcPr>
          <w:p>
            <w:pPr>
              <w:ind w:left="280"/>
              <w:spacing w:after="0"/>
              <w:rPr>
                <w:sz w:val="20"/>
                <w:szCs w:val="20"/>
                <w:color w:val="auto"/>
              </w:rPr>
            </w:pPr>
            <w:r>
              <w:rPr>
                <w:rFonts w:ascii="Arial" w:cs="Arial" w:eastAsia="Arial" w:hAnsi="Arial"/>
                <w:sz w:val="22"/>
                <w:szCs w:val="22"/>
                <w:color w:val="auto"/>
              </w:rPr>
              <w:t>Total current liabilities</w:t>
            </w:r>
          </w:p>
        </w:tc>
        <w:tc>
          <w:tcPr>
            <w:tcW w:w="720" w:type="dxa"/>
            <w:vAlign w:val="bottom"/>
          </w:tcPr>
          <w:p>
            <w:pPr>
              <w:jc w:val="right"/>
              <w:spacing w:after="0"/>
              <w:rPr>
                <w:sz w:val="20"/>
                <w:szCs w:val="20"/>
                <w:color w:val="auto"/>
              </w:rPr>
            </w:pPr>
            <w:r>
              <w:rPr>
                <w:rFonts w:ascii="Arial" w:cs="Arial" w:eastAsia="Arial" w:hAnsi="Arial"/>
                <w:sz w:val="22"/>
                <w:szCs w:val="22"/>
                <w:color w:val="auto"/>
              </w:rPr>
              <w:t>395</w:t>
            </w:r>
          </w:p>
        </w:tc>
        <w:tc>
          <w:tcPr>
            <w:tcW w:w="1060" w:type="dxa"/>
            <w:vAlign w:val="bottom"/>
            <w:gridSpan w:val="3"/>
          </w:tcPr>
          <w:p>
            <w:pPr>
              <w:jc w:val="right"/>
              <w:ind w:right="160"/>
              <w:spacing w:after="0"/>
              <w:rPr>
                <w:sz w:val="20"/>
                <w:szCs w:val="20"/>
                <w:color w:val="auto"/>
              </w:rPr>
            </w:pPr>
            <w:r>
              <w:rPr>
                <w:rFonts w:ascii="Arial" w:cs="Arial" w:eastAsia="Arial" w:hAnsi="Arial"/>
                <w:sz w:val="22"/>
                <w:szCs w:val="22"/>
                <w:color w:val="auto"/>
              </w:rPr>
              <w:t>212</w:t>
            </w:r>
          </w:p>
        </w:tc>
        <w:tc>
          <w:tcPr>
            <w:tcW w:w="720" w:type="dxa"/>
            <w:vAlign w:val="bottom"/>
          </w:tcPr>
          <w:p>
            <w:pPr>
              <w:jc w:val="right"/>
              <w:spacing w:after="0"/>
              <w:rPr>
                <w:sz w:val="20"/>
                <w:szCs w:val="20"/>
                <w:color w:val="auto"/>
              </w:rPr>
            </w:pPr>
            <w:r>
              <w:rPr>
                <w:rFonts w:ascii="Arial" w:cs="Arial" w:eastAsia="Arial" w:hAnsi="Arial"/>
                <w:sz w:val="22"/>
                <w:szCs w:val="22"/>
                <w:color w:val="auto"/>
              </w:rPr>
              <w:t>211</w:t>
            </w:r>
          </w:p>
        </w:tc>
        <w:tc>
          <w:tcPr>
            <w:tcW w:w="920" w:type="dxa"/>
            <w:vAlign w:val="bottom"/>
            <w:gridSpan w:val="2"/>
          </w:tcPr>
          <w:p>
            <w:pPr>
              <w:jc w:val="right"/>
              <w:spacing w:after="0"/>
              <w:rPr>
                <w:sz w:val="20"/>
                <w:szCs w:val="20"/>
                <w:color w:val="auto"/>
              </w:rPr>
            </w:pPr>
            <w:r>
              <w:rPr>
                <w:rFonts w:ascii="Arial" w:cs="Arial" w:eastAsia="Arial" w:hAnsi="Arial"/>
                <w:sz w:val="22"/>
                <w:szCs w:val="22"/>
                <w:color w:val="auto"/>
              </w:rPr>
              <w:t>683</w:t>
            </w:r>
          </w:p>
        </w:tc>
        <w:tc>
          <w:tcPr>
            <w:tcW w:w="1220" w:type="dxa"/>
            <w:vAlign w:val="bottom"/>
            <w:gridSpan w:val="3"/>
          </w:tcPr>
          <w:p>
            <w:pPr>
              <w:jc w:val="right"/>
              <w:ind w:right="180"/>
              <w:spacing w:after="0"/>
              <w:rPr>
                <w:sz w:val="20"/>
                <w:szCs w:val="20"/>
                <w:color w:val="auto"/>
              </w:rPr>
            </w:pPr>
            <w:r>
              <w:rPr>
                <w:rFonts w:ascii="Arial" w:cs="Arial" w:eastAsia="Arial" w:hAnsi="Arial"/>
                <w:sz w:val="22"/>
                <w:szCs w:val="22"/>
                <w:color w:val="auto"/>
              </w:rPr>
              <w:t>7,130</w:t>
            </w:r>
          </w:p>
        </w:tc>
        <w:tc>
          <w:tcPr>
            <w:tcW w:w="9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22"/>
                <w:szCs w:val="22"/>
                <w:color w:val="auto"/>
              </w:rPr>
              <w:t>8,631</w:t>
            </w:r>
          </w:p>
        </w:tc>
        <w:tc>
          <w:tcPr>
            <w:tcW w:w="0" w:type="dxa"/>
            <w:vAlign w:val="bottom"/>
          </w:tcPr>
          <w:p>
            <w:pPr>
              <w:spacing w:after="0"/>
              <w:rPr>
                <w:sz w:val="1"/>
                <w:szCs w:val="1"/>
                <w:color w:val="auto"/>
              </w:rPr>
            </w:pPr>
          </w:p>
        </w:tc>
      </w:tr>
      <w:tr>
        <w:trPr>
          <w:trHeight w:val="98"/>
        </w:trPr>
        <w:tc>
          <w:tcPr>
            <w:tcW w:w="3340" w:type="dxa"/>
            <w:vAlign w:val="bottom"/>
            <w:vMerge w:val="restart"/>
          </w:tcPr>
          <w:p>
            <w:pPr>
              <w:ind w:left="180"/>
              <w:spacing w:after="0"/>
              <w:rPr>
                <w:sz w:val="20"/>
                <w:szCs w:val="20"/>
                <w:color w:val="auto"/>
              </w:rPr>
            </w:pPr>
            <w:r>
              <w:rPr>
                <w:rFonts w:ascii="Arial" w:cs="Arial" w:eastAsia="Arial" w:hAnsi="Arial"/>
                <w:sz w:val="22"/>
                <w:szCs w:val="22"/>
                <w:color w:val="auto"/>
                <w:w w:val="97"/>
              </w:rPr>
              <w:t>LONG-TERM DEBT, less current</w:t>
            </w:r>
          </w:p>
        </w:tc>
        <w:tc>
          <w:tcPr>
            <w:tcW w:w="7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23"/>
        </w:trPr>
        <w:tc>
          <w:tcPr>
            <w:tcW w:w="3340" w:type="dxa"/>
            <w:vAlign w:val="bottom"/>
            <w:vMerge w:val="continue"/>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Arial" w:cs="Arial" w:eastAsia="Arial" w:hAnsi="Arial"/>
                <w:sz w:val="22"/>
                <w:szCs w:val="22"/>
                <w:color w:val="auto"/>
              </w:rPr>
              <w:t>portion</w:t>
            </w:r>
          </w:p>
        </w:tc>
        <w:tc>
          <w:tcPr>
            <w:tcW w:w="720" w:type="dxa"/>
            <w:vAlign w:val="bottom"/>
          </w:tcPr>
          <w:p>
            <w:pPr>
              <w:jc w:val="right"/>
              <w:spacing w:after="0" w:line="243" w:lineRule="exact"/>
              <w:rPr>
                <w:sz w:val="20"/>
                <w:szCs w:val="20"/>
                <w:color w:val="auto"/>
              </w:rPr>
            </w:pPr>
            <w:r>
              <w:rPr>
                <w:rFonts w:ascii="Arial" w:cs="Arial" w:eastAsia="Arial" w:hAnsi="Arial"/>
                <w:sz w:val="22"/>
                <w:szCs w:val="22"/>
                <w:color w:val="auto"/>
              </w:rPr>
              <w:t>4,254</w:t>
            </w:r>
          </w:p>
        </w:tc>
        <w:tc>
          <w:tcPr>
            <w:tcW w:w="1060" w:type="dxa"/>
            <w:vAlign w:val="bottom"/>
            <w:gridSpan w:val="3"/>
          </w:tcPr>
          <w:p>
            <w:pPr>
              <w:jc w:val="right"/>
              <w:ind w:right="160"/>
              <w:spacing w:after="0" w:line="243" w:lineRule="exact"/>
              <w:rPr>
                <w:sz w:val="20"/>
                <w:szCs w:val="20"/>
                <w:color w:val="auto"/>
              </w:rPr>
            </w:pPr>
            <w:r>
              <w:rPr>
                <w:rFonts w:ascii="Arial" w:cs="Arial" w:eastAsia="Arial" w:hAnsi="Arial"/>
                <w:sz w:val="22"/>
                <w:szCs w:val="22"/>
                <w:color w:val="auto"/>
              </w:rPr>
              <w:t>6,317</w:t>
            </w:r>
          </w:p>
        </w:tc>
        <w:tc>
          <w:tcPr>
            <w:tcW w:w="720" w:type="dxa"/>
            <w:vAlign w:val="bottom"/>
          </w:tcPr>
          <w:p>
            <w:pPr>
              <w:jc w:val="right"/>
              <w:spacing w:after="0" w:line="243" w:lineRule="exact"/>
              <w:rPr>
                <w:sz w:val="20"/>
                <w:szCs w:val="20"/>
                <w:color w:val="auto"/>
              </w:rPr>
            </w:pPr>
            <w:r>
              <w:rPr>
                <w:rFonts w:ascii="Arial" w:cs="Arial" w:eastAsia="Arial" w:hAnsi="Arial"/>
                <w:sz w:val="22"/>
                <w:szCs w:val="22"/>
                <w:color w:val="auto"/>
              </w:rPr>
              <w:t>3,698</w:t>
            </w:r>
          </w:p>
        </w:tc>
        <w:tc>
          <w:tcPr>
            <w:tcW w:w="92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6,002</w:t>
            </w:r>
          </w:p>
        </w:tc>
        <w:tc>
          <w:tcPr>
            <w:tcW w:w="1220" w:type="dxa"/>
            <w:vAlign w:val="bottom"/>
            <w:gridSpan w:val="3"/>
          </w:tcPr>
          <w:p>
            <w:pPr>
              <w:jc w:val="right"/>
              <w:ind w:right="180"/>
              <w:spacing w:after="0" w:line="243" w:lineRule="exact"/>
              <w:rPr>
                <w:sz w:val="20"/>
                <w:szCs w:val="20"/>
                <w:color w:val="auto"/>
              </w:rPr>
            </w:pPr>
            <w:r>
              <w:rPr>
                <w:rFonts w:ascii="Arial" w:cs="Arial" w:eastAsia="Arial" w:hAnsi="Arial"/>
                <w:sz w:val="22"/>
                <w:szCs w:val="22"/>
                <w:color w:val="auto"/>
              </w:rPr>
              <w:t>2,714</w:t>
            </w: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line="243" w:lineRule="exact"/>
              <w:rPr>
                <w:sz w:val="20"/>
                <w:szCs w:val="20"/>
                <w:color w:val="auto"/>
              </w:rPr>
            </w:pPr>
            <w:r>
              <w:rPr>
                <w:rFonts w:ascii="Arial" w:cs="Arial" w:eastAsia="Arial" w:hAnsi="Arial"/>
                <w:sz w:val="22"/>
                <w:szCs w:val="22"/>
                <w:color w:val="auto"/>
              </w:rPr>
              <w:t>22,985</w:t>
            </w:r>
          </w:p>
        </w:tc>
        <w:tc>
          <w:tcPr>
            <w:tcW w:w="0" w:type="dxa"/>
            <w:vAlign w:val="bottom"/>
          </w:tcPr>
          <w:p>
            <w:pPr>
              <w:spacing w:after="0"/>
              <w:rPr>
                <w:sz w:val="1"/>
                <w:szCs w:val="1"/>
                <w:color w:val="auto"/>
              </w:rPr>
            </w:pPr>
          </w:p>
        </w:tc>
      </w:tr>
      <w:tr>
        <w:trPr>
          <w:trHeight w:val="243"/>
        </w:trPr>
        <w:tc>
          <w:tcPr>
            <w:tcW w:w="3340" w:type="dxa"/>
            <w:vAlign w:val="bottom"/>
          </w:tcPr>
          <w:p>
            <w:pPr>
              <w:ind w:left="180"/>
              <w:spacing w:after="0" w:line="243" w:lineRule="exact"/>
              <w:rPr>
                <w:sz w:val="20"/>
                <w:szCs w:val="20"/>
                <w:color w:val="auto"/>
              </w:rPr>
            </w:pPr>
            <w:r>
              <w:rPr>
                <w:rFonts w:ascii="Arial" w:cs="Arial" w:eastAsia="Arial" w:hAnsi="Arial"/>
                <w:sz w:val="22"/>
                <w:szCs w:val="22"/>
                <w:color w:val="auto"/>
              </w:rPr>
              <w:t>DEFERRED INCOME TAXES</w:t>
            </w: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20" w:type="dxa"/>
            <w:vAlign w:val="bottom"/>
            <w:gridSpan w:val="3"/>
          </w:tcPr>
          <w:p>
            <w:pPr>
              <w:jc w:val="right"/>
              <w:ind w:right="180"/>
              <w:spacing w:after="0" w:line="243" w:lineRule="exact"/>
              <w:rPr>
                <w:sz w:val="20"/>
                <w:szCs w:val="20"/>
                <w:color w:val="auto"/>
              </w:rPr>
            </w:pPr>
            <w:r>
              <w:rPr>
                <w:rFonts w:ascii="Arial" w:cs="Arial" w:eastAsia="Arial" w:hAnsi="Arial"/>
                <w:sz w:val="22"/>
                <w:szCs w:val="22"/>
                <w:color w:val="auto"/>
              </w:rPr>
              <w:t>26,644</w:t>
            </w: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line="243" w:lineRule="exact"/>
              <w:rPr>
                <w:sz w:val="20"/>
                <w:szCs w:val="20"/>
                <w:color w:val="auto"/>
              </w:rPr>
            </w:pPr>
            <w:r>
              <w:rPr>
                <w:rFonts w:ascii="Arial" w:cs="Arial" w:eastAsia="Arial" w:hAnsi="Arial"/>
                <w:sz w:val="22"/>
                <w:szCs w:val="22"/>
                <w:color w:val="auto"/>
              </w:rPr>
              <w:t>26,644</w:t>
            </w:r>
          </w:p>
        </w:tc>
        <w:tc>
          <w:tcPr>
            <w:tcW w:w="0" w:type="dxa"/>
            <w:vAlign w:val="bottom"/>
          </w:tcPr>
          <w:p>
            <w:pPr>
              <w:spacing w:after="0"/>
              <w:rPr>
                <w:sz w:val="1"/>
                <w:szCs w:val="1"/>
                <w:color w:val="auto"/>
              </w:rPr>
            </w:pPr>
          </w:p>
        </w:tc>
      </w:tr>
      <w:tr>
        <w:trPr>
          <w:trHeight w:val="243"/>
        </w:trPr>
        <w:tc>
          <w:tcPr>
            <w:tcW w:w="3340" w:type="dxa"/>
            <w:vAlign w:val="bottom"/>
          </w:tcPr>
          <w:p>
            <w:pPr>
              <w:ind w:left="180"/>
              <w:spacing w:after="0" w:line="243" w:lineRule="exact"/>
              <w:rPr>
                <w:sz w:val="20"/>
                <w:szCs w:val="20"/>
                <w:color w:val="auto"/>
              </w:rPr>
            </w:pPr>
            <w:r>
              <w:rPr>
                <w:rFonts w:ascii="Arial" w:cs="Arial" w:eastAsia="Arial" w:hAnsi="Arial"/>
                <w:sz w:val="22"/>
                <w:szCs w:val="22"/>
                <w:color w:val="auto"/>
              </w:rPr>
              <w:t>OTHER NONCURRENT</w:t>
            </w: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Arial" w:cs="Arial" w:eastAsia="Arial" w:hAnsi="Arial"/>
                <w:sz w:val="22"/>
                <w:szCs w:val="22"/>
                <w:color w:val="auto"/>
              </w:rPr>
              <w:t>LIABILITIES</w:t>
            </w:r>
          </w:p>
        </w:tc>
        <w:tc>
          <w:tcPr>
            <w:tcW w:w="720" w:type="dxa"/>
            <w:vAlign w:val="bottom"/>
          </w:tcPr>
          <w:p>
            <w:pPr>
              <w:jc w:val="right"/>
              <w:spacing w:after="0" w:line="243" w:lineRule="exact"/>
              <w:rPr>
                <w:sz w:val="20"/>
                <w:szCs w:val="20"/>
                <w:color w:val="auto"/>
              </w:rPr>
            </w:pPr>
            <w:r>
              <w:rPr>
                <w:rFonts w:ascii="Arial" w:cs="Arial" w:eastAsia="Arial" w:hAnsi="Arial"/>
                <w:sz w:val="22"/>
                <w:szCs w:val="22"/>
                <w:color w:val="auto"/>
              </w:rPr>
              <w:t>605</w:t>
            </w:r>
          </w:p>
        </w:tc>
        <w:tc>
          <w:tcPr>
            <w:tcW w:w="1060" w:type="dxa"/>
            <w:vAlign w:val="bottom"/>
            <w:gridSpan w:val="3"/>
          </w:tcPr>
          <w:p>
            <w:pPr>
              <w:jc w:val="right"/>
              <w:ind w:right="160"/>
              <w:spacing w:after="0" w:line="243" w:lineRule="exact"/>
              <w:rPr>
                <w:sz w:val="20"/>
                <w:szCs w:val="20"/>
                <w:color w:val="auto"/>
              </w:rPr>
            </w:pPr>
            <w:r>
              <w:rPr>
                <w:rFonts w:ascii="Arial" w:cs="Arial" w:eastAsia="Arial" w:hAnsi="Arial"/>
                <w:sz w:val="22"/>
                <w:szCs w:val="22"/>
                <w:color w:val="auto"/>
              </w:rPr>
              <w:t>51</w:t>
            </w: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20" w:type="dxa"/>
            <w:vAlign w:val="bottom"/>
            <w:gridSpan w:val="3"/>
          </w:tcPr>
          <w:p>
            <w:pPr>
              <w:jc w:val="right"/>
              <w:ind w:right="180"/>
              <w:spacing w:after="0" w:line="243" w:lineRule="exact"/>
              <w:rPr>
                <w:sz w:val="20"/>
                <w:szCs w:val="20"/>
                <w:color w:val="auto"/>
              </w:rPr>
            </w:pPr>
            <w:r>
              <w:rPr>
                <w:rFonts w:ascii="Arial" w:cs="Arial" w:eastAsia="Arial" w:hAnsi="Arial"/>
                <w:sz w:val="22"/>
                <w:szCs w:val="22"/>
                <w:color w:val="auto"/>
              </w:rPr>
              <w:t>7,266</w:t>
            </w: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line="243" w:lineRule="exact"/>
              <w:rPr>
                <w:sz w:val="20"/>
                <w:szCs w:val="20"/>
                <w:color w:val="auto"/>
              </w:rPr>
            </w:pPr>
            <w:r>
              <w:rPr>
                <w:rFonts w:ascii="Arial" w:cs="Arial" w:eastAsia="Arial" w:hAnsi="Arial"/>
                <w:sz w:val="22"/>
                <w:szCs w:val="22"/>
                <w:color w:val="auto"/>
              </w:rPr>
              <w:t>7,922</w:t>
            </w:r>
          </w:p>
        </w:tc>
        <w:tc>
          <w:tcPr>
            <w:tcW w:w="0" w:type="dxa"/>
            <w:vAlign w:val="bottom"/>
          </w:tcPr>
          <w:p>
            <w:pPr>
              <w:spacing w:after="0"/>
              <w:rPr>
                <w:sz w:val="1"/>
                <w:szCs w:val="1"/>
                <w:color w:val="auto"/>
              </w:rPr>
            </w:pPr>
          </w:p>
        </w:tc>
      </w:tr>
      <w:tr>
        <w:trPr>
          <w:trHeight w:val="275"/>
        </w:trPr>
        <w:tc>
          <w:tcPr>
            <w:tcW w:w="3340" w:type="dxa"/>
            <w:vAlign w:val="bottom"/>
          </w:tcPr>
          <w:p>
            <w:pPr>
              <w:ind w:left="180"/>
              <w:spacing w:after="0"/>
              <w:rPr>
                <w:sz w:val="20"/>
                <w:szCs w:val="20"/>
                <w:color w:val="auto"/>
              </w:rPr>
            </w:pPr>
            <w:r>
              <w:rPr>
                <w:rFonts w:ascii="Arial" w:cs="Arial" w:eastAsia="Arial" w:hAnsi="Arial"/>
                <w:sz w:val="22"/>
                <w:szCs w:val="22"/>
                <w:color w:val="auto"/>
              </w:rPr>
              <w:t>MINORITY INTEREST</w:t>
            </w:r>
          </w:p>
        </w:tc>
        <w:tc>
          <w:tcPr>
            <w:tcW w:w="7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20" w:type="dxa"/>
            <w:vAlign w:val="bottom"/>
            <w:gridSpan w:val="3"/>
          </w:tcPr>
          <w:p>
            <w:pPr>
              <w:jc w:val="right"/>
              <w:ind w:right="180"/>
              <w:spacing w:after="0"/>
              <w:rPr>
                <w:sz w:val="20"/>
                <w:szCs w:val="20"/>
                <w:color w:val="auto"/>
              </w:rPr>
            </w:pPr>
            <w:r>
              <w:rPr>
                <w:rFonts w:ascii="Arial" w:cs="Arial" w:eastAsia="Arial" w:hAnsi="Arial"/>
                <w:sz w:val="22"/>
                <w:szCs w:val="22"/>
                <w:color w:val="auto"/>
              </w:rPr>
              <w:t>384</w:t>
            </w:r>
          </w:p>
        </w:tc>
        <w:tc>
          <w:tcPr>
            <w:tcW w:w="9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22"/>
                <w:szCs w:val="22"/>
                <w:color w:val="auto"/>
              </w:rPr>
              <w:t>384</w:t>
            </w:r>
          </w:p>
        </w:tc>
        <w:tc>
          <w:tcPr>
            <w:tcW w:w="0" w:type="dxa"/>
            <w:vAlign w:val="bottom"/>
          </w:tcPr>
          <w:p>
            <w:pPr>
              <w:spacing w:after="0"/>
              <w:rPr>
                <w:sz w:val="1"/>
                <w:szCs w:val="1"/>
                <w:color w:val="auto"/>
              </w:rPr>
            </w:pPr>
          </w:p>
        </w:tc>
      </w:tr>
      <w:tr>
        <w:trPr>
          <w:trHeight w:val="455"/>
        </w:trPr>
        <w:tc>
          <w:tcPr>
            <w:tcW w:w="3340" w:type="dxa"/>
            <w:vAlign w:val="bottom"/>
          </w:tcPr>
          <w:p>
            <w:pPr>
              <w:spacing w:after="0"/>
              <w:rPr>
                <w:sz w:val="20"/>
                <w:szCs w:val="20"/>
                <w:color w:val="auto"/>
              </w:rPr>
            </w:pPr>
            <w:r>
              <w:rPr>
                <w:rFonts w:ascii="Arial" w:cs="Arial" w:eastAsia="Arial" w:hAnsi="Arial"/>
                <w:sz w:val="22"/>
                <w:szCs w:val="22"/>
                <w:color w:val="auto"/>
              </w:rPr>
              <w:t>STOCKHOLDERS' EQUITY</w:t>
            </w: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180"/>
              <w:spacing w:after="0" w:line="243" w:lineRule="exact"/>
              <w:rPr>
                <w:sz w:val="20"/>
                <w:szCs w:val="20"/>
                <w:color w:val="auto"/>
              </w:rPr>
            </w:pPr>
            <w:r>
              <w:rPr>
                <w:rFonts w:ascii="Arial" w:cs="Arial" w:eastAsia="Arial" w:hAnsi="Arial"/>
                <w:sz w:val="22"/>
                <w:szCs w:val="22"/>
                <w:color w:val="auto"/>
              </w:rPr>
              <w:t>Common stock</w:t>
            </w:r>
          </w:p>
        </w:tc>
        <w:tc>
          <w:tcPr>
            <w:tcW w:w="720" w:type="dxa"/>
            <w:vAlign w:val="bottom"/>
          </w:tcPr>
          <w:p>
            <w:pPr>
              <w:jc w:val="right"/>
              <w:spacing w:after="0" w:line="243" w:lineRule="exact"/>
              <w:rPr>
                <w:sz w:val="20"/>
                <w:szCs w:val="20"/>
                <w:color w:val="auto"/>
              </w:rPr>
            </w:pPr>
            <w:r>
              <w:rPr>
                <w:rFonts w:ascii="Arial" w:cs="Arial" w:eastAsia="Arial" w:hAnsi="Arial"/>
                <w:sz w:val="22"/>
                <w:szCs w:val="22"/>
                <w:color w:val="auto"/>
              </w:rPr>
              <w:t>25</w:t>
            </w: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line="243" w:lineRule="exact"/>
              <w:rPr>
                <w:sz w:val="20"/>
                <w:szCs w:val="20"/>
                <w:color w:val="auto"/>
              </w:rPr>
            </w:pPr>
            <w:r>
              <w:rPr>
                <w:rFonts w:ascii="Arial" w:cs="Arial" w:eastAsia="Arial" w:hAnsi="Arial"/>
                <w:sz w:val="22"/>
                <w:szCs w:val="22"/>
                <w:color w:val="auto"/>
              </w:rPr>
              <w:t>25</w:t>
            </w:r>
          </w:p>
        </w:tc>
        <w:tc>
          <w:tcPr>
            <w:tcW w:w="0" w:type="dxa"/>
            <w:vAlign w:val="bottom"/>
          </w:tcPr>
          <w:p>
            <w:pPr>
              <w:spacing w:after="0"/>
              <w:rPr>
                <w:sz w:val="1"/>
                <w:szCs w:val="1"/>
                <w:color w:val="auto"/>
              </w:rPr>
            </w:pPr>
          </w:p>
        </w:tc>
      </w:tr>
      <w:tr>
        <w:trPr>
          <w:trHeight w:val="275"/>
        </w:trPr>
        <w:tc>
          <w:tcPr>
            <w:tcW w:w="3340" w:type="dxa"/>
            <w:vAlign w:val="bottom"/>
          </w:tcPr>
          <w:p>
            <w:pPr>
              <w:ind w:left="180"/>
              <w:spacing w:after="0"/>
              <w:rPr>
                <w:sz w:val="20"/>
                <w:szCs w:val="20"/>
                <w:color w:val="auto"/>
              </w:rPr>
            </w:pPr>
            <w:r>
              <w:rPr>
                <w:rFonts w:ascii="Arial" w:cs="Arial" w:eastAsia="Arial" w:hAnsi="Arial"/>
                <w:sz w:val="22"/>
                <w:szCs w:val="22"/>
                <w:color w:val="auto"/>
              </w:rPr>
              <w:t>Other stockholders' equity</w:t>
            </w:r>
          </w:p>
        </w:tc>
        <w:tc>
          <w:tcPr>
            <w:tcW w:w="720" w:type="dxa"/>
            <w:vAlign w:val="bottom"/>
          </w:tcPr>
          <w:p>
            <w:pPr>
              <w:jc w:val="right"/>
              <w:spacing w:after="0"/>
              <w:rPr>
                <w:sz w:val="20"/>
                <w:szCs w:val="20"/>
                <w:color w:val="auto"/>
              </w:rPr>
            </w:pPr>
            <w:r>
              <w:rPr>
                <w:rFonts w:ascii="Arial" w:cs="Arial" w:eastAsia="Arial" w:hAnsi="Arial"/>
                <w:sz w:val="22"/>
                <w:szCs w:val="22"/>
                <w:color w:val="auto"/>
              </w:rPr>
              <w:t>41,490</w:t>
            </w:r>
          </w:p>
        </w:tc>
        <w:tc>
          <w:tcPr>
            <w:tcW w:w="1060" w:type="dxa"/>
            <w:vAlign w:val="bottom"/>
            <w:gridSpan w:val="3"/>
          </w:tcPr>
          <w:p>
            <w:pPr>
              <w:jc w:val="right"/>
              <w:ind w:right="160"/>
              <w:spacing w:after="0"/>
              <w:rPr>
                <w:sz w:val="20"/>
                <w:szCs w:val="20"/>
                <w:color w:val="auto"/>
              </w:rPr>
            </w:pPr>
            <w:r>
              <w:rPr>
                <w:rFonts w:ascii="Arial" w:cs="Arial" w:eastAsia="Arial" w:hAnsi="Arial"/>
                <w:sz w:val="22"/>
                <w:szCs w:val="22"/>
                <w:color w:val="auto"/>
              </w:rPr>
              <w:t>20,108</w:t>
            </w:r>
          </w:p>
        </w:tc>
        <w:tc>
          <w:tcPr>
            <w:tcW w:w="720" w:type="dxa"/>
            <w:vAlign w:val="bottom"/>
          </w:tcPr>
          <w:p>
            <w:pPr>
              <w:jc w:val="right"/>
              <w:spacing w:after="0"/>
              <w:rPr>
                <w:sz w:val="20"/>
                <w:szCs w:val="20"/>
                <w:color w:val="auto"/>
              </w:rPr>
            </w:pPr>
            <w:r>
              <w:rPr>
                <w:rFonts w:ascii="Arial" w:cs="Arial" w:eastAsia="Arial" w:hAnsi="Arial"/>
                <w:sz w:val="22"/>
                <w:szCs w:val="22"/>
                <w:color w:val="auto"/>
              </w:rPr>
              <w:t>29,662</w:t>
            </w:r>
          </w:p>
        </w:tc>
        <w:tc>
          <w:tcPr>
            <w:tcW w:w="920" w:type="dxa"/>
            <w:vAlign w:val="bottom"/>
            <w:gridSpan w:val="2"/>
          </w:tcPr>
          <w:p>
            <w:pPr>
              <w:jc w:val="right"/>
              <w:spacing w:after="0"/>
              <w:rPr>
                <w:sz w:val="20"/>
                <w:szCs w:val="20"/>
                <w:color w:val="auto"/>
              </w:rPr>
            </w:pPr>
            <w:r>
              <w:rPr>
                <w:rFonts w:ascii="Arial" w:cs="Arial" w:eastAsia="Arial" w:hAnsi="Arial"/>
                <w:sz w:val="22"/>
                <w:szCs w:val="22"/>
                <w:color w:val="auto"/>
              </w:rPr>
              <w:t>33,539</w:t>
            </w:r>
          </w:p>
        </w:tc>
        <w:tc>
          <w:tcPr>
            <w:tcW w:w="1220" w:type="dxa"/>
            <w:vAlign w:val="bottom"/>
            <w:gridSpan w:val="3"/>
          </w:tcPr>
          <w:p>
            <w:pPr>
              <w:jc w:val="right"/>
              <w:ind w:right="180"/>
              <w:spacing w:after="0"/>
              <w:rPr>
                <w:sz w:val="20"/>
                <w:szCs w:val="20"/>
                <w:color w:val="auto"/>
              </w:rPr>
            </w:pPr>
            <w:r>
              <w:rPr>
                <w:rFonts w:ascii="Arial" w:cs="Arial" w:eastAsia="Arial" w:hAnsi="Arial"/>
                <w:sz w:val="22"/>
                <w:szCs w:val="22"/>
                <w:color w:val="auto"/>
              </w:rPr>
              <w:t>83,867</w:t>
            </w:r>
          </w:p>
        </w:tc>
        <w:tc>
          <w:tcPr>
            <w:tcW w:w="1180" w:type="dxa"/>
            <w:vAlign w:val="bottom"/>
            <w:gridSpan w:val="2"/>
          </w:tcPr>
          <w:p>
            <w:pPr>
              <w:jc w:val="right"/>
              <w:ind w:right="120"/>
              <w:spacing w:after="0"/>
              <w:rPr>
                <w:sz w:val="20"/>
                <w:szCs w:val="20"/>
                <w:color w:val="auto"/>
              </w:rPr>
            </w:pPr>
            <w:r>
              <w:rPr>
                <w:rFonts w:ascii="Arial" w:cs="Arial" w:eastAsia="Arial" w:hAnsi="Arial"/>
                <w:sz w:val="22"/>
                <w:szCs w:val="22"/>
                <w:color w:val="auto"/>
              </w:rPr>
              <w:t>(167,176)</w:t>
            </w:r>
          </w:p>
        </w:tc>
        <w:tc>
          <w:tcPr>
            <w:tcW w:w="920" w:type="dxa"/>
            <w:vAlign w:val="bottom"/>
          </w:tcPr>
          <w:p>
            <w:pPr>
              <w:jc w:val="right"/>
              <w:spacing w:after="0"/>
              <w:rPr>
                <w:sz w:val="20"/>
                <w:szCs w:val="20"/>
                <w:color w:val="auto"/>
              </w:rPr>
            </w:pPr>
            <w:r>
              <w:rPr>
                <w:rFonts w:ascii="Arial" w:cs="Arial" w:eastAsia="Arial" w:hAnsi="Arial"/>
                <w:sz w:val="22"/>
                <w:szCs w:val="22"/>
                <w:color w:val="auto"/>
              </w:rPr>
              <w:t>41,490</w:t>
            </w:r>
          </w:p>
        </w:tc>
        <w:tc>
          <w:tcPr>
            <w:tcW w:w="0" w:type="dxa"/>
            <w:vAlign w:val="bottom"/>
          </w:tcPr>
          <w:p>
            <w:pPr>
              <w:spacing w:after="0"/>
              <w:rPr>
                <w:sz w:val="1"/>
                <w:szCs w:val="1"/>
                <w:color w:val="auto"/>
              </w:rPr>
            </w:pPr>
          </w:p>
        </w:tc>
      </w:tr>
      <w:tr>
        <w:trPr>
          <w:trHeight w:val="98"/>
        </w:trPr>
        <w:tc>
          <w:tcPr>
            <w:tcW w:w="334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55"/>
        </w:trPr>
        <w:tc>
          <w:tcPr>
            <w:tcW w:w="3340" w:type="dxa"/>
            <w:vAlign w:val="bottom"/>
          </w:tcPr>
          <w:p>
            <w:pPr>
              <w:ind w:left="280"/>
              <w:spacing w:after="0"/>
              <w:rPr>
                <w:sz w:val="20"/>
                <w:szCs w:val="20"/>
                <w:color w:val="auto"/>
              </w:rPr>
            </w:pPr>
            <w:r>
              <w:rPr>
                <w:rFonts w:ascii="Arial" w:cs="Arial" w:eastAsia="Arial" w:hAnsi="Arial"/>
                <w:sz w:val="22"/>
                <w:szCs w:val="22"/>
                <w:color w:val="auto"/>
              </w:rPr>
              <w:t>Total Stockholders' Equity</w:t>
            </w:r>
          </w:p>
        </w:tc>
        <w:tc>
          <w:tcPr>
            <w:tcW w:w="720" w:type="dxa"/>
            <w:vAlign w:val="bottom"/>
          </w:tcPr>
          <w:p>
            <w:pPr>
              <w:jc w:val="right"/>
              <w:spacing w:after="0"/>
              <w:rPr>
                <w:sz w:val="20"/>
                <w:szCs w:val="20"/>
                <w:color w:val="auto"/>
              </w:rPr>
            </w:pPr>
            <w:r>
              <w:rPr>
                <w:rFonts w:ascii="Arial" w:cs="Arial" w:eastAsia="Arial" w:hAnsi="Arial"/>
                <w:sz w:val="22"/>
                <w:szCs w:val="22"/>
                <w:color w:val="auto"/>
              </w:rPr>
              <w:t>41,515</w:t>
            </w:r>
          </w:p>
        </w:tc>
        <w:tc>
          <w:tcPr>
            <w:tcW w:w="1060" w:type="dxa"/>
            <w:vAlign w:val="bottom"/>
            <w:gridSpan w:val="3"/>
          </w:tcPr>
          <w:p>
            <w:pPr>
              <w:jc w:val="right"/>
              <w:ind w:right="160"/>
              <w:spacing w:after="0"/>
              <w:rPr>
                <w:sz w:val="20"/>
                <w:szCs w:val="20"/>
                <w:color w:val="auto"/>
              </w:rPr>
            </w:pPr>
            <w:r>
              <w:rPr>
                <w:rFonts w:ascii="Arial" w:cs="Arial" w:eastAsia="Arial" w:hAnsi="Arial"/>
                <w:sz w:val="22"/>
                <w:szCs w:val="22"/>
                <w:color w:val="auto"/>
              </w:rPr>
              <w:t>20,108</w:t>
            </w:r>
          </w:p>
        </w:tc>
        <w:tc>
          <w:tcPr>
            <w:tcW w:w="720" w:type="dxa"/>
            <w:vAlign w:val="bottom"/>
          </w:tcPr>
          <w:p>
            <w:pPr>
              <w:jc w:val="right"/>
              <w:spacing w:after="0"/>
              <w:rPr>
                <w:sz w:val="20"/>
                <w:szCs w:val="20"/>
                <w:color w:val="auto"/>
              </w:rPr>
            </w:pPr>
            <w:r>
              <w:rPr>
                <w:rFonts w:ascii="Arial" w:cs="Arial" w:eastAsia="Arial" w:hAnsi="Arial"/>
                <w:sz w:val="22"/>
                <w:szCs w:val="22"/>
                <w:color w:val="auto"/>
              </w:rPr>
              <w:t>29,662</w:t>
            </w:r>
          </w:p>
        </w:tc>
        <w:tc>
          <w:tcPr>
            <w:tcW w:w="920" w:type="dxa"/>
            <w:vAlign w:val="bottom"/>
            <w:gridSpan w:val="2"/>
          </w:tcPr>
          <w:p>
            <w:pPr>
              <w:jc w:val="right"/>
              <w:spacing w:after="0"/>
              <w:rPr>
                <w:sz w:val="20"/>
                <w:szCs w:val="20"/>
                <w:color w:val="auto"/>
              </w:rPr>
            </w:pPr>
            <w:r>
              <w:rPr>
                <w:rFonts w:ascii="Arial" w:cs="Arial" w:eastAsia="Arial" w:hAnsi="Arial"/>
                <w:sz w:val="22"/>
                <w:szCs w:val="22"/>
                <w:color w:val="auto"/>
              </w:rPr>
              <w:t>33,539</w:t>
            </w:r>
          </w:p>
        </w:tc>
        <w:tc>
          <w:tcPr>
            <w:tcW w:w="1220" w:type="dxa"/>
            <w:vAlign w:val="bottom"/>
            <w:gridSpan w:val="3"/>
          </w:tcPr>
          <w:p>
            <w:pPr>
              <w:jc w:val="right"/>
              <w:ind w:right="180"/>
              <w:spacing w:after="0"/>
              <w:rPr>
                <w:sz w:val="20"/>
                <w:szCs w:val="20"/>
                <w:color w:val="auto"/>
              </w:rPr>
            </w:pPr>
            <w:r>
              <w:rPr>
                <w:rFonts w:ascii="Arial" w:cs="Arial" w:eastAsia="Arial" w:hAnsi="Arial"/>
                <w:sz w:val="22"/>
                <w:szCs w:val="22"/>
                <w:color w:val="auto"/>
              </w:rPr>
              <w:t>83,867</w:t>
            </w:r>
          </w:p>
        </w:tc>
        <w:tc>
          <w:tcPr>
            <w:tcW w:w="1180" w:type="dxa"/>
            <w:vAlign w:val="bottom"/>
            <w:gridSpan w:val="2"/>
          </w:tcPr>
          <w:p>
            <w:pPr>
              <w:jc w:val="right"/>
              <w:ind w:right="120"/>
              <w:spacing w:after="0"/>
              <w:rPr>
                <w:sz w:val="20"/>
                <w:szCs w:val="20"/>
                <w:color w:val="auto"/>
              </w:rPr>
            </w:pPr>
            <w:r>
              <w:rPr>
                <w:rFonts w:ascii="Arial" w:cs="Arial" w:eastAsia="Arial" w:hAnsi="Arial"/>
                <w:sz w:val="22"/>
                <w:szCs w:val="22"/>
                <w:color w:val="auto"/>
              </w:rPr>
              <w:t>(167,176)</w:t>
            </w:r>
          </w:p>
        </w:tc>
        <w:tc>
          <w:tcPr>
            <w:tcW w:w="920" w:type="dxa"/>
            <w:vAlign w:val="bottom"/>
          </w:tcPr>
          <w:p>
            <w:pPr>
              <w:jc w:val="right"/>
              <w:spacing w:after="0"/>
              <w:rPr>
                <w:sz w:val="20"/>
                <w:szCs w:val="20"/>
                <w:color w:val="auto"/>
              </w:rPr>
            </w:pPr>
            <w:r>
              <w:rPr>
                <w:rFonts w:ascii="Arial" w:cs="Arial" w:eastAsia="Arial" w:hAnsi="Arial"/>
                <w:sz w:val="22"/>
                <w:szCs w:val="22"/>
                <w:color w:val="auto"/>
              </w:rPr>
              <w:t>41,515</w:t>
            </w:r>
          </w:p>
        </w:tc>
        <w:tc>
          <w:tcPr>
            <w:tcW w:w="0" w:type="dxa"/>
            <w:vAlign w:val="bottom"/>
          </w:tcPr>
          <w:p>
            <w:pPr>
              <w:spacing w:after="0"/>
              <w:rPr>
                <w:sz w:val="1"/>
                <w:szCs w:val="1"/>
                <w:color w:val="auto"/>
              </w:rPr>
            </w:pPr>
          </w:p>
        </w:tc>
      </w:tr>
      <w:tr>
        <w:trPr>
          <w:trHeight w:val="98"/>
        </w:trPr>
        <w:tc>
          <w:tcPr>
            <w:tcW w:w="3340" w:type="dxa"/>
            <w:vAlign w:val="bottom"/>
            <w:vMerge w:val="restart"/>
          </w:tcPr>
          <w:p>
            <w:pPr>
              <w:ind w:left="280"/>
              <w:spacing w:after="0"/>
              <w:rPr>
                <w:sz w:val="20"/>
                <w:szCs w:val="20"/>
                <w:color w:val="auto"/>
              </w:rPr>
            </w:pPr>
            <w:r>
              <w:rPr>
                <w:rFonts w:ascii="Arial" w:cs="Arial" w:eastAsia="Arial" w:hAnsi="Arial"/>
                <w:sz w:val="22"/>
                <w:szCs w:val="22"/>
                <w:color w:val="auto"/>
              </w:rPr>
              <w:t>Total Liabilities and</w:t>
            </w:r>
          </w:p>
        </w:tc>
        <w:tc>
          <w:tcPr>
            <w:tcW w:w="7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566"/>
        </w:trPr>
        <w:tc>
          <w:tcPr>
            <w:tcW w:w="3340" w:type="dxa"/>
            <w:vAlign w:val="bottom"/>
            <w:vMerge w:val="continue"/>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Arial" w:cs="Arial" w:eastAsia="Arial" w:hAnsi="Arial"/>
                <w:sz w:val="22"/>
                <w:szCs w:val="22"/>
                <w:color w:val="auto"/>
              </w:rPr>
              <w:t>Stockholders'</w:t>
            </w: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3340" w:type="dxa"/>
            <w:vAlign w:val="bottom"/>
          </w:tcPr>
          <w:p>
            <w:pPr>
              <w:ind w:left="500"/>
              <w:spacing w:after="0"/>
              <w:rPr>
                <w:sz w:val="20"/>
                <w:szCs w:val="20"/>
                <w:color w:val="auto"/>
              </w:rPr>
            </w:pPr>
            <w:r>
              <w:rPr>
                <w:rFonts w:ascii="Arial" w:cs="Arial" w:eastAsia="Arial" w:hAnsi="Arial"/>
                <w:sz w:val="22"/>
                <w:szCs w:val="22"/>
                <w:color w:val="auto"/>
              </w:rPr>
              <w:t>Equity</w:t>
            </w:r>
          </w:p>
        </w:tc>
        <w:tc>
          <w:tcPr>
            <w:tcW w:w="720" w:type="dxa"/>
            <w:vAlign w:val="bottom"/>
          </w:tcPr>
          <w:p>
            <w:pPr>
              <w:jc w:val="right"/>
              <w:spacing w:after="0"/>
              <w:rPr>
                <w:sz w:val="20"/>
                <w:szCs w:val="20"/>
                <w:color w:val="auto"/>
              </w:rPr>
            </w:pPr>
            <w:r>
              <w:rPr>
                <w:rFonts w:ascii="Arial" w:cs="Arial" w:eastAsia="Arial" w:hAnsi="Arial"/>
                <w:sz w:val="22"/>
                <w:szCs w:val="22"/>
                <w:color w:val="auto"/>
                <w:w w:val="87"/>
              </w:rPr>
              <w:t>$46,769</w:t>
            </w:r>
          </w:p>
        </w:tc>
        <w:tc>
          <w:tcPr>
            <w:tcW w:w="1060" w:type="dxa"/>
            <w:vAlign w:val="bottom"/>
            <w:gridSpan w:val="3"/>
          </w:tcPr>
          <w:p>
            <w:pPr>
              <w:jc w:val="right"/>
              <w:ind w:right="160"/>
              <w:spacing w:after="0"/>
              <w:rPr>
                <w:sz w:val="20"/>
                <w:szCs w:val="20"/>
                <w:color w:val="auto"/>
              </w:rPr>
            </w:pPr>
            <w:r>
              <w:rPr>
                <w:rFonts w:ascii="Arial" w:cs="Arial" w:eastAsia="Arial" w:hAnsi="Arial"/>
                <w:sz w:val="22"/>
                <w:szCs w:val="22"/>
                <w:color w:val="auto"/>
              </w:rPr>
              <w:t>$26,688</w:t>
            </w:r>
          </w:p>
        </w:tc>
        <w:tc>
          <w:tcPr>
            <w:tcW w:w="720" w:type="dxa"/>
            <w:vAlign w:val="bottom"/>
          </w:tcPr>
          <w:p>
            <w:pPr>
              <w:jc w:val="right"/>
              <w:spacing w:after="0"/>
              <w:rPr>
                <w:sz w:val="20"/>
                <w:szCs w:val="20"/>
                <w:color w:val="auto"/>
              </w:rPr>
            </w:pPr>
            <w:r>
              <w:rPr>
                <w:rFonts w:ascii="Arial" w:cs="Arial" w:eastAsia="Arial" w:hAnsi="Arial"/>
                <w:sz w:val="22"/>
                <w:szCs w:val="22"/>
                <w:color w:val="auto"/>
                <w:w w:val="87"/>
              </w:rPr>
              <w:t>$33,571</w:t>
            </w:r>
          </w:p>
        </w:tc>
        <w:tc>
          <w:tcPr>
            <w:tcW w:w="920" w:type="dxa"/>
            <w:vAlign w:val="bottom"/>
            <w:gridSpan w:val="2"/>
          </w:tcPr>
          <w:p>
            <w:pPr>
              <w:jc w:val="right"/>
              <w:spacing w:after="0"/>
              <w:rPr>
                <w:sz w:val="20"/>
                <w:szCs w:val="20"/>
                <w:color w:val="auto"/>
              </w:rPr>
            </w:pPr>
            <w:r>
              <w:rPr>
                <w:rFonts w:ascii="Arial" w:cs="Arial" w:eastAsia="Arial" w:hAnsi="Arial"/>
                <w:sz w:val="22"/>
                <w:szCs w:val="22"/>
                <w:color w:val="auto"/>
              </w:rPr>
              <w:t>$40,224</w:t>
            </w:r>
          </w:p>
        </w:tc>
        <w:tc>
          <w:tcPr>
            <w:tcW w:w="1220" w:type="dxa"/>
            <w:vAlign w:val="bottom"/>
            <w:gridSpan w:val="3"/>
          </w:tcPr>
          <w:p>
            <w:pPr>
              <w:jc w:val="right"/>
              <w:ind w:right="180"/>
              <w:spacing w:after="0"/>
              <w:rPr>
                <w:sz w:val="20"/>
                <w:szCs w:val="20"/>
                <w:color w:val="auto"/>
              </w:rPr>
            </w:pPr>
            <w:r>
              <w:rPr>
                <w:rFonts w:ascii="Arial" w:cs="Arial" w:eastAsia="Arial" w:hAnsi="Arial"/>
                <w:sz w:val="22"/>
                <w:szCs w:val="22"/>
                <w:color w:val="auto"/>
              </w:rPr>
              <w:t>$128,005</w:t>
            </w:r>
          </w:p>
        </w:tc>
        <w:tc>
          <w:tcPr>
            <w:tcW w:w="1180" w:type="dxa"/>
            <w:vAlign w:val="bottom"/>
            <w:gridSpan w:val="2"/>
          </w:tcPr>
          <w:p>
            <w:pPr>
              <w:jc w:val="right"/>
              <w:ind w:right="120"/>
              <w:spacing w:after="0"/>
              <w:rPr>
                <w:sz w:val="20"/>
                <w:szCs w:val="20"/>
                <w:color w:val="auto"/>
              </w:rPr>
            </w:pPr>
            <w:r>
              <w:rPr>
                <w:rFonts w:ascii="Arial" w:cs="Arial" w:eastAsia="Arial" w:hAnsi="Arial"/>
                <w:sz w:val="22"/>
                <w:szCs w:val="22"/>
                <w:color w:val="auto"/>
                <w:w w:val="97"/>
              </w:rPr>
              <w:t>($167,176)</w:t>
            </w:r>
          </w:p>
        </w:tc>
        <w:tc>
          <w:tcPr>
            <w:tcW w:w="920" w:type="dxa"/>
            <w:vAlign w:val="bottom"/>
          </w:tcPr>
          <w:p>
            <w:pPr>
              <w:jc w:val="right"/>
              <w:spacing w:after="0"/>
              <w:rPr>
                <w:sz w:val="20"/>
                <w:szCs w:val="20"/>
                <w:color w:val="auto"/>
              </w:rPr>
            </w:pPr>
            <w:r>
              <w:rPr>
                <w:rFonts w:ascii="Arial" w:cs="Arial" w:eastAsia="Arial" w:hAnsi="Arial"/>
                <w:sz w:val="22"/>
                <w:szCs w:val="22"/>
                <w:color w:val="auto"/>
                <w:w w:val="98"/>
              </w:rPr>
              <w:t>$108,081</w:t>
            </w:r>
          </w:p>
        </w:tc>
        <w:tc>
          <w:tcPr>
            <w:tcW w:w="0" w:type="dxa"/>
            <w:vAlign w:val="bottom"/>
          </w:tcPr>
          <w:p>
            <w:pPr>
              <w:spacing w:after="0"/>
              <w:rPr>
                <w:sz w:val="1"/>
                <w:szCs w:val="1"/>
                <w:color w:val="auto"/>
              </w:rPr>
            </w:pPr>
          </w:p>
        </w:tc>
      </w:tr>
      <w:tr>
        <w:trPr>
          <w:trHeight w:val="108"/>
        </w:trPr>
        <w:tc>
          <w:tcPr>
            <w:tcW w:w="334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574"/>
        </w:trPr>
        <w:tc>
          <w:tcPr>
            <w:tcW w:w="3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22"/>
                <w:szCs w:val="22"/>
                <w:color w:val="auto"/>
              </w:rPr>
              <w:t>20</w:t>
            </w: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2567305</wp:posOffset>
            </wp:positionH>
            <wp:positionV relativeFrom="paragraph">
              <wp:posOffset>-378460</wp:posOffset>
            </wp:positionV>
            <wp:extent cx="1270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2121535</wp:posOffset>
            </wp:positionH>
            <wp:positionV relativeFrom="paragraph">
              <wp:posOffset>-378460</wp:posOffset>
            </wp:positionV>
            <wp:extent cx="1270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3133090</wp:posOffset>
            </wp:positionH>
            <wp:positionV relativeFrom="paragraph">
              <wp:posOffset>-378460</wp:posOffset>
            </wp:positionV>
            <wp:extent cx="1270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-378460</wp:posOffset>
            </wp:positionV>
            <wp:extent cx="1270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-378460</wp:posOffset>
            </wp:positionV>
            <wp:extent cx="1270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3253105</wp:posOffset>
            </wp:positionH>
            <wp:positionV relativeFrom="paragraph">
              <wp:posOffset>-378460</wp:posOffset>
            </wp:positionV>
            <wp:extent cx="1270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-378460</wp:posOffset>
            </wp:positionV>
            <wp:extent cx="1270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-378460</wp:posOffset>
            </wp:positionV>
            <wp:extent cx="1270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-378460</wp:posOffset>
            </wp:positionV>
            <wp:extent cx="1270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-378460</wp:posOffset>
            </wp:positionV>
            <wp:extent cx="1270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-378460</wp:posOffset>
            </wp:positionV>
            <wp:extent cx="1270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-378460</wp:posOffset>
            </wp:positionV>
            <wp:extent cx="1270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-378460</wp:posOffset>
            </wp:positionV>
            <wp:extent cx="1270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-378460</wp:posOffset>
            </wp:positionV>
            <wp:extent cx="1270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130810</wp:posOffset>
            </wp:positionV>
            <wp:extent cx="726376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94" w:lineRule="exact"/>
        <w:rPr>
          <w:sz w:val="20"/>
          <w:szCs w:val="20"/>
          <w:color w:val="auto"/>
        </w:rPr>
      </w:pPr>
    </w:p>
    <w:p>
      <w:pPr>
        <w:jc w:val="center"/>
        <w:ind w:right="-1160"/>
        <w:spacing w:after="0"/>
        <w:rPr>
          <w:sz w:val="20"/>
          <w:szCs w:val="20"/>
          <w:color w:val="auto"/>
        </w:rPr>
      </w:pPr>
      <w:r>
        <w:rPr>
          <w:rFonts w:ascii="Arial" w:cs="Arial" w:eastAsia="Arial" w:hAnsi="Arial"/>
          <w:sz w:val="22"/>
          <w:szCs w:val="22"/>
          <w:color w:val="auto"/>
        </w:rPr>
        <w:t>COMCAST CORPORATION AND SUBSIDIARIES</w:t>
      </w:r>
    </w:p>
    <w:p>
      <w:pPr>
        <w:jc w:val="center"/>
        <w:ind w:right="-1160"/>
        <w:spacing w:after="0" w:line="238" w:lineRule="auto"/>
        <w:rPr>
          <w:sz w:val="20"/>
          <w:szCs w:val="20"/>
          <w:color w:val="auto"/>
        </w:rPr>
      </w:pPr>
      <w:r>
        <w:rPr>
          <w:rFonts w:ascii="Arial" w:cs="Arial" w:eastAsia="Arial" w:hAnsi="Arial"/>
          <w:sz w:val="22"/>
          <w:szCs w:val="22"/>
          <w:color w:val="auto"/>
        </w:rPr>
        <w:t>FORM 10-Q</w:t>
      </w:r>
    </w:p>
    <w:p>
      <w:pPr>
        <w:jc w:val="center"/>
        <w:ind w:right="-1160"/>
        <w:spacing w:after="0" w:line="230" w:lineRule="auto"/>
        <w:rPr>
          <w:sz w:val="20"/>
          <w:szCs w:val="20"/>
          <w:color w:val="auto"/>
        </w:rPr>
      </w:pPr>
      <w:r>
        <w:rPr>
          <w:rFonts w:ascii="Arial" w:cs="Arial" w:eastAsia="Arial" w:hAnsi="Arial"/>
          <w:sz w:val="22"/>
          <w:szCs w:val="22"/>
          <w:color w:val="auto"/>
        </w:rPr>
        <w:t>QUARTER ENDED JUNE 30, 2004</w:t>
      </w:r>
    </w:p>
    <w:p>
      <w:pPr>
        <w:jc w:val="center"/>
        <w:ind w:right="-1160"/>
        <w:spacing w:after="0" w:line="231" w:lineRule="auto"/>
        <w:rPr>
          <w:sz w:val="20"/>
          <w:szCs w:val="20"/>
          <w:color w:val="auto"/>
        </w:rPr>
      </w:pPr>
      <w:r>
        <w:rPr>
          <w:rFonts w:ascii="Arial" w:cs="Arial" w:eastAsia="Arial" w:hAnsi="Arial"/>
          <w:sz w:val="22"/>
          <w:szCs w:val="22"/>
          <w:color w:val="auto"/>
        </w:rPr>
        <w:t>NOTES TO CONDENSED CONSOLIDATED FINANCIAL STATEMENTS - CONTINUED</w:t>
      </w:r>
    </w:p>
    <w:p>
      <w:pPr>
        <w:spacing w:after="0" w:line="1" w:lineRule="exact"/>
        <w:rPr>
          <w:sz w:val="20"/>
          <w:szCs w:val="20"/>
          <w:color w:val="auto"/>
        </w:rPr>
      </w:pPr>
    </w:p>
    <w:p>
      <w:pPr>
        <w:jc w:val="center"/>
        <w:ind w:right="-1200"/>
        <w:spacing w:after="0"/>
        <w:rPr>
          <w:sz w:val="20"/>
          <w:szCs w:val="20"/>
          <w:color w:val="auto"/>
        </w:rPr>
      </w:pPr>
      <w:r>
        <w:rPr>
          <w:rFonts w:ascii="Arial" w:cs="Arial" w:eastAsia="Arial" w:hAnsi="Arial"/>
          <w:sz w:val="22"/>
          <w:szCs w:val="22"/>
          <w:color w:val="auto"/>
        </w:rPr>
        <w:t>(Unaudited)</w:t>
      </w:r>
    </w:p>
    <w:p>
      <w:pPr>
        <w:spacing w:after="0" w:line="188"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Comcast Corporation</w:t>
      </w:r>
    </w:p>
    <w:p>
      <w:pPr>
        <w:jc w:val="center"/>
        <w:ind w:right="-60"/>
        <w:spacing w:after="0" w:line="238" w:lineRule="auto"/>
        <w:rPr>
          <w:sz w:val="20"/>
          <w:szCs w:val="20"/>
          <w:color w:val="auto"/>
        </w:rPr>
      </w:pPr>
      <w:r>
        <w:rPr>
          <w:rFonts w:ascii="Arial" w:cs="Arial" w:eastAsia="Arial" w:hAnsi="Arial"/>
          <w:sz w:val="22"/>
          <w:szCs w:val="22"/>
          <w:color w:val="auto"/>
        </w:rPr>
        <w:t>Condensed Consolidating Balance Sheet</w:t>
      </w:r>
    </w:p>
    <w:p>
      <w:pPr>
        <w:jc w:val="center"/>
        <w:ind w:right="-60"/>
        <w:spacing w:after="0"/>
        <w:rPr>
          <w:sz w:val="20"/>
          <w:szCs w:val="20"/>
          <w:color w:val="auto"/>
        </w:rPr>
      </w:pPr>
      <w:r>
        <w:rPr>
          <w:rFonts w:ascii="Arial" w:cs="Arial" w:eastAsia="Arial" w:hAnsi="Arial"/>
          <w:sz w:val="22"/>
          <w:szCs w:val="22"/>
          <w:color w:val="auto"/>
        </w:rPr>
        <w:t>As of December 31, 2003</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Elimination</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90"/>
              </w:rPr>
              <w:t>Combined</w:t>
            </w:r>
          </w:p>
        </w:tc>
        <w:tc>
          <w:tcPr>
            <w:tcW w:w="180" w:type="dxa"/>
            <w:vAlign w:val="bottom"/>
          </w:tcPr>
          <w:p>
            <w:pPr>
              <w:spacing w:after="0"/>
              <w:rPr>
                <w:sz w:val="18"/>
                <w:szCs w:val="18"/>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Non-</w:t>
            </w: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color w:val="auto"/>
                <w:w w:val="86"/>
              </w:rPr>
              <w:t>and</w:t>
            </w:r>
          </w:p>
        </w:tc>
        <w:tc>
          <w:tcPr>
            <w:tcW w:w="920" w:type="dxa"/>
            <w:vAlign w:val="bottom"/>
          </w:tcPr>
          <w:p>
            <w:pPr>
              <w:jc w:val="center"/>
              <w:spacing w:after="0"/>
              <w:rPr>
                <w:sz w:val="20"/>
                <w:szCs w:val="20"/>
                <w:color w:val="auto"/>
              </w:rPr>
            </w:pPr>
            <w:r>
              <w:rPr>
                <w:rFonts w:ascii="Arial" w:cs="Arial" w:eastAsia="Arial" w:hAnsi="Arial"/>
                <w:sz w:val="18"/>
                <w:szCs w:val="18"/>
                <w:color w:val="auto"/>
                <w:w w:val="87"/>
              </w:rPr>
              <w:t>Consolidated</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84"/>
              </w:rPr>
              <w:t>Comcast</w:t>
            </w:r>
          </w:p>
        </w:tc>
        <w:tc>
          <w:tcPr>
            <w:tcW w:w="180" w:type="dxa"/>
            <w:vAlign w:val="bottom"/>
          </w:tcPr>
          <w:p>
            <w:pPr>
              <w:spacing w:after="0"/>
              <w:rPr>
                <w:sz w:val="18"/>
                <w:szCs w:val="18"/>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8"/>
                <w:szCs w:val="18"/>
                <w:color w:val="auto"/>
                <w:w w:val="93"/>
              </w:rPr>
              <w:t>CCCL</w:t>
            </w:r>
          </w:p>
        </w:tc>
        <w:tc>
          <w:tcPr>
            <w:tcW w:w="720" w:type="dxa"/>
            <w:vAlign w:val="bottom"/>
          </w:tcPr>
          <w:p>
            <w:pPr>
              <w:jc w:val="center"/>
              <w:spacing w:after="0"/>
              <w:rPr>
                <w:sz w:val="20"/>
                <w:szCs w:val="20"/>
                <w:color w:val="auto"/>
              </w:rPr>
            </w:pPr>
            <w:r>
              <w:rPr>
                <w:rFonts w:ascii="Arial" w:cs="Arial" w:eastAsia="Arial" w:hAnsi="Arial"/>
                <w:sz w:val="18"/>
                <w:szCs w:val="18"/>
                <w:color w:val="auto"/>
                <w:w w:val="92"/>
              </w:rPr>
              <w:t>CCCH</w:t>
            </w:r>
          </w:p>
        </w:tc>
        <w:tc>
          <w:tcPr>
            <w:tcW w:w="18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97"/>
              </w:rPr>
              <w:t>CCHMO</w:t>
            </w:r>
          </w:p>
        </w:tc>
        <w:tc>
          <w:tcPr>
            <w:tcW w:w="180" w:type="dxa"/>
            <w:vAlign w:val="bottom"/>
          </w:tcPr>
          <w:p>
            <w:pPr>
              <w:spacing w:after="0"/>
              <w:rPr>
                <w:sz w:val="18"/>
                <w:szCs w:val="18"/>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8"/>
                <w:szCs w:val="18"/>
                <w:color w:val="auto"/>
                <w:w w:val="86"/>
              </w:rPr>
              <w:t>Guarantor</w:t>
            </w: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Consolidation</w:t>
            </w:r>
          </w:p>
        </w:tc>
        <w:tc>
          <w:tcPr>
            <w:tcW w:w="920" w:type="dxa"/>
            <w:vAlign w:val="bottom"/>
          </w:tcPr>
          <w:p>
            <w:pPr>
              <w:jc w:val="center"/>
              <w:spacing w:after="0"/>
              <w:rPr>
                <w:sz w:val="20"/>
                <w:szCs w:val="20"/>
                <w:color w:val="auto"/>
              </w:rPr>
            </w:pPr>
            <w:r>
              <w:rPr>
                <w:rFonts w:ascii="Arial" w:cs="Arial" w:eastAsia="Arial" w:hAnsi="Arial"/>
                <w:sz w:val="18"/>
                <w:szCs w:val="18"/>
                <w:color w:val="auto"/>
                <w:w w:val="87"/>
              </w:rPr>
              <w:t>Comcast</w:t>
            </w:r>
          </w:p>
        </w:tc>
        <w:tc>
          <w:tcPr>
            <w:tcW w:w="0" w:type="dxa"/>
            <w:vAlign w:val="bottom"/>
          </w:tcPr>
          <w:p>
            <w:pPr>
              <w:spacing w:after="0"/>
              <w:rPr>
                <w:sz w:val="1"/>
                <w:szCs w:val="1"/>
                <w:color w:val="auto"/>
              </w:rPr>
            </w:pPr>
          </w:p>
        </w:tc>
      </w:tr>
      <w:tr>
        <w:trPr>
          <w:trHeight w:val="222"/>
        </w:trPr>
        <w:tc>
          <w:tcPr>
            <w:tcW w:w="7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82"/>
              </w:rPr>
              <w:t>Parent</w:t>
            </w:r>
          </w:p>
        </w:tc>
        <w:tc>
          <w:tcPr>
            <w:tcW w:w="180" w:type="dxa"/>
            <w:vAlign w:val="bottom"/>
          </w:tcPr>
          <w:p>
            <w:pPr>
              <w:spacing w:after="0"/>
              <w:rPr>
                <w:sz w:val="19"/>
                <w:szCs w:val="19"/>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8"/>
                <w:szCs w:val="18"/>
                <w:color w:val="auto"/>
                <w:w w:val="86"/>
              </w:rPr>
              <w:t>Parent</w:t>
            </w:r>
          </w:p>
        </w:tc>
        <w:tc>
          <w:tcPr>
            <w:tcW w:w="720" w:type="dxa"/>
            <w:vAlign w:val="bottom"/>
          </w:tcPr>
          <w:p>
            <w:pPr>
              <w:jc w:val="center"/>
              <w:spacing w:after="0"/>
              <w:rPr>
                <w:sz w:val="20"/>
                <w:szCs w:val="20"/>
                <w:color w:val="auto"/>
              </w:rPr>
            </w:pPr>
            <w:r>
              <w:rPr>
                <w:rFonts w:ascii="Arial" w:cs="Arial" w:eastAsia="Arial" w:hAnsi="Arial"/>
                <w:sz w:val="18"/>
                <w:szCs w:val="18"/>
                <w:color w:val="auto"/>
                <w:w w:val="82"/>
              </w:rPr>
              <w:t>Parent</w:t>
            </w:r>
          </w:p>
        </w:tc>
        <w:tc>
          <w:tcPr>
            <w:tcW w:w="180" w:type="dxa"/>
            <w:vAlign w:val="bottom"/>
          </w:tcPr>
          <w:p>
            <w:pPr>
              <w:spacing w:after="0"/>
              <w:rPr>
                <w:sz w:val="19"/>
                <w:szCs w:val="19"/>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80"/>
              </w:rPr>
              <w:t>Parents</w:t>
            </w:r>
          </w:p>
        </w:tc>
        <w:tc>
          <w:tcPr>
            <w:tcW w:w="180" w:type="dxa"/>
            <w:vAlign w:val="bottom"/>
          </w:tcPr>
          <w:p>
            <w:pPr>
              <w:spacing w:after="0"/>
              <w:rPr>
                <w:sz w:val="19"/>
                <w:szCs w:val="19"/>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8"/>
                <w:szCs w:val="18"/>
                <w:color w:val="auto"/>
                <w:w w:val="87"/>
              </w:rPr>
              <w:t>Subsidiaries</w:t>
            </w: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Adjustments</w:t>
            </w: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Corporation</w:t>
            </w:r>
          </w:p>
        </w:tc>
        <w:tc>
          <w:tcPr>
            <w:tcW w:w="0" w:type="dxa"/>
            <w:vAlign w:val="bottom"/>
          </w:tcPr>
          <w:p>
            <w:pPr>
              <w:spacing w:after="0"/>
              <w:rPr>
                <w:sz w:val="1"/>
                <w:szCs w:val="1"/>
                <w:color w:val="auto"/>
              </w:rPr>
            </w:pPr>
          </w:p>
        </w:tc>
      </w:tr>
      <w:tr>
        <w:trPr>
          <w:trHeight w:val="110"/>
        </w:trPr>
        <w:tc>
          <w:tcPr>
            <w:tcW w:w="3340" w:type="dxa"/>
            <w:vAlign w:val="bottom"/>
            <w:gridSpan w:val="4"/>
            <w:vMerge w:val="restart"/>
          </w:tcPr>
          <w:p>
            <w:pPr>
              <w:spacing w:after="0"/>
              <w:rPr>
                <w:sz w:val="20"/>
                <w:szCs w:val="20"/>
                <w:color w:val="auto"/>
              </w:rPr>
            </w:pPr>
            <w:r>
              <w:rPr>
                <w:rFonts w:ascii="Arial" w:cs="Arial" w:eastAsia="Arial" w:hAnsi="Arial"/>
                <w:sz w:val="22"/>
                <w:szCs w:val="22"/>
                <w:color w:val="auto"/>
              </w:rPr>
              <w:t>ASSETS</w:t>
            </w:r>
          </w:p>
        </w:tc>
        <w:tc>
          <w:tcPr>
            <w:tcW w:w="7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04"/>
        </w:trPr>
        <w:tc>
          <w:tcPr>
            <w:tcW w:w="3340" w:type="dxa"/>
            <w:vAlign w:val="bottom"/>
            <w:gridSpan w:val="4"/>
            <w:vMerge w:val="continue"/>
          </w:tcPr>
          <w:p>
            <w:pPr>
              <w:spacing w:after="0"/>
              <w:rPr>
                <w:sz w:val="24"/>
                <w:szCs w:val="24"/>
                <w:color w:val="auto"/>
              </w:rPr>
            </w:pPr>
          </w:p>
        </w:tc>
        <w:tc>
          <w:tcPr>
            <w:tcW w:w="720" w:type="dxa"/>
            <w:vAlign w:val="bottom"/>
            <w:vMerge w:val="restart"/>
          </w:tcPr>
          <w:p>
            <w:pPr>
              <w:jc w:val="center"/>
              <w:spacing w:after="0"/>
              <w:rPr>
                <w:sz w:val="20"/>
                <w:szCs w:val="20"/>
                <w:color w:val="auto"/>
              </w:rPr>
            </w:pPr>
            <w:r>
              <w:rPr>
                <w:rFonts w:ascii="Arial" w:cs="Arial" w:eastAsia="Arial" w:hAnsi="Arial"/>
                <w:sz w:val="22"/>
                <w:szCs w:val="22"/>
                <w:color w:val="auto"/>
                <w:w w:val="97"/>
              </w:rPr>
              <w:t>$</w:t>
            </w:r>
          </w:p>
        </w:tc>
        <w:tc>
          <w:tcPr>
            <w:tcW w:w="900" w:type="dxa"/>
            <w:vAlign w:val="bottom"/>
            <w:gridSpan w:val="2"/>
            <w:vMerge w:val="restart"/>
          </w:tcPr>
          <w:p>
            <w:pPr>
              <w:jc w:val="center"/>
              <w:ind w:left="52"/>
              <w:spacing w:after="0"/>
              <w:rPr>
                <w:sz w:val="20"/>
                <w:szCs w:val="20"/>
                <w:color w:val="auto"/>
              </w:rPr>
            </w:pPr>
            <w:r>
              <w:rPr>
                <w:rFonts w:ascii="Arial" w:cs="Arial" w:eastAsia="Arial" w:hAnsi="Arial"/>
                <w:sz w:val="22"/>
                <w:szCs w:val="22"/>
                <w:color w:val="auto"/>
                <w:w w:val="81"/>
              </w:rPr>
              <w:t>$</w:t>
            </w:r>
          </w:p>
        </w:tc>
        <w:tc>
          <w:tcPr>
            <w:tcW w:w="160" w:type="dxa"/>
            <w:vAlign w:val="bottom"/>
          </w:tcPr>
          <w:p>
            <w:pPr>
              <w:spacing w:after="0"/>
              <w:rPr>
                <w:sz w:val="24"/>
                <w:szCs w:val="24"/>
                <w:color w:val="auto"/>
              </w:rPr>
            </w:pPr>
          </w:p>
        </w:tc>
        <w:tc>
          <w:tcPr>
            <w:tcW w:w="720" w:type="dxa"/>
            <w:vAlign w:val="bottom"/>
            <w:vMerge w:val="restart"/>
          </w:tcPr>
          <w:p>
            <w:pPr>
              <w:jc w:val="center"/>
              <w:spacing w:after="0"/>
              <w:rPr>
                <w:sz w:val="20"/>
                <w:szCs w:val="20"/>
                <w:color w:val="auto"/>
              </w:rPr>
            </w:pPr>
            <w:r>
              <w:rPr>
                <w:rFonts w:ascii="Arial" w:cs="Arial" w:eastAsia="Arial" w:hAnsi="Arial"/>
                <w:sz w:val="22"/>
                <w:szCs w:val="22"/>
                <w:color w:val="auto"/>
                <w:w w:val="81"/>
              </w:rPr>
              <w:t>$</w:t>
            </w:r>
          </w:p>
        </w:tc>
        <w:tc>
          <w:tcPr>
            <w:tcW w:w="920" w:type="dxa"/>
            <w:vAlign w:val="bottom"/>
            <w:gridSpan w:val="2"/>
            <w:vMerge w:val="restart"/>
          </w:tcPr>
          <w:p>
            <w:pPr>
              <w:jc w:val="center"/>
              <w:ind w:left="72"/>
              <w:spacing w:after="0"/>
              <w:rPr>
                <w:sz w:val="20"/>
                <w:szCs w:val="20"/>
                <w:color w:val="auto"/>
              </w:rPr>
            </w:pPr>
            <w:r>
              <w:rPr>
                <w:rFonts w:ascii="Arial" w:cs="Arial" w:eastAsia="Arial" w:hAnsi="Arial"/>
                <w:sz w:val="22"/>
                <w:szCs w:val="22"/>
                <w:color w:val="auto"/>
                <w:w w:val="81"/>
              </w:rPr>
              <w:t>$</w:t>
            </w:r>
          </w:p>
        </w:tc>
        <w:tc>
          <w:tcPr>
            <w:tcW w:w="1220" w:type="dxa"/>
            <w:vAlign w:val="bottom"/>
            <w:gridSpan w:val="3"/>
            <w:vMerge w:val="restart"/>
          </w:tcPr>
          <w:p>
            <w:pPr>
              <w:jc w:val="right"/>
              <w:ind w:right="180"/>
              <w:spacing w:after="0"/>
              <w:rPr>
                <w:sz w:val="20"/>
                <w:szCs w:val="20"/>
                <w:color w:val="auto"/>
              </w:rPr>
            </w:pPr>
            <w:r>
              <w:rPr>
                <w:rFonts w:ascii="Arial" w:cs="Arial" w:eastAsia="Arial" w:hAnsi="Arial"/>
                <w:sz w:val="22"/>
                <w:szCs w:val="22"/>
                <w:color w:val="auto"/>
              </w:rPr>
              <w:t>$1,550</w:t>
            </w:r>
          </w:p>
        </w:tc>
        <w:tc>
          <w:tcPr>
            <w:tcW w:w="980" w:type="dxa"/>
            <w:vAlign w:val="bottom"/>
            <w:vMerge w:val="restart"/>
          </w:tcPr>
          <w:p>
            <w:pPr>
              <w:jc w:val="center"/>
              <w:spacing w:after="0"/>
              <w:rPr>
                <w:sz w:val="20"/>
                <w:szCs w:val="20"/>
                <w:color w:val="auto"/>
              </w:rPr>
            </w:pPr>
            <w:r>
              <w:rPr>
                <w:rFonts w:ascii="Arial" w:cs="Arial" w:eastAsia="Arial" w:hAnsi="Arial"/>
                <w:sz w:val="22"/>
                <w:szCs w:val="22"/>
                <w:color w:val="auto"/>
                <w:w w:val="81"/>
              </w:rPr>
              <w:t>$</w:t>
            </w:r>
          </w:p>
        </w:tc>
        <w:tc>
          <w:tcPr>
            <w:tcW w:w="200" w:type="dxa"/>
            <w:vAlign w:val="bottom"/>
          </w:tcPr>
          <w:p>
            <w:pPr>
              <w:spacing w:after="0"/>
              <w:rPr>
                <w:sz w:val="24"/>
                <w:szCs w:val="24"/>
                <w:color w:val="auto"/>
              </w:rPr>
            </w:pPr>
          </w:p>
        </w:tc>
        <w:tc>
          <w:tcPr>
            <w:tcW w:w="920" w:type="dxa"/>
            <w:vAlign w:val="bottom"/>
            <w:vMerge w:val="restart"/>
          </w:tcPr>
          <w:p>
            <w:pPr>
              <w:jc w:val="right"/>
              <w:spacing w:after="0"/>
              <w:rPr>
                <w:sz w:val="20"/>
                <w:szCs w:val="20"/>
                <w:color w:val="auto"/>
              </w:rPr>
            </w:pPr>
            <w:r>
              <w:rPr>
                <w:rFonts w:ascii="Arial" w:cs="Arial" w:eastAsia="Arial" w:hAnsi="Arial"/>
                <w:sz w:val="22"/>
                <w:szCs w:val="22"/>
                <w:color w:val="auto"/>
              </w:rPr>
              <w:t>$1,550</w:t>
            </w:r>
          </w:p>
        </w:tc>
        <w:tc>
          <w:tcPr>
            <w:tcW w:w="0" w:type="dxa"/>
            <w:vAlign w:val="bottom"/>
          </w:tcPr>
          <w:p>
            <w:pPr>
              <w:spacing w:after="0"/>
              <w:rPr>
                <w:sz w:val="1"/>
                <w:szCs w:val="1"/>
                <w:color w:val="auto"/>
              </w:rPr>
            </w:pPr>
          </w:p>
        </w:tc>
      </w:tr>
      <w:tr>
        <w:trPr>
          <w:trHeight w:val="20"/>
        </w:trPr>
        <w:tc>
          <w:tcPr>
            <w:tcW w:w="78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vMerge w:val="continue"/>
          </w:tcPr>
          <w:p>
            <w:pPr>
              <w:spacing w:after="0" w:line="20" w:lineRule="exact"/>
              <w:rPr>
                <w:sz w:val="1"/>
                <w:szCs w:val="1"/>
                <w:color w:val="auto"/>
              </w:rPr>
            </w:pPr>
          </w:p>
        </w:tc>
        <w:tc>
          <w:tcPr>
            <w:tcW w:w="900" w:type="dxa"/>
            <w:vAlign w:val="bottom"/>
            <w:gridSpan w:val="2"/>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vMerge w:val="continue"/>
          </w:tcPr>
          <w:p>
            <w:pPr>
              <w:spacing w:after="0" w:line="20" w:lineRule="exact"/>
              <w:rPr>
                <w:sz w:val="1"/>
                <w:szCs w:val="1"/>
                <w:color w:val="auto"/>
              </w:rPr>
            </w:pPr>
          </w:p>
        </w:tc>
        <w:tc>
          <w:tcPr>
            <w:tcW w:w="920" w:type="dxa"/>
            <w:vAlign w:val="bottom"/>
            <w:gridSpan w:val="2"/>
            <w:vMerge w:val="continue"/>
          </w:tcPr>
          <w:p>
            <w:pPr>
              <w:spacing w:after="0" w:line="20" w:lineRule="exact"/>
              <w:rPr>
                <w:sz w:val="1"/>
                <w:szCs w:val="1"/>
                <w:color w:val="auto"/>
              </w:rPr>
            </w:pPr>
          </w:p>
        </w:tc>
        <w:tc>
          <w:tcPr>
            <w:tcW w:w="1220" w:type="dxa"/>
            <w:vAlign w:val="bottom"/>
            <w:gridSpan w:val="3"/>
            <w:vMerge w:val="continue"/>
          </w:tcPr>
          <w:p>
            <w:pPr>
              <w:spacing w:after="0" w:line="20" w:lineRule="exact"/>
              <w:rPr>
                <w:sz w:val="1"/>
                <w:szCs w:val="1"/>
                <w:color w:val="auto"/>
              </w:rPr>
            </w:pPr>
          </w:p>
        </w:tc>
        <w:tc>
          <w:tcPr>
            <w:tcW w:w="980" w:type="dxa"/>
            <w:vAlign w:val="bottom"/>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3340" w:type="dxa"/>
            <w:vAlign w:val="bottom"/>
            <w:gridSpan w:val="4"/>
          </w:tcPr>
          <w:p>
            <w:pPr>
              <w:ind w:left="180"/>
              <w:spacing w:after="0" w:line="242" w:lineRule="exact"/>
              <w:rPr>
                <w:sz w:val="20"/>
                <w:szCs w:val="20"/>
                <w:color w:val="auto"/>
              </w:rPr>
            </w:pPr>
            <w:r>
              <w:rPr>
                <w:rFonts w:ascii="Arial" w:cs="Arial" w:eastAsia="Arial" w:hAnsi="Arial"/>
                <w:sz w:val="22"/>
                <w:szCs w:val="22"/>
                <w:color w:val="auto"/>
              </w:rPr>
              <w:t>Cash and cash equivalents</w:t>
            </w:r>
          </w:p>
        </w:tc>
        <w:tc>
          <w:tcPr>
            <w:tcW w:w="720" w:type="dxa"/>
            <w:vAlign w:val="bottom"/>
            <w:vMerge w:val="continue"/>
          </w:tcPr>
          <w:p>
            <w:pPr>
              <w:spacing w:after="0"/>
              <w:rPr>
                <w:sz w:val="21"/>
                <w:szCs w:val="21"/>
                <w:color w:val="auto"/>
              </w:rPr>
            </w:pPr>
          </w:p>
        </w:tc>
        <w:tc>
          <w:tcPr>
            <w:tcW w:w="900" w:type="dxa"/>
            <w:vAlign w:val="bottom"/>
            <w:gridSpan w:val="2"/>
            <w:vMerge w:val="continue"/>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vMerge w:val="continue"/>
          </w:tcPr>
          <w:p>
            <w:pPr>
              <w:spacing w:after="0"/>
              <w:rPr>
                <w:sz w:val="21"/>
                <w:szCs w:val="21"/>
                <w:color w:val="auto"/>
              </w:rPr>
            </w:pPr>
          </w:p>
        </w:tc>
        <w:tc>
          <w:tcPr>
            <w:tcW w:w="920" w:type="dxa"/>
            <w:vAlign w:val="bottom"/>
            <w:gridSpan w:val="2"/>
            <w:vMerge w:val="continue"/>
          </w:tcPr>
          <w:p>
            <w:pPr>
              <w:spacing w:after="0"/>
              <w:rPr>
                <w:sz w:val="21"/>
                <w:szCs w:val="21"/>
                <w:color w:val="auto"/>
              </w:rPr>
            </w:pPr>
          </w:p>
        </w:tc>
        <w:tc>
          <w:tcPr>
            <w:tcW w:w="1220" w:type="dxa"/>
            <w:vAlign w:val="bottom"/>
            <w:gridSpan w:val="3"/>
            <w:vMerge w:val="continue"/>
          </w:tcPr>
          <w:p>
            <w:pPr>
              <w:spacing w:after="0"/>
              <w:rPr>
                <w:sz w:val="21"/>
                <w:szCs w:val="21"/>
                <w:color w:val="auto"/>
              </w:rPr>
            </w:pPr>
          </w:p>
        </w:tc>
        <w:tc>
          <w:tcPr>
            <w:tcW w:w="98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gridSpan w:val="4"/>
          </w:tcPr>
          <w:p>
            <w:pPr>
              <w:ind w:left="180"/>
              <w:spacing w:after="0" w:line="243" w:lineRule="exact"/>
              <w:rPr>
                <w:sz w:val="20"/>
                <w:szCs w:val="20"/>
                <w:color w:val="auto"/>
              </w:rPr>
            </w:pPr>
            <w:r>
              <w:rPr>
                <w:rFonts w:ascii="Arial" w:cs="Arial" w:eastAsia="Arial" w:hAnsi="Arial"/>
                <w:sz w:val="22"/>
                <w:szCs w:val="22"/>
                <w:color w:val="auto"/>
              </w:rPr>
              <w:t>Investments</w:t>
            </w:r>
          </w:p>
        </w:tc>
        <w:tc>
          <w:tcPr>
            <w:tcW w:w="720" w:type="dxa"/>
            <w:vAlign w:val="bottom"/>
          </w:tcPr>
          <w:p>
            <w:pPr>
              <w:jc w:val="right"/>
              <w:spacing w:after="0" w:line="243" w:lineRule="exact"/>
              <w:rPr>
                <w:sz w:val="20"/>
                <w:szCs w:val="20"/>
                <w:color w:val="auto"/>
              </w:rPr>
            </w:pPr>
            <w:r>
              <w:rPr>
                <w:rFonts w:ascii="Arial" w:cs="Arial" w:eastAsia="Arial" w:hAnsi="Arial"/>
                <w:sz w:val="22"/>
                <w:szCs w:val="22"/>
                <w:color w:val="auto"/>
              </w:rPr>
              <w:t>50</w:t>
            </w: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20" w:type="dxa"/>
            <w:vAlign w:val="bottom"/>
            <w:gridSpan w:val="3"/>
          </w:tcPr>
          <w:p>
            <w:pPr>
              <w:jc w:val="right"/>
              <w:ind w:right="180"/>
              <w:spacing w:after="0" w:line="243" w:lineRule="exact"/>
              <w:rPr>
                <w:sz w:val="20"/>
                <w:szCs w:val="20"/>
                <w:color w:val="auto"/>
              </w:rPr>
            </w:pPr>
            <w:r>
              <w:rPr>
                <w:rFonts w:ascii="Arial" w:cs="Arial" w:eastAsia="Arial" w:hAnsi="Arial"/>
                <w:sz w:val="22"/>
                <w:szCs w:val="22"/>
                <w:color w:val="auto"/>
              </w:rPr>
              <w:t>2,443</w:t>
            </w: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line="243" w:lineRule="exact"/>
              <w:rPr>
                <w:sz w:val="20"/>
                <w:szCs w:val="20"/>
                <w:color w:val="auto"/>
              </w:rPr>
            </w:pPr>
            <w:r>
              <w:rPr>
                <w:rFonts w:ascii="Arial" w:cs="Arial" w:eastAsia="Arial" w:hAnsi="Arial"/>
                <w:sz w:val="22"/>
                <w:szCs w:val="22"/>
                <w:color w:val="auto"/>
              </w:rPr>
              <w:t>2,493</w:t>
            </w:r>
          </w:p>
        </w:tc>
        <w:tc>
          <w:tcPr>
            <w:tcW w:w="0" w:type="dxa"/>
            <w:vAlign w:val="bottom"/>
          </w:tcPr>
          <w:p>
            <w:pPr>
              <w:spacing w:after="0"/>
              <w:rPr>
                <w:sz w:val="1"/>
                <w:szCs w:val="1"/>
                <w:color w:val="auto"/>
              </w:rPr>
            </w:pPr>
          </w:p>
        </w:tc>
      </w:tr>
      <w:tr>
        <w:trPr>
          <w:trHeight w:val="243"/>
        </w:trPr>
        <w:tc>
          <w:tcPr>
            <w:tcW w:w="3340" w:type="dxa"/>
            <w:vAlign w:val="bottom"/>
            <w:gridSpan w:val="4"/>
          </w:tcPr>
          <w:p>
            <w:pPr>
              <w:ind w:left="160"/>
              <w:spacing w:after="0" w:line="243" w:lineRule="exact"/>
              <w:rPr>
                <w:sz w:val="20"/>
                <w:szCs w:val="20"/>
                <w:color w:val="auto"/>
              </w:rPr>
            </w:pPr>
            <w:r>
              <w:rPr>
                <w:rFonts w:ascii="Arial" w:cs="Arial" w:eastAsia="Arial" w:hAnsi="Arial"/>
                <w:sz w:val="22"/>
                <w:szCs w:val="22"/>
                <w:color w:val="auto"/>
              </w:rPr>
              <w:t>Accounts receivable, net</w:t>
            </w: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20" w:type="dxa"/>
            <w:vAlign w:val="bottom"/>
            <w:gridSpan w:val="3"/>
          </w:tcPr>
          <w:p>
            <w:pPr>
              <w:jc w:val="right"/>
              <w:ind w:right="180"/>
              <w:spacing w:after="0" w:line="243" w:lineRule="exact"/>
              <w:rPr>
                <w:sz w:val="20"/>
                <w:szCs w:val="20"/>
                <w:color w:val="auto"/>
              </w:rPr>
            </w:pPr>
            <w:r>
              <w:rPr>
                <w:rFonts w:ascii="Arial" w:cs="Arial" w:eastAsia="Arial" w:hAnsi="Arial"/>
                <w:sz w:val="22"/>
                <w:szCs w:val="22"/>
                <w:color w:val="auto"/>
              </w:rPr>
              <w:t>907</w:t>
            </w: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line="243" w:lineRule="exact"/>
              <w:rPr>
                <w:sz w:val="20"/>
                <w:szCs w:val="20"/>
                <w:color w:val="auto"/>
              </w:rPr>
            </w:pPr>
            <w:r>
              <w:rPr>
                <w:rFonts w:ascii="Arial" w:cs="Arial" w:eastAsia="Arial" w:hAnsi="Arial"/>
                <w:sz w:val="22"/>
                <w:szCs w:val="22"/>
                <w:color w:val="auto"/>
              </w:rPr>
              <w:t>907</w:t>
            </w:r>
          </w:p>
        </w:tc>
        <w:tc>
          <w:tcPr>
            <w:tcW w:w="0" w:type="dxa"/>
            <w:vAlign w:val="bottom"/>
          </w:tcPr>
          <w:p>
            <w:pPr>
              <w:spacing w:after="0"/>
              <w:rPr>
                <w:sz w:val="1"/>
                <w:szCs w:val="1"/>
                <w:color w:val="auto"/>
              </w:rPr>
            </w:pPr>
          </w:p>
        </w:tc>
      </w:tr>
      <w:tr>
        <w:trPr>
          <w:trHeight w:val="275"/>
        </w:trPr>
        <w:tc>
          <w:tcPr>
            <w:tcW w:w="3340" w:type="dxa"/>
            <w:vAlign w:val="bottom"/>
            <w:gridSpan w:val="4"/>
          </w:tcPr>
          <w:p>
            <w:pPr>
              <w:ind w:left="180"/>
              <w:spacing w:after="0"/>
              <w:rPr>
                <w:sz w:val="20"/>
                <w:szCs w:val="20"/>
                <w:color w:val="auto"/>
              </w:rPr>
            </w:pPr>
            <w:r>
              <w:rPr>
                <w:rFonts w:ascii="Arial" w:cs="Arial" w:eastAsia="Arial" w:hAnsi="Arial"/>
                <w:sz w:val="22"/>
                <w:szCs w:val="22"/>
                <w:color w:val="auto"/>
              </w:rPr>
              <w:t>Other current assets</w:t>
            </w:r>
          </w:p>
        </w:tc>
        <w:tc>
          <w:tcPr>
            <w:tcW w:w="720" w:type="dxa"/>
            <w:vAlign w:val="bottom"/>
          </w:tcPr>
          <w:p>
            <w:pPr>
              <w:jc w:val="right"/>
              <w:spacing w:after="0"/>
              <w:rPr>
                <w:sz w:val="20"/>
                <w:szCs w:val="20"/>
                <w:color w:val="auto"/>
              </w:rPr>
            </w:pPr>
            <w:r>
              <w:rPr>
                <w:rFonts w:ascii="Arial" w:cs="Arial" w:eastAsia="Arial" w:hAnsi="Arial"/>
                <w:sz w:val="22"/>
                <w:szCs w:val="22"/>
                <w:color w:val="auto"/>
              </w:rPr>
              <w:t>15</w:t>
            </w:r>
          </w:p>
        </w:tc>
        <w:tc>
          <w:tcPr>
            <w:tcW w:w="1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20" w:type="dxa"/>
            <w:vAlign w:val="bottom"/>
            <w:gridSpan w:val="3"/>
          </w:tcPr>
          <w:p>
            <w:pPr>
              <w:jc w:val="right"/>
              <w:ind w:right="180"/>
              <w:spacing w:after="0"/>
              <w:rPr>
                <w:sz w:val="20"/>
                <w:szCs w:val="20"/>
                <w:color w:val="auto"/>
              </w:rPr>
            </w:pPr>
            <w:r>
              <w:rPr>
                <w:rFonts w:ascii="Arial" w:cs="Arial" w:eastAsia="Arial" w:hAnsi="Arial"/>
                <w:sz w:val="22"/>
                <w:szCs w:val="22"/>
                <w:color w:val="auto"/>
              </w:rPr>
              <w:t>438</w:t>
            </w:r>
          </w:p>
        </w:tc>
        <w:tc>
          <w:tcPr>
            <w:tcW w:w="9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22"/>
                <w:szCs w:val="22"/>
                <w:color w:val="auto"/>
              </w:rPr>
              <w:t>453</w:t>
            </w:r>
          </w:p>
        </w:tc>
        <w:tc>
          <w:tcPr>
            <w:tcW w:w="0" w:type="dxa"/>
            <w:vAlign w:val="bottom"/>
          </w:tcPr>
          <w:p>
            <w:pPr>
              <w:spacing w:after="0"/>
              <w:rPr>
                <w:sz w:val="1"/>
                <w:szCs w:val="1"/>
                <w:color w:val="auto"/>
              </w:rPr>
            </w:pPr>
          </w:p>
        </w:tc>
      </w:tr>
      <w:tr>
        <w:trPr>
          <w:trHeight w:val="98"/>
        </w:trPr>
        <w:tc>
          <w:tcPr>
            <w:tcW w:w="780" w:type="dxa"/>
            <w:vAlign w:val="bottom"/>
          </w:tcPr>
          <w:p>
            <w:pPr>
              <w:spacing w:after="0"/>
              <w:rPr>
                <w:sz w:val="8"/>
                <w:szCs w:val="8"/>
                <w:color w:val="auto"/>
              </w:rPr>
            </w:pPr>
          </w:p>
        </w:tc>
        <w:tc>
          <w:tcPr>
            <w:tcW w:w="980" w:type="dxa"/>
            <w:vAlign w:val="bottom"/>
          </w:tcPr>
          <w:p>
            <w:pPr>
              <w:spacing w:after="0"/>
              <w:rPr>
                <w:sz w:val="8"/>
                <w:szCs w:val="8"/>
                <w:color w:val="auto"/>
              </w:rPr>
            </w:pPr>
          </w:p>
        </w:tc>
        <w:tc>
          <w:tcPr>
            <w:tcW w:w="8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55"/>
        </w:trPr>
        <w:tc>
          <w:tcPr>
            <w:tcW w:w="3340" w:type="dxa"/>
            <w:vAlign w:val="bottom"/>
            <w:gridSpan w:val="4"/>
          </w:tcPr>
          <w:p>
            <w:pPr>
              <w:ind w:left="280"/>
              <w:spacing w:after="0"/>
              <w:rPr>
                <w:sz w:val="20"/>
                <w:szCs w:val="20"/>
                <w:color w:val="auto"/>
              </w:rPr>
            </w:pPr>
            <w:r>
              <w:rPr>
                <w:rFonts w:ascii="Arial" w:cs="Arial" w:eastAsia="Arial" w:hAnsi="Arial"/>
                <w:sz w:val="22"/>
                <w:szCs w:val="22"/>
                <w:color w:val="auto"/>
              </w:rPr>
              <w:t>Total current assets</w:t>
            </w:r>
          </w:p>
        </w:tc>
        <w:tc>
          <w:tcPr>
            <w:tcW w:w="720" w:type="dxa"/>
            <w:vAlign w:val="bottom"/>
          </w:tcPr>
          <w:p>
            <w:pPr>
              <w:jc w:val="right"/>
              <w:spacing w:after="0"/>
              <w:rPr>
                <w:sz w:val="20"/>
                <w:szCs w:val="20"/>
                <w:color w:val="auto"/>
              </w:rPr>
            </w:pPr>
            <w:r>
              <w:rPr>
                <w:rFonts w:ascii="Arial" w:cs="Arial" w:eastAsia="Arial" w:hAnsi="Arial"/>
                <w:sz w:val="22"/>
                <w:szCs w:val="22"/>
                <w:color w:val="auto"/>
              </w:rPr>
              <w:t>65</w:t>
            </w: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20" w:type="dxa"/>
            <w:vAlign w:val="bottom"/>
            <w:gridSpan w:val="3"/>
          </w:tcPr>
          <w:p>
            <w:pPr>
              <w:jc w:val="right"/>
              <w:ind w:right="180"/>
              <w:spacing w:after="0"/>
              <w:rPr>
                <w:sz w:val="20"/>
                <w:szCs w:val="20"/>
                <w:color w:val="auto"/>
              </w:rPr>
            </w:pPr>
            <w:r>
              <w:rPr>
                <w:rFonts w:ascii="Arial" w:cs="Arial" w:eastAsia="Arial" w:hAnsi="Arial"/>
                <w:sz w:val="22"/>
                <w:szCs w:val="22"/>
                <w:color w:val="auto"/>
              </w:rPr>
              <w:t>5,338</w:t>
            </w: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2"/>
                <w:szCs w:val="22"/>
                <w:color w:val="auto"/>
              </w:rPr>
              <w:t>5,403</w:t>
            </w:r>
          </w:p>
        </w:tc>
        <w:tc>
          <w:tcPr>
            <w:tcW w:w="0" w:type="dxa"/>
            <w:vAlign w:val="bottom"/>
          </w:tcPr>
          <w:p>
            <w:pPr>
              <w:spacing w:after="0"/>
              <w:rPr>
                <w:sz w:val="1"/>
                <w:szCs w:val="1"/>
                <w:color w:val="auto"/>
              </w:rPr>
            </w:pPr>
          </w:p>
        </w:tc>
      </w:tr>
      <w:tr>
        <w:trPr>
          <w:trHeight w:val="98"/>
        </w:trPr>
        <w:tc>
          <w:tcPr>
            <w:tcW w:w="780" w:type="dxa"/>
            <w:vAlign w:val="bottom"/>
          </w:tcPr>
          <w:p>
            <w:pPr>
              <w:spacing w:after="0"/>
              <w:rPr>
                <w:sz w:val="8"/>
                <w:szCs w:val="8"/>
                <w:color w:val="auto"/>
              </w:rPr>
            </w:pPr>
          </w:p>
        </w:tc>
        <w:tc>
          <w:tcPr>
            <w:tcW w:w="980" w:type="dxa"/>
            <w:vAlign w:val="bottom"/>
          </w:tcPr>
          <w:p>
            <w:pPr>
              <w:spacing w:after="0"/>
              <w:rPr>
                <w:sz w:val="8"/>
                <w:szCs w:val="8"/>
                <w:color w:val="auto"/>
              </w:rPr>
            </w:pPr>
          </w:p>
        </w:tc>
        <w:tc>
          <w:tcPr>
            <w:tcW w:w="8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23"/>
        </w:trPr>
        <w:tc>
          <w:tcPr>
            <w:tcW w:w="3340" w:type="dxa"/>
            <w:vAlign w:val="bottom"/>
            <w:gridSpan w:val="4"/>
          </w:tcPr>
          <w:p>
            <w:pPr>
              <w:ind w:left="180"/>
              <w:spacing w:after="0"/>
              <w:rPr>
                <w:sz w:val="20"/>
                <w:szCs w:val="20"/>
                <w:color w:val="auto"/>
              </w:rPr>
            </w:pPr>
            <w:r>
              <w:rPr>
                <w:rFonts w:ascii="Arial" w:cs="Arial" w:eastAsia="Arial" w:hAnsi="Arial"/>
                <w:sz w:val="22"/>
                <w:szCs w:val="22"/>
                <w:color w:val="auto"/>
              </w:rPr>
              <w:t>INVESTMENTS</w:t>
            </w: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20" w:type="dxa"/>
            <w:vAlign w:val="bottom"/>
            <w:gridSpan w:val="3"/>
          </w:tcPr>
          <w:p>
            <w:pPr>
              <w:jc w:val="right"/>
              <w:ind w:right="180"/>
              <w:spacing w:after="0"/>
              <w:rPr>
                <w:sz w:val="20"/>
                <w:szCs w:val="20"/>
                <w:color w:val="auto"/>
              </w:rPr>
            </w:pPr>
            <w:r>
              <w:rPr>
                <w:rFonts w:ascii="Arial" w:cs="Arial" w:eastAsia="Arial" w:hAnsi="Arial"/>
                <w:sz w:val="22"/>
                <w:szCs w:val="22"/>
                <w:color w:val="auto"/>
              </w:rPr>
              <w:t>14,818</w:t>
            </w: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2"/>
                <w:szCs w:val="22"/>
                <w:color w:val="auto"/>
              </w:rPr>
              <w:t>14,818</w:t>
            </w:r>
          </w:p>
        </w:tc>
        <w:tc>
          <w:tcPr>
            <w:tcW w:w="0" w:type="dxa"/>
            <w:vAlign w:val="bottom"/>
          </w:tcPr>
          <w:p>
            <w:pPr>
              <w:spacing w:after="0"/>
              <w:rPr>
                <w:sz w:val="1"/>
                <w:szCs w:val="1"/>
                <w:color w:val="auto"/>
              </w:rPr>
            </w:pPr>
          </w:p>
        </w:tc>
      </w:tr>
      <w:tr>
        <w:trPr>
          <w:trHeight w:val="243"/>
        </w:trPr>
        <w:tc>
          <w:tcPr>
            <w:tcW w:w="3340" w:type="dxa"/>
            <w:vAlign w:val="bottom"/>
            <w:gridSpan w:val="4"/>
          </w:tcPr>
          <w:p>
            <w:pPr>
              <w:ind w:left="180"/>
              <w:spacing w:after="0" w:line="243" w:lineRule="exact"/>
              <w:rPr>
                <w:sz w:val="20"/>
                <w:szCs w:val="20"/>
                <w:color w:val="auto"/>
              </w:rPr>
            </w:pPr>
            <w:r>
              <w:rPr>
                <w:rFonts w:ascii="Arial" w:cs="Arial" w:eastAsia="Arial" w:hAnsi="Arial"/>
                <w:sz w:val="22"/>
                <w:szCs w:val="22"/>
                <w:color w:val="auto"/>
              </w:rPr>
              <w:t>INVESTMENTS IN AND</w:t>
            </w: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gridSpan w:val="4"/>
          </w:tcPr>
          <w:p>
            <w:pPr>
              <w:spacing w:after="0" w:line="243" w:lineRule="exact"/>
              <w:rPr>
                <w:sz w:val="20"/>
                <w:szCs w:val="20"/>
                <w:color w:val="auto"/>
              </w:rPr>
            </w:pPr>
            <w:r>
              <w:rPr>
                <w:rFonts w:ascii="Arial" w:cs="Arial" w:eastAsia="Arial" w:hAnsi="Arial"/>
                <w:sz w:val="22"/>
                <w:szCs w:val="22"/>
                <w:color w:val="auto"/>
              </w:rPr>
              <w:t>AMOUNTS DUE</w:t>
            </w: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gridSpan w:val="4"/>
          </w:tcPr>
          <w:p>
            <w:pPr>
              <w:ind w:left="280"/>
              <w:spacing w:after="0" w:line="243" w:lineRule="exact"/>
              <w:rPr>
                <w:sz w:val="20"/>
                <w:szCs w:val="20"/>
                <w:color w:val="auto"/>
              </w:rPr>
            </w:pPr>
            <w:r>
              <w:rPr>
                <w:rFonts w:ascii="Arial" w:cs="Arial" w:eastAsia="Arial" w:hAnsi="Arial"/>
                <w:sz w:val="22"/>
                <w:szCs w:val="22"/>
                <w:color w:val="auto"/>
              </w:rPr>
              <w:t>FROM SUBSIDIARIES</w:t>
            </w: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gridSpan w:val="4"/>
          </w:tcPr>
          <w:p>
            <w:pPr>
              <w:spacing w:after="0" w:line="243" w:lineRule="exact"/>
              <w:rPr>
                <w:sz w:val="20"/>
                <w:szCs w:val="20"/>
                <w:color w:val="auto"/>
              </w:rPr>
            </w:pPr>
            <w:r>
              <w:rPr>
                <w:rFonts w:ascii="Arial" w:cs="Arial" w:eastAsia="Arial" w:hAnsi="Arial"/>
                <w:sz w:val="22"/>
                <w:szCs w:val="22"/>
                <w:color w:val="auto"/>
              </w:rPr>
              <w:t>ELIMINATED</w:t>
            </w: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gridSpan w:val="4"/>
          </w:tcPr>
          <w:p>
            <w:pPr>
              <w:ind w:left="280"/>
              <w:spacing w:after="0" w:line="243" w:lineRule="exact"/>
              <w:rPr>
                <w:sz w:val="20"/>
                <w:szCs w:val="20"/>
                <w:color w:val="auto"/>
              </w:rPr>
            </w:pPr>
            <w:r>
              <w:rPr>
                <w:rFonts w:ascii="Arial" w:cs="Arial" w:eastAsia="Arial" w:hAnsi="Arial"/>
                <w:sz w:val="22"/>
                <w:szCs w:val="22"/>
                <w:color w:val="auto"/>
              </w:rPr>
              <w:t>UPON CONSOLIDATION</w:t>
            </w:r>
          </w:p>
        </w:tc>
        <w:tc>
          <w:tcPr>
            <w:tcW w:w="720" w:type="dxa"/>
            <w:vAlign w:val="bottom"/>
          </w:tcPr>
          <w:p>
            <w:pPr>
              <w:jc w:val="right"/>
              <w:spacing w:after="0" w:line="243" w:lineRule="exact"/>
              <w:rPr>
                <w:sz w:val="20"/>
                <w:szCs w:val="20"/>
                <w:color w:val="auto"/>
              </w:rPr>
            </w:pPr>
            <w:r>
              <w:rPr>
                <w:rFonts w:ascii="Arial" w:cs="Arial" w:eastAsia="Arial" w:hAnsi="Arial"/>
                <w:sz w:val="22"/>
                <w:szCs w:val="22"/>
                <w:color w:val="auto"/>
              </w:rPr>
              <w:t>46,268</w:t>
            </w:r>
          </w:p>
        </w:tc>
        <w:tc>
          <w:tcPr>
            <w:tcW w:w="1060" w:type="dxa"/>
            <w:vAlign w:val="bottom"/>
            <w:gridSpan w:val="3"/>
          </w:tcPr>
          <w:p>
            <w:pPr>
              <w:jc w:val="right"/>
              <w:ind w:right="160"/>
              <w:spacing w:after="0" w:line="243" w:lineRule="exact"/>
              <w:rPr>
                <w:sz w:val="20"/>
                <w:szCs w:val="20"/>
                <w:color w:val="auto"/>
              </w:rPr>
            </w:pPr>
            <w:r>
              <w:rPr>
                <w:rFonts w:ascii="Arial" w:cs="Arial" w:eastAsia="Arial" w:hAnsi="Arial"/>
                <w:sz w:val="22"/>
                <w:szCs w:val="22"/>
                <w:color w:val="auto"/>
              </w:rPr>
              <w:t>26,643</w:t>
            </w:r>
          </w:p>
        </w:tc>
        <w:tc>
          <w:tcPr>
            <w:tcW w:w="720" w:type="dxa"/>
            <w:vAlign w:val="bottom"/>
          </w:tcPr>
          <w:p>
            <w:pPr>
              <w:jc w:val="right"/>
              <w:spacing w:after="0" w:line="243" w:lineRule="exact"/>
              <w:rPr>
                <w:sz w:val="20"/>
                <w:szCs w:val="20"/>
                <w:color w:val="auto"/>
              </w:rPr>
            </w:pPr>
            <w:r>
              <w:rPr>
                <w:rFonts w:ascii="Arial" w:cs="Arial" w:eastAsia="Arial" w:hAnsi="Arial"/>
                <w:sz w:val="22"/>
                <w:szCs w:val="22"/>
                <w:color w:val="auto"/>
              </w:rPr>
              <w:t>33,138</w:t>
            </w:r>
          </w:p>
        </w:tc>
        <w:tc>
          <w:tcPr>
            <w:tcW w:w="92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39,919</w:t>
            </w:r>
          </w:p>
        </w:tc>
        <w:tc>
          <w:tcPr>
            <w:tcW w:w="1220" w:type="dxa"/>
            <w:vAlign w:val="bottom"/>
            <w:gridSpan w:val="3"/>
          </w:tcPr>
          <w:p>
            <w:pPr>
              <w:jc w:val="right"/>
              <w:ind w:right="180"/>
              <w:spacing w:after="0" w:line="243" w:lineRule="exact"/>
              <w:rPr>
                <w:sz w:val="20"/>
                <w:szCs w:val="20"/>
                <w:color w:val="auto"/>
              </w:rPr>
            </w:pPr>
            <w:r>
              <w:rPr>
                <w:rFonts w:ascii="Arial" w:cs="Arial" w:eastAsia="Arial" w:hAnsi="Arial"/>
                <w:sz w:val="22"/>
                <w:szCs w:val="22"/>
                <w:color w:val="auto"/>
              </w:rPr>
              <w:t>19,678</w:t>
            </w:r>
          </w:p>
        </w:tc>
        <w:tc>
          <w:tcPr>
            <w:tcW w:w="1180" w:type="dxa"/>
            <w:vAlign w:val="bottom"/>
            <w:gridSpan w:val="2"/>
          </w:tcPr>
          <w:p>
            <w:pPr>
              <w:jc w:val="right"/>
              <w:ind w:right="120"/>
              <w:spacing w:after="0" w:line="243" w:lineRule="exact"/>
              <w:rPr>
                <w:sz w:val="20"/>
                <w:szCs w:val="20"/>
                <w:color w:val="auto"/>
              </w:rPr>
            </w:pPr>
            <w:r>
              <w:rPr>
                <w:rFonts w:ascii="Arial" w:cs="Arial" w:eastAsia="Arial" w:hAnsi="Arial"/>
                <w:sz w:val="22"/>
                <w:szCs w:val="22"/>
                <w:color w:val="auto"/>
              </w:rPr>
              <w:t>(165,646)</w:t>
            </w: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gridSpan w:val="4"/>
          </w:tcPr>
          <w:p>
            <w:pPr>
              <w:ind w:left="180"/>
              <w:spacing w:after="0" w:line="243" w:lineRule="exact"/>
              <w:rPr>
                <w:sz w:val="20"/>
                <w:szCs w:val="20"/>
                <w:color w:val="auto"/>
              </w:rPr>
            </w:pPr>
            <w:r>
              <w:rPr>
                <w:rFonts w:ascii="Arial" w:cs="Arial" w:eastAsia="Arial" w:hAnsi="Arial"/>
                <w:sz w:val="22"/>
                <w:szCs w:val="22"/>
                <w:color w:val="auto"/>
                <w:w w:val="99"/>
              </w:rPr>
              <w:t>PROPERTY AND EQUIPMENT,</w:t>
            </w: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gridSpan w:val="4"/>
          </w:tcPr>
          <w:p>
            <w:pPr>
              <w:spacing w:after="0" w:line="243" w:lineRule="exact"/>
              <w:rPr>
                <w:sz w:val="20"/>
                <w:szCs w:val="20"/>
                <w:color w:val="auto"/>
              </w:rPr>
            </w:pPr>
            <w:r>
              <w:rPr>
                <w:rFonts w:ascii="Arial" w:cs="Arial" w:eastAsia="Arial" w:hAnsi="Arial"/>
                <w:sz w:val="22"/>
                <w:szCs w:val="22"/>
                <w:color w:val="auto"/>
              </w:rPr>
              <w:t>net</w:t>
            </w:r>
          </w:p>
        </w:tc>
        <w:tc>
          <w:tcPr>
            <w:tcW w:w="720" w:type="dxa"/>
            <w:vAlign w:val="bottom"/>
          </w:tcPr>
          <w:p>
            <w:pPr>
              <w:jc w:val="right"/>
              <w:spacing w:after="0" w:line="243" w:lineRule="exact"/>
              <w:rPr>
                <w:sz w:val="20"/>
                <w:szCs w:val="20"/>
                <w:color w:val="auto"/>
              </w:rPr>
            </w:pPr>
            <w:r>
              <w:rPr>
                <w:rFonts w:ascii="Arial" w:cs="Arial" w:eastAsia="Arial" w:hAnsi="Arial"/>
                <w:sz w:val="22"/>
                <w:szCs w:val="22"/>
                <w:color w:val="auto"/>
              </w:rPr>
              <w:t>7</w:t>
            </w: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spacing w:after="0" w:line="243" w:lineRule="exact"/>
              <w:rPr>
                <w:sz w:val="20"/>
                <w:szCs w:val="20"/>
                <w:color w:val="auto"/>
              </w:rPr>
            </w:pPr>
            <w:r>
              <w:rPr>
                <w:rFonts w:ascii="Arial" w:cs="Arial" w:eastAsia="Arial" w:hAnsi="Arial"/>
                <w:sz w:val="22"/>
                <w:szCs w:val="22"/>
                <w:color w:val="auto"/>
              </w:rPr>
              <w:t>4</w:t>
            </w: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20" w:type="dxa"/>
            <w:vAlign w:val="bottom"/>
            <w:gridSpan w:val="3"/>
          </w:tcPr>
          <w:p>
            <w:pPr>
              <w:jc w:val="right"/>
              <w:ind w:right="180"/>
              <w:spacing w:after="0" w:line="243" w:lineRule="exact"/>
              <w:rPr>
                <w:sz w:val="20"/>
                <w:szCs w:val="20"/>
                <w:color w:val="auto"/>
              </w:rPr>
            </w:pPr>
            <w:r>
              <w:rPr>
                <w:rFonts w:ascii="Arial" w:cs="Arial" w:eastAsia="Arial" w:hAnsi="Arial"/>
                <w:sz w:val="22"/>
                <w:szCs w:val="22"/>
                <w:color w:val="auto"/>
              </w:rPr>
              <w:t>18,462</w:t>
            </w: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line="243" w:lineRule="exact"/>
              <w:rPr>
                <w:sz w:val="20"/>
                <w:szCs w:val="20"/>
                <w:color w:val="auto"/>
              </w:rPr>
            </w:pPr>
            <w:r>
              <w:rPr>
                <w:rFonts w:ascii="Arial" w:cs="Arial" w:eastAsia="Arial" w:hAnsi="Arial"/>
                <w:sz w:val="22"/>
                <w:szCs w:val="22"/>
                <w:color w:val="auto"/>
              </w:rPr>
              <w:t>18,473</w:t>
            </w:r>
          </w:p>
        </w:tc>
        <w:tc>
          <w:tcPr>
            <w:tcW w:w="0" w:type="dxa"/>
            <w:vAlign w:val="bottom"/>
          </w:tcPr>
          <w:p>
            <w:pPr>
              <w:spacing w:after="0"/>
              <w:rPr>
                <w:sz w:val="1"/>
                <w:szCs w:val="1"/>
                <w:color w:val="auto"/>
              </w:rPr>
            </w:pPr>
          </w:p>
        </w:tc>
      </w:tr>
      <w:tr>
        <w:trPr>
          <w:trHeight w:val="243"/>
        </w:trPr>
        <w:tc>
          <w:tcPr>
            <w:tcW w:w="3340" w:type="dxa"/>
            <w:vAlign w:val="bottom"/>
            <w:gridSpan w:val="4"/>
          </w:tcPr>
          <w:p>
            <w:pPr>
              <w:ind w:left="180"/>
              <w:spacing w:after="0" w:line="243" w:lineRule="exact"/>
              <w:rPr>
                <w:sz w:val="20"/>
                <w:szCs w:val="20"/>
                <w:color w:val="auto"/>
              </w:rPr>
            </w:pPr>
            <w:r>
              <w:rPr>
                <w:rFonts w:ascii="Arial" w:cs="Arial" w:eastAsia="Arial" w:hAnsi="Arial"/>
                <w:sz w:val="22"/>
                <w:szCs w:val="22"/>
                <w:color w:val="auto"/>
              </w:rPr>
              <w:t>FRANCHISE RIGHTS</w:t>
            </w: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20" w:type="dxa"/>
            <w:vAlign w:val="bottom"/>
            <w:gridSpan w:val="3"/>
          </w:tcPr>
          <w:p>
            <w:pPr>
              <w:jc w:val="right"/>
              <w:ind w:right="180"/>
              <w:spacing w:after="0" w:line="243" w:lineRule="exact"/>
              <w:rPr>
                <w:sz w:val="20"/>
                <w:szCs w:val="20"/>
                <w:color w:val="auto"/>
              </w:rPr>
            </w:pPr>
            <w:r>
              <w:rPr>
                <w:rFonts w:ascii="Arial" w:cs="Arial" w:eastAsia="Arial" w:hAnsi="Arial"/>
                <w:sz w:val="22"/>
                <w:szCs w:val="22"/>
                <w:color w:val="auto"/>
              </w:rPr>
              <w:t>51,050</w:t>
            </w: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line="243" w:lineRule="exact"/>
              <w:rPr>
                <w:sz w:val="20"/>
                <w:szCs w:val="20"/>
                <w:color w:val="auto"/>
              </w:rPr>
            </w:pPr>
            <w:r>
              <w:rPr>
                <w:rFonts w:ascii="Arial" w:cs="Arial" w:eastAsia="Arial" w:hAnsi="Arial"/>
                <w:sz w:val="22"/>
                <w:szCs w:val="22"/>
                <w:color w:val="auto"/>
              </w:rPr>
              <w:t>51,050</w:t>
            </w:r>
          </w:p>
        </w:tc>
        <w:tc>
          <w:tcPr>
            <w:tcW w:w="0" w:type="dxa"/>
            <w:vAlign w:val="bottom"/>
          </w:tcPr>
          <w:p>
            <w:pPr>
              <w:spacing w:after="0"/>
              <w:rPr>
                <w:sz w:val="1"/>
                <w:szCs w:val="1"/>
                <w:color w:val="auto"/>
              </w:rPr>
            </w:pPr>
          </w:p>
        </w:tc>
      </w:tr>
      <w:tr>
        <w:trPr>
          <w:trHeight w:val="243"/>
        </w:trPr>
        <w:tc>
          <w:tcPr>
            <w:tcW w:w="3340" w:type="dxa"/>
            <w:vAlign w:val="bottom"/>
            <w:gridSpan w:val="4"/>
          </w:tcPr>
          <w:p>
            <w:pPr>
              <w:ind w:left="180"/>
              <w:spacing w:after="0" w:line="243" w:lineRule="exact"/>
              <w:rPr>
                <w:sz w:val="20"/>
                <w:szCs w:val="20"/>
                <w:color w:val="auto"/>
              </w:rPr>
            </w:pPr>
            <w:r>
              <w:rPr>
                <w:rFonts w:ascii="Arial" w:cs="Arial" w:eastAsia="Arial" w:hAnsi="Arial"/>
                <w:sz w:val="22"/>
                <w:szCs w:val="22"/>
                <w:color w:val="auto"/>
              </w:rPr>
              <w:t>GOODWILL</w:t>
            </w: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20" w:type="dxa"/>
            <w:vAlign w:val="bottom"/>
            <w:gridSpan w:val="3"/>
          </w:tcPr>
          <w:p>
            <w:pPr>
              <w:jc w:val="right"/>
              <w:ind w:right="180"/>
              <w:spacing w:after="0" w:line="243" w:lineRule="exact"/>
              <w:rPr>
                <w:sz w:val="20"/>
                <w:szCs w:val="20"/>
                <w:color w:val="auto"/>
              </w:rPr>
            </w:pPr>
            <w:r>
              <w:rPr>
                <w:rFonts w:ascii="Arial" w:cs="Arial" w:eastAsia="Arial" w:hAnsi="Arial"/>
                <w:sz w:val="22"/>
                <w:szCs w:val="22"/>
                <w:color w:val="auto"/>
              </w:rPr>
              <w:t>14,841</w:t>
            </w: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line="243" w:lineRule="exact"/>
              <w:rPr>
                <w:sz w:val="20"/>
                <w:szCs w:val="20"/>
                <w:color w:val="auto"/>
              </w:rPr>
            </w:pPr>
            <w:r>
              <w:rPr>
                <w:rFonts w:ascii="Arial" w:cs="Arial" w:eastAsia="Arial" w:hAnsi="Arial"/>
                <w:sz w:val="22"/>
                <w:szCs w:val="22"/>
                <w:color w:val="auto"/>
              </w:rPr>
              <w:t>14,841</w:t>
            </w:r>
          </w:p>
        </w:tc>
        <w:tc>
          <w:tcPr>
            <w:tcW w:w="0" w:type="dxa"/>
            <w:vAlign w:val="bottom"/>
          </w:tcPr>
          <w:p>
            <w:pPr>
              <w:spacing w:after="0"/>
              <w:rPr>
                <w:sz w:val="1"/>
                <w:szCs w:val="1"/>
                <w:color w:val="auto"/>
              </w:rPr>
            </w:pPr>
          </w:p>
        </w:tc>
      </w:tr>
      <w:tr>
        <w:trPr>
          <w:trHeight w:val="243"/>
        </w:trPr>
        <w:tc>
          <w:tcPr>
            <w:tcW w:w="3340" w:type="dxa"/>
            <w:vAlign w:val="bottom"/>
            <w:gridSpan w:val="4"/>
          </w:tcPr>
          <w:p>
            <w:pPr>
              <w:ind w:left="180"/>
              <w:spacing w:after="0" w:line="243" w:lineRule="exact"/>
              <w:rPr>
                <w:sz w:val="20"/>
                <w:szCs w:val="20"/>
                <w:color w:val="auto"/>
              </w:rPr>
            </w:pPr>
            <w:r>
              <w:rPr>
                <w:rFonts w:ascii="Arial" w:cs="Arial" w:eastAsia="Arial" w:hAnsi="Arial"/>
                <w:sz w:val="22"/>
                <w:szCs w:val="22"/>
                <w:color w:val="auto"/>
              </w:rPr>
              <w:t>OTHER INTANGIBLE ASSETS,</w:t>
            </w: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gridSpan w:val="4"/>
          </w:tcPr>
          <w:p>
            <w:pPr>
              <w:spacing w:after="0" w:line="243" w:lineRule="exact"/>
              <w:rPr>
                <w:sz w:val="20"/>
                <w:szCs w:val="20"/>
                <w:color w:val="auto"/>
              </w:rPr>
            </w:pPr>
            <w:r>
              <w:rPr>
                <w:rFonts w:ascii="Arial" w:cs="Arial" w:eastAsia="Arial" w:hAnsi="Arial"/>
                <w:sz w:val="22"/>
                <w:szCs w:val="22"/>
                <w:color w:val="auto"/>
              </w:rPr>
              <w:t>net</w:t>
            </w: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20" w:type="dxa"/>
            <w:vAlign w:val="bottom"/>
            <w:gridSpan w:val="3"/>
          </w:tcPr>
          <w:p>
            <w:pPr>
              <w:jc w:val="right"/>
              <w:ind w:right="180"/>
              <w:spacing w:after="0" w:line="243" w:lineRule="exact"/>
              <w:rPr>
                <w:sz w:val="20"/>
                <w:szCs w:val="20"/>
                <w:color w:val="auto"/>
              </w:rPr>
            </w:pPr>
            <w:r>
              <w:rPr>
                <w:rFonts w:ascii="Arial" w:cs="Arial" w:eastAsia="Arial" w:hAnsi="Arial"/>
                <w:sz w:val="22"/>
                <w:szCs w:val="22"/>
                <w:color w:val="auto"/>
              </w:rPr>
              <w:t>3,859</w:t>
            </w: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line="243" w:lineRule="exact"/>
              <w:rPr>
                <w:sz w:val="20"/>
                <w:szCs w:val="20"/>
                <w:color w:val="auto"/>
              </w:rPr>
            </w:pPr>
            <w:r>
              <w:rPr>
                <w:rFonts w:ascii="Arial" w:cs="Arial" w:eastAsia="Arial" w:hAnsi="Arial"/>
                <w:sz w:val="22"/>
                <w:szCs w:val="22"/>
                <w:color w:val="auto"/>
              </w:rPr>
              <w:t>3,859</w:t>
            </w:r>
          </w:p>
        </w:tc>
        <w:tc>
          <w:tcPr>
            <w:tcW w:w="0" w:type="dxa"/>
            <w:vAlign w:val="bottom"/>
          </w:tcPr>
          <w:p>
            <w:pPr>
              <w:spacing w:after="0"/>
              <w:rPr>
                <w:sz w:val="1"/>
                <w:szCs w:val="1"/>
                <w:color w:val="auto"/>
              </w:rPr>
            </w:pPr>
          </w:p>
        </w:tc>
      </w:tr>
      <w:tr>
        <w:trPr>
          <w:trHeight w:val="243"/>
        </w:trPr>
        <w:tc>
          <w:tcPr>
            <w:tcW w:w="3340" w:type="dxa"/>
            <w:vAlign w:val="bottom"/>
            <w:gridSpan w:val="4"/>
          </w:tcPr>
          <w:p>
            <w:pPr>
              <w:ind w:left="180"/>
              <w:spacing w:after="0" w:line="243" w:lineRule="exact"/>
              <w:rPr>
                <w:sz w:val="20"/>
                <w:szCs w:val="20"/>
                <w:color w:val="auto"/>
              </w:rPr>
            </w:pPr>
            <w:r>
              <w:rPr>
                <w:rFonts w:ascii="Arial" w:cs="Arial" w:eastAsia="Arial" w:hAnsi="Arial"/>
                <w:sz w:val="22"/>
                <w:szCs w:val="22"/>
                <w:color w:val="auto"/>
              </w:rPr>
              <w:t>OTHER NONCURRENT</w:t>
            </w: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3340" w:type="dxa"/>
            <w:vAlign w:val="bottom"/>
            <w:gridSpan w:val="4"/>
          </w:tcPr>
          <w:p>
            <w:pPr>
              <w:spacing w:after="0"/>
              <w:rPr>
                <w:sz w:val="20"/>
                <w:szCs w:val="20"/>
                <w:color w:val="auto"/>
              </w:rPr>
            </w:pPr>
            <w:r>
              <w:rPr>
                <w:rFonts w:ascii="Arial" w:cs="Arial" w:eastAsia="Arial" w:hAnsi="Arial"/>
                <w:sz w:val="22"/>
                <w:szCs w:val="22"/>
                <w:color w:val="auto"/>
              </w:rPr>
              <w:t>ASSETS, net</w:t>
            </w:r>
          </w:p>
        </w:tc>
        <w:tc>
          <w:tcPr>
            <w:tcW w:w="720" w:type="dxa"/>
            <w:vAlign w:val="bottom"/>
          </w:tcPr>
          <w:p>
            <w:pPr>
              <w:jc w:val="right"/>
              <w:spacing w:after="0"/>
              <w:rPr>
                <w:sz w:val="20"/>
                <w:szCs w:val="20"/>
                <w:color w:val="auto"/>
              </w:rPr>
            </w:pPr>
            <w:r>
              <w:rPr>
                <w:rFonts w:ascii="Arial" w:cs="Arial" w:eastAsia="Arial" w:hAnsi="Arial"/>
                <w:sz w:val="22"/>
                <w:szCs w:val="22"/>
                <w:color w:val="auto"/>
              </w:rPr>
              <w:t>87</w:t>
            </w:r>
          </w:p>
        </w:tc>
        <w:tc>
          <w:tcPr>
            <w:tcW w:w="1060" w:type="dxa"/>
            <w:vAlign w:val="bottom"/>
            <w:gridSpan w:val="3"/>
          </w:tcPr>
          <w:p>
            <w:pPr>
              <w:jc w:val="right"/>
              <w:ind w:right="160"/>
              <w:spacing w:after="0"/>
              <w:rPr>
                <w:sz w:val="20"/>
                <w:szCs w:val="20"/>
                <w:color w:val="auto"/>
              </w:rPr>
            </w:pPr>
            <w:r>
              <w:rPr>
                <w:rFonts w:ascii="Arial" w:cs="Arial" w:eastAsia="Arial" w:hAnsi="Arial"/>
                <w:sz w:val="22"/>
                <w:szCs w:val="22"/>
                <w:color w:val="auto"/>
              </w:rPr>
              <w:t>43</w:t>
            </w:r>
          </w:p>
        </w:tc>
        <w:tc>
          <w:tcPr>
            <w:tcW w:w="720" w:type="dxa"/>
            <w:vAlign w:val="bottom"/>
          </w:tcPr>
          <w:p>
            <w:pPr>
              <w:jc w:val="right"/>
              <w:spacing w:after="0"/>
              <w:rPr>
                <w:sz w:val="20"/>
                <w:szCs w:val="20"/>
                <w:color w:val="auto"/>
              </w:rPr>
            </w:pPr>
            <w:r>
              <w:rPr>
                <w:rFonts w:ascii="Arial" w:cs="Arial" w:eastAsia="Arial" w:hAnsi="Arial"/>
                <w:sz w:val="22"/>
                <w:szCs w:val="22"/>
                <w:color w:val="auto"/>
              </w:rPr>
              <w:t>30</w:t>
            </w:r>
          </w:p>
        </w:tc>
        <w:tc>
          <w:tcPr>
            <w:tcW w:w="1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20" w:type="dxa"/>
            <w:vAlign w:val="bottom"/>
            <w:gridSpan w:val="3"/>
          </w:tcPr>
          <w:p>
            <w:pPr>
              <w:jc w:val="right"/>
              <w:ind w:right="180"/>
              <w:spacing w:after="0"/>
              <w:rPr>
                <w:sz w:val="20"/>
                <w:szCs w:val="20"/>
                <w:color w:val="auto"/>
              </w:rPr>
            </w:pPr>
            <w:r>
              <w:rPr>
                <w:rFonts w:ascii="Arial" w:cs="Arial" w:eastAsia="Arial" w:hAnsi="Arial"/>
                <w:sz w:val="22"/>
                <w:szCs w:val="22"/>
                <w:color w:val="auto"/>
              </w:rPr>
              <w:t>555</w:t>
            </w:r>
          </w:p>
        </w:tc>
        <w:tc>
          <w:tcPr>
            <w:tcW w:w="9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22"/>
                <w:szCs w:val="22"/>
                <w:color w:val="auto"/>
              </w:rPr>
              <w:t>715</w:t>
            </w:r>
          </w:p>
        </w:tc>
        <w:tc>
          <w:tcPr>
            <w:tcW w:w="0" w:type="dxa"/>
            <w:vAlign w:val="bottom"/>
          </w:tcPr>
          <w:p>
            <w:pPr>
              <w:spacing w:after="0"/>
              <w:rPr>
                <w:sz w:val="1"/>
                <w:szCs w:val="1"/>
                <w:color w:val="auto"/>
              </w:rPr>
            </w:pPr>
          </w:p>
        </w:tc>
      </w:tr>
      <w:tr>
        <w:trPr>
          <w:trHeight w:val="98"/>
        </w:trPr>
        <w:tc>
          <w:tcPr>
            <w:tcW w:w="780" w:type="dxa"/>
            <w:vAlign w:val="bottom"/>
          </w:tcPr>
          <w:p>
            <w:pPr>
              <w:spacing w:after="0"/>
              <w:rPr>
                <w:sz w:val="8"/>
                <w:szCs w:val="8"/>
                <w:color w:val="auto"/>
              </w:rPr>
            </w:pPr>
          </w:p>
        </w:tc>
        <w:tc>
          <w:tcPr>
            <w:tcW w:w="980" w:type="dxa"/>
            <w:vAlign w:val="bottom"/>
          </w:tcPr>
          <w:p>
            <w:pPr>
              <w:spacing w:after="0"/>
              <w:rPr>
                <w:sz w:val="8"/>
                <w:szCs w:val="8"/>
                <w:color w:val="auto"/>
              </w:rPr>
            </w:pPr>
          </w:p>
        </w:tc>
        <w:tc>
          <w:tcPr>
            <w:tcW w:w="8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598"/>
        </w:trPr>
        <w:tc>
          <w:tcPr>
            <w:tcW w:w="3340" w:type="dxa"/>
            <w:vAlign w:val="bottom"/>
            <w:gridSpan w:val="4"/>
          </w:tcPr>
          <w:p>
            <w:pPr>
              <w:ind w:left="280"/>
              <w:spacing w:after="0"/>
              <w:rPr>
                <w:sz w:val="20"/>
                <w:szCs w:val="20"/>
                <w:color w:val="auto"/>
              </w:rPr>
            </w:pPr>
            <w:r>
              <w:rPr>
                <w:rFonts w:ascii="Arial" w:cs="Arial" w:eastAsia="Arial" w:hAnsi="Arial"/>
                <w:sz w:val="22"/>
                <w:szCs w:val="22"/>
                <w:color w:val="auto"/>
              </w:rPr>
              <w:t>Total Assets</w:t>
            </w:r>
          </w:p>
        </w:tc>
        <w:tc>
          <w:tcPr>
            <w:tcW w:w="720" w:type="dxa"/>
            <w:vAlign w:val="bottom"/>
          </w:tcPr>
          <w:p>
            <w:pPr>
              <w:jc w:val="right"/>
              <w:spacing w:after="0"/>
              <w:rPr>
                <w:sz w:val="20"/>
                <w:szCs w:val="20"/>
                <w:color w:val="auto"/>
              </w:rPr>
            </w:pPr>
            <w:r>
              <w:rPr>
                <w:rFonts w:ascii="Arial" w:cs="Arial" w:eastAsia="Arial" w:hAnsi="Arial"/>
                <w:sz w:val="22"/>
                <w:szCs w:val="22"/>
                <w:color w:val="auto"/>
                <w:w w:val="87"/>
              </w:rPr>
              <w:t>$46,427</w:t>
            </w:r>
          </w:p>
        </w:tc>
        <w:tc>
          <w:tcPr>
            <w:tcW w:w="1060" w:type="dxa"/>
            <w:vAlign w:val="bottom"/>
            <w:gridSpan w:val="3"/>
          </w:tcPr>
          <w:p>
            <w:pPr>
              <w:jc w:val="right"/>
              <w:ind w:right="160"/>
              <w:spacing w:after="0"/>
              <w:rPr>
                <w:sz w:val="20"/>
                <w:szCs w:val="20"/>
                <w:color w:val="auto"/>
              </w:rPr>
            </w:pPr>
            <w:r>
              <w:rPr>
                <w:rFonts w:ascii="Arial" w:cs="Arial" w:eastAsia="Arial" w:hAnsi="Arial"/>
                <w:sz w:val="22"/>
                <w:szCs w:val="22"/>
                <w:color w:val="auto"/>
              </w:rPr>
              <w:t>$26,686</w:t>
            </w:r>
          </w:p>
        </w:tc>
        <w:tc>
          <w:tcPr>
            <w:tcW w:w="720" w:type="dxa"/>
            <w:vAlign w:val="bottom"/>
          </w:tcPr>
          <w:p>
            <w:pPr>
              <w:jc w:val="right"/>
              <w:spacing w:after="0"/>
              <w:rPr>
                <w:sz w:val="20"/>
                <w:szCs w:val="20"/>
                <w:color w:val="auto"/>
              </w:rPr>
            </w:pPr>
            <w:r>
              <w:rPr>
                <w:rFonts w:ascii="Arial" w:cs="Arial" w:eastAsia="Arial" w:hAnsi="Arial"/>
                <w:sz w:val="22"/>
                <w:szCs w:val="22"/>
                <w:color w:val="auto"/>
                <w:w w:val="87"/>
              </w:rPr>
              <w:t>$33,172</w:t>
            </w:r>
          </w:p>
        </w:tc>
        <w:tc>
          <w:tcPr>
            <w:tcW w:w="920" w:type="dxa"/>
            <w:vAlign w:val="bottom"/>
            <w:gridSpan w:val="2"/>
          </w:tcPr>
          <w:p>
            <w:pPr>
              <w:jc w:val="right"/>
              <w:spacing w:after="0"/>
              <w:rPr>
                <w:sz w:val="20"/>
                <w:szCs w:val="20"/>
                <w:color w:val="auto"/>
              </w:rPr>
            </w:pPr>
            <w:r>
              <w:rPr>
                <w:rFonts w:ascii="Arial" w:cs="Arial" w:eastAsia="Arial" w:hAnsi="Arial"/>
                <w:sz w:val="22"/>
                <w:szCs w:val="22"/>
                <w:color w:val="auto"/>
              </w:rPr>
              <w:t>$39,919</w:t>
            </w:r>
          </w:p>
        </w:tc>
        <w:tc>
          <w:tcPr>
            <w:tcW w:w="1220" w:type="dxa"/>
            <w:vAlign w:val="bottom"/>
            <w:gridSpan w:val="3"/>
          </w:tcPr>
          <w:p>
            <w:pPr>
              <w:jc w:val="right"/>
              <w:ind w:right="180"/>
              <w:spacing w:after="0"/>
              <w:rPr>
                <w:sz w:val="20"/>
                <w:szCs w:val="20"/>
                <w:color w:val="auto"/>
              </w:rPr>
            </w:pPr>
            <w:r>
              <w:rPr>
                <w:rFonts w:ascii="Arial" w:cs="Arial" w:eastAsia="Arial" w:hAnsi="Arial"/>
                <w:sz w:val="22"/>
                <w:szCs w:val="22"/>
                <w:color w:val="auto"/>
              </w:rPr>
              <w:t>$128,601</w:t>
            </w:r>
          </w:p>
        </w:tc>
        <w:tc>
          <w:tcPr>
            <w:tcW w:w="1180" w:type="dxa"/>
            <w:vAlign w:val="bottom"/>
            <w:gridSpan w:val="2"/>
          </w:tcPr>
          <w:p>
            <w:pPr>
              <w:jc w:val="right"/>
              <w:ind w:right="120"/>
              <w:spacing w:after="0"/>
              <w:rPr>
                <w:sz w:val="20"/>
                <w:szCs w:val="20"/>
                <w:color w:val="auto"/>
              </w:rPr>
            </w:pPr>
            <w:r>
              <w:rPr>
                <w:rFonts w:ascii="Arial" w:cs="Arial" w:eastAsia="Arial" w:hAnsi="Arial"/>
                <w:sz w:val="22"/>
                <w:szCs w:val="22"/>
                <w:color w:val="auto"/>
                <w:w w:val="97"/>
              </w:rPr>
              <w:t>($165,646)</w:t>
            </w:r>
          </w:p>
        </w:tc>
        <w:tc>
          <w:tcPr>
            <w:tcW w:w="920" w:type="dxa"/>
            <w:vAlign w:val="bottom"/>
          </w:tcPr>
          <w:p>
            <w:pPr>
              <w:jc w:val="right"/>
              <w:spacing w:after="0"/>
              <w:rPr>
                <w:sz w:val="20"/>
                <w:szCs w:val="20"/>
                <w:color w:val="auto"/>
              </w:rPr>
            </w:pPr>
            <w:r>
              <w:rPr>
                <w:rFonts w:ascii="Arial" w:cs="Arial" w:eastAsia="Arial" w:hAnsi="Arial"/>
                <w:sz w:val="22"/>
                <w:szCs w:val="22"/>
                <w:color w:val="auto"/>
                <w:w w:val="98"/>
              </w:rPr>
              <w:t>$109,159</w:t>
            </w:r>
          </w:p>
        </w:tc>
        <w:tc>
          <w:tcPr>
            <w:tcW w:w="0" w:type="dxa"/>
            <w:vAlign w:val="bottom"/>
          </w:tcPr>
          <w:p>
            <w:pPr>
              <w:spacing w:after="0"/>
              <w:rPr>
                <w:sz w:val="1"/>
                <w:szCs w:val="1"/>
                <w:color w:val="auto"/>
              </w:rPr>
            </w:pPr>
          </w:p>
        </w:tc>
      </w:tr>
      <w:tr>
        <w:trPr>
          <w:trHeight w:val="108"/>
        </w:trPr>
        <w:tc>
          <w:tcPr>
            <w:tcW w:w="3340" w:type="dxa"/>
            <w:vAlign w:val="bottom"/>
            <w:gridSpan w:val="4"/>
            <w:vMerge w:val="restart"/>
          </w:tcPr>
          <w:p>
            <w:pPr>
              <w:spacing w:after="0"/>
              <w:rPr>
                <w:sz w:val="20"/>
                <w:szCs w:val="20"/>
                <w:color w:val="auto"/>
              </w:rPr>
            </w:pPr>
            <w:r>
              <w:rPr>
                <w:rFonts w:ascii="Arial" w:cs="Arial" w:eastAsia="Arial" w:hAnsi="Arial"/>
                <w:sz w:val="22"/>
                <w:szCs w:val="22"/>
                <w:color w:val="auto"/>
              </w:rPr>
              <w:t>LIABILITIES AND</w:t>
            </w:r>
          </w:p>
        </w:tc>
        <w:tc>
          <w:tcPr>
            <w:tcW w:w="7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550"/>
        </w:trPr>
        <w:tc>
          <w:tcPr>
            <w:tcW w:w="3340" w:type="dxa"/>
            <w:vAlign w:val="bottom"/>
            <w:gridSpan w:val="4"/>
            <w:vMerge w:val="continue"/>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760" w:type="dxa"/>
            <w:vAlign w:val="bottom"/>
            <w:gridSpan w:val="2"/>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340" w:type="dxa"/>
            <w:vAlign w:val="bottom"/>
            <w:gridSpan w:val="4"/>
          </w:tcPr>
          <w:p>
            <w:pPr>
              <w:spacing w:after="0" w:line="223" w:lineRule="exact"/>
              <w:rPr>
                <w:sz w:val="20"/>
                <w:szCs w:val="20"/>
                <w:color w:val="auto"/>
              </w:rPr>
            </w:pPr>
            <w:r>
              <w:rPr>
                <w:rFonts w:ascii="Arial" w:cs="Arial" w:eastAsia="Arial" w:hAnsi="Arial"/>
                <w:sz w:val="22"/>
                <w:szCs w:val="22"/>
                <w:color w:val="auto"/>
              </w:rPr>
              <w:t>STOCKHOLDERS' EQUITY</w:t>
            </w:r>
          </w:p>
        </w:tc>
        <w:tc>
          <w:tcPr>
            <w:tcW w:w="720" w:type="dxa"/>
            <w:vAlign w:val="bottom"/>
            <w:vMerge w:val="restart"/>
          </w:tcPr>
          <w:p>
            <w:pPr>
              <w:jc w:val="center"/>
              <w:spacing w:after="0"/>
              <w:rPr>
                <w:sz w:val="20"/>
                <w:szCs w:val="20"/>
                <w:color w:val="auto"/>
              </w:rPr>
            </w:pPr>
            <w:r>
              <w:rPr>
                <w:rFonts w:ascii="Arial" w:cs="Arial" w:eastAsia="Arial" w:hAnsi="Arial"/>
                <w:sz w:val="22"/>
                <w:szCs w:val="22"/>
                <w:color w:val="auto"/>
                <w:w w:val="97"/>
              </w:rPr>
              <w:t>$</w:t>
            </w:r>
          </w:p>
        </w:tc>
        <w:tc>
          <w:tcPr>
            <w:tcW w:w="900" w:type="dxa"/>
            <w:vAlign w:val="bottom"/>
            <w:gridSpan w:val="2"/>
            <w:vMerge w:val="restart"/>
          </w:tcPr>
          <w:p>
            <w:pPr>
              <w:jc w:val="center"/>
              <w:ind w:left="52"/>
              <w:spacing w:after="0"/>
              <w:rPr>
                <w:sz w:val="20"/>
                <w:szCs w:val="20"/>
                <w:color w:val="auto"/>
              </w:rPr>
            </w:pPr>
            <w:r>
              <w:rPr>
                <w:rFonts w:ascii="Arial" w:cs="Arial" w:eastAsia="Arial" w:hAnsi="Arial"/>
                <w:sz w:val="22"/>
                <w:szCs w:val="22"/>
                <w:color w:val="auto"/>
                <w:w w:val="81"/>
              </w:rPr>
              <w:t>$</w:t>
            </w:r>
          </w:p>
        </w:tc>
        <w:tc>
          <w:tcPr>
            <w:tcW w:w="160" w:type="dxa"/>
            <w:vAlign w:val="bottom"/>
          </w:tcPr>
          <w:p>
            <w:pPr>
              <w:spacing w:after="0"/>
              <w:rPr>
                <w:sz w:val="19"/>
                <w:szCs w:val="19"/>
                <w:color w:val="auto"/>
              </w:rPr>
            </w:pPr>
          </w:p>
        </w:tc>
        <w:tc>
          <w:tcPr>
            <w:tcW w:w="720" w:type="dxa"/>
            <w:vAlign w:val="bottom"/>
            <w:vMerge w:val="restart"/>
          </w:tcPr>
          <w:p>
            <w:pPr>
              <w:jc w:val="center"/>
              <w:spacing w:after="0"/>
              <w:rPr>
                <w:sz w:val="20"/>
                <w:szCs w:val="20"/>
                <w:color w:val="auto"/>
              </w:rPr>
            </w:pPr>
            <w:r>
              <w:rPr>
                <w:rFonts w:ascii="Arial" w:cs="Arial" w:eastAsia="Arial" w:hAnsi="Arial"/>
                <w:sz w:val="22"/>
                <w:szCs w:val="22"/>
                <w:color w:val="auto"/>
                <w:w w:val="81"/>
              </w:rPr>
              <w:t>$</w:t>
            </w:r>
          </w:p>
        </w:tc>
        <w:tc>
          <w:tcPr>
            <w:tcW w:w="920" w:type="dxa"/>
            <w:vAlign w:val="bottom"/>
            <w:gridSpan w:val="2"/>
            <w:vMerge w:val="restart"/>
          </w:tcPr>
          <w:p>
            <w:pPr>
              <w:jc w:val="center"/>
              <w:ind w:left="72"/>
              <w:spacing w:after="0"/>
              <w:rPr>
                <w:sz w:val="20"/>
                <w:szCs w:val="20"/>
                <w:color w:val="auto"/>
              </w:rPr>
            </w:pPr>
            <w:r>
              <w:rPr>
                <w:rFonts w:ascii="Arial" w:cs="Arial" w:eastAsia="Arial" w:hAnsi="Arial"/>
                <w:sz w:val="22"/>
                <w:szCs w:val="22"/>
                <w:color w:val="auto"/>
                <w:w w:val="81"/>
              </w:rPr>
              <w:t>$</w:t>
            </w:r>
          </w:p>
        </w:tc>
        <w:tc>
          <w:tcPr>
            <w:tcW w:w="1220" w:type="dxa"/>
            <w:vAlign w:val="bottom"/>
            <w:gridSpan w:val="3"/>
            <w:vMerge w:val="restart"/>
          </w:tcPr>
          <w:p>
            <w:pPr>
              <w:jc w:val="right"/>
              <w:ind w:right="180"/>
              <w:spacing w:after="0"/>
              <w:rPr>
                <w:sz w:val="20"/>
                <w:szCs w:val="20"/>
                <w:color w:val="auto"/>
              </w:rPr>
            </w:pPr>
            <w:r>
              <w:rPr>
                <w:rFonts w:ascii="Arial" w:cs="Arial" w:eastAsia="Arial" w:hAnsi="Arial"/>
                <w:sz w:val="22"/>
                <w:szCs w:val="22"/>
                <w:color w:val="auto"/>
              </w:rPr>
              <w:t>$1,251</w:t>
            </w:r>
          </w:p>
        </w:tc>
        <w:tc>
          <w:tcPr>
            <w:tcW w:w="980" w:type="dxa"/>
            <w:vAlign w:val="bottom"/>
            <w:vMerge w:val="restart"/>
          </w:tcPr>
          <w:p>
            <w:pPr>
              <w:jc w:val="center"/>
              <w:spacing w:after="0"/>
              <w:rPr>
                <w:sz w:val="20"/>
                <w:szCs w:val="20"/>
                <w:color w:val="auto"/>
              </w:rPr>
            </w:pPr>
            <w:r>
              <w:rPr>
                <w:rFonts w:ascii="Arial" w:cs="Arial" w:eastAsia="Arial" w:hAnsi="Arial"/>
                <w:sz w:val="22"/>
                <w:szCs w:val="22"/>
                <w:color w:val="auto"/>
                <w:w w:val="81"/>
              </w:rPr>
              <w:t>$</w:t>
            </w:r>
          </w:p>
        </w:tc>
        <w:tc>
          <w:tcPr>
            <w:tcW w:w="200" w:type="dxa"/>
            <w:vAlign w:val="bottom"/>
          </w:tcPr>
          <w:p>
            <w:pPr>
              <w:spacing w:after="0"/>
              <w:rPr>
                <w:sz w:val="19"/>
                <w:szCs w:val="19"/>
                <w:color w:val="auto"/>
              </w:rPr>
            </w:pPr>
          </w:p>
        </w:tc>
        <w:tc>
          <w:tcPr>
            <w:tcW w:w="920" w:type="dxa"/>
            <w:vAlign w:val="bottom"/>
            <w:vMerge w:val="restart"/>
          </w:tcPr>
          <w:p>
            <w:pPr>
              <w:jc w:val="right"/>
              <w:spacing w:after="0"/>
              <w:rPr>
                <w:sz w:val="20"/>
                <w:szCs w:val="20"/>
                <w:color w:val="auto"/>
              </w:rPr>
            </w:pPr>
            <w:r>
              <w:rPr>
                <w:rFonts w:ascii="Arial" w:cs="Arial" w:eastAsia="Arial" w:hAnsi="Arial"/>
                <w:sz w:val="22"/>
                <w:szCs w:val="22"/>
                <w:color w:val="auto"/>
              </w:rPr>
              <w:t>$1,251</w:t>
            </w:r>
          </w:p>
        </w:tc>
        <w:tc>
          <w:tcPr>
            <w:tcW w:w="0" w:type="dxa"/>
            <w:vAlign w:val="bottom"/>
          </w:tcPr>
          <w:p>
            <w:pPr>
              <w:spacing w:after="0"/>
              <w:rPr>
                <w:sz w:val="1"/>
                <w:szCs w:val="1"/>
                <w:color w:val="auto"/>
              </w:rPr>
            </w:pPr>
          </w:p>
        </w:tc>
      </w:tr>
      <w:tr>
        <w:trPr>
          <w:trHeight w:val="274"/>
        </w:trPr>
        <w:tc>
          <w:tcPr>
            <w:tcW w:w="2600" w:type="dxa"/>
            <w:vAlign w:val="bottom"/>
            <w:tcBorders>
              <w:top w:val="single" w:sz="8" w:color="auto"/>
            </w:tcBorders>
            <w:gridSpan w:val="3"/>
          </w:tcPr>
          <w:p>
            <w:pPr>
              <w:ind w:left="160"/>
              <w:spacing w:after="0"/>
              <w:rPr>
                <w:sz w:val="20"/>
                <w:szCs w:val="20"/>
                <w:color w:val="auto"/>
              </w:rPr>
            </w:pPr>
            <w:r>
              <w:rPr>
                <w:rFonts w:ascii="Arial" w:cs="Arial" w:eastAsia="Arial" w:hAnsi="Arial"/>
                <w:sz w:val="22"/>
                <w:szCs w:val="22"/>
                <w:color w:val="auto"/>
              </w:rPr>
              <w:t>Accounts payable</w:t>
            </w:r>
          </w:p>
        </w:tc>
        <w:tc>
          <w:tcPr>
            <w:tcW w:w="740" w:type="dxa"/>
            <w:vAlign w:val="bottom"/>
          </w:tcPr>
          <w:p>
            <w:pPr>
              <w:spacing w:after="0"/>
              <w:rPr>
                <w:sz w:val="23"/>
                <w:szCs w:val="23"/>
                <w:color w:val="auto"/>
              </w:rPr>
            </w:pPr>
          </w:p>
        </w:tc>
        <w:tc>
          <w:tcPr>
            <w:tcW w:w="720" w:type="dxa"/>
            <w:vAlign w:val="bottom"/>
            <w:vMerge w:val="continue"/>
          </w:tcPr>
          <w:p>
            <w:pPr>
              <w:spacing w:after="0"/>
              <w:rPr>
                <w:sz w:val="23"/>
                <w:szCs w:val="23"/>
                <w:color w:val="auto"/>
              </w:rPr>
            </w:pPr>
          </w:p>
        </w:tc>
        <w:tc>
          <w:tcPr>
            <w:tcW w:w="900" w:type="dxa"/>
            <w:vAlign w:val="bottom"/>
            <w:gridSpan w:val="2"/>
            <w:vMerge w:val="continue"/>
          </w:tcPr>
          <w:p>
            <w:pPr>
              <w:spacing w:after="0"/>
              <w:rPr>
                <w:sz w:val="23"/>
                <w:szCs w:val="23"/>
                <w:color w:val="auto"/>
              </w:rPr>
            </w:pPr>
          </w:p>
        </w:tc>
        <w:tc>
          <w:tcPr>
            <w:tcW w:w="160" w:type="dxa"/>
            <w:vAlign w:val="bottom"/>
          </w:tcPr>
          <w:p>
            <w:pPr>
              <w:spacing w:after="0"/>
              <w:rPr>
                <w:sz w:val="23"/>
                <w:szCs w:val="23"/>
                <w:color w:val="auto"/>
              </w:rPr>
            </w:pPr>
          </w:p>
        </w:tc>
        <w:tc>
          <w:tcPr>
            <w:tcW w:w="720" w:type="dxa"/>
            <w:vAlign w:val="bottom"/>
            <w:vMerge w:val="continue"/>
          </w:tcPr>
          <w:p>
            <w:pPr>
              <w:spacing w:after="0"/>
              <w:rPr>
                <w:sz w:val="23"/>
                <w:szCs w:val="23"/>
                <w:color w:val="auto"/>
              </w:rPr>
            </w:pPr>
          </w:p>
        </w:tc>
        <w:tc>
          <w:tcPr>
            <w:tcW w:w="920" w:type="dxa"/>
            <w:vAlign w:val="bottom"/>
            <w:gridSpan w:val="2"/>
            <w:vMerge w:val="continue"/>
          </w:tcPr>
          <w:p>
            <w:pPr>
              <w:spacing w:after="0"/>
              <w:rPr>
                <w:sz w:val="23"/>
                <w:szCs w:val="23"/>
                <w:color w:val="auto"/>
              </w:rPr>
            </w:pPr>
          </w:p>
        </w:tc>
        <w:tc>
          <w:tcPr>
            <w:tcW w:w="1220" w:type="dxa"/>
            <w:vAlign w:val="bottom"/>
            <w:gridSpan w:val="3"/>
            <w:vMerge w:val="continue"/>
          </w:tcPr>
          <w:p>
            <w:pPr>
              <w:spacing w:after="0"/>
              <w:rPr>
                <w:sz w:val="23"/>
                <w:szCs w:val="23"/>
                <w:color w:val="auto"/>
              </w:rPr>
            </w:pPr>
          </w:p>
        </w:tc>
        <w:tc>
          <w:tcPr>
            <w:tcW w:w="980" w:type="dxa"/>
            <w:vAlign w:val="bottom"/>
            <w:vMerge w:val="continue"/>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2567305</wp:posOffset>
            </wp:positionH>
            <wp:positionV relativeFrom="paragraph">
              <wp:posOffset>-704850</wp:posOffset>
            </wp:positionV>
            <wp:extent cx="1270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2121535</wp:posOffset>
            </wp:positionH>
            <wp:positionV relativeFrom="paragraph">
              <wp:posOffset>-704850</wp:posOffset>
            </wp:positionV>
            <wp:extent cx="1270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3133090</wp:posOffset>
            </wp:positionH>
            <wp:positionV relativeFrom="paragraph">
              <wp:posOffset>-704850</wp:posOffset>
            </wp:positionV>
            <wp:extent cx="1270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-704850</wp:posOffset>
            </wp:positionV>
            <wp:extent cx="1270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-704850</wp:posOffset>
            </wp:positionV>
            <wp:extent cx="1270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3253105</wp:posOffset>
            </wp:positionH>
            <wp:positionV relativeFrom="paragraph">
              <wp:posOffset>-704850</wp:posOffset>
            </wp:positionV>
            <wp:extent cx="1270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-704850</wp:posOffset>
            </wp:positionV>
            <wp:extent cx="1270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-704850</wp:posOffset>
            </wp:positionV>
            <wp:extent cx="1270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-704850</wp:posOffset>
            </wp:positionV>
            <wp:extent cx="1270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-704850</wp:posOffset>
            </wp:positionV>
            <wp:extent cx="1270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-704850</wp:posOffset>
            </wp:positionV>
            <wp:extent cx="1270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-704850</wp:posOffset>
            </wp:positionV>
            <wp:extent cx="1270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-704850</wp:posOffset>
            </wp:positionV>
            <wp:extent cx="1270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-704850</wp:posOffset>
            </wp:positionV>
            <wp:extent cx="1270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0219"/>
          </w:cols>
          <w:pgMar w:left="240" w:top="118" w:right="1440" w:bottom="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53"/>
        </w:trPr>
        <w:tc>
          <w:tcPr>
            <w:tcW w:w="3340" w:type="dxa"/>
            <w:vAlign w:val="bottom"/>
          </w:tcPr>
          <w:p>
            <w:pPr>
              <w:ind w:left="160"/>
              <w:spacing w:after="0"/>
              <w:rPr>
                <w:sz w:val="20"/>
                <w:szCs w:val="20"/>
                <w:color w:val="auto"/>
              </w:rPr>
            </w:pPr>
            <w:r>
              <w:rPr>
                <w:rFonts w:ascii="Arial" w:cs="Arial" w:eastAsia="Arial" w:hAnsi="Arial"/>
                <w:sz w:val="22"/>
                <w:szCs w:val="22"/>
                <w:color w:val="auto"/>
              </w:rPr>
              <w:t>Accrued expenses and other</w:t>
            </w: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Arial" w:cs="Arial" w:eastAsia="Arial" w:hAnsi="Arial"/>
                <w:sz w:val="22"/>
                <w:szCs w:val="22"/>
                <w:color w:val="auto"/>
              </w:rPr>
              <w:t>current</w:t>
            </w: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280"/>
              <w:spacing w:after="0" w:line="243" w:lineRule="exact"/>
              <w:rPr>
                <w:sz w:val="20"/>
                <w:szCs w:val="20"/>
                <w:color w:val="auto"/>
              </w:rPr>
            </w:pPr>
            <w:r>
              <w:rPr>
                <w:rFonts w:ascii="Arial" w:cs="Arial" w:eastAsia="Arial" w:hAnsi="Arial"/>
                <w:sz w:val="22"/>
                <w:szCs w:val="22"/>
                <w:color w:val="auto"/>
              </w:rPr>
              <w:t>liabilities</w:t>
            </w:r>
          </w:p>
        </w:tc>
        <w:tc>
          <w:tcPr>
            <w:tcW w:w="720" w:type="dxa"/>
            <w:vAlign w:val="bottom"/>
          </w:tcPr>
          <w:p>
            <w:pPr>
              <w:jc w:val="right"/>
              <w:spacing w:after="0" w:line="243" w:lineRule="exact"/>
              <w:rPr>
                <w:sz w:val="20"/>
                <w:szCs w:val="20"/>
                <w:color w:val="auto"/>
              </w:rPr>
            </w:pPr>
            <w:r>
              <w:rPr>
                <w:rFonts w:ascii="Arial" w:cs="Arial" w:eastAsia="Arial" w:hAnsi="Arial"/>
                <w:sz w:val="22"/>
                <w:szCs w:val="22"/>
                <w:color w:val="auto"/>
              </w:rPr>
              <w:t>391</w:t>
            </w:r>
          </w:p>
        </w:tc>
        <w:tc>
          <w:tcPr>
            <w:tcW w:w="1060" w:type="dxa"/>
            <w:vAlign w:val="bottom"/>
            <w:gridSpan w:val="3"/>
          </w:tcPr>
          <w:p>
            <w:pPr>
              <w:jc w:val="right"/>
              <w:ind w:right="160"/>
              <w:spacing w:after="0" w:line="243" w:lineRule="exact"/>
              <w:rPr>
                <w:sz w:val="20"/>
                <w:szCs w:val="20"/>
                <w:color w:val="auto"/>
              </w:rPr>
            </w:pPr>
            <w:r>
              <w:rPr>
                <w:rFonts w:ascii="Arial" w:cs="Arial" w:eastAsia="Arial" w:hAnsi="Arial"/>
                <w:sz w:val="22"/>
                <w:szCs w:val="22"/>
                <w:color w:val="auto"/>
              </w:rPr>
              <w:t>99</w:t>
            </w:r>
          </w:p>
        </w:tc>
        <w:tc>
          <w:tcPr>
            <w:tcW w:w="720" w:type="dxa"/>
            <w:vAlign w:val="bottom"/>
          </w:tcPr>
          <w:p>
            <w:pPr>
              <w:jc w:val="right"/>
              <w:spacing w:after="0" w:line="243" w:lineRule="exact"/>
              <w:rPr>
                <w:sz w:val="20"/>
                <w:szCs w:val="20"/>
                <w:color w:val="auto"/>
              </w:rPr>
            </w:pPr>
            <w:r>
              <w:rPr>
                <w:rFonts w:ascii="Arial" w:cs="Arial" w:eastAsia="Arial" w:hAnsi="Arial"/>
                <w:sz w:val="22"/>
                <w:szCs w:val="22"/>
                <w:color w:val="auto"/>
              </w:rPr>
              <w:t>76</w:t>
            </w:r>
          </w:p>
        </w:tc>
        <w:tc>
          <w:tcPr>
            <w:tcW w:w="92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316</w:t>
            </w:r>
          </w:p>
        </w:tc>
        <w:tc>
          <w:tcPr>
            <w:tcW w:w="1220" w:type="dxa"/>
            <w:vAlign w:val="bottom"/>
            <w:gridSpan w:val="3"/>
          </w:tcPr>
          <w:p>
            <w:pPr>
              <w:jc w:val="right"/>
              <w:ind w:right="180"/>
              <w:spacing w:after="0" w:line="243" w:lineRule="exact"/>
              <w:rPr>
                <w:sz w:val="20"/>
                <w:szCs w:val="20"/>
                <w:color w:val="auto"/>
              </w:rPr>
            </w:pPr>
            <w:r>
              <w:rPr>
                <w:rFonts w:ascii="Arial" w:cs="Arial" w:eastAsia="Arial" w:hAnsi="Arial"/>
                <w:sz w:val="22"/>
                <w:szCs w:val="22"/>
                <w:color w:val="auto"/>
              </w:rPr>
              <w:t>3,681</w:t>
            </w: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line="243" w:lineRule="exact"/>
              <w:rPr>
                <w:sz w:val="20"/>
                <w:szCs w:val="20"/>
                <w:color w:val="auto"/>
              </w:rPr>
            </w:pPr>
            <w:r>
              <w:rPr>
                <w:rFonts w:ascii="Arial" w:cs="Arial" w:eastAsia="Arial" w:hAnsi="Arial"/>
                <w:sz w:val="22"/>
                <w:szCs w:val="22"/>
                <w:color w:val="auto"/>
              </w:rPr>
              <w:t>4,563</w:t>
            </w:r>
          </w:p>
        </w:tc>
        <w:tc>
          <w:tcPr>
            <w:tcW w:w="0" w:type="dxa"/>
            <w:vAlign w:val="bottom"/>
          </w:tcPr>
          <w:p>
            <w:pPr>
              <w:spacing w:after="0"/>
              <w:rPr>
                <w:sz w:val="1"/>
                <w:szCs w:val="1"/>
                <w:color w:val="auto"/>
              </w:rPr>
            </w:pPr>
          </w:p>
        </w:tc>
      </w:tr>
      <w:tr>
        <w:trPr>
          <w:trHeight w:val="243"/>
        </w:trPr>
        <w:tc>
          <w:tcPr>
            <w:tcW w:w="3340" w:type="dxa"/>
            <w:vAlign w:val="bottom"/>
          </w:tcPr>
          <w:p>
            <w:pPr>
              <w:ind w:left="180"/>
              <w:spacing w:after="0" w:line="243" w:lineRule="exact"/>
              <w:rPr>
                <w:sz w:val="20"/>
                <w:szCs w:val="20"/>
                <w:color w:val="auto"/>
              </w:rPr>
            </w:pPr>
            <w:r>
              <w:rPr>
                <w:rFonts w:ascii="Arial" w:cs="Arial" w:eastAsia="Arial" w:hAnsi="Arial"/>
                <w:sz w:val="22"/>
                <w:szCs w:val="22"/>
                <w:color w:val="auto"/>
              </w:rPr>
              <w:t>Deferred income taxes</w:t>
            </w: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20" w:type="dxa"/>
            <w:vAlign w:val="bottom"/>
            <w:gridSpan w:val="3"/>
          </w:tcPr>
          <w:p>
            <w:pPr>
              <w:jc w:val="right"/>
              <w:ind w:right="180"/>
              <w:spacing w:after="0" w:line="243" w:lineRule="exact"/>
              <w:rPr>
                <w:sz w:val="20"/>
                <w:szCs w:val="20"/>
                <w:color w:val="auto"/>
              </w:rPr>
            </w:pPr>
            <w:r>
              <w:rPr>
                <w:rFonts w:ascii="Arial" w:cs="Arial" w:eastAsia="Arial" w:hAnsi="Arial"/>
                <w:sz w:val="22"/>
                <w:szCs w:val="22"/>
                <w:color w:val="auto"/>
              </w:rPr>
              <w:t>679</w:t>
            </w: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line="243" w:lineRule="exact"/>
              <w:rPr>
                <w:sz w:val="20"/>
                <w:szCs w:val="20"/>
                <w:color w:val="auto"/>
              </w:rPr>
            </w:pPr>
            <w:r>
              <w:rPr>
                <w:rFonts w:ascii="Arial" w:cs="Arial" w:eastAsia="Arial" w:hAnsi="Arial"/>
                <w:sz w:val="22"/>
                <w:szCs w:val="22"/>
                <w:color w:val="auto"/>
              </w:rPr>
              <w:t>679</w:t>
            </w:r>
          </w:p>
        </w:tc>
        <w:tc>
          <w:tcPr>
            <w:tcW w:w="0" w:type="dxa"/>
            <w:vAlign w:val="bottom"/>
          </w:tcPr>
          <w:p>
            <w:pPr>
              <w:spacing w:after="0"/>
              <w:rPr>
                <w:sz w:val="1"/>
                <w:szCs w:val="1"/>
                <w:color w:val="auto"/>
              </w:rPr>
            </w:pPr>
          </w:p>
        </w:tc>
      </w:tr>
      <w:tr>
        <w:trPr>
          <w:trHeight w:val="275"/>
        </w:trPr>
        <w:tc>
          <w:tcPr>
            <w:tcW w:w="3340" w:type="dxa"/>
            <w:vAlign w:val="bottom"/>
          </w:tcPr>
          <w:p>
            <w:pPr>
              <w:ind w:left="180"/>
              <w:spacing w:after="0"/>
              <w:rPr>
                <w:sz w:val="20"/>
                <w:szCs w:val="20"/>
                <w:color w:val="auto"/>
              </w:rPr>
            </w:pPr>
            <w:r>
              <w:rPr>
                <w:rFonts w:ascii="Arial" w:cs="Arial" w:eastAsia="Arial" w:hAnsi="Arial"/>
                <w:sz w:val="22"/>
                <w:szCs w:val="22"/>
                <w:color w:val="auto"/>
                <w:w w:val="98"/>
              </w:rPr>
              <w:t>Current portion of long-term debt</w:t>
            </w:r>
          </w:p>
        </w:tc>
        <w:tc>
          <w:tcPr>
            <w:tcW w:w="720" w:type="dxa"/>
            <w:vAlign w:val="bottom"/>
          </w:tcPr>
          <w:p>
            <w:pPr>
              <w:spacing w:after="0"/>
              <w:rPr>
                <w:sz w:val="23"/>
                <w:szCs w:val="23"/>
                <w:color w:val="auto"/>
              </w:rPr>
            </w:pPr>
          </w:p>
        </w:tc>
        <w:tc>
          <w:tcPr>
            <w:tcW w:w="1060" w:type="dxa"/>
            <w:vAlign w:val="bottom"/>
            <w:gridSpan w:val="3"/>
          </w:tcPr>
          <w:p>
            <w:pPr>
              <w:jc w:val="right"/>
              <w:ind w:right="160"/>
              <w:spacing w:after="0"/>
              <w:rPr>
                <w:sz w:val="20"/>
                <w:szCs w:val="20"/>
                <w:color w:val="auto"/>
              </w:rPr>
            </w:pPr>
            <w:r>
              <w:rPr>
                <w:rFonts w:ascii="Arial" w:cs="Arial" w:eastAsia="Arial" w:hAnsi="Arial"/>
                <w:sz w:val="22"/>
                <w:szCs w:val="22"/>
                <w:color w:val="auto"/>
              </w:rPr>
              <w:t>303</w:t>
            </w:r>
          </w:p>
        </w:tc>
        <w:tc>
          <w:tcPr>
            <w:tcW w:w="720" w:type="dxa"/>
            <w:vAlign w:val="bottom"/>
          </w:tcPr>
          <w:p>
            <w:pPr>
              <w:spacing w:after="0"/>
              <w:rPr>
                <w:sz w:val="23"/>
                <w:szCs w:val="23"/>
                <w:color w:val="auto"/>
              </w:rPr>
            </w:pPr>
          </w:p>
        </w:tc>
        <w:tc>
          <w:tcPr>
            <w:tcW w:w="920" w:type="dxa"/>
            <w:vAlign w:val="bottom"/>
            <w:gridSpan w:val="2"/>
          </w:tcPr>
          <w:p>
            <w:pPr>
              <w:jc w:val="right"/>
              <w:spacing w:after="0"/>
              <w:rPr>
                <w:sz w:val="20"/>
                <w:szCs w:val="20"/>
                <w:color w:val="auto"/>
              </w:rPr>
            </w:pPr>
            <w:r>
              <w:rPr>
                <w:rFonts w:ascii="Arial" w:cs="Arial" w:eastAsia="Arial" w:hAnsi="Arial"/>
                <w:sz w:val="22"/>
                <w:szCs w:val="22"/>
                <w:color w:val="auto"/>
              </w:rPr>
              <w:t>314</w:t>
            </w:r>
          </w:p>
        </w:tc>
        <w:tc>
          <w:tcPr>
            <w:tcW w:w="1220" w:type="dxa"/>
            <w:vAlign w:val="bottom"/>
            <w:gridSpan w:val="3"/>
          </w:tcPr>
          <w:p>
            <w:pPr>
              <w:jc w:val="right"/>
              <w:ind w:right="180"/>
              <w:spacing w:after="0"/>
              <w:rPr>
                <w:sz w:val="20"/>
                <w:szCs w:val="20"/>
                <w:color w:val="auto"/>
              </w:rPr>
            </w:pPr>
            <w:r>
              <w:rPr>
                <w:rFonts w:ascii="Arial" w:cs="Arial" w:eastAsia="Arial" w:hAnsi="Arial"/>
                <w:sz w:val="22"/>
                <w:szCs w:val="22"/>
                <w:color w:val="auto"/>
              </w:rPr>
              <w:t>2,544</w:t>
            </w:r>
          </w:p>
        </w:tc>
        <w:tc>
          <w:tcPr>
            <w:tcW w:w="9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22"/>
                <w:szCs w:val="22"/>
                <w:color w:val="auto"/>
              </w:rPr>
              <w:t>3,161</w:t>
            </w:r>
          </w:p>
        </w:tc>
        <w:tc>
          <w:tcPr>
            <w:tcW w:w="0" w:type="dxa"/>
            <w:vAlign w:val="bottom"/>
          </w:tcPr>
          <w:p>
            <w:pPr>
              <w:spacing w:after="0"/>
              <w:rPr>
                <w:sz w:val="1"/>
                <w:szCs w:val="1"/>
                <w:color w:val="auto"/>
              </w:rPr>
            </w:pPr>
          </w:p>
        </w:tc>
      </w:tr>
      <w:tr>
        <w:trPr>
          <w:trHeight w:val="98"/>
        </w:trPr>
        <w:tc>
          <w:tcPr>
            <w:tcW w:w="334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55"/>
        </w:trPr>
        <w:tc>
          <w:tcPr>
            <w:tcW w:w="3340" w:type="dxa"/>
            <w:vAlign w:val="bottom"/>
          </w:tcPr>
          <w:p>
            <w:pPr>
              <w:ind w:left="280"/>
              <w:spacing w:after="0"/>
              <w:rPr>
                <w:sz w:val="20"/>
                <w:szCs w:val="20"/>
                <w:color w:val="auto"/>
              </w:rPr>
            </w:pPr>
            <w:r>
              <w:rPr>
                <w:rFonts w:ascii="Arial" w:cs="Arial" w:eastAsia="Arial" w:hAnsi="Arial"/>
                <w:sz w:val="22"/>
                <w:szCs w:val="22"/>
                <w:color w:val="auto"/>
              </w:rPr>
              <w:t>Total current liabilities</w:t>
            </w:r>
          </w:p>
        </w:tc>
        <w:tc>
          <w:tcPr>
            <w:tcW w:w="720" w:type="dxa"/>
            <w:vAlign w:val="bottom"/>
          </w:tcPr>
          <w:p>
            <w:pPr>
              <w:jc w:val="right"/>
              <w:spacing w:after="0"/>
              <w:rPr>
                <w:sz w:val="20"/>
                <w:szCs w:val="20"/>
                <w:color w:val="auto"/>
              </w:rPr>
            </w:pPr>
            <w:r>
              <w:rPr>
                <w:rFonts w:ascii="Arial" w:cs="Arial" w:eastAsia="Arial" w:hAnsi="Arial"/>
                <w:sz w:val="22"/>
                <w:szCs w:val="22"/>
                <w:color w:val="auto"/>
              </w:rPr>
              <w:t>391</w:t>
            </w:r>
          </w:p>
        </w:tc>
        <w:tc>
          <w:tcPr>
            <w:tcW w:w="1060" w:type="dxa"/>
            <w:vAlign w:val="bottom"/>
            <w:gridSpan w:val="3"/>
          </w:tcPr>
          <w:p>
            <w:pPr>
              <w:jc w:val="right"/>
              <w:ind w:right="160"/>
              <w:spacing w:after="0"/>
              <w:rPr>
                <w:sz w:val="20"/>
                <w:szCs w:val="20"/>
                <w:color w:val="auto"/>
              </w:rPr>
            </w:pPr>
            <w:r>
              <w:rPr>
                <w:rFonts w:ascii="Arial" w:cs="Arial" w:eastAsia="Arial" w:hAnsi="Arial"/>
                <w:sz w:val="22"/>
                <w:szCs w:val="22"/>
                <w:color w:val="auto"/>
              </w:rPr>
              <w:t>402</w:t>
            </w:r>
          </w:p>
        </w:tc>
        <w:tc>
          <w:tcPr>
            <w:tcW w:w="720" w:type="dxa"/>
            <w:vAlign w:val="bottom"/>
          </w:tcPr>
          <w:p>
            <w:pPr>
              <w:jc w:val="right"/>
              <w:spacing w:after="0"/>
              <w:rPr>
                <w:sz w:val="20"/>
                <w:szCs w:val="20"/>
                <w:color w:val="auto"/>
              </w:rPr>
            </w:pPr>
            <w:r>
              <w:rPr>
                <w:rFonts w:ascii="Arial" w:cs="Arial" w:eastAsia="Arial" w:hAnsi="Arial"/>
                <w:sz w:val="22"/>
                <w:szCs w:val="22"/>
                <w:color w:val="auto"/>
              </w:rPr>
              <w:t>76</w:t>
            </w:r>
          </w:p>
        </w:tc>
        <w:tc>
          <w:tcPr>
            <w:tcW w:w="920" w:type="dxa"/>
            <w:vAlign w:val="bottom"/>
            <w:gridSpan w:val="2"/>
          </w:tcPr>
          <w:p>
            <w:pPr>
              <w:jc w:val="right"/>
              <w:spacing w:after="0"/>
              <w:rPr>
                <w:sz w:val="20"/>
                <w:szCs w:val="20"/>
                <w:color w:val="auto"/>
              </w:rPr>
            </w:pPr>
            <w:r>
              <w:rPr>
                <w:rFonts w:ascii="Arial" w:cs="Arial" w:eastAsia="Arial" w:hAnsi="Arial"/>
                <w:sz w:val="22"/>
                <w:szCs w:val="22"/>
                <w:color w:val="auto"/>
              </w:rPr>
              <w:t>630</w:t>
            </w:r>
          </w:p>
        </w:tc>
        <w:tc>
          <w:tcPr>
            <w:tcW w:w="1220" w:type="dxa"/>
            <w:vAlign w:val="bottom"/>
            <w:gridSpan w:val="3"/>
          </w:tcPr>
          <w:p>
            <w:pPr>
              <w:jc w:val="right"/>
              <w:ind w:right="180"/>
              <w:spacing w:after="0"/>
              <w:rPr>
                <w:sz w:val="20"/>
                <w:szCs w:val="20"/>
                <w:color w:val="auto"/>
              </w:rPr>
            </w:pPr>
            <w:r>
              <w:rPr>
                <w:rFonts w:ascii="Arial" w:cs="Arial" w:eastAsia="Arial" w:hAnsi="Arial"/>
                <w:sz w:val="22"/>
                <w:szCs w:val="22"/>
                <w:color w:val="auto"/>
              </w:rPr>
              <w:t>8,155</w:t>
            </w: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2"/>
                <w:szCs w:val="22"/>
                <w:color w:val="auto"/>
              </w:rPr>
              <w:t>9,654</w:t>
            </w:r>
          </w:p>
        </w:tc>
        <w:tc>
          <w:tcPr>
            <w:tcW w:w="0" w:type="dxa"/>
            <w:vAlign w:val="bottom"/>
          </w:tcPr>
          <w:p>
            <w:pPr>
              <w:spacing w:after="0"/>
              <w:rPr>
                <w:sz w:val="1"/>
                <w:szCs w:val="1"/>
                <w:color w:val="auto"/>
              </w:rPr>
            </w:pPr>
          </w:p>
        </w:tc>
      </w:tr>
      <w:tr>
        <w:trPr>
          <w:trHeight w:val="98"/>
        </w:trPr>
        <w:tc>
          <w:tcPr>
            <w:tcW w:w="3340" w:type="dxa"/>
            <w:vAlign w:val="bottom"/>
            <w:vMerge w:val="restart"/>
          </w:tcPr>
          <w:p>
            <w:pPr>
              <w:ind w:left="180"/>
              <w:spacing w:after="0"/>
              <w:rPr>
                <w:sz w:val="20"/>
                <w:szCs w:val="20"/>
                <w:color w:val="auto"/>
              </w:rPr>
            </w:pPr>
            <w:r>
              <w:rPr>
                <w:rFonts w:ascii="Arial" w:cs="Arial" w:eastAsia="Arial" w:hAnsi="Arial"/>
                <w:sz w:val="22"/>
                <w:szCs w:val="22"/>
                <w:color w:val="auto"/>
                <w:w w:val="97"/>
              </w:rPr>
              <w:t>LONG-TERM DEBT, less current</w:t>
            </w:r>
          </w:p>
        </w:tc>
        <w:tc>
          <w:tcPr>
            <w:tcW w:w="7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23"/>
        </w:trPr>
        <w:tc>
          <w:tcPr>
            <w:tcW w:w="3340" w:type="dxa"/>
            <w:vAlign w:val="bottom"/>
            <w:vMerge w:val="continue"/>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Arial" w:cs="Arial" w:eastAsia="Arial" w:hAnsi="Arial"/>
                <w:sz w:val="22"/>
                <w:szCs w:val="22"/>
                <w:color w:val="auto"/>
              </w:rPr>
              <w:t>portion</w:t>
            </w:r>
          </w:p>
        </w:tc>
        <w:tc>
          <w:tcPr>
            <w:tcW w:w="720" w:type="dxa"/>
            <w:vAlign w:val="bottom"/>
          </w:tcPr>
          <w:p>
            <w:pPr>
              <w:jc w:val="right"/>
              <w:spacing w:after="0" w:line="243" w:lineRule="exact"/>
              <w:rPr>
                <w:sz w:val="20"/>
                <w:szCs w:val="20"/>
                <w:color w:val="auto"/>
              </w:rPr>
            </w:pPr>
            <w:r>
              <w:rPr>
                <w:rFonts w:ascii="Arial" w:cs="Arial" w:eastAsia="Arial" w:hAnsi="Arial"/>
                <w:sz w:val="22"/>
                <w:szCs w:val="22"/>
                <w:color w:val="auto"/>
              </w:rPr>
              <w:t>3,994</w:t>
            </w:r>
          </w:p>
        </w:tc>
        <w:tc>
          <w:tcPr>
            <w:tcW w:w="1060" w:type="dxa"/>
            <w:vAlign w:val="bottom"/>
            <w:gridSpan w:val="3"/>
          </w:tcPr>
          <w:p>
            <w:pPr>
              <w:jc w:val="right"/>
              <w:ind w:right="160"/>
              <w:spacing w:after="0" w:line="243" w:lineRule="exact"/>
              <w:rPr>
                <w:sz w:val="20"/>
                <w:szCs w:val="20"/>
                <w:color w:val="auto"/>
              </w:rPr>
            </w:pPr>
            <w:r>
              <w:rPr>
                <w:rFonts w:ascii="Arial" w:cs="Arial" w:eastAsia="Arial" w:hAnsi="Arial"/>
                <w:sz w:val="22"/>
                <w:szCs w:val="22"/>
                <w:color w:val="auto"/>
              </w:rPr>
              <w:t>6,606</w:t>
            </w:r>
          </w:p>
        </w:tc>
        <w:tc>
          <w:tcPr>
            <w:tcW w:w="720" w:type="dxa"/>
            <w:vAlign w:val="bottom"/>
          </w:tcPr>
          <w:p>
            <w:pPr>
              <w:jc w:val="right"/>
              <w:spacing w:after="0" w:line="243" w:lineRule="exact"/>
              <w:rPr>
                <w:sz w:val="20"/>
                <w:szCs w:val="20"/>
                <w:color w:val="auto"/>
              </w:rPr>
            </w:pPr>
            <w:r>
              <w:rPr>
                <w:rFonts w:ascii="Arial" w:cs="Arial" w:eastAsia="Arial" w:hAnsi="Arial"/>
                <w:sz w:val="22"/>
                <w:szCs w:val="22"/>
                <w:color w:val="auto"/>
              </w:rPr>
              <w:t>3,498</w:t>
            </w:r>
          </w:p>
        </w:tc>
        <w:tc>
          <w:tcPr>
            <w:tcW w:w="92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6,151</w:t>
            </w:r>
          </w:p>
        </w:tc>
        <w:tc>
          <w:tcPr>
            <w:tcW w:w="1220" w:type="dxa"/>
            <w:vAlign w:val="bottom"/>
            <w:gridSpan w:val="3"/>
          </w:tcPr>
          <w:p>
            <w:pPr>
              <w:jc w:val="right"/>
              <w:ind w:right="180"/>
              <w:spacing w:after="0" w:line="243" w:lineRule="exact"/>
              <w:rPr>
                <w:sz w:val="20"/>
                <w:szCs w:val="20"/>
                <w:color w:val="auto"/>
              </w:rPr>
            </w:pPr>
            <w:r>
              <w:rPr>
                <w:rFonts w:ascii="Arial" w:cs="Arial" w:eastAsia="Arial" w:hAnsi="Arial"/>
                <w:sz w:val="22"/>
                <w:szCs w:val="22"/>
                <w:color w:val="auto"/>
              </w:rPr>
              <w:t>3,586</w:t>
            </w: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line="243" w:lineRule="exact"/>
              <w:rPr>
                <w:sz w:val="20"/>
                <w:szCs w:val="20"/>
                <w:color w:val="auto"/>
              </w:rPr>
            </w:pPr>
            <w:r>
              <w:rPr>
                <w:rFonts w:ascii="Arial" w:cs="Arial" w:eastAsia="Arial" w:hAnsi="Arial"/>
                <w:sz w:val="22"/>
                <w:szCs w:val="22"/>
                <w:color w:val="auto"/>
              </w:rPr>
              <w:t>23,835</w:t>
            </w:r>
          </w:p>
        </w:tc>
        <w:tc>
          <w:tcPr>
            <w:tcW w:w="0" w:type="dxa"/>
            <w:vAlign w:val="bottom"/>
          </w:tcPr>
          <w:p>
            <w:pPr>
              <w:spacing w:after="0"/>
              <w:rPr>
                <w:sz w:val="1"/>
                <w:szCs w:val="1"/>
                <w:color w:val="auto"/>
              </w:rPr>
            </w:pPr>
          </w:p>
        </w:tc>
      </w:tr>
      <w:tr>
        <w:trPr>
          <w:trHeight w:val="243"/>
        </w:trPr>
        <w:tc>
          <w:tcPr>
            <w:tcW w:w="3340" w:type="dxa"/>
            <w:vAlign w:val="bottom"/>
          </w:tcPr>
          <w:p>
            <w:pPr>
              <w:ind w:left="180"/>
              <w:spacing w:after="0" w:line="243" w:lineRule="exact"/>
              <w:rPr>
                <w:sz w:val="20"/>
                <w:szCs w:val="20"/>
                <w:color w:val="auto"/>
              </w:rPr>
            </w:pPr>
            <w:r>
              <w:rPr>
                <w:rFonts w:ascii="Arial" w:cs="Arial" w:eastAsia="Arial" w:hAnsi="Arial"/>
                <w:sz w:val="22"/>
                <w:szCs w:val="22"/>
                <w:color w:val="auto"/>
              </w:rPr>
              <w:t>DEFERRED INCOME TAXES</w:t>
            </w: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20" w:type="dxa"/>
            <w:vAlign w:val="bottom"/>
            <w:gridSpan w:val="3"/>
          </w:tcPr>
          <w:p>
            <w:pPr>
              <w:jc w:val="right"/>
              <w:ind w:right="180"/>
              <w:spacing w:after="0" w:line="243" w:lineRule="exact"/>
              <w:rPr>
                <w:sz w:val="20"/>
                <w:szCs w:val="20"/>
                <w:color w:val="auto"/>
              </w:rPr>
            </w:pPr>
            <w:r>
              <w:rPr>
                <w:rFonts w:ascii="Arial" w:cs="Arial" w:eastAsia="Arial" w:hAnsi="Arial"/>
                <w:sz w:val="22"/>
                <w:szCs w:val="22"/>
                <w:color w:val="auto"/>
              </w:rPr>
              <w:t>25,900</w:t>
            </w: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line="243" w:lineRule="exact"/>
              <w:rPr>
                <w:sz w:val="20"/>
                <w:szCs w:val="20"/>
                <w:color w:val="auto"/>
              </w:rPr>
            </w:pPr>
            <w:r>
              <w:rPr>
                <w:rFonts w:ascii="Arial" w:cs="Arial" w:eastAsia="Arial" w:hAnsi="Arial"/>
                <w:sz w:val="22"/>
                <w:szCs w:val="22"/>
                <w:color w:val="auto"/>
              </w:rPr>
              <w:t>25,900</w:t>
            </w:r>
          </w:p>
        </w:tc>
        <w:tc>
          <w:tcPr>
            <w:tcW w:w="0" w:type="dxa"/>
            <w:vAlign w:val="bottom"/>
          </w:tcPr>
          <w:p>
            <w:pPr>
              <w:spacing w:after="0"/>
              <w:rPr>
                <w:sz w:val="1"/>
                <w:szCs w:val="1"/>
                <w:color w:val="auto"/>
              </w:rPr>
            </w:pPr>
          </w:p>
        </w:tc>
      </w:tr>
      <w:tr>
        <w:trPr>
          <w:trHeight w:val="243"/>
        </w:trPr>
        <w:tc>
          <w:tcPr>
            <w:tcW w:w="3340" w:type="dxa"/>
            <w:vAlign w:val="bottom"/>
          </w:tcPr>
          <w:p>
            <w:pPr>
              <w:ind w:left="180"/>
              <w:spacing w:after="0" w:line="243" w:lineRule="exact"/>
              <w:rPr>
                <w:sz w:val="20"/>
                <w:szCs w:val="20"/>
                <w:color w:val="auto"/>
              </w:rPr>
            </w:pPr>
            <w:r>
              <w:rPr>
                <w:rFonts w:ascii="Arial" w:cs="Arial" w:eastAsia="Arial" w:hAnsi="Arial"/>
                <w:sz w:val="22"/>
                <w:szCs w:val="22"/>
                <w:color w:val="auto"/>
              </w:rPr>
              <w:t>OTHER NONCURRENT</w:t>
            </w: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Arial" w:cs="Arial" w:eastAsia="Arial" w:hAnsi="Arial"/>
                <w:sz w:val="22"/>
                <w:szCs w:val="22"/>
                <w:color w:val="auto"/>
              </w:rPr>
              <w:t>LIABILITIES</w:t>
            </w:r>
          </w:p>
        </w:tc>
        <w:tc>
          <w:tcPr>
            <w:tcW w:w="720" w:type="dxa"/>
            <w:vAlign w:val="bottom"/>
          </w:tcPr>
          <w:p>
            <w:pPr>
              <w:jc w:val="right"/>
              <w:spacing w:after="0" w:line="243" w:lineRule="exact"/>
              <w:rPr>
                <w:sz w:val="20"/>
                <w:szCs w:val="20"/>
                <w:color w:val="auto"/>
              </w:rPr>
            </w:pPr>
            <w:r>
              <w:rPr>
                <w:rFonts w:ascii="Arial" w:cs="Arial" w:eastAsia="Arial" w:hAnsi="Arial"/>
                <w:sz w:val="22"/>
                <w:szCs w:val="22"/>
                <w:color w:val="auto"/>
              </w:rPr>
              <w:t>380</w:t>
            </w: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20" w:type="dxa"/>
            <w:vAlign w:val="bottom"/>
            <w:gridSpan w:val="3"/>
          </w:tcPr>
          <w:p>
            <w:pPr>
              <w:jc w:val="right"/>
              <w:ind w:right="180"/>
              <w:spacing w:after="0" w:line="243" w:lineRule="exact"/>
              <w:rPr>
                <w:sz w:val="20"/>
                <w:szCs w:val="20"/>
                <w:color w:val="auto"/>
              </w:rPr>
            </w:pPr>
            <w:r>
              <w:rPr>
                <w:rFonts w:ascii="Arial" w:cs="Arial" w:eastAsia="Arial" w:hAnsi="Arial"/>
                <w:sz w:val="22"/>
                <w:szCs w:val="22"/>
                <w:color w:val="auto"/>
              </w:rPr>
              <w:t>7,436</w:t>
            </w: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line="243" w:lineRule="exact"/>
              <w:rPr>
                <w:sz w:val="20"/>
                <w:szCs w:val="20"/>
                <w:color w:val="auto"/>
              </w:rPr>
            </w:pPr>
            <w:r>
              <w:rPr>
                <w:rFonts w:ascii="Arial" w:cs="Arial" w:eastAsia="Arial" w:hAnsi="Arial"/>
                <w:sz w:val="22"/>
                <w:szCs w:val="22"/>
                <w:color w:val="auto"/>
              </w:rPr>
              <w:t>7,816</w:t>
            </w:r>
          </w:p>
        </w:tc>
        <w:tc>
          <w:tcPr>
            <w:tcW w:w="0" w:type="dxa"/>
            <w:vAlign w:val="bottom"/>
          </w:tcPr>
          <w:p>
            <w:pPr>
              <w:spacing w:after="0"/>
              <w:rPr>
                <w:sz w:val="1"/>
                <w:szCs w:val="1"/>
                <w:color w:val="auto"/>
              </w:rPr>
            </w:pPr>
          </w:p>
        </w:tc>
      </w:tr>
      <w:tr>
        <w:trPr>
          <w:trHeight w:val="275"/>
        </w:trPr>
        <w:tc>
          <w:tcPr>
            <w:tcW w:w="3340" w:type="dxa"/>
            <w:vAlign w:val="bottom"/>
          </w:tcPr>
          <w:p>
            <w:pPr>
              <w:ind w:left="180"/>
              <w:spacing w:after="0"/>
              <w:rPr>
                <w:sz w:val="20"/>
                <w:szCs w:val="20"/>
                <w:color w:val="auto"/>
              </w:rPr>
            </w:pPr>
            <w:r>
              <w:rPr>
                <w:rFonts w:ascii="Arial" w:cs="Arial" w:eastAsia="Arial" w:hAnsi="Arial"/>
                <w:sz w:val="22"/>
                <w:szCs w:val="22"/>
                <w:color w:val="auto"/>
              </w:rPr>
              <w:t>MINORITY INTEREST</w:t>
            </w:r>
          </w:p>
        </w:tc>
        <w:tc>
          <w:tcPr>
            <w:tcW w:w="7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20" w:type="dxa"/>
            <w:vAlign w:val="bottom"/>
            <w:gridSpan w:val="3"/>
          </w:tcPr>
          <w:p>
            <w:pPr>
              <w:jc w:val="right"/>
              <w:ind w:right="180"/>
              <w:spacing w:after="0"/>
              <w:rPr>
                <w:sz w:val="20"/>
                <w:szCs w:val="20"/>
                <w:color w:val="auto"/>
              </w:rPr>
            </w:pPr>
            <w:r>
              <w:rPr>
                <w:rFonts w:ascii="Arial" w:cs="Arial" w:eastAsia="Arial" w:hAnsi="Arial"/>
                <w:sz w:val="22"/>
                <w:szCs w:val="22"/>
                <w:color w:val="auto"/>
              </w:rPr>
              <w:t>292</w:t>
            </w:r>
          </w:p>
        </w:tc>
        <w:tc>
          <w:tcPr>
            <w:tcW w:w="9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22"/>
                <w:szCs w:val="22"/>
                <w:color w:val="auto"/>
              </w:rPr>
              <w:t>292</w:t>
            </w:r>
          </w:p>
        </w:tc>
        <w:tc>
          <w:tcPr>
            <w:tcW w:w="0" w:type="dxa"/>
            <w:vAlign w:val="bottom"/>
          </w:tcPr>
          <w:p>
            <w:pPr>
              <w:spacing w:after="0"/>
              <w:rPr>
                <w:sz w:val="1"/>
                <w:szCs w:val="1"/>
                <w:color w:val="auto"/>
              </w:rPr>
            </w:pPr>
          </w:p>
        </w:tc>
      </w:tr>
      <w:tr>
        <w:trPr>
          <w:trHeight w:val="455"/>
        </w:trPr>
        <w:tc>
          <w:tcPr>
            <w:tcW w:w="3340" w:type="dxa"/>
            <w:vAlign w:val="bottom"/>
          </w:tcPr>
          <w:p>
            <w:pPr>
              <w:spacing w:after="0"/>
              <w:rPr>
                <w:sz w:val="20"/>
                <w:szCs w:val="20"/>
                <w:color w:val="auto"/>
              </w:rPr>
            </w:pPr>
            <w:r>
              <w:rPr>
                <w:rFonts w:ascii="Arial" w:cs="Arial" w:eastAsia="Arial" w:hAnsi="Arial"/>
                <w:sz w:val="22"/>
                <w:szCs w:val="22"/>
                <w:color w:val="auto"/>
              </w:rPr>
              <w:t>STOCKHOLDERS' EQUITY</w:t>
            </w: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180"/>
              <w:spacing w:after="0" w:line="243" w:lineRule="exact"/>
              <w:rPr>
                <w:sz w:val="20"/>
                <w:szCs w:val="20"/>
                <w:color w:val="auto"/>
              </w:rPr>
            </w:pPr>
            <w:r>
              <w:rPr>
                <w:rFonts w:ascii="Arial" w:cs="Arial" w:eastAsia="Arial" w:hAnsi="Arial"/>
                <w:sz w:val="22"/>
                <w:szCs w:val="22"/>
                <w:color w:val="auto"/>
              </w:rPr>
              <w:t>Common stock</w:t>
            </w:r>
          </w:p>
        </w:tc>
        <w:tc>
          <w:tcPr>
            <w:tcW w:w="720" w:type="dxa"/>
            <w:vAlign w:val="bottom"/>
          </w:tcPr>
          <w:p>
            <w:pPr>
              <w:jc w:val="right"/>
              <w:spacing w:after="0" w:line="243" w:lineRule="exact"/>
              <w:rPr>
                <w:sz w:val="20"/>
                <w:szCs w:val="20"/>
                <w:color w:val="auto"/>
              </w:rPr>
            </w:pPr>
            <w:r>
              <w:rPr>
                <w:rFonts w:ascii="Arial" w:cs="Arial" w:eastAsia="Arial" w:hAnsi="Arial"/>
                <w:sz w:val="22"/>
                <w:szCs w:val="22"/>
                <w:color w:val="auto"/>
              </w:rPr>
              <w:t>25</w:t>
            </w: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line="243" w:lineRule="exact"/>
              <w:rPr>
                <w:sz w:val="20"/>
                <w:szCs w:val="20"/>
                <w:color w:val="auto"/>
              </w:rPr>
            </w:pPr>
            <w:r>
              <w:rPr>
                <w:rFonts w:ascii="Arial" w:cs="Arial" w:eastAsia="Arial" w:hAnsi="Arial"/>
                <w:sz w:val="22"/>
                <w:szCs w:val="22"/>
                <w:color w:val="auto"/>
              </w:rPr>
              <w:t>25</w:t>
            </w:r>
          </w:p>
        </w:tc>
        <w:tc>
          <w:tcPr>
            <w:tcW w:w="0" w:type="dxa"/>
            <w:vAlign w:val="bottom"/>
          </w:tcPr>
          <w:p>
            <w:pPr>
              <w:spacing w:after="0"/>
              <w:rPr>
                <w:sz w:val="1"/>
                <w:szCs w:val="1"/>
                <w:color w:val="auto"/>
              </w:rPr>
            </w:pPr>
          </w:p>
        </w:tc>
      </w:tr>
      <w:tr>
        <w:trPr>
          <w:trHeight w:val="275"/>
        </w:trPr>
        <w:tc>
          <w:tcPr>
            <w:tcW w:w="3340" w:type="dxa"/>
            <w:vAlign w:val="bottom"/>
          </w:tcPr>
          <w:p>
            <w:pPr>
              <w:ind w:left="180"/>
              <w:spacing w:after="0"/>
              <w:rPr>
                <w:sz w:val="20"/>
                <w:szCs w:val="20"/>
                <w:color w:val="auto"/>
              </w:rPr>
            </w:pPr>
            <w:r>
              <w:rPr>
                <w:rFonts w:ascii="Arial" w:cs="Arial" w:eastAsia="Arial" w:hAnsi="Arial"/>
                <w:sz w:val="22"/>
                <w:szCs w:val="22"/>
                <w:color w:val="auto"/>
              </w:rPr>
              <w:t>Other stockholders' equity</w:t>
            </w:r>
          </w:p>
        </w:tc>
        <w:tc>
          <w:tcPr>
            <w:tcW w:w="720" w:type="dxa"/>
            <w:vAlign w:val="bottom"/>
          </w:tcPr>
          <w:p>
            <w:pPr>
              <w:jc w:val="right"/>
              <w:spacing w:after="0"/>
              <w:rPr>
                <w:sz w:val="20"/>
                <w:szCs w:val="20"/>
                <w:color w:val="auto"/>
              </w:rPr>
            </w:pPr>
            <w:r>
              <w:rPr>
                <w:rFonts w:ascii="Arial" w:cs="Arial" w:eastAsia="Arial" w:hAnsi="Arial"/>
                <w:sz w:val="22"/>
                <w:szCs w:val="22"/>
                <w:color w:val="auto"/>
              </w:rPr>
              <w:t>41,637</w:t>
            </w:r>
          </w:p>
        </w:tc>
        <w:tc>
          <w:tcPr>
            <w:tcW w:w="1060" w:type="dxa"/>
            <w:vAlign w:val="bottom"/>
            <w:gridSpan w:val="3"/>
          </w:tcPr>
          <w:p>
            <w:pPr>
              <w:jc w:val="right"/>
              <w:ind w:right="160"/>
              <w:spacing w:after="0"/>
              <w:rPr>
                <w:sz w:val="20"/>
                <w:szCs w:val="20"/>
                <w:color w:val="auto"/>
              </w:rPr>
            </w:pPr>
            <w:r>
              <w:rPr>
                <w:rFonts w:ascii="Arial" w:cs="Arial" w:eastAsia="Arial" w:hAnsi="Arial"/>
                <w:sz w:val="22"/>
                <w:szCs w:val="22"/>
                <w:color w:val="auto"/>
              </w:rPr>
              <w:t>19,678</w:t>
            </w:r>
          </w:p>
        </w:tc>
        <w:tc>
          <w:tcPr>
            <w:tcW w:w="720" w:type="dxa"/>
            <w:vAlign w:val="bottom"/>
          </w:tcPr>
          <w:p>
            <w:pPr>
              <w:jc w:val="right"/>
              <w:spacing w:after="0"/>
              <w:rPr>
                <w:sz w:val="20"/>
                <w:szCs w:val="20"/>
                <w:color w:val="auto"/>
              </w:rPr>
            </w:pPr>
            <w:r>
              <w:rPr>
                <w:rFonts w:ascii="Arial" w:cs="Arial" w:eastAsia="Arial" w:hAnsi="Arial"/>
                <w:sz w:val="22"/>
                <w:szCs w:val="22"/>
                <w:color w:val="auto"/>
              </w:rPr>
              <w:t>29,598</w:t>
            </w:r>
          </w:p>
        </w:tc>
        <w:tc>
          <w:tcPr>
            <w:tcW w:w="920" w:type="dxa"/>
            <w:vAlign w:val="bottom"/>
            <w:gridSpan w:val="2"/>
          </w:tcPr>
          <w:p>
            <w:pPr>
              <w:jc w:val="right"/>
              <w:spacing w:after="0"/>
              <w:rPr>
                <w:sz w:val="20"/>
                <w:szCs w:val="20"/>
                <w:color w:val="auto"/>
              </w:rPr>
            </w:pPr>
            <w:r>
              <w:rPr>
                <w:rFonts w:ascii="Arial" w:cs="Arial" w:eastAsia="Arial" w:hAnsi="Arial"/>
                <w:sz w:val="22"/>
                <w:szCs w:val="22"/>
                <w:color w:val="auto"/>
              </w:rPr>
              <w:t>33,138</w:t>
            </w:r>
          </w:p>
        </w:tc>
        <w:tc>
          <w:tcPr>
            <w:tcW w:w="1220" w:type="dxa"/>
            <w:vAlign w:val="bottom"/>
            <w:gridSpan w:val="3"/>
          </w:tcPr>
          <w:p>
            <w:pPr>
              <w:jc w:val="right"/>
              <w:ind w:right="180"/>
              <w:spacing w:after="0"/>
              <w:rPr>
                <w:sz w:val="20"/>
                <w:szCs w:val="20"/>
                <w:color w:val="auto"/>
              </w:rPr>
            </w:pPr>
            <w:r>
              <w:rPr>
                <w:rFonts w:ascii="Arial" w:cs="Arial" w:eastAsia="Arial" w:hAnsi="Arial"/>
                <w:sz w:val="22"/>
                <w:szCs w:val="22"/>
                <w:color w:val="auto"/>
              </w:rPr>
              <w:t>83,232</w:t>
            </w:r>
          </w:p>
        </w:tc>
        <w:tc>
          <w:tcPr>
            <w:tcW w:w="1180" w:type="dxa"/>
            <w:vAlign w:val="bottom"/>
            <w:gridSpan w:val="2"/>
          </w:tcPr>
          <w:p>
            <w:pPr>
              <w:jc w:val="right"/>
              <w:ind w:right="120"/>
              <w:spacing w:after="0"/>
              <w:rPr>
                <w:sz w:val="20"/>
                <w:szCs w:val="20"/>
                <w:color w:val="auto"/>
              </w:rPr>
            </w:pPr>
            <w:r>
              <w:rPr>
                <w:rFonts w:ascii="Arial" w:cs="Arial" w:eastAsia="Arial" w:hAnsi="Arial"/>
                <w:sz w:val="22"/>
                <w:szCs w:val="22"/>
                <w:color w:val="auto"/>
              </w:rPr>
              <w:t>(165,646)</w:t>
            </w:r>
          </w:p>
        </w:tc>
        <w:tc>
          <w:tcPr>
            <w:tcW w:w="920" w:type="dxa"/>
            <w:vAlign w:val="bottom"/>
          </w:tcPr>
          <w:p>
            <w:pPr>
              <w:jc w:val="right"/>
              <w:spacing w:after="0"/>
              <w:rPr>
                <w:sz w:val="20"/>
                <w:szCs w:val="20"/>
                <w:color w:val="auto"/>
              </w:rPr>
            </w:pPr>
            <w:r>
              <w:rPr>
                <w:rFonts w:ascii="Arial" w:cs="Arial" w:eastAsia="Arial" w:hAnsi="Arial"/>
                <w:sz w:val="22"/>
                <w:szCs w:val="22"/>
                <w:color w:val="auto"/>
              </w:rPr>
              <w:t>41,637</w:t>
            </w:r>
          </w:p>
        </w:tc>
        <w:tc>
          <w:tcPr>
            <w:tcW w:w="0" w:type="dxa"/>
            <w:vAlign w:val="bottom"/>
          </w:tcPr>
          <w:p>
            <w:pPr>
              <w:spacing w:after="0"/>
              <w:rPr>
                <w:sz w:val="1"/>
                <w:szCs w:val="1"/>
                <w:color w:val="auto"/>
              </w:rPr>
            </w:pPr>
          </w:p>
        </w:tc>
      </w:tr>
      <w:tr>
        <w:trPr>
          <w:trHeight w:val="98"/>
        </w:trPr>
        <w:tc>
          <w:tcPr>
            <w:tcW w:w="334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55"/>
        </w:trPr>
        <w:tc>
          <w:tcPr>
            <w:tcW w:w="3340" w:type="dxa"/>
            <w:vAlign w:val="bottom"/>
          </w:tcPr>
          <w:p>
            <w:pPr>
              <w:ind w:left="280"/>
              <w:spacing w:after="0"/>
              <w:rPr>
                <w:sz w:val="20"/>
                <w:szCs w:val="20"/>
                <w:color w:val="auto"/>
              </w:rPr>
            </w:pPr>
            <w:r>
              <w:rPr>
                <w:rFonts w:ascii="Arial" w:cs="Arial" w:eastAsia="Arial" w:hAnsi="Arial"/>
                <w:sz w:val="22"/>
                <w:szCs w:val="22"/>
                <w:color w:val="auto"/>
              </w:rPr>
              <w:t>Total Stockholders' Equity</w:t>
            </w:r>
          </w:p>
        </w:tc>
        <w:tc>
          <w:tcPr>
            <w:tcW w:w="720" w:type="dxa"/>
            <w:vAlign w:val="bottom"/>
          </w:tcPr>
          <w:p>
            <w:pPr>
              <w:jc w:val="right"/>
              <w:spacing w:after="0"/>
              <w:rPr>
                <w:sz w:val="20"/>
                <w:szCs w:val="20"/>
                <w:color w:val="auto"/>
              </w:rPr>
            </w:pPr>
            <w:r>
              <w:rPr>
                <w:rFonts w:ascii="Arial" w:cs="Arial" w:eastAsia="Arial" w:hAnsi="Arial"/>
                <w:sz w:val="22"/>
                <w:szCs w:val="22"/>
                <w:color w:val="auto"/>
              </w:rPr>
              <w:t>41,662</w:t>
            </w:r>
          </w:p>
        </w:tc>
        <w:tc>
          <w:tcPr>
            <w:tcW w:w="1060" w:type="dxa"/>
            <w:vAlign w:val="bottom"/>
            <w:gridSpan w:val="3"/>
          </w:tcPr>
          <w:p>
            <w:pPr>
              <w:jc w:val="right"/>
              <w:ind w:right="160"/>
              <w:spacing w:after="0"/>
              <w:rPr>
                <w:sz w:val="20"/>
                <w:szCs w:val="20"/>
                <w:color w:val="auto"/>
              </w:rPr>
            </w:pPr>
            <w:r>
              <w:rPr>
                <w:rFonts w:ascii="Arial" w:cs="Arial" w:eastAsia="Arial" w:hAnsi="Arial"/>
                <w:sz w:val="22"/>
                <w:szCs w:val="22"/>
                <w:color w:val="auto"/>
              </w:rPr>
              <w:t>19,678</w:t>
            </w:r>
          </w:p>
        </w:tc>
        <w:tc>
          <w:tcPr>
            <w:tcW w:w="720" w:type="dxa"/>
            <w:vAlign w:val="bottom"/>
          </w:tcPr>
          <w:p>
            <w:pPr>
              <w:jc w:val="right"/>
              <w:spacing w:after="0"/>
              <w:rPr>
                <w:sz w:val="20"/>
                <w:szCs w:val="20"/>
                <w:color w:val="auto"/>
              </w:rPr>
            </w:pPr>
            <w:r>
              <w:rPr>
                <w:rFonts w:ascii="Arial" w:cs="Arial" w:eastAsia="Arial" w:hAnsi="Arial"/>
                <w:sz w:val="22"/>
                <w:szCs w:val="22"/>
                <w:color w:val="auto"/>
              </w:rPr>
              <w:t>29,598</w:t>
            </w:r>
          </w:p>
        </w:tc>
        <w:tc>
          <w:tcPr>
            <w:tcW w:w="920" w:type="dxa"/>
            <w:vAlign w:val="bottom"/>
            <w:gridSpan w:val="2"/>
          </w:tcPr>
          <w:p>
            <w:pPr>
              <w:jc w:val="right"/>
              <w:spacing w:after="0"/>
              <w:rPr>
                <w:sz w:val="20"/>
                <w:szCs w:val="20"/>
                <w:color w:val="auto"/>
              </w:rPr>
            </w:pPr>
            <w:r>
              <w:rPr>
                <w:rFonts w:ascii="Arial" w:cs="Arial" w:eastAsia="Arial" w:hAnsi="Arial"/>
                <w:sz w:val="22"/>
                <w:szCs w:val="22"/>
                <w:color w:val="auto"/>
              </w:rPr>
              <w:t>33,138</w:t>
            </w:r>
          </w:p>
        </w:tc>
        <w:tc>
          <w:tcPr>
            <w:tcW w:w="1220" w:type="dxa"/>
            <w:vAlign w:val="bottom"/>
            <w:gridSpan w:val="3"/>
          </w:tcPr>
          <w:p>
            <w:pPr>
              <w:jc w:val="right"/>
              <w:ind w:right="180"/>
              <w:spacing w:after="0"/>
              <w:rPr>
                <w:sz w:val="20"/>
                <w:szCs w:val="20"/>
                <w:color w:val="auto"/>
              </w:rPr>
            </w:pPr>
            <w:r>
              <w:rPr>
                <w:rFonts w:ascii="Arial" w:cs="Arial" w:eastAsia="Arial" w:hAnsi="Arial"/>
                <w:sz w:val="22"/>
                <w:szCs w:val="22"/>
                <w:color w:val="auto"/>
              </w:rPr>
              <w:t>83,232</w:t>
            </w:r>
          </w:p>
        </w:tc>
        <w:tc>
          <w:tcPr>
            <w:tcW w:w="1180" w:type="dxa"/>
            <w:vAlign w:val="bottom"/>
            <w:gridSpan w:val="2"/>
          </w:tcPr>
          <w:p>
            <w:pPr>
              <w:jc w:val="right"/>
              <w:ind w:right="120"/>
              <w:spacing w:after="0"/>
              <w:rPr>
                <w:sz w:val="20"/>
                <w:szCs w:val="20"/>
                <w:color w:val="auto"/>
              </w:rPr>
            </w:pPr>
            <w:r>
              <w:rPr>
                <w:rFonts w:ascii="Arial" w:cs="Arial" w:eastAsia="Arial" w:hAnsi="Arial"/>
                <w:sz w:val="22"/>
                <w:szCs w:val="22"/>
                <w:color w:val="auto"/>
              </w:rPr>
              <w:t>(165,646)</w:t>
            </w:r>
          </w:p>
        </w:tc>
        <w:tc>
          <w:tcPr>
            <w:tcW w:w="920" w:type="dxa"/>
            <w:vAlign w:val="bottom"/>
          </w:tcPr>
          <w:p>
            <w:pPr>
              <w:jc w:val="right"/>
              <w:spacing w:after="0"/>
              <w:rPr>
                <w:sz w:val="20"/>
                <w:szCs w:val="20"/>
                <w:color w:val="auto"/>
              </w:rPr>
            </w:pPr>
            <w:r>
              <w:rPr>
                <w:rFonts w:ascii="Arial" w:cs="Arial" w:eastAsia="Arial" w:hAnsi="Arial"/>
                <w:sz w:val="22"/>
                <w:szCs w:val="22"/>
                <w:color w:val="auto"/>
              </w:rPr>
              <w:t>41,662</w:t>
            </w:r>
          </w:p>
        </w:tc>
        <w:tc>
          <w:tcPr>
            <w:tcW w:w="0" w:type="dxa"/>
            <w:vAlign w:val="bottom"/>
          </w:tcPr>
          <w:p>
            <w:pPr>
              <w:spacing w:after="0"/>
              <w:rPr>
                <w:sz w:val="1"/>
                <w:szCs w:val="1"/>
                <w:color w:val="auto"/>
              </w:rPr>
            </w:pPr>
          </w:p>
        </w:tc>
      </w:tr>
      <w:tr>
        <w:trPr>
          <w:trHeight w:val="98"/>
        </w:trPr>
        <w:tc>
          <w:tcPr>
            <w:tcW w:w="3340" w:type="dxa"/>
            <w:vAlign w:val="bottom"/>
            <w:vMerge w:val="restart"/>
          </w:tcPr>
          <w:p>
            <w:pPr>
              <w:ind w:left="280"/>
              <w:spacing w:after="0"/>
              <w:rPr>
                <w:sz w:val="20"/>
                <w:szCs w:val="20"/>
                <w:color w:val="auto"/>
              </w:rPr>
            </w:pPr>
            <w:r>
              <w:rPr>
                <w:rFonts w:ascii="Arial" w:cs="Arial" w:eastAsia="Arial" w:hAnsi="Arial"/>
                <w:sz w:val="22"/>
                <w:szCs w:val="22"/>
                <w:color w:val="auto"/>
              </w:rPr>
              <w:t>Total Liabilities and</w:t>
            </w:r>
          </w:p>
        </w:tc>
        <w:tc>
          <w:tcPr>
            <w:tcW w:w="7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566"/>
        </w:trPr>
        <w:tc>
          <w:tcPr>
            <w:tcW w:w="3340" w:type="dxa"/>
            <w:vAlign w:val="bottom"/>
            <w:vMerge w:val="continue"/>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Arial" w:cs="Arial" w:eastAsia="Arial" w:hAnsi="Arial"/>
                <w:sz w:val="22"/>
                <w:szCs w:val="22"/>
                <w:color w:val="auto"/>
              </w:rPr>
              <w:t>Stockholders'</w:t>
            </w: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3340" w:type="dxa"/>
            <w:vAlign w:val="bottom"/>
          </w:tcPr>
          <w:p>
            <w:pPr>
              <w:ind w:left="440"/>
              <w:spacing w:after="0"/>
              <w:rPr>
                <w:sz w:val="20"/>
                <w:szCs w:val="20"/>
                <w:color w:val="auto"/>
              </w:rPr>
            </w:pPr>
            <w:r>
              <w:rPr>
                <w:rFonts w:ascii="Arial" w:cs="Arial" w:eastAsia="Arial" w:hAnsi="Arial"/>
                <w:sz w:val="22"/>
                <w:szCs w:val="22"/>
                <w:color w:val="auto"/>
              </w:rPr>
              <w:t>Equity</w:t>
            </w:r>
          </w:p>
        </w:tc>
        <w:tc>
          <w:tcPr>
            <w:tcW w:w="720" w:type="dxa"/>
            <w:vAlign w:val="bottom"/>
          </w:tcPr>
          <w:p>
            <w:pPr>
              <w:jc w:val="right"/>
              <w:spacing w:after="0"/>
              <w:rPr>
                <w:sz w:val="20"/>
                <w:szCs w:val="20"/>
                <w:color w:val="auto"/>
              </w:rPr>
            </w:pPr>
            <w:r>
              <w:rPr>
                <w:rFonts w:ascii="Arial" w:cs="Arial" w:eastAsia="Arial" w:hAnsi="Arial"/>
                <w:sz w:val="22"/>
                <w:szCs w:val="22"/>
                <w:color w:val="auto"/>
                <w:w w:val="87"/>
              </w:rPr>
              <w:t>$46,427</w:t>
            </w:r>
          </w:p>
        </w:tc>
        <w:tc>
          <w:tcPr>
            <w:tcW w:w="1060" w:type="dxa"/>
            <w:vAlign w:val="bottom"/>
            <w:gridSpan w:val="3"/>
          </w:tcPr>
          <w:p>
            <w:pPr>
              <w:jc w:val="right"/>
              <w:ind w:right="160"/>
              <w:spacing w:after="0"/>
              <w:rPr>
                <w:sz w:val="20"/>
                <w:szCs w:val="20"/>
                <w:color w:val="auto"/>
              </w:rPr>
            </w:pPr>
            <w:r>
              <w:rPr>
                <w:rFonts w:ascii="Arial" w:cs="Arial" w:eastAsia="Arial" w:hAnsi="Arial"/>
                <w:sz w:val="22"/>
                <w:szCs w:val="22"/>
                <w:color w:val="auto"/>
              </w:rPr>
              <w:t>$26,686</w:t>
            </w:r>
          </w:p>
        </w:tc>
        <w:tc>
          <w:tcPr>
            <w:tcW w:w="720" w:type="dxa"/>
            <w:vAlign w:val="bottom"/>
          </w:tcPr>
          <w:p>
            <w:pPr>
              <w:jc w:val="right"/>
              <w:spacing w:after="0"/>
              <w:rPr>
                <w:sz w:val="20"/>
                <w:szCs w:val="20"/>
                <w:color w:val="auto"/>
              </w:rPr>
            </w:pPr>
            <w:r>
              <w:rPr>
                <w:rFonts w:ascii="Arial" w:cs="Arial" w:eastAsia="Arial" w:hAnsi="Arial"/>
                <w:sz w:val="22"/>
                <w:szCs w:val="22"/>
                <w:color w:val="auto"/>
                <w:w w:val="87"/>
              </w:rPr>
              <w:t>$33,172</w:t>
            </w:r>
          </w:p>
        </w:tc>
        <w:tc>
          <w:tcPr>
            <w:tcW w:w="920" w:type="dxa"/>
            <w:vAlign w:val="bottom"/>
            <w:gridSpan w:val="2"/>
          </w:tcPr>
          <w:p>
            <w:pPr>
              <w:jc w:val="right"/>
              <w:spacing w:after="0"/>
              <w:rPr>
                <w:sz w:val="20"/>
                <w:szCs w:val="20"/>
                <w:color w:val="auto"/>
              </w:rPr>
            </w:pPr>
            <w:r>
              <w:rPr>
                <w:rFonts w:ascii="Arial" w:cs="Arial" w:eastAsia="Arial" w:hAnsi="Arial"/>
                <w:sz w:val="22"/>
                <w:szCs w:val="22"/>
                <w:color w:val="auto"/>
              </w:rPr>
              <w:t>$39,919</w:t>
            </w:r>
          </w:p>
        </w:tc>
        <w:tc>
          <w:tcPr>
            <w:tcW w:w="1220" w:type="dxa"/>
            <w:vAlign w:val="bottom"/>
            <w:gridSpan w:val="3"/>
          </w:tcPr>
          <w:p>
            <w:pPr>
              <w:jc w:val="right"/>
              <w:ind w:right="180"/>
              <w:spacing w:after="0"/>
              <w:rPr>
                <w:sz w:val="20"/>
                <w:szCs w:val="20"/>
                <w:color w:val="auto"/>
              </w:rPr>
            </w:pPr>
            <w:r>
              <w:rPr>
                <w:rFonts w:ascii="Arial" w:cs="Arial" w:eastAsia="Arial" w:hAnsi="Arial"/>
                <w:sz w:val="22"/>
                <w:szCs w:val="22"/>
                <w:color w:val="auto"/>
              </w:rPr>
              <w:t>$128,601</w:t>
            </w:r>
          </w:p>
        </w:tc>
        <w:tc>
          <w:tcPr>
            <w:tcW w:w="1180" w:type="dxa"/>
            <w:vAlign w:val="bottom"/>
            <w:gridSpan w:val="2"/>
          </w:tcPr>
          <w:p>
            <w:pPr>
              <w:jc w:val="right"/>
              <w:ind w:right="120"/>
              <w:spacing w:after="0"/>
              <w:rPr>
                <w:sz w:val="20"/>
                <w:szCs w:val="20"/>
                <w:color w:val="auto"/>
              </w:rPr>
            </w:pPr>
            <w:r>
              <w:rPr>
                <w:rFonts w:ascii="Arial" w:cs="Arial" w:eastAsia="Arial" w:hAnsi="Arial"/>
                <w:sz w:val="22"/>
                <w:szCs w:val="22"/>
                <w:color w:val="auto"/>
                <w:w w:val="97"/>
              </w:rPr>
              <w:t>($165,646)</w:t>
            </w:r>
          </w:p>
        </w:tc>
        <w:tc>
          <w:tcPr>
            <w:tcW w:w="920" w:type="dxa"/>
            <w:vAlign w:val="bottom"/>
          </w:tcPr>
          <w:p>
            <w:pPr>
              <w:jc w:val="right"/>
              <w:spacing w:after="0"/>
              <w:rPr>
                <w:sz w:val="20"/>
                <w:szCs w:val="20"/>
                <w:color w:val="auto"/>
              </w:rPr>
            </w:pPr>
            <w:r>
              <w:rPr>
                <w:rFonts w:ascii="Arial" w:cs="Arial" w:eastAsia="Arial" w:hAnsi="Arial"/>
                <w:sz w:val="22"/>
                <w:szCs w:val="22"/>
                <w:color w:val="auto"/>
                <w:w w:val="98"/>
              </w:rPr>
              <w:t>$109,159</w:t>
            </w:r>
          </w:p>
        </w:tc>
        <w:tc>
          <w:tcPr>
            <w:tcW w:w="0" w:type="dxa"/>
            <w:vAlign w:val="bottom"/>
          </w:tcPr>
          <w:p>
            <w:pPr>
              <w:spacing w:after="0"/>
              <w:rPr>
                <w:sz w:val="1"/>
                <w:szCs w:val="1"/>
                <w:color w:val="auto"/>
              </w:rPr>
            </w:pPr>
          </w:p>
        </w:tc>
      </w:tr>
      <w:tr>
        <w:trPr>
          <w:trHeight w:val="108"/>
        </w:trPr>
        <w:tc>
          <w:tcPr>
            <w:tcW w:w="334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574"/>
        </w:trPr>
        <w:tc>
          <w:tcPr>
            <w:tcW w:w="3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22"/>
                <w:szCs w:val="22"/>
                <w:color w:val="auto"/>
              </w:rPr>
              <w:t>21</w:t>
            </w: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2567305</wp:posOffset>
            </wp:positionH>
            <wp:positionV relativeFrom="paragraph">
              <wp:posOffset>-378460</wp:posOffset>
            </wp:positionV>
            <wp:extent cx="1270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2121535</wp:posOffset>
            </wp:positionH>
            <wp:positionV relativeFrom="paragraph">
              <wp:posOffset>-378460</wp:posOffset>
            </wp:positionV>
            <wp:extent cx="1270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3133090</wp:posOffset>
            </wp:positionH>
            <wp:positionV relativeFrom="paragraph">
              <wp:posOffset>-378460</wp:posOffset>
            </wp:positionV>
            <wp:extent cx="1270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-378460</wp:posOffset>
            </wp:positionV>
            <wp:extent cx="1270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-378460</wp:posOffset>
            </wp:positionV>
            <wp:extent cx="1270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3253105</wp:posOffset>
            </wp:positionH>
            <wp:positionV relativeFrom="paragraph">
              <wp:posOffset>-378460</wp:posOffset>
            </wp:positionV>
            <wp:extent cx="1270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-378460</wp:posOffset>
            </wp:positionV>
            <wp:extent cx="1270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-378460</wp:posOffset>
            </wp:positionV>
            <wp:extent cx="1270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-378460</wp:posOffset>
            </wp:positionV>
            <wp:extent cx="1270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-378460</wp:posOffset>
            </wp:positionV>
            <wp:extent cx="1270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-378460</wp:posOffset>
            </wp:positionV>
            <wp:extent cx="1270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-378460</wp:posOffset>
            </wp:positionV>
            <wp:extent cx="1270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-378460</wp:posOffset>
            </wp:positionV>
            <wp:extent cx="1270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-378460</wp:posOffset>
            </wp:positionV>
            <wp:extent cx="1270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130810</wp:posOffset>
            </wp:positionV>
            <wp:extent cx="7263765"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94" w:lineRule="exact"/>
        <w:rPr>
          <w:sz w:val="20"/>
          <w:szCs w:val="20"/>
          <w:color w:val="auto"/>
        </w:rPr>
      </w:pPr>
    </w:p>
    <w:p>
      <w:pPr>
        <w:jc w:val="center"/>
        <w:ind w:right="-1160"/>
        <w:spacing w:after="0"/>
        <w:rPr>
          <w:sz w:val="20"/>
          <w:szCs w:val="20"/>
          <w:color w:val="auto"/>
        </w:rPr>
      </w:pPr>
      <w:r>
        <w:rPr>
          <w:rFonts w:ascii="Arial" w:cs="Arial" w:eastAsia="Arial" w:hAnsi="Arial"/>
          <w:sz w:val="22"/>
          <w:szCs w:val="22"/>
          <w:color w:val="auto"/>
        </w:rPr>
        <w:t>COMCAST CORPORATION AND SUBSIDIARIES</w:t>
      </w:r>
    </w:p>
    <w:p>
      <w:pPr>
        <w:jc w:val="center"/>
        <w:ind w:right="-1160"/>
        <w:spacing w:after="0" w:line="238" w:lineRule="auto"/>
        <w:rPr>
          <w:sz w:val="20"/>
          <w:szCs w:val="20"/>
          <w:color w:val="auto"/>
        </w:rPr>
      </w:pPr>
      <w:r>
        <w:rPr>
          <w:rFonts w:ascii="Arial" w:cs="Arial" w:eastAsia="Arial" w:hAnsi="Arial"/>
          <w:sz w:val="22"/>
          <w:szCs w:val="22"/>
          <w:color w:val="auto"/>
        </w:rPr>
        <w:t>FORM 10-Q</w:t>
      </w:r>
    </w:p>
    <w:p>
      <w:pPr>
        <w:jc w:val="center"/>
        <w:ind w:right="-1160"/>
        <w:spacing w:after="0" w:line="230" w:lineRule="auto"/>
        <w:rPr>
          <w:sz w:val="20"/>
          <w:szCs w:val="20"/>
          <w:color w:val="auto"/>
        </w:rPr>
      </w:pPr>
      <w:r>
        <w:rPr>
          <w:rFonts w:ascii="Arial" w:cs="Arial" w:eastAsia="Arial" w:hAnsi="Arial"/>
          <w:sz w:val="22"/>
          <w:szCs w:val="22"/>
          <w:color w:val="auto"/>
        </w:rPr>
        <w:t>QUARTER ENDED JUNE 30, 2004</w:t>
      </w:r>
    </w:p>
    <w:p>
      <w:pPr>
        <w:jc w:val="center"/>
        <w:ind w:right="-1160"/>
        <w:spacing w:after="0" w:line="231" w:lineRule="auto"/>
        <w:rPr>
          <w:sz w:val="20"/>
          <w:szCs w:val="20"/>
          <w:color w:val="auto"/>
        </w:rPr>
      </w:pPr>
      <w:r>
        <w:rPr>
          <w:rFonts w:ascii="Arial" w:cs="Arial" w:eastAsia="Arial" w:hAnsi="Arial"/>
          <w:sz w:val="22"/>
          <w:szCs w:val="22"/>
          <w:color w:val="auto"/>
        </w:rPr>
        <w:t>NOTES TO CONDENSED CONSOLIDATED FINANCIAL STATEMENTS - CONTINUED</w:t>
      </w:r>
    </w:p>
    <w:p>
      <w:pPr>
        <w:spacing w:after="0" w:line="1" w:lineRule="exact"/>
        <w:rPr>
          <w:sz w:val="20"/>
          <w:szCs w:val="20"/>
          <w:color w:val="auto"/>
        </w:rPr>
      </w:pPr>
    </w:p>
    <w:p>
      <w:pPr>
        <w:jc w:val="center"/>
        <w:ind w:right="-1200"/>
        <w:spacing w:after="0"/>
        <w:rPr>
          <w:sz w:val="20"/>
          <w:szCs w:val="20"/>
          <w:color w:val="auto"/>
        </w:rPr>
      </w:pPr>
      <w:r>
        <w:rPr>
          <w:rFonts w:ascii="Arial" w:cs="Arial" w:eastAsia="Arial" w:hAnsi="Arial"/>
          <w:sz w:val="22"/>
          <w:szCs w:val="22"/>
          <w:color w:val="auto"/>
        </w:rPr>
        <w:t>(Unaudited)</w:t>
      </w:r>
    </w:p>
    <w:p>
      <w:pPr>
        <w:spacing w:after="0" w:line="188"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Comcast Corporation</w:t>
      </w:r>
    </w:p>
    <w:p>
      <w:pPr>
        <w:jc w:val="center"/>
        <w:ind w:right="-60"/>
        <w:spacing w:after="0" w:line="238" w:lineRule="auto"/>
        <w:rPr>
          <w:sz w:val="20"/>
          <w:szCs w:val="20"/>
          <w:color w:val="auto"/>
        </w:rPr>
      </w:pPr>
      <w:r>
        <w:rPr>
          <w:rFonts w:ascii="Arial" w:cs="Arial" w:eastAsia="Arial" w:hAnsi="Arial"/>
          <w:sz w:val="22"/>
          <w:szCs w:val="22"/>
          <w:color w:val="auto"/>
        </w:rPr>
        <w:t>Condensed Consolidating Statement of Operations</w:t>
      </w:r>
    </w:p>
    <w:p>
      <w:pPr>
        <w:jc w:val="center"/>
        <w:ind w:right="-60"/>
        <w:spacing w:after="0"/>
        <w:rPr>
          <w:sz w:val="20"/>
          <w:szCs w:val="20"/>
          <w:color w:val="auto"/>
        </w:rPr>
      </w:pPr>
      <w:r>
        <w:rPr>
          <w:rFonts w:ascii="Arial" w:cs="Arial" w:eastAsia="Arial" w:hAnsi="Arial"/>
          <w:sz w:val="22"/>
          <w:szCs w:val="22"/>
          <w:color w:val="auto"/>
        </w:rPr>
        <w:t>For the Three Months Ended June 30, 2004</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Elimination</w:t>
            </w: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8"/>
                <w:szCs w:val="18"/>
                <w:color w:val="auto"/>
                <w:w w:val="87"/>
              </w:rPr>
              <w:t>Combined</w:t>
            </w:r>
          </w:p>
        </w:tc>
        <w:tc>
          <w:tcPr>
            <w:tcW w:w="1060" w:type="dxa"/>
            <w:vAlign w:val="bottom"/>
            <w:gridSpan w:val="2"/>
          </w:tcPr>
          <w:p>
            <w:pPr>
              <w:jc w:val="center"/>
              <w:ind w:right="180"/>
              <w:spacing w:after="0"/>
              <w:rPr>
                <w:sz w:val="20"/>
                <w:szCs w:val="20"/>
                <w:color w:val="auto"/>
              </w:rPr>
            </w:pPr>
            <w:r>
              <w:rPr>
                <w:rFonts w:ascii="Arial" w:cs="Arial" w:eastAsia="Arial" w:hAnsi="Arial"/>
                <w:sz w:val="18"/>
                <w:szCs w:val="18"/>
                <w:color w:val="auto"/>
                <w:w w:val="92"/>
              </w:rPr>
              <w:t>Non-</w:t>
            </w: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color w:val="auto"/>
                <w:w w:val="86"/>
              </w:rPr>
              <w:t>and</w:t>
            </w:r>
          </w:p>
        </w:tc>
        <w:tc>
          <w:tcPr>
            <w:tcW w:w="1000" w:type="dxa"/>
            <w:vAlign w:val="bottom"/>
            <w:gridSpan w:val="2"/>
          </w:tcPr>
          <w:p>
            <w:pPr>
              <w:jc w:val="center"/>
              <w:ind w:right="80"/>
              <w:spacing w:after="0"/>
              <w:rPr>
                <w:sz w:val="20"/>
                <w:szCs w:val="20"/>
                <w:color w:val="auto"/>
              </w:rPr>
            </w:pPr>
            <w:r>
              <w:rPr>
                <w:rFonts w:ascii="Arial" w:cs="Arial" w:eastAsia="Arial" w:hAnsi="Arial"/>
                <w:sz w:val="18"/>
                <w:szCs w:val="18"/>
                <w:color w:val="auto"/>
                <w:w w:val="87"/>
              </w:rPr>
              <w:t>Consolidated</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18"/>
                <w:szCs w:val="18"/>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8"/>
                <w:szCs w:val="18"/>
                <w:color w:val="auto"/>
                <w:w w:val="87"/>
              </w:rPr>
              <w:t>Comcast</w:t>
            </w:r>
          </w:p>
        </w:tc>
        <w:tc>
          <w:tcPr>
            <w:tcW w:w="88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CCCL</w:t>
            </w:r>
          </w:p>
        </w:tc>
        <w:tc>
          <w:tcPr>
            <w:tcW w:w="88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CCCH</w:t>
            </w:r>
          </w:p>
        </w:tc>
        <w:tc>
          <w:tcPr>
            <w:tcW w:w="920" w:type="dxa"/>
            <w:vAlign w:val="bottom"/>
            <w:gridSpan w:val="2"/>
          </w:tcPr>
          <w:p>
            <w:pPr>
              <w:jc w:val="center"/>
              <w:ind w:right="200"/>
              <w:spacing w:after="0"/>
              <w:rPr>
                <w:sz w:val="20"/>
                <w:szCs w:val="20"/>
                <w:color w:val="auto"/>
              </w:rPr>
            </w:pPr>
            <w:r>
              <w:rPr>
                <w:rFonts w:ascii="Arial" w:cs="Arial" w:eastAsia="Arial" w:hAnsi="Arial"/>
                <w:sz w:val="18"/>
                <w:szCs w:val="18"/>
                <w:color w:val="auto"/>
                <w:w w:val="94"/>
              </w:rPr>
              <w:t>CCHMO</w:t>
            </w:r>
          </w:p>
        </w:tc>
        <w:tc>
          <w:tcPr>
            <w:tcW w:w="1060" w:type="dxa"/>
            <w:vAlign w:val="bottom"/>
            <w:gridSpan w:val="2"/>
          </w:tcPr>
          <w:p>
            <w:pPr>
              <w:jc w:val="center"/>
              <w:ind w:right="180"/>
              <w:spacing w:after="0"/>
              <w:rPr>
                <w:sz w:val="20"/>
                <w:szCs w:val="20"/>
                <w:color w:val="auto"/>
              </w:rPr>
            </w:pPr>
            <w:r>
              <w:rPr>
                <w:rFonts w:ascii="Arial" w:cs="Arial" w:eastAsia="Arial" w:hAnsi="Arial"/>
                <w:sz w:val="18"/>
                <w:szCs w:val="18"/>
                <w:color w:val="auto"/>
                <w:w w:val="88"/>
              </w:rPr>
              <w:t>Guarantor</w:t>
            </w: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Consolidation</w:t>
            </w:r>
          </w:p>
        </w:tc>
        <w:tc>
          <w:tcPr>
            <w:tcW w:w="100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Comcast</w:t>
            </w:r>
          </w:p>
        </w:tc>
        <w:tc>
          <w:tcPr>
            <w:tcW w:w="0" w:type="dxa"/>
            <w:vAlign w:val="bottom"/>
          </w:tcPr>
          <w:p>
            <w:pPr>
              <w:spacing w:after="0"/>
              <w:rPr>
                <w:sz w:val="1"/>
                <w:szCs w:val="1"/>
                <w:color w:val="auto"/>
              </w:rPr>
            </w:pPr>
          </w:p>
        </w:tc>
      </w:tr>
      <w:tr>
        <w:trPr>
          <w:trHeight w:val="222"/>
        </w:trPr>
        <w:tc>
          <w:tcPr>
            <w:tcW w:w="3340" w:type="dxa"/>
            <w:vAlign w:val="bottom"/>
          </w:tcPr>
          <w:p>
            <w:pPr>
              <w:spacing w:after="0"/>
              <w:rPr>
                <w:sz w:val="19"/>
                <w:szCs w:val="19"/>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8"/>
                <w:szCs w:val="18"/>
                <w:color w:val="auto"/>
                <w:w w:val="82"/>
              </w:rPr>
              <w:t>Parent</w:t>
            </w:r>
          </w:p>
        </w:tc>
        <w:tc>
          <w:tcPr>
            <w:tcW w:w="880" w:type="dxa"/>
            <w:vAlign w:val="bottom"/>
            <w:gridSpan w:val="2"/>
          </w:tcPr>
          <w:p>
            <w:pPr>
              <w:jc w:val="center"/>
              <w:ind w:right="200"/>
              <w:spacing w:after="0"/>
              <w:rPr>
                <w:sz w:val="20"/>
                <w:szCs w:val="20"/>
                <w:color w:val="auto"/>
              </w:rPr>
            </w:pPr>
            <w:r>
              <w:rPr>
                <w:rFonts w:ascii="Arial" w:cs="Arial" w:eastAsia="Arial" w:hAnsi="Arial"/>
                <w:sz w:val="18"/>
                <w:szCs w:val="18"/>
                <w:color w:val="auto"/>
                <w:w w:val="82"/>
              </w:rPr>
              <w:t>Parent</w:t>
            </w:r>
          </w:p>
        </w:tc>
        <w:tc>
          <w:tcPr>
            <w:tcW w:w="880" w:type="dxa"/>
            <w:vAlign w:val="bottom"/>
            <w:gridSpan w:val="2"/>
          </w:tcPr>
          <w:p>
            <w:pPr>
              <w:jc w:val="center"/>
              <w:ind w:right="200"/>
              <w:spacing w:after="0"/>
              <w:rPr>
                <w:sz w:val="20"/>
                <w:szCs w:val="20"/>
                <w:color w:val="auto"/>
              </w:rPr>
            </w:pPr>
            <w:r>
              <w:rPr>
                <w:rFonts w:ascii="Arial" w:cs="Arial" w:eastAsia="Arial" w:hAnsi="Arial"/>
                <w:sz w:val="18"/>
                <w:szCs w:val="18"/>
                <w:color w:val="auto"/>
                <w:w w:val="82"/>
              </w:rPr>
              <w:t>Parent</w:t>
            </w:r>
          </w:p>
        </w:tc>
        <w:tc>
          <w:tcPr>
            <w:tcW w:w="920" w:type="dxa"/>
            <w:vAlign w:val="bottom"/>
            <w:gridSpan w:val="2"/>
          </w:tcPr>
          <w:p>
            <w:pPr>
              <w:jc w:val="center"/>
              <w:ind w:right="200"/>
              <w:spacing w:after="0"/>
              <w:rPr>
                <w:sz w:val="20"/>
                <w:szCs w:val="20"/>
                <w:color w:val="auto"/>
              </w:rPr>
            </w:pPr>
            <w:r>
              <w:rPr>
                <w:rFonts w:ascii="Arial" w:cs="Arial" w:eastAsia="Arial" w:hAnsi="Arial"/>
                <w:sz w:val="18"/>
                <w:szCs w:val="18"/>
                <w:color w:val="auto"/>
                <w:w w:val="83"/>
              </w:rPr>
              <w:t>Parents</w:t>
            </w:r>
          </w:p>
        </w:tc>
        <w:tc>
          <w:tcPr>
            <w:tcW w:w="1060" w:type="dxa"/>
            <w:vAlign w:val="bottom"/>
            <w:gridSpan w:val="2"/>
          </w:tcPr>
          <w:p>
            <w:pPr>
              <w:jc w:val="center"/>
              <w:ind w:right="200"/>
              <w:spacing w:after="0"/>
              <w:rPr>
                <w:sz w:val="20"/>
                <w:szCs w:val="20"/>
                <w:color w:val="auto"/>
              </w:rPr>
            </w:pPr>
            <w:r>
              <w:rPr>
                <w:rFonts w:ascii="Arial" w:cs="Arial" w:eastAsia="Arial" w:hAnsi="Arial"/>
                <w:sz w:val="18"/>
                <w:szCs w:val="18"/>
                <w:color w:val="auto"/>
                <w:w w:val="87"/>
              </w:rPr>
              <w:t>Subsidiaries</w:t>
            </w: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Adjustments</w:t>
            </w:r>
          </w:p>
        </w:tc>
        <w:tc>
          <w:tcPr>
            <w:tcW w:w="100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Corporation</w:t>
            </w:r>
          </w:p>
        </w:tc>
        <w:tc>
          <w:tcPr>
            <w:tcW w:w="0" w:type="dxa"/>
            <w:vAlign w:val="bottom"/>
          </w:tcPr>
          <w:p>
            <w:pPr>
              <w:spacing w:after="0"/>
              <w:rPr>
                <w:sz w:val="1"/>
                <w:szCs w:val="1"/>
                <w:color w:val="auto"/>
              </w:rPr>
            </w:pPr>
          </w:p>
        </w:tc>
      </w:tr>
      <w:tr>
        <w:trPr>
          <w:trHeight w:val="110"/>
        </w:trPr>
        <w:tc>
          <w:tcPr>
            <w:tcW w:w="3340" w:type="dxa"/>
            <w:vAlign w:val="bottom"/>
            <w:vMerge w:val="restart"/>
          </w:tcPr>
          <w:p>
            <w:pPr>
              <w:spacing w:after="0"/>
              <w:rPr>
                <w:sz w:val="20"/>
                <w:szCs w:val="20"/>
                <w:color w:val="auto"/>
              </w:rPr>
            </w:pPr>
            <w:r>
              <w:rPr>
                <w:rFonts w:ascii="Arial" w:cs="Arial" w:eastAsia="Arial" w:hAnsi="Arial"/>
                <w:sz w:val="22"/>
                <w:szCs w:val="22"/>
                <w:color w:val="auto"/>
              </w:rPr>
              <w:t>REVENUES</w:t>
            </w:r>
          </w:p>
        </w:tc>
        <w:tc>
          <w:tcPr>
            <w:tcW w:w="7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3"/>
        </w:trPr>
        <w:tc>
          <w:tcPr>
            <w:tcW w:w="334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180"/>
              <w:spacing w:after="0" w:line="243" w:lineRule="exact"/>
              <w:rPr>
                <w:sz w:val="20"/>
                <w:szCs w:val="20"/>
                <w:color w:val="auto"/>
              </w:rPr>
            </w:pPr>
            <w:r>
              <w:rPr>
                <w:rFonts w:ascii="Arial" w:cs="Arial" w:eastAsia="Arial" w:hAnsi="Arial"/>
                <w:sz w:val="22"/>
                <w:szCs w:val="22"/>
                <w:color w:val="auto"/>
              </w:rPr>
              <w:t>Service revenues</w:t>
            </w:r>
          </w:p>
        </w:tc>
        <w:tc>
          <w:tcPr>
            <w:tcW w:w="700" w:type="dxa"/>
            <w:vAlign w:val="bottom"/>
          </w:tcPr>
          <w:p>
            <w:pPr>
              <w:jc w:val="center"/>
              <w:spacing w:after="0" w:line="243" w:lineRule="exact"/>
              <w:rPr>
                <w:sz w:val="20"/>
                <w:szCs w:val="20"/>
                <w:color w:val="auto"/>
              </w:rPr>
            </w:pPr>
            <w:r>
              <w:rPr>
                <w:rFonts w:ascii="Arial" w:cs="Arial" w:eastAsia="Arial" w:hAnsi="Arial"/>
                <w:sz w:val="22"/>
                <w:szCs w:val="22"/>
                <w:color w:val="auto"/>
                <w:w w:val="81"/>
              </w:rPr>
              <w:t>$</w:t>
            </w:r>
          </w:p>
        </w:tc>
        <w:tc>
          <w:tcPr>
            <w:tcW w:w="200" w:type="dxa"/>
            <w:vAlign w:val="bottom"/>
          </w:tcPr>
          <w:p>
            <w:pPr>
              <w:spacing w:after="0"/>
              <w:rPr>
                <w:sz w:val="21"/>
                <w:szCs w:val="21"/>
                <w:color w:val="auto"/>
              </w:rPr>
            </w:pPr>
          </w:p>
        </w:tc>
        <w:tc>
          <w:tcPr>
            <w:tcW w:w="680" w:type="dxa"/>
            <w:vAlign w:val="bottom"/>
          </w:tcPr>
          <w:p>
            <w:pPr>
              <w:jc w:val="center"/>
              <w:spacing w:after="0" w:line="243" w:lineRule="exact"/>
              <w:rPr>
                <w:sz w:val="20"/>
                <w:szCs w:val="20"/>
                <w:color w:val="auto"/>
              </w:rPr>
            </w:pPr>
            <w:r>
              <w:rPr>
                <w:rFonts w:ascii="Arial" w:cs="Arial" w:eastAsia="Arial" w:hAnsi="Arial"/>
                <w:sz w:val="22"/>
                <w:szCs w:val="22"/>
                <w:color w:val="auto"/>
                <w:w w:val="97"/>
              </w:rPr>
              <w:t>$</w:t>
            </w:r>
          </w:p>
        </w:tc>
        <w:tc>
          <w:tcPr>
            <w:tcW w:w="200" w:type="dxa"/>
            <w:vAlign w:val="bottom"/>
          </w:tcPr>
          <w:p>
            <w:pPr>
              <w:spacing w:after="0"/>
              <w:rPr>
                <w:sz w:val="21"/>
                <w:szCs w:val="21"/>
                <w:color w:val="auto"/>
              </w:rPr>
            </w:pPr>
          </w:p>
        </w:tc>
        <w:tc>
          <w:tcPr>
            <w:tcW w:w="680" w:type="dxa"/>
            <w:vAlign w:val="bottom"/>
          </w:tcPr>
          <w:p>
            <w:pPr>
              <w:jc w:val="center"/>
              <w:spacing w:after="0" w:line="243" w:lineRule="exact"/>
              <w:rPr>
                <w:sz w:val="20"/>
                <w:szCs w:val="20"/>
                <w:color w:val="auto"/>
              </w:rPr>
            </w:pPr>
            <w:r>
              <w:rPr>
                <w:rFonts w:ascii="Arial" w:cs="Arial" w:eastAsia="Arial" w:hAnsi="Arial"/>
                <w:sz w:val="22"/>
                <w:szCs w:val="22"/>
                <w:color w:val="auto"/>
                <w:w w:val="97"/>
              </w:rPr>
              <w:t>$</w:t>
            </w:r>
          </w:p>
        </w:tc>
        <w:tc>
          <w:tcPr>
            <w:tcW w:w="200" w:type="dxa"/>
            <w:vAlign w:val="bottom"/>
          </w:tcPr>
          <w:p>
            <w:pPr>
              <w:spacing w:after="0"/>
              <w:rPr>
                <w:sz w:val="21"/>
                <w:szCs w:val="21"/>
                <w:color w:val="auto"/>
              </w:rPr>
            </w:pPr>
          </w:p>
        </w:tc>
        <w:tc>
          <w:tcPr>
            <w:tcW w:w="740" w:type="dxa"/>
            <w:vAlign w:val="bottom"/>
          </w:tcPr>
          <w:p>
            <w:pPr>
              <w:jc w:val="center"/>
              <w:spacing w:after="0" w:line="243" w:lineRule="exact"/>
              <w:rPr>
                <w:sz w:val="20"/>
                <w:szCs w:val="20"/>
                <w:color w:val="auto"/>
              </w:rPr>
            </w:pPr>
            <w:r>
              <w:rPr>
                <w:rFonts w:ascii="Arial" w:cs="Arial" w:eastAsia="Arial" w:hAnsi="Arial"/>
                <w:sz w:val="22"/>
                <w:szCs w:val="22"/>
                <w:color w:val="auto"/>
                <w:w w:val="97"/>
              </w:rPr>
              <w:t>$</w:t>
            </w:r>
          </w:p>
        </w:tc>
        <w:tc>
          <w:tcPr>
            <w:tcW w:w="180" w:type="dxa"/>
            <w:vAlign w:val="bottom"/>
          </w:tcPr>
          <w:p>
            <w:pPr>
              <w:spacing w:after="0"/>
              <w:rPr>
                <w:sz w:val="21"/>
                <w:szCs w:val="21"/>
                <w:color w:val="auto"/>
              </w:rPr>
            </w:pPr>
          </w:p>
        </w:tc>
        <w:tc>
          <w:tcPr>
            <w:tcW w:w="860" w:type="dxa"/>
            <w:vAlign w:val="bottom"/>
          </w:tcPr>
          <w:p>
            <w:pPr>
              <w:jc w:val="right"/>
              <w:spacing w:after="0" w:line="243" w:lineRule="exact"/>
              <w:rPr>
                <w:sz w:val="20"/>
                <w:szCs w:val="20"/>
                <w:color w:val="auto"/>
              </w:rPr>
            </w:pPr>
            <w:r>
              <w:rPr>
                <w:rFonts w:ascii="Arial" w:cs="Arial" w:eastAsia="Arial" w:hAnsi="Arial"/>
                <w:sz w:val="22"/>
                <w:szCs w:val="22"/>
                <w:color w:val="auto"/>
              </w:rPr>
              <w:t>$5,066</w:t>
            </w:r>
          </w:p>
        </w:tc>
        <w:tc>
          <w:tcPr>
            <w:tcW w:w="200" w:type="dxa"/>
            <w:vAlign w:val="bottom"/>
          </w:tcPr>
          <w:p>
            <w:pPr>
              <w:spacing w:after="0"/>
              <w:rPr>
                <w:sz w:val="21"/>
                <w:szCs w:val="21"/>
                <w:color w:val="auto"/>
              </w:rPr>
            </w:pPr>
          </w:p>
        </w:tc>
        <w:tc>
          <w:tcPr>
            <w:tcW w:w="980" w:type="dxa"/>
            <w:vAlign w:val="bottom"/>
          </w:tcPr>
          <w:p>
            <w:pPr>
              <w:jc w:val="center"/>
              <w:spacing w:after="0" w:line="243" w:lineRule="exact"/>
              <w:rPr>
                <w:sz w:val="20"/>
                <w:szCs w:val="20"/>
                <w:color w:val="auto"/>
              </w:rPr>
            </w:pPr>
            <w:r>
              <w:rPr>
                <w:rFonts w:ascii="Arial" w:cs="Arial" w:eastAsia="Arial" w:hAnsi="Arial"/>
                <w:sz w:val="22"/>
                <w:szCs w:val="22"/>
                <w:color w:val="auto"/>
                <w:w w:val="81"/>
              </w:rPr>
              <w:t>$</w:t>
            </w:r>
          </w:p>
        </w:tc>
        <w:tc>
          <w:tcPr>
            <w:tcW w:w="200" w:type="dxa"/>
            <w:vAlign w:val="bottom"/>
          </w:tcPr>
          <w:p>
            <w:pPr>
              <w:spacing w:after="0"/>
              <w:rPr>
                <w:sz w:val="21"/>
                <w:szCs w:val="21"/>
                <w:color w:val="auto"/>
              </w:rPr>
            </w:pPr>
          </w:p>
        </w:tc>
        <w:tc>
          <w:tcPr>
            <w:tcW w:w="1000" w:type="dxa"/>
            <w:vAlign w:val="bottom"/>
            <w:gridSpan w:val="2"/>
          </w:tcPr>
          <w:p>
            <w:pPr>
              <w:jc w:val="right"/>
              <w:ind w:right="80"/>
              <w:spacing w:after="0" w:line="243" w:lineRule="exact"/>
              <w:rPr>
                <w:sz w:val="20"/>
                <w:szCs w:val="20"/>
                <w:color w:val="auto"/>
              </w:rPr>
            </w:pPr>
            <w:r>
              <w:rPr>
                <w:rFonts w:ascii="Arial" w:cs="Arial" w:eastAsia="Arial" w:hAnsi="Arial"/>
                <w:sz w:val="22"/>
                <w:szCs w:val="22"/>
                <w:color w:val="auto"/>
              </w:rPr>
              <w:t>$5,066</w:t>
            </w:r>
          </w:p>
        </w:tc>
        <w:tc>
          <w:tcPr>
            <w:tcW w:w="0" w:type="dxa"/>
            <w:vAlign w:val="bottom"/>
          </w:tcPr>
          <w:p>
            <w:pPr>
              <w:spacing w:after="0"/>
              <w:rPr>
                <w:sz w:val="1"/>
                <w:szCs w:val="1"/>
                <w:color w:val="auto"/>
              </w:rPr>
            </w:pPr>
          </w:p>
        </w:tc>
      </w:tr>
      <w:tr>
        <w:trPr>
          <w:trHeight w:val="275"/>
        </w:trPr>
        <w:tc>
          <w:tcPr>
            <w:tcW w:w="3340" w:type="dxa"/>
            <w:vAlign w:val="bottom"/>
          </w:tcPr>
          <w:p>
            <w:pPr>
              <w:ind w:left="180"/>
              <w:spacing w:after="0"/>
              <w:rPr>
                <w:sz w:val="20"/>
                <w:szCs w:val="20"/>
                <w:color w:val="auto"/>
              </w:rPr>
            </w:pPr>
            <w:r>
              <w:rPr>
                <w:rFonts w:ascii="Arial" w:cs="Arial" w:eastAsia="Arial" w:hAnsi="Arial"/>
                <w:sz w:val="22"/>
                <w:szCs w:val="22"/>
                <w:color w:val="auto"/>
              </w:rPr>
              <w:t>Management fee revenue</w:t>
            </w:r>
          </w:p>
        </w:tc>
        <w:tc>
          <w:tcPr>
            <w:tcW w:w="700" w:type="dxa"/>
            <w:vAlign w:val="bottom"/>
          </w:tcPr>
          <w:p>
            <w:pPr>
              <w:jc w:val="right"/>
              <w:spacing w:after="0"/>
              <w:rPr>
                <w:sz w:val="20"/>
                <w:szCs w:val="20"/>
                <w:color w:val="auto"/>
              </w:rPr>
            </w:pPr>
            <w:r>
              <w:rPr>
                <w:rFonts w:ascii="Arial" w:cs="Arial" w:eastAsia="Arial" w:hAnsi="Arial"/>
                <w:sz w:val="22"/>
                <w:szCs w:val="22"/>
                <w:color w:val="auto"/>
              </w:rPr>
              <w:t>104</w:t>
            </w:r>
          </w:p>
        </w:tc>
        <w:tc>
          <w:tcPr>
            <w:tcW w:w="200" w:type="dxa"/>
            <w:vAlign w:val="bottom"/>
          </w:tcPr>
          <w:p>
            <w:pPr>
              <w:spacing w:after="0"/>
              <w:rPr>
                <w:sz w:val="23"/>
                <w:szCs w:val="23"/>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22"/>
                <w:szCs w:val="22"/>
                <w:color w:val="auto"/>
              </w:rPr>
              <w:t>40</w:t>
            </w:r>
          </w:p>
        </w:tc>
        <w:tc>
          <w:tcPr>
            <w:tcW w:w="880" w:type="dxa"/>
            <w:vAlign w:val="bottom"/>
            <w:gridSpan w:val="2"/>
          </w:tcPr>
          <w:p>
            <w:pPr>
              <w:jc w:val="right"/>
              <w:ind w:right="200"/>
              <w:spacing w:after="0"/>
              <w:rPr>
                <w:sz w:val="20"/>
                <w:szCs w:val="20"/>
                <w:color w:val="auto"/>
              </w:rPr>
            </w:pPr>
            <w:r>
              <w:rPr>
                <w:rFonts w:ascii="Arial" w:cs="Arial" w:eastAsia="Arial" w:hAnsi="Arial"/>
                <w:sz w:val="22"/>
                <w:szCs w:val="22"/>
                <w:color w:val="auto"/>
              </w:rPr>
              <w:t>64</w:t>
            </w:r>
          </w:p>
        </w:tc>
        <w:tc>
          <w:tcPr>
            <w:tcW w:w="740" w:type="dxa"/>
            <w:vAlign w:val="bottom"/>
          </w:tcPr>
          <w:p>
            <w:pPr>
              <w:jc w:val="right"/>
              <w:spacing w:after="0"/>
              <w:rPr>
                <w:sz w:val="20"/>
                <w:szCs w:val="20"/>
                <w:color w:val="auto"/>
              </w:rPr>
            </w:pPr>
            <w:r>
              <w:rPr>
                <w:rFonts w:ascii="Arial" w:cs="Arial" w:eastAsia="Arial" w:hAnsi="Arial"/>
                <w:sz w:val="22"/>
                <w:szCs w:val="22"/>
                <w:color w:val="auto"/>
              </w:rPr>
              <w:t>64</w:t>
            </w:r>
          </w:p>
        </w:tc>
        <w:tc>
          <w:tcPr>
            <w:tcW w:w="1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22"/>
                <w:szCs w:val="22"/>
                <w:color w:val="auto"/>
              </w:rPr>
              <w:t>(272)</w:t>
            </w:r>
          </w:p>
        </w:tc>
        <w:tc>
          <w:tcPr>
            <w:tcW w:w="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8"/>
        </w:trPr>
        <w:tc>
          <w:tcPr>
            <w:tcW w:w="334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55"/>
        </w:trPr>
        <w:tc>
          <w:tcPr>
            <w:tcW w:w="33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22"/>
                <w:szCs w:val="22"/>
                <w:color w:val="auto"/>
              </w:rPr>
              <w:t>104</w:t>
            </w:r>
          </w:p>
        </w:tc>
        <w:tc>
          <w:tcPr>
            <w:tcW w:w="200" w:type="dxa"/>
            <w:vAlign w:val="bottom"/>
          </w:tcPr>
          <w:p>
            <w:pPr>
              <w:spacing w:after="0"/>
              <w:rPr>
                <w:sz w:val="24"/>
                <w:szCs w:val="2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22"/>
                <w:szCs w:val="22"/>
                <w:color w:val="auto"/>
              </w:rPr>
              <w:t>40</w:t>
            </w:r>
          </w:p>
        </w:tc>
        <w:tc>
          <w:tcPr>
            <w:tcW w:w="880" w:type="dxa"/>
            <w:vAlign w:val="bottom"/>
            <w:gridSpan w:val="2"/>
          </w:tcPr>
          <w:p>
            <w:pPr>
              <w:jc w:val="right"/>
              <w:ind w:right="200"/>
              <w:spacing w:after="0"/>
              <w:rPr>
                <w:sz w:val="20"/>
                <w:szCs w:val="20"/>
                <w:color w:val="auto"/>
              </w:rPr>
            </w:pPr>
            <w:r>
              <w:rPr>
                <w:rFonts w:ascii="Arial" w:cs="Arial" w:eastAsia="Arial" w:hAnsi="Arial"/>
                <w:sz w:val="22"/>
                <w:szCs w:val="22"/>
                <w:color w:val="auto"/>
              </w:rPr>
              <w:t>64</w:t>
            </w:r>
          </w:p>
        </w:tc>
        <w:tc>
          <w:tcPr>
            <w:tcW w:w="740" w:type="dxa"/>
            <w:vAlign w:val="bottom"/>
          </w:tcPr>
          <w:p>
            <w:pPr>
              <w:jc w:val="right"/>
              <w:spacing w:after="0"/>
              <w:rPr>
                <w:sz w:val="20"/>
                <w:szCs w:val="20"/>
                <w:color w:val="auto"/>
              </w:rPr>
            </w:pPr>
            <w:r>
              <w:rPr>
                <w:rFonts w:ascii="Arial" w:cs="Arial" w:eastAsia="Arial" w:hAnsi="Arial"/>
                <w:sz w:val="22"/>
                <w:szCs w:val="22"/>
                <w:color w:val="auto"/>
              </w:rPr>
              <w:t>64</w:t>
            </w:r>
          </w:p>
        </w:tc>
        <w:tc>
          <w:tcPr>
            <w:tcW w:w="1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2"/>
                <w:szCs w:val="22"/>
                <w:color w:val="auto"/>
              </w:rPr>
              <w:t>5,066</w:t>
            </w:r>
          </w:p>
        </w:tc>
        <w:tc>
          <w:tcPr>
            <w:tcW w:w="200" w:type="dxa"/>
            <w:vAlign w:val="bottom"/>
          </w:tcPr>
          <w:p>
            <w:pPr>
              <w:spacing w:after="0"/>
              <w:rPr>
                <w:sz w:val="24"/>
                <w:szCs w:val="24"/>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22"/>
                <w:szCs w:val="22"/>
                <w:color w:val="auto"/>
              </w:rPr>
              <w:t>(272)</w:t>
            </w:r>
          </w:p>
        </w:tc>
        <w:tc>
          <w:tcPr>
            <w:tcW w:w="1000" w:type="dxa"/>
            <w:vAlign w:val="bottom"/>
            <w:gridSpan w:val="2"/>
          </w:tcPr>
          <w:p>
            <w:pPr>
              <w:jc w:val="right"/>
              <w:ind w:right="80"/>
              <w:spacing w:after="0"/>
              <w:rPr>
                <w:sz w:val="20"/>
                <w:szCs w:val="20"/>
                <w:color w:val="auto"/>
              </w:rPr>
            </w:pPr>
            <w:r>
              <w:rPr>
                <w:rFonts w:ascii="Arial" w:cs="Arial" w:eastAsia="Arial" w:hAnsi="Arial"/>
                <w:sz w:val="22"/>
                <w:szCs w:val="22"/>
                <w:color w:val="auto"/>
              </w:rPr>
              <w:t>5,066</w:t>
            </w:r>
          </w:p>
        </w:tc>
        <w:tc>
          <w:tcPr>
            <w:tcW w:w="0" w:type="dxa"/>
            <w:vAlign w:val="bottom"/>
          </w:tcPr>
          <w:p>
            <w:pPr>
              <w:spacing w:after="0"/>
              <w:rPr>
                <w:sz w:val="1"/>
                <w:szCs w:val="1"/>
                <w:color w:val="auto"/>
              </w:rPr>
            </w:pPr>
          </w:p>
        </w:tc>
      </w:tr>
      <w:tr>
        <w:trPr>
          <w:trHeight w:val="98"/>
        </w:trPr>
        <w:tc>
          <w:tcPr>
            <w:tcW w:w="3340" w:type="dxa"/>
            <w:vAlign w:val="bottom"/>
            <w:vMerge w:val="restart"/>
          </w:tcPr>
          <w:p>
            <w:pPr>
              <w:spacing w:after="0"/>
              <w:rPr>
                <w:sz w:val="20"/>
                <w:szCs w:val="20"/>
                <w:color w:val="auto"/>
              </w:rPr>
            </w:pPr>
            <w:r>
              <w:rPr>
                <w:rFonts w:ascii="Arial" w:cs="Arial" w:eastAsia="Arial" w:hAnsi="Arial"/>
                <w:sz w:val="22"/>
                <w:szCs w:val="22"/>
                <w:color w:val="auto"/>
              </w:rPr>
              <w:t>COSTS AND EXPENSES</w:t>
            </w:r>
          </w:p>
        </w:tc>
        <w:tc>
          <w:tcPr>
            <w:tcW w:w="7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66"/>
        </w:trPr>
        <w:tc>
          <w:tcPr>
            <w:tcW w:w="334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180"/>
              <w:spacing w:after="0" w:line="243" w:lineRule="exact"/>
              <w:rPr>
                <w:sz w:val="20"/>
                <w:szCs w:val="20"/>
                <w:color w:val="auto"/>
              </w:rPr>
            </w:pPr>
            <w:r>
              <w:rPr>
                <w:rFonts w:ascii="Arial" w:cs="Arial" w:eastAsia="Arial" w:hAnsi="Arial"/>
                <w:sz w:val="22"/>
                <w:szCs w:val="22"/>
                <w:color w:val="auto"/>
              </w:rPr>
              <w:t>Operating (excluding</w:t>
            </w: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Arial" w:cs="Arial" w:eastAsia="Arial" w:hAnsi="Arial"/>
                <w:sz w:val="22"/>
                <w:szCs w:val="22"/>
                <w:color w:val="auto"/>
              </w:rPr>
              <w:t>depreciation)</w:t>
            </w: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spacing w:after="0" w:line="243" w:lineRule="exact"/>
              <w:rPr>
                <w:sz w:val="20"/>
                <w:szCs w:val="20"/>
                <w:color w:val="auto"/>
              </w:rPr>
            </w:pPr>
            <w:r>
              <w:rPr>
                <w:rFonts w:ascii="Arial" w:cs="Arial" w:eastAsia="Arial" w:hAnsi="Arial"/>
                <w:sz w:val="22"/>
                <w:szCs w:val="22"/>
                <w:color w:val="auto"/>
              </w:rPr>
              <w:t>1,794</w:t>
            </w: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gridSpan w:val="2"/>
          </w:tcPr>
          <w:p>
            <w:pPr>
              <w:jc w:val="right"/>
              <w:ind w:right="80"/>
              <w:spacing w:after="0" w:line="243" w:lineRule="exact"/>
              <w:rPr>
                <w:sz w:val="20"/>
                <w:szCs w:val="20"/>
                <w:color w:val="auto"/>
              </w:rPr>
            </w:pPr>
            <w:r>
              <w:rPr>
                <w:rFonts w:ascii="Arial" w:cs="Arial" w:eastAsia="Arial" w:hAnsi="Arial"/>
                <w:sz w:val="22"/>
                <w:szCs w:val="22"/>
                <w:color w:val="auto"/>
              </w:rPr>
              <w:t>1,794</w:t>
            </w:r>
          </w:p>
        </w:tc>
        <w:tc>
          <w:tcPr>
            <w:tcW w:w="0" w:type="dxa"/>
            <w:vAlign w:val="bottom"/>
          </w:tcPr>
          <w:p>
            <w:pPr>
              <w:spacing w:after="0"/>
              <w:rPr>
                <w:sz w:val="1"/>
                <w:szCs w:val="1"/>
                <w:color w:val="auto"/>
              </w:rPr>
            </w:pPr>
          </w:p>
        </w:tc>
      </w:tr>
      <w:tr>
        <w:trPr>
          <w:trHeight w:val="243"/>
        </w:trPr>
        <w:tc>
          <w:tcPr>
            <w:tcW w:w="3340" w:type="dxa"/>
            <w:vAlign w:val="bottom"/>
          </w:tcPr>
          <w:p>
            <w:pPr>
              <w:ind w:left="180"/>
              <w:spacing w:after="0" w:line="243" w:lineRule="exact"/>
              <w:rPr>
                <w:sz w:val="20"/>
                <w:szCs w:val="20"/>
                <w:color w:val="auto"/>
              </w:rPr>
            </w:pPr>
            <w:r>
              <w:rPr>
                <w:rFonts w:ascii="Arial" w:cs="Arial" w:eastAsia="Arial" w:hAnsi="Arial"/>
                <w:sz w:val="22"/>
                <w:szCs w:val="22"/>
                <w:color w:val="auto"/>
              </w:rPr>
              <w:t>Selling, general and</w:t>
            </w: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Arial" w:cs="Arial" w:eastAsia="Arial" w:hAnsi="Arial"/>
                <w:sz w:val="22"/>
                <w:szCs w:val="22"/>
                <w:color w:val="auto"/>
              </w:rPr>
              <w:t>administrative</w:t>
            </w:r>
          </w:p>
        </w:tc>
        <w:tc>
          <w:tcPr>
            <w:tcW w:w="700" w:type="dxa"/>
            <w:vAlign w:val="bottom"/>
          </w:tcPr>
          <w:p>
            <w:pPr>
              <w:jc w:val="right"/>
              <w:spacing w:after="0" w:line="243" w:lineRule="exact"/>
              <w:rPr>
                <w:sz w:val="20"/>
                <w:szCs w:val="20"/>
                <w:color w:val="auto"/>
              </w:rPr>
            </w:pPr>
            <w:r>
              <w:rPr>
                <w:rFonts w:ascii="Arial" w:cs="Arial" w:eastAsia="Arial" w:hAnsi="Arial"/>
                <w:sz w:val="22"/>
                <w:szCs w:val="22"/>
                <w:color w:val="auto"/>
              </w:rPr>
              <w:t>49</w:t>
            </w:r>
          </w:p>
        </w:tc>
        <w:tc>
          <w:tcPr>
            <w:tcW w:w="200" w:type="dxa"/>
            <w:vAlign w:val="bottom"/>
          </w:tcPr>
          <w:p>
            <w:pPr>
              <w:spacing w:after="0"/>
              <w:rPr>
                <w:sz w:val="21"/>
                <w:szCs w:val="21"/>
                <w:color w:val="auto"/>
              </w:rPr>
            </w:pPr>
          </w:p>
        </w:tc>
        <w:tc>
          <w:tcPr>
            <w:tcW w:w="880" w:type="dxa"/>
            <w:vAlign w:val="bottom"/>
            <w:gridSpan w:val="2"/>
          </w:tcPr>
          <w:p>
            <w:pPr>
              <w:jc w:val="right"/>
              <w:ind w:right="200"/>
              <w:spacing w:after="0" w:line="243" w:lineRule="exact"/>
              <w:rPr>
                <w:sz w:val="20"/>
                <w:szCs w:val="20"/>
                <w:color w:val="auto"/>
              </w:rPr>
            </w:pPr>
            <w:r>
              <w:rPr>
                <w:rFonts w:ascii="Arial" w:cs="Arial" w:eastAsia="Arial" w:hAnsi="Arial"/>
                <w:sz w:val="22"/>
                <w:szCs w:val="22"/>
                <w:color w:val="auto"/>
              </w:rPr>
              <w:t>40</w:t>
            </w:r>
          </w:p>
        </w:tc>
        <w:tc>
          <w:tcPr>
            <w:tcW w:w="880" w:type="dxa"/>
            <w:vAlign w:val="bottom"/>
            <w:gridSpan w:val="2"/>
          </w:tcPr>
          <w:p>
            <w:pPr>
              <w:jc w:val="right"/>
              <w:ind w:right="200"/>
              <w:spacing w:after="0" w:line="243" w:lineRule="exact"/>
              <w:rPr>
                <w:sz w:val="20"/>
                <w:szCs w:val="20"/>
                <w:color w:val="auto"/>
              </w:rPr>
            </w:pPr>
            <w:r>
              <w:rPr>
                <w:rFonts w:ascii="Arial" w:cs="Arial" w:eastAsia="Arial" w:hAnsi="Arial"/>
                <w:sz w:val="22"/>
                <w:szCs w:val="22"/>
                <w:color w:val="auto"/>
              </w:rPr>
              <w:t>64</w:t>
            </w:r>
          </w:p>
        </w:tc>
        <w:tc>
          <w:tcPr>
            <w:tcW w:w="740" w:type="dxa"/>
            <w:vAlign w:val="bottom"/>
          </w:tcPr>
          <w:p>
            <w:pPr>
              <w:jc w:val="right"/>
              <w:spacing w:after="0" w:line="243" w:lineRule="exact"/>
              <w:rPr>
                <w:sz w:val="20"/>
                <w:szCs w:val="20"/>
                <w:color w:val="auto"/>
              </w:rPr>
            </w:pPr>
            <w:r>
              <w:rPr>
                <w:rFonts w:ascii="Arial" w:cs="Arial" w:eastAsia="Arial" w:hAnsi="Arial"/>
                <w:sz w:val="22"/>
                <w:szCs w:val="22"/>
                <w:color w:val="auto"/>
              </w:rPr>
              <w:t>64</w:t>
            </w:r>
          </w:p>
        </w:tc>
        <w:tc>
          <w:tcPr>
            <w:tcW w:w="180" w:type="dxa"/>
            <w:vAlign w:val="bottom"/>
          </w:tcPr>
          <w:p>
            <w:pPr>
              <w:spacing w:after="0"/>
              <w:rPr>
                <w:sz w:val="21"/>
                <w:szCs w:val="21"/>
                <w:color w:val="auto"/>
              </w:rPr>
            </w:pPr>
          </w:p>
        </w:tc>
        <w:tc>
          <w:tcPr>
            <w:tcW w:w="860" w:type="dxa"/>
            <w:vAlign w:val="bottom"/>
          </w:tcPr>
          <w:p>
            <w:pPr>
              <w:jc w:val="right"/>
              <w:spacing w:after="0" w:line="243" w:lineRule="exact"/>
              <w:rPr>
                <w:sz w:val="20"/>
                <w:szCs w:val="20"/>
                <w:color w:val="auto"/>
              </w:rPr>
            </w:pPr>
            <w:r>
              <w:rPr>
                <w:rFonts w:ascii="Arial" w:cs="Arial" w:eastAsia="Arial" w:hAnsi="Arial"/>
                <w:sz w:val="22"/>
                <w:szCs w:val="22"/>
                <w:color w:val="auto"/>
              </w:rPr>
              <w:t>1,375</w:t>
            </w:r>
          </w:p>
        </w:tc>
        <w:tc>
          <w:tcPr>
            <w:tcW w:w="200" w:type="dxa"/>
            <w:vAlign w:val="bottom"/>
          </w:tcPr>
          <w:p>
            <w:pPr>
              <w:spacing w:after="0"/>
              <w:rPr>
                <w:sz w:val="21"/>
                <w:szCs w:val="21"/>
                <w:color w:val="auto"/>
              </w:rPr>
            </w:pPr>
          </w:p>
        </w:tc>
        <w:tc>
          <w:tcPr>
            <w:tcW w:w="1180" w:type="dxa"/>
            <w:vAlign w:val="bottom"/>
            <w:gridSpan w:val="2"/>
          </w:tcPr>
          <w:p>
            <w:pPr>
              <w:jc w:val="right"/>
              <w:ind w:right="120"/>
              <w:spacing w:after="0" w:line="243" w:lineRule="exact"/>
              <w:rPr>
                <w:sz w:val="20"/>
                <w:szCs w:val="20"/>
                <w:color w:val="auto"/>
              </w:rPr>
            </w:pPr>
            <w:r>
              <w:rPr>
                <w:rFonts w:ascii="Arial" w:cs="Arial" w:eastAsia="Arial" w:hAnsi="Arial"/>
                <w:sz w:val="22"/>
                <w:szCs w:val="22"/>
                <w:color w:val="auto"/>
              </w:rPr>
              <w:t>(272)</w:t>
            </w:r>
          </w:p>
        </w:tc>
        <w:tc>
          <w:tcPr>
            <w:tcW w:w="1000" w:type="dxa"/>
            <w:vAlign w:val="bottom"/>
            <w:gridSpan w:val="2"/>
          </w:tcPr>
          <w:p>
            <w:pPr>
              <w:jc w:val="right"/>
              <w:ind w:right="80"/>
              <w:spacing w:after="0" w:line="243" w:lineRule="exact"/>
              <w:rPr>
                <w:sz w:val="20"/>
                <w:szCs w:val="20"/>
                <w:color w:val="auto"/>
              </w:rPr>
            </w:pPr>
            <w:r>
              <w:rPr>
                <w:rFonts w:ascii="Arial" w:cs="Arial" w:eastAsia="Arial" w:hAnsi="Arial"/>
                <w:sz w:val="22"/>
                <w:szCs w:val="22"/>
                <w:color w:val="auto"/>
              </w:rPr>
              <w:t>1,320</w:t>
            </w:r>
          </w:p>
        </w:tc>
        <w:tc>
          <w:tcPr>
            <w:tcW w:w="0" w:type="dxa"/>
            <w:vAlign w:val="bottom"/>
          </w:tcPr>
          <w:p>
            <w:pPr>
              <w:spacing w:after="0"/>
              <w:rPr>
                <w:sz w:val="1"/>
                <w:szCs w:val="1"/>
                <w:color w:val="auto"/>
              </w:rPr>
            </w:pPr>
          </w:p>
        </w:tc>
      </w:tr>
      <w:tr>
        <w:trPr>
          <w:trHeight w:val="243"/>
        </w:trPr>
        <w:tc>
          <w:tcPr>
            <w:tcW w:w="3340" w:type="dxa"/>
            <w:vAlign w:val="bottom"/>
          </w:tcPr>
          <w:p>
            <w:pPr>
              <w:ind w:left="180"/>
              <w:spacing w:after="0" w:line="243" w:lineRule="exact"/>
              <w:rPr>
                <w:sz w:val="20"/>
                <w:szCs w:val="20"/>
                <w:color w:val="auto"/>
              </w:rPr>
            </w:pPr>
            <w:r>
              <w:rPr>
                <w:rFonts w:ascii="Arial" w:cs="Arial" w:eastAsia="Arial" w:hAnsi="Arial"/>
                <w:sz w:val="22"/>
                <w:szCs w:val="22"/>
                <w:color w:val="auto"/>
              </w:rPr>
              <w:t>Depreciation</w:t>
            </w: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spacing w:after="0" w:line="243" w:lineRule="exact"/>
              <w:rPr>
                <w:sz w:val="20"/>
                <w:szCs w:val="20"/>
                <w:color w:val="auto"/>
              </w:rPr>
            </w:pPr>
            <w:r>
              <w:rPr>
                <w:rFonts w:ascii="Arial" w:cs="Arial" w:eastAsia="Arial" w:hAnsi="Arial"/>
                <w:sz w:val="22"/>
                <w:szCs w:val="22"/>
                <w:color w:val="auto"/>
              </w:rPr>
              <w:t>813</w:t>
            </w: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gridSpan w:val="2"/>
          </w:tcPr>
          <w:p>
            <w:pPr>
              <w:jc w:val="right"/>
              <w:ind w:right="80"/>
              <w:spacing w:after="0" w:line="243" w:lineRule="exact"/>
              <w:rPr>
                <w:sz w:val="20"/>
                <w:szCs w:val="20"/>
                <w:color w:val="auto"/>
              </w:rPr>
            </w:pPr>
            <w:r>
              <w:rPr>
                <w:rFonts w:ascii="Arial" w:cs="Arial" w:eastAsia="Arial" w:hAnsi="Arial"/>
                <w:sz w:val="22"/>
                <w:szCs w:val="22"/>
                <w:color w:val="auto"/>
              </w:rPr>
              <w:t>813</w:t>
            </w:r>
          </w:p>
        </w:tc>
        <w:tc>
          <w:tcPr>
            <w:tcW w:w="0" w:type="dxa"/>
            <w:vAlign w:val="bottom"/>
          </w:tcPr>
          <w:p>
            <w:pPr>
              <w:spacing w:after="0"/>
              <w:rPr>
                <w:sz w:val="1"/>
                <w:szCs w:val="1"/>
                <w:color w:val="auto"/>
              </w:rPr>
            </w:pPr>
          </w:p>
        </w:tc>
      </w:tr>
      <w:tr>
        <w:trPr>
          <w:trHeight w:val="275"/>
        </w:trPr>
        <w:tc>
          <w:tcPr>
            <w:tcW w:w="3340" w:type="dxa"/>
            <w:vAlign w:val="bottom"/>
          </w:tcPr>
          <w:p>
            <w:pPr>
              <w:ind w:left="160"/>
              <w:spacing w:after="0"/>
              <w:rPr>
                <w:sz w:val="20"/>
                <w:szCs w:val="20"/>
                <w:color w:val="auto"/>
              </w:rPr>
            </w:pPr>
            <w:r>
              <w:rPr>
                <w:rFonts w:ascii="Arial" w:cs="Arial" w:eastAsia="Arial" w:hAnsi="Arial"/>
                <w:sz w:val="22"/>
                <w:szCs w:val="22"/>
                <w:color w:val="auto"/>
              </w:rPr>
              <w:t>Amortization</w:t>
            </w:r>
          </w:p>
        </w:tc>
        <w:tc>
          <w:tcPr>
            <w:tcW w:w="7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22"/>
                <w:szCs w:val="22"/>
                <w:color w:val="auto"/>
              </w:rPr>
              <w:t>287</w:t>
            </w:r>
          </w:p>
        </w:tc>
        <w:tc>
          <w:tcPr>
            <w:tcW w:w="2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22"/>
                <w:szCs w:val="22"/>
                <w:color w:val="auto"/>
              </w:rPr>
              <w:t>287</w:t>
            </w:r>
          </w:p>
        </w:tc>
        <w:tc>
          <w:tcPr>
            <w:tcW w:w="0" w:type="dxa"/>
            <w:vAlign w:val="bottom"/>
          </w:tcPr>
          <w:p>
            <w:pPr>
              <w:spacing w:after="0"/>
              <w:rPr>
                <w:sz w:val="1"/>
                <w:szCs w:val="1"/>
                <w:color w:val="auto"/>
              </w:rPr>
            </w:pPr>
          </w:p>
        </w:tc>
      </w:tr>
      <w:tr>
        <w:trPr>
          <w:trHeight w:val="98"/>
        </w:trPr>
        <w:tc>
          <w:tcPr>
            <w:tcW w:w="334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55"/>
        </w:trPr>
        <w:tc>
          <w:tcPr>
            <w:tcW w:w="33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22"/>
                <w:szCs w:val="22"/>
                <w:color w:val="auto"/>
              </w:rPr>
              <w:t>49</w:t>
            </w:r>
          </w:p>
        </w:tc>
        <w:tc>
          <w:tcPr>
            <w:tcW w:w="200" w:type="dxa"/>
            <w:vAlign w:val="bottom"/>
          </w:tcPr>
          <w:p>
            <w:pPr>
              <w:spacing w:after="0"/>
              <w:rPr>
                <w:sz w:val="24"/>
                <w:szCs w:val="2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22"/>
                <w:szCs w:val="22"/>
                <w:color w:val="auto"/>
              </w:rPr>
              <w:t>40</w:t>
            </w:r>
          </w:p>
        </w:tc>
        <w:tc>
          <w:tcPr>
            <w:tcW w:w="880" w:type="dxa"/>
            <w:vAlign w:val="bottom"/>
            <w:gridSpan w:val="2"/>
          </w:tcPr>
          <w:p>
            <w:pPr>
              <w:jc w:val="right"/>
              <w:ind w:right="200"/>
              <w:spacing w:after="0"/>
              <w:rPr>
                <w:sz w:val="20"/>
                <w:szCs w:val="20"/>
                <w:color w:val="auto"/>
              </w:rPr>
            </w:pPr>
            <w:r>
              <w:rPr>
                <w:rFonts w:ascii="Arial" w:cs="Arial" w:eastAsia="Arial" w:hAnsi="Arial"/>
                <w:sz w:val="22"/>
                <w:szCs w:val="22"/>
                <w:color w:val="auto"/>
              </w:rPr>
              <w:t>64</w:t>
            </w:r>
          </w:p>
        </w:tc>
        <w:tc>
          <w:tcPr>
            <w:tcW w:w="740" w:type="dxa"/>
            <w:vAlign w:val="bottom"/>
          </w:tcPr>
          <w:p>
            <w:pPr>
              <w:jc w:val="right"/>
              <w:spacing w:after="0"/>
              <w:rPr>
                <w:sz w:val="20"/>
                <w:szCs w:val="20"/>
                <w:color w:val="auto"/>
              </w:rPr>
            </w:pPr>
            <w:r>
              <w:rPr>
                <w:rFonts w:ascii="Arial" w:cs="Arial" w:eastAsia="Arial" w:hAnsi="Arial"/>
                <w:sz w:val="22"/>
                <w:szCs w:val="22"/>
                <w:color w:val="auto"/>
              </w:rPr>
              <w:t>64</w:t>
            </w:r>
          </w:p>
        </w:tc>
        <w:tc>
          <w:tcPr>
            <w:tcW w:w="1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2"/>
                <w:szCs w:val="22"/>
                <w:color w:val="auto"/>
              </w:rPr>
              <w:t>4,269</w:t>
            </w:r>
          </w:p>
        </w:tc>
        <w:tc>
          <w:tcPr>
            <w:tcW w:w="200" w:type="dxa"/>
            <w:vAlign w:val="bottom"/>
          </w:tcPr>
          <w:p>
            <w:pPr>
              <w:spacing w:after="0"/>
              <w:rPr>
                <w:sz w:val="24"/>
                <w:szCs w:val="24"/>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22"/>
                <w:szCs w:val="22"/>
                <w:color w:val="auto"/>
              </w:rPr>
              <w:t>(272)</w:t>
            </w:r>
          </w:p>
        </w:tc>
        <w:tc>
          <w:tcPr>
            <w:tcW w:w="1000" w:type="dxa"/>
            <w:vAlign w:val="bottom"/>
            <w:gridSpan w:val="2"/>
          </w:tcPr>
          <w:p>
            <w:pPr>
              <w:jc w:val="right"/>
              <w:ind w:right="80"/>
              <w:spacing w:after="0"/>
              <w:rPr>
                <w:sz w:val="20"/>
                <w:szCs w:val="20"/>
                <w:color w:val="auto"/>
              </w:rPr>
            </w:pPr>
            <w:r>
              <w:rPr>
                <w:rFonts w:ascii="Arial" w:cs="Arial" w:eastAsia="Arial" w:hAnsi="Arial"/>
                <w:sz w:val="22"/>
                <w:szCs w:val="22"/>
                <w:color w:val="auto"/>
              </w:rPr>
              <w:t>4,214</w:t>
            </w:r>
          </w:p>
        </w:tc>
        <w:tc>
          <w:tcPr>
            <w:tcW w:w="0" w:type="dxa"/>
            <w:vAlign w:val="bottom"/>
          </w:tcPr>
          <w:p>
            <w:pPr>
              <w:spacing w:after="0"/>
              <w:rPr>
                <w:sz w:val="1"/>
                <w:szCs w:val="1"/>
                <w:color w:val="auto"/>
              </w:rPr>
            </w:pPr>
          </w:p>
        </w:tc>
      </w:tr>
      <w:tr>
        <w:trPr>
          <w:trHeight w:val="98"/>
        </w:trPr>
        <w:tc>
          <w:tcPr>
            <w:tcW w:w="334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98"/>
        </w:trPr>
        <w:tc>
          <w:tcPr>
            <w:tcW w:w="3340" w:type="dxa"/>
            <w:vAlign w:val="bottom"/>
          </w:tcPr>
          <w:p>
            <w:pPr>
              <w:spacing w:after="0"/>
              <w:rPr>
                <w:sz w:val="20"/>
                <w:szCs w:val="20"/>
                <w:color w:val="auto"/>
              </w:rPr>
            </w:pPr>
            <w:r>
              <w:rPr>
                <w:rFonts w:ascii="Arial" w:cs="Arial" w:eastAsia="Arial" w:hAnsi="Arial"/>
                <w:sz w:val="22"/>
                <w:szCs w:val="22"/>
                <w:color w:val="auto"/>
              </w:rPr>
              <w:t>OPERATING INCOME</w:t>
            </w:r>
          </w:p>
        </w:tc>
        <w:tc>
          <w:tcPr>
            <w:tcW w:w="700" w:type="dxa"/>
            <w:vAlign w:val="bottom"/>
          </w:tcPr>
          <w:p>
            <w:pPr>
              <w:jc w:val="right"/>
              <w:spacing w:after="0"/>
              <w:rPr>
                <w:sz w:val="20"/>
                <w:szCs w:val="20"/>
                <w:color w:val="auto"/>
              </w:rPr>
            </w:pPr>
            <w:r>
              <w:rPr>
                <w:rFonts w:ascii="Arial" w:cs="Arial" w:eastAsia="Arial" w:hAnsi="Arial"/>
                <w:sz w:val="22"/>
                <w:szCs w:val="22"/>
                <w:color w:val="auto"/>
              </w:rPr>
              <w:t>55</w:t>
            </w: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2"/>
                <w:szCs w:val="22"/>
                <w:color w:val="auto"/>
              </w:rPr>
              <w:t>797</w:t>
            </w: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22"/>
                <w:szCs w:val="22"/>
                <w:color w:val="auto"/>
              </w:rPr>
              <w:t>852</w:t>
            </w:r>
          </w:p>
        </w:tc>
        <w:tc>
          <w:tcPr>
            <w:tcW w:w="0" w:type="dxa"/>
            <w:vAlign w:val="bottom"/>
          </w:tcPr>
          <w:p>
            <w:pPr>
              <w:spacing w:after="0"/>
              <w:rPr>
                <w:sz w:val="1"/>
                <w:szCs w:val="1"/>
                <w:color w:val="auto"/>
              </w:rPr>
            </w:pPr>
          </w:p>
        </w:tc>
      </w:tr>
      <w:tr>
        <w:trPr>
          <w:trHeight w:val="455"/>
        </w:trPr>
        <w:tc>
          <w:tcPr>
            <w:tcW w:w="3340" w:type="dxa"/>
            <w:vAlign w:val="bottom"/>
          </w:tcPr>
          <w:p>
            <w:pPr>
              <w:spacing w:after="0"/>
              <w:rPr>
                <w:sz w:val="20"/>
                <w:szCs w:val="20"/>
                <w:color w:val="auto"/>
              </w:rPr>
            </w:pPr>
            <w:r>
              <w:rPr>
                <w:rFonts w:ascii="Arial" w:cs="Arial" w:eastAsia="Arial" w:hAnsi="Arial"/>
                <w:sz w:val="22"/>
                <w:szCs w:val="22"/>
                <w:color w:val="auto"/>
              </w:rPr>
              <w:t>OTHER INCOME (EXPENSE)</w:t>
            </w: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180"/>
              <w:spacing w:after="0" w:line="243" w:lineRule="exact"/>
              <w:rPr>
                <w:sz w:val="20"/>
                <w:szCs w:val="20"/>
                <w:color w:val="auto"/>
              </w:rPr>
            </w:pPr>
            <w:r>
              <w:rPr>
                <w:rFonts w:ascii="Arial" w:cs="Arial" w:eastAsia="Arial" w:hAnsi="Arial"/>
                <w:sz w:val="22"/>
                <w:szCs w:val="22"/>
                <w:color w:val="auto"/>
              </w:rPr>
              <w:t>Interest expense</w:t>
            </w:r>
          </w:p>
        </w:tc>
        <w:tc>
          <w:tcPr>
            <w:tcW w:w="900" w:type="dxa"/>
            <w:vAlign w:val="bottom"/>
            <w:gridSpan w:val="2"/>
          </w:tcPr>
          <w:p>
            <w:pPr>
              <w:jc w:val="right"/>
              <w:ind w:right="120"/>
              <w:spacing w:after="0" w:line="243" w:lineRule="exact"/>
              <w:rPr>
                <w:sz w:val="20"/>
                <w:szCs w:val="20"/>
                <w:color w:val="auto"/>
              </w:rPr>
            </w:pPr>
            <w:r>
              <w:rPr>
                <w:rFonts w:ascii="Arial" w:cs="Arial" w:eastAsia="Arial" w:hAnsi="Arial"/>
                <w:sz w:val="22"/>
                <w:szCs w:val="22"/>
                <w:color w:val="auto"/>
              </w:rPr>
              <w:t>(61)</w:t>
            </w:r>
          </w:p>
        </w:tc>
        <w:tc>
          <w:tcPr>
            <w:tcW w:w="880" w:type="dxa"/>
            <w:vAlign w:val="bottom"/>
            <w:gridSpan w:val="2"/>
          </w:tcPr>
          <w:p>
            <w:pPr>
              <w:jc w:val="right"/>
              <w:ind w:right="120"/>
              <w:spacing w:after="0" w:line="243" w:lineRule="exact"/>
              <w:rPr>
                <w:sz w:val="20"/>
                <w:szCs w:val="20"/>
                <w:color w:val="auto"/>
              </w:rPr>
            </w:pPr>
            <w:r>
              <w:rPr>
                <w:rFonts w:ascii="Arial" w:cs="Arial" w:eastAsia="Arial" w:hAnsi="Arial"/>
                <w:sz w:val="22"/>
                <w:szCs w:val="22"/>
                <w:color w:val="auto"/>
              </w:rPr>
              <w:t>(115)</w:t>
            </w:r>
          </w:p>
        </w:tc>
        <w:tc>
          <w:tcPr>
            <w:tcW w:w="880" w:type="dxa"/>
            <w:vAlign w:val="bottom"/>
            <w:gridSpan w:val="2"/>
          </w:tcPr>
          <w:p>
            <w:pPr>
              <w:jc w:val="right"/>
              <w:ind w:right="120"/>
              <w:spacing w:after="0" w:line="243" w:lineRule="exact"/>
              <w:rPr>
                <w:sz w:val="20"/>
                <w:szCs w:val="20"/>
                <w:color w:val="auto"/>
              </w:rPr>
            </w:pPr>
            <w:r>
              <w:rPr>
                <w:rFonts w:ascii="Arial" w:cs="Arial" w:eastAsia="Arial" w:hAnsi="Arial"/>
                <w:sz w:val="22"/>
                <w:szCs w:val="22"/>
                <w:color w:val="auto"/>
              </w:rPr>
              <w:t>(77)</w:t>
            </w:r>
          </w:p>
        </w:tc>
        <w:tc>
          <w:tcPr>
            <w:tcW w:w="920" w:type="dxa"/>
            <w:vAlign w:val="bottom"/>
            <w:gridSpan w:val="2"/>
          </w:tcPr>
          <w:p>
            <w:pPr>
              <w:jc w:val="right"/>
              <w:ind w:right="120"/>
              <w:spacing w:after="0" w:line="243" w:lineRule="exact"/>
              <w:rPr>
                <w:sz w:val="20"/>
                <w:szCs w:val="20"/>
                <w:color w:val="auto"/>
              </w:rPr>
            </w:pPr>
            <w:r>
              <w:rPr>
                <w:rFonts w:ascii="Arial" w:cs="Arial" w:eastAsia="Arial" w:hAnsi="Arial"/>
                <w:sz w:val="22"/>
                <w:szCs w:val="22"/>
                <w:color w:val="auto"/>
              </w:rPr>
              <w:t>(100)</w:t>
            </w:r>
          </w:p>
        </w:tc>
        <w:tc>
          <w:tcPr>
            <w:tcW w:w="1060" w:type="dxa"/>
            <w:vAlign w:val="bottom"/>
            <w:gridSpan w:val="2"/>
          </w:tcPr>
          <w:p>
            <w:pPr>
              <w:jc w:val="right"/>
              <w:ind w:right="120"/>
              <w:spacing w:after="0" w:line="243" w:lineRule="exact"/>
              <w:rPr>
                <w:sz w:val="20"/>
                <w:szCs w:val="20"/>
                <w:color w:val="auto"/>
              </w:rPr>
            </w:pPr>
            <w:r>
              <w:rPr>
                <w:rFonts w:ascii="Arial" w:cs="Arial" w:eastAsia="Arial" w:hAnsi="Arial"/>
                <w:sz w:val="22"/>
                <w:szCs w:val="22"/>
                <w:color w:val="auto"/>
              </w:rPr>
              <w:t>(131)</w:t>
            </w: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(484)</w:t>
            </w:r>
          </w:p>
        </w:tc>
        <w:tc>
          <w:tcPr>
            <w:tcW w:w="0" w:type="dxa"/>
            <w:vAlign w:val="bottom"/>
          </w:tcPr>
          <w:p>
            <w:pPr>
              <w:spacing w:after="0"/>
              <w:rPr>
                <w:sz w:val="1"/>
                <w:szCs w:val="1"/>
                <w:color w:val="auto"/>
              </w:rPr>
            </w:pPr>
          </w:p>
        </w:tc>
      </w:tr>
      <w:tr>
        <w:trPr>
          <w:trHeight w:val="243"/>
        </w:trPr>
        <w:tc>
          <w:tcPr>
            <w:tcW w:w="3340" w:type="dxa"/>
            <w:vAlign w:val="bottom"/>
          </w:tcPr>
          <w:p>
            <w:pPr>
              <w:ind w:left="180"/>
              <w:spacing w:after="0" w:line="243" w:lineRule="exact"/>
              <w:rPr>
                <w:sz w:val="20"/>
                <w:szCs w:val="20"/>
                <w:color w:val="auto"/>
              </w:rPr>
            </w:pPr>
            <w:r>
              <w:rPr>
                <w:rFonts w:ascii="Arial" w:cs="Arial" w:eastAsia="Arial" w:hAnsi="Arial"/>
                <w:sz w:val="22"/>
                <w:szCs w:val="22"/>
                <w:color w:val="auto"/>
              </w:rPr>
              <w:t>Investment income, net</w:t>
            </w: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spacing w:after="0" w:line="243" w:lineRule="exact"/>
              <w:rPr>
                <w:sz w:val="20"/>
                <w:szCs w:val="20"/>
                <w:color w:val="auto"/>
              </w:rPr>
            </w:pPr>
            <w:r>
              <w:rPr>
                <w:rFonts w:ascii="Arial" w:cs="Arial" w:eastAsia="Arial" w:hAnsi="Arial"/>
                <w:sz w:val="22"/>
                <w:szCs w:val="22"/>
                <w:color w:val="auto"/>
              </w:rPr>
              <w:t>151</w:t>
            </w: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gridSpan w:val="2"/>
          </w:tcPr>
          <w:p>
            <w:pPr>
              <w:jc w:val="right"/>
              <w:ind w:right="80"/>
              <w:spacing w:after="0" w:line="243" w:lineRule="exact"/>
              <w:rPr>
                <w:sz w:val="20"/>
                <w:szCs w:val="20"/>
                <w:color w:val="auto"/>
              </w:rPr>
            </w:pPr>
            <w:r>
              <w:rPr>
                <w:rFonts w:ascii="Arial" w:cs="Arial" w:eastAsia="Arial" w:hAnsi="Arial"/>
                <w:sz w:val="22"/>
                <w:szCs w:val="22"/>
                <w:color w:val="auto"/>
              </w:rPr>
              <w:t>151</w:t>
            </w:r>
          </w:p>
        </w:tc>
        <w:tc>
          <w:tcPr>
            <w:tcW w:w="0" w:type="dxa"/>
            <w:vAlign w:val="bottom"/>
          </w:tcPr>
          <w:p>
            <w:pPr>
              <w:spacing w:after="0"/>
              <w:rPr>
                <w:sz w:val="1"/>
                <w:szCs w:val="1"/>
                <w:color w:val="auto"/>
              </w:rPr>
            </w:pPr>
          </w:p>
        </w:tc>
      </w:tr>
      <w:tr>
        <w:trPr>
          <w:trHeight w:val="275"/>
        </w:trPr>
        <w:tc>
          <w:tcPr>
            <w:tcW w:w="3340" w:type="dxa"/>
            <w:vAlign w:val="bottom"/>
          </w:tcPr>
          <w:p>
            <w:pPr>
              <w:ind w:left="180"/>
              <w:spacing w:after="0"/>
              <w:rPr>
                <w:sz w:val="20"/>
                <w:szCs w:val="20"/>
                <w:color w:val="auto"/>
              </w:rPr>
            </w:pPr>
            <w:r>
              <w:rPr>
                <w:rFonts w:ascii="Arial" w:cs="Arial" w:eastAsia="Arial" w:hAnsi="Arial"/>
                <w:sz w:val="22"/>
                <w:szCs w:val="22"/>
                <w:color w:val="auto"/>
              </w:rPr>
              <w:t>Equity in net (losses) income of</w:t>
            </w:r>
          </w:p>
        </w:tc>
        <w:tc>
          <w:tcPr>
            <w:tcW w:w="7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108" w:right="1440" w:bottom="0" w:gutter="0" w:footer="0" w:header="0"/>
        </w:sectPr>
      </w:pPr>
    </w:p>
    <w:bookmarkStart w:id="20" w:name="page21"/>
    <w:bookmarkEnd w:id="2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40" w:type="dxa"/>
            <w:vAlign w:val="bottom"/>
          </w:tcPr>
          <w:p>
            <w:pPr>
              <w:ind w:left="340"/>
              <w:spacing w:after="0"/>
              <w:rPr>
                <w:sz w:val="20"/>
                <w:szCs w:val="20"/>
                <w:color w:val="auto"/>
              </w:rPr>
            </w:pPr>
            <w:r>
              <w:rPr>
                <w:rFonts w:ascii="Arial" w:cs="Arial" w:eastAsia="Arial" w:hAnsi="Arial"/>
                <w:sz w:val="22"/>
                <w:szCs w:val="22"/>
                <w:color w:val="auto"/>
              </w:rPr>
              <w:t>affiliates</w:t>
            </w:r>
          </w:p>
        </w:tc>
        <w:tc>
          <w:tcPr>
            <w:tcW w:w="900" w:type="dxa"/>
            <w:vAlign w:val="bottom"/>
            <w:gridSpan w:val="2"/>
          </w:tcPr>
          <w:p>
            <w:pPr>
              <w:jc w:val="right"/>
              <w:ind w:right="200"/>
              <w:spacing w:after="0"/>
              <w:rPr>
                <w:sz w:val="20"/>
                <w:szCs w:val="20"/>
                <w:color w:val="auto"/>
              </w:rPr>
            </w:pPr>
            <w:r>
              <w:rPr>
                <w:rFonts w:ascii="Arial" w:cs="Arial" w:eastAsia="Arial" w:hAnsi="Arial"/>
                <w:sz w:val="22"/>
                <w:szCs w:val="22"/>
                <w:color w:val="auto"/>
              </w:rPr>
              <w:t>266</w:t>
            </w:r>
          </w:p>
        </w:tc>
        <w:tc>
          <w:tcPr>
            <w:tcW w:w="880" w:type="dxa"/>
            <w:vAlign w:val="bottom"/>
            <w:gridSpan w:val="2"/>
          </w:tcPr>
          <w:p>
            <w:pPr>
              <w:jc w:val="right"/>
              <w:ind w:right="200"/>
              <w:spacing w:after="0"/>
              <w:rPr>
                <w:sz w:val="20"/>
                <w:szCs w:val="20"/>
                <w:color w:val="auto"/>
              </w:rPr>
            </w:pPr>
            <w:r>
              <w:rPr>
                <w:rFonts w:ascii="Arial" w:cs="Arial" w:eastAsia="Arial" w:hAnsi="Arial"/>
                <w:sz w:val="22"/>
                <w:szCs w:val="22"/>
                <w:color w:val="auto"/>
              </w:rPr>
              <w:t>339</w:t>
            </w:r>
          </w:p>
        </w:tc>
        <w:tc>
          <w:tcPr>
            <w:tcW w:w="880" w:type="dxa"/>
            <w:vAlign w:val="bottom"/>
            <w:gridSpan w:val="2"/>
          </w:tcPr>
          <w:p>
            <w:pPr>
              <w:jc w:val="right"/>
              <w:ind w:right="200"/>
              <w:spacing w:after="0"/>
              <w:rPr>
                <w:sz w:val="20"/>
                <w:szCs w:val="20"/>
                <w:color w:val="auto"/>
              </w:rPr>
            </w:pPr>
            <w:r>
              <w:rPr>
                <w:rFonts w:ascii="Arial" w:cs="Arial" w:eastAsia="Arial" w:hAnsi="Arial"/>
                <w:sz w:val="22"/>
                <w:szCs w:val="22"/>
                <w:color w:val="auto"/>
              </w:rPr>
              <w:t>77</w:t>
            </w:r>
          </w:p>
        </w:tc>
        <w:tc>
          <w:tcPr>
            <w:tcW w:w="740" w:type="dxa"/>
            <w:vAlign w:val="bottom"/>
          </w:tcPr>
          <w:p>
            <w:pPr>
              <w:jc w:val="right"/>
              <w:spacing w:after="0"/>
              <w:rPr>
                <w:sz w:val="20"/>
                <w:szCs w:val="20"/>
                <w:color w:val="auto"/>
              </w:rPr>
            </w:pPr>
            <w:r>
              <w:rPr>
                <w:rFonts w:ascii="Arial" w:cs="Arial" w:eastAsia="Arial" w:hAnsi="Arial"/>
                <w:sz w:val="22"/>
                <w:szCs w:val="22"/>
                <w:color w:val="auto"/>
              </w:rPr>
              <w:t>142</w:t>
            </w:r>
          </w:p>
        </w:tc>
        <w:tc>
          <w:tcPr>
            <w:tcW w:w="1040" w:type="dxa"/>
            <w:vAlign w:val="bottom"/>
            <w:gridSpan w:val="2"/>
          </w:tcPr>
          <w:p>
            <w:pPr>
              <w:jc w:val="right"/>
              <w:spacing w:after="0"/>
              <w:rPr>
                <w:sz w:val="20"/>
                <w:szCs w:val="20"/>
                <w:color w:val="auto"/>
              </w:rPr>
            </w:pPr>
            <w:r>
              <w:rPr>
                <w:rFonts w:ascii="Arial" w:cs="Arial" w:eastAsia="Arial" w:hAnsi="Arial"/>
                <w:sz w:val="22"/>
                <w:szCs w:val="22"/>
                <w:color w:val="auto"/>
              </w:rPr>
              <w:t>258</w:t>
            </w:r>
          </w:p>
        </w:tc>
        <w:tc>
          <w:tcPr>
            <w:tcW w:w="200" w:type="dxa"/>
            <w:vAlign w:val="bottom"/>
          </w:tcPr>
          <w:p>
            <w:pPr>
              <w:spacing w:after="0"/>
              <w:rPr>
                <w:sz w:val="21"/>
                <w:szCs w:val="21"/>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22"/>
                <w:szCs w:val="22"/>
                <w:color w:val="auto"/>
              </w:rPr>
              <w:t>(1,102)</w:t>
            </w:r>
          </w:p>
        </w:tc>
        <w:tc>
          <w:tcPr>
            <w:tcW w:w="1000" w:type="dxa"/>
            <w:vAlign w:val="bottom"/>
            <w:gridSpan w:val="2"/>
          </w:tcPr>
          <w:p>
            <w:pPr>
              <w:jc w:val="right"/>
              <w:spacing w:after="0"/>
              <w:rPr>
                <w:sz w:val="20"/>
                <w:szCs w:val="20"/>
                <w:color w:val="auto"/>
              </w:rPr>
            </w:pPr>
            <w:r>
              <w:rPr>
                <w:rFonts w:ascii="Arial" w:cs="Arial" w:eastAsia="Arial" w:hAnsi="Arial"/>
                <w:sz w:val="22"/>
                <w:szCs w:val="22"/>
                <w:color w:val="auto"/>
              </w:rPr>
              <w:t>(20)</w:t>
            </w:r>
          </w:p>
        </w:tc>
        <w:tc>
          <w:tcPr>
            <w:tcW w:w="0" w:type="dxa"/>
            <w:vAlign w:val="bottom"/>
          </w:tcPr>
          <w:p>
            <w:pPr>
              <w:spacing w:after="0"/>
              <w:rPr>
                <w:sz w:val="1"/>
                <w:szCs w:val="1"/>
                <w:color w:val="auto"/>
              </w:rPr>
            </w:pPr>
          </w:p>
        </w:tc>
      </w:tr>
      <w:tr>
        <w:trPr>
          <w:trHeight w:val="275"/>
        </w:trPr>
        <w:tc>
          <w:tcPr>
            <w:tcW w:w="3340" w:type="dxa"/>
            <w:vAlign w:val="bottom"/>
          </w:tcPr>
          <w:p>
            <w:pPr>
              <w:ind w:left="180"/>
              <w:spacing w:after="0"/>
              <w:rPr>
                <w:sz w:val="20"/>
                <w:szCs w:val="20"/>
                <w:color w:val="auto"/>
              </w:rPr>
            </w:pPr>
            <w:r>
              <w:rPr>
                <w:rFonts w:ascii="Arial" w:cs="Arial" w:eastAsia="Arial" w:hAnsi="Arial"/>
                <w:sz w:val="22"/>
                <w:szCs w:val="22"/>
                <w:color w:val="auto"/>
              </w:rPr>
              <w:t>Other income</w:t>
            </w:r>
          </w:p>
        </w:tc>
        <w:tc>
          <w:tcPr>
            <w:tcW w:w="7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40" w:type="dxa"/>
            <w:vAlign w:val="bottom"/>
            <w:gridSpan w:val="2"/>
          </w:tcPr>
          <w:p>
            <w:pPr>
              <w:jc w:val="right"/>
              <w:spacing w:after="0"/>
              <w:rPr>
                <w:sz w:val="20"/>
                <w:szCs w:val="20"/>
                <w:color w:val="auto"/>
              </w:rPr>
            </w:pPr>
            <w:r>
              <w:rPr>
                <w:rFonts w:ascii="Arial" w:cs="Arial" w:eastAsia="Arial" w:hAnsi="Arial"/>
                <w:sz w:val="22"/>
                <w:szCs w:val="22"/>
                <w:color w:val="auto"/>
              </w:rPr>
              <w:t>12</w:t>
            </w:r>
          </w:p>
        </w:tc>
        <w:tc>
          <w:tcPr>
            <w:tcW w:w="2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22"/>
                <w:szCs w:val="22"/>
                <w:color w:val="auto"/>
              </w:rPr>
              <w:t>12</w:t>
            </w:r>
          </w:p>
        </w:tc>
        <w:tc>
          <w:tcPr>
            <w:tcW w:w="0" w:type="dxa"/>
            <w:vAlign w:val="bottom"/>
          </w:tcPr>
          <w:p>
            <w:pPr>
              <w:spacing w:after="0"/>
              <w:rPr>
                <w:sz w:val="1"/>
                <w:szCs w:val="1"/>
                <w:color w:val="auto"/>
              </w:rPr>
            </w:pPr>
          </w:p>
        </w:tc>
      </w:tr>
      <w:tr>
        <w:trPr>
          <w:trHeight w:val="98"/>
        </w:trPr>
        <w:tc>
          <w:tcPr>
            <w:tcW w:w="334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55"/>
        </w:trPr>
        <w:tc>
          <w:tcPr>
            <w:tcW w:w="3340" w:type="dxa"/>
            <w:vAlign w:val="bottom"/>
          </w:tcPr>
          <w:p>
            <w:pPr>
              <w:spacing w:after="0"/>
              <w:rPr>
                <w:sz w:val="24"/>
                <w:szCs w:val="2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22"/>
                <w:szCs w:val="22"/>
                <w:color w:val="auto"/>
              </w:rPr>
              <w:t>205</w:t>
            </w:r>
          </w:p>
        </w:tc>
        <w:tc>
          <w:tcPr>
            <w:tcW w:w="880" w:type="dxa"/>
            <w:vAlign w:val="bottom"/>
            <w:gridSpan w:val="2"/>
          </w:tcPr>
          <w:p>
            <w:pPr>
              <w:jc w:val="right"/>
              <w:ind w:right="200"/>
              <w:spacing w:after="0"/>
              <w:rPr>
                <w:sz w:val="20"/>
                <w:szCs w:val="20"/>
                <w:color w:val="auto"/>
              </w:rPr>
            </w:pPr>
            <w:r>
              <w:rPr>
                <w:rFonts w:ascii="Arial" w:cs="Arial" w:eastAsia="Arial" w:hAnsi="Arial"/>
                <w:sz w:val="22"/>
                <w:szCs w:val="22"/>
                <w:color w:val="auto"/>
              </w:rPr>
              <w:t>224</w:t>
            </w: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22"/>
                <w:szCs w:val="22"/>
                <w:color w:val="auto"/>
              </w:rPr>
              <w:t>42</w:t>
            </w:r>
          </w:p>
        </w:tc>
        <w:tc>
          <w:tcPr>
            <w:tcW w:w="1040" w:type="dxa"/>
            <w:vAlign w:val="bottom"/>
            <w:gridSpan w:val="2"/>
          </w:tcPr>
          <w:p>
            <w:pPr>
              <w:jc w:val="right"/>
              <w:spacing w:after="0"/>
              <w:rPr>
                <w:sz w:val="20"/>
                <w:szCs w:val="20"/>
                <w:color w:val="auto"/>
              </w:rPr>
            </w:pPr>
            <w:r>
              <w:rPr>
                <w:rFonts w:ascii="Arial" w:cs="Arial" w:eastAsia="Arial" w:hAnsi="Arial"/>
                <w:sz w:val="22"/>
                <w:szCs w:val="22"/>
                <w:color w:val="auto"/>
              </w:rPr>
              <w:t>290</w:t>
            </w:r>
          </w:p>
        </w:tc>
        <w:tc>
          <w:tcPr>
            <w:tcW w:w="200" w:type="dxa"/>
            <w:vAlign w:val="bottom"/>
          </w:tcPr>
          <w:p>
            <w:pPr>
              <w:spacing w:after="0"/>
              <w:rPr>
                <w:sz w:val="24"/>
                <w:szCs w:val="24"/>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22"/>
                <w:szCs w:val="22"/>
                <w:color w:val="auto"/>
              </w:rPr>
              <w:t>(1,102)</w:t>
            </w:r>
          </w:p>
        </w:tc>
        <w:tc>
          <w:tcPr>
            <w:tcW w:w="1000" w:type="dxa"/>
            <w:vAlign w:val="bottom"/>
            <w:gridSpan w:val="2"/>
          </w:tcPr>
          <w:p>
            <w:pPr>
              <w:jc w:val="right"/>
              <w:spacing w:after="0"/>
              <w:rPr>
                <w:sz w:val="20"/>
                <w:szCs w:val="20"/>
                <w:color w:val="auto"/>
              </w:rPr>
            </w:pPr>
            <w:r>
              <w:rPr>
                <w:rFonts w:ascii="Arial" w:cs="Arial" w:eastAsia="Arial" w:hAnsi="Arial"/>
                <w:sz w:val="22"/>
                <w:szCs w:val="22"/>
                <w:color w:val="auto"/>
              </w:rPr>
              <w:t>(341)</w:t>
            </w:r>
          </w:p>
        </w:tc>
        <w:tc>
          <w:tcPr>
            <w:tcW w:w="0" w:type="dxa"/>
            <w:vAlign w:val="bottom"/>
          </w:tcPr>
          <w:p>
            <w:pPr>
              <w:spacing w:after="0"/>
              <w:rPr>
                <w:sz w:val="1"/>
                <w:szCs w:val="1"/>
                <w:color w:val="auto"/>
              </w:rPr>
            </w:pPr>
          </w:p>
        </w:tc>
      </w:tr>
      <w:tr>
        <w:trPr>
          <w:trHeight w:val="98"/>
        </w:trPr>
        <w:tc>
          <w:tcPr>
            <w:tcW w:w="3340" w:type="dxa"/>
            <w:vAlign w:val="bottom"/>
            <w:vMerge w:val="restart"/>
          </w:tcPr>
          <w:p>
            <w:pPr>
              <w:spacing w:after="0"/>
              <w:rPr>
                <w:sz w:val="20"/>
                <w:szCs w:val="20"/>
                <w:color w:val="auto"/>
              </w:rPr>
            </w:pPr>
            <w:r>
              <w:rPr>
                <w:rFonts w:ascii="Arial" w:cs="Arial" w:eastAsia="Arial" w:hAnsi="Arial"/>
                <w:sz w:val="22"/>
                <w:szCs w:val="22"/>
                <w:color w:val="auto"/>
              </w:rPr>
              <w:t>INCOME (LOSS) BEFORE</w:t>
            </w:r>
          </w:p>
        </w:tc>
        <w:tc>
          <w:tcPr>
            <w:tcW w:w="7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66"/>
        </w:trPr>
        <w:tc>
          <w:tcPr>
            <w:tcW w:w="334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Arial" w:cs="Arial" w:eastAsia="Arial" w:hAnsi="Arial"/>
                <w:sz w:val="22"/>
                <w:szCs w:val="22"/>
                <w:color w:val="auto"/>
              </w:rPr>
              <w:t>INCOME TAXES</w:t>
            </w: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3340" w:type="dxa"/>
            <w:vAlign w:val="bottom"/>
          </w:tcPr>
          <w:p>
            <w:pPr>
              <w:ind w:left="160"/>
              <w:spacing w:after="0"/>
              <w:rPr>
                <w:sz w:val="20"/>
                <w:szCs w:val="20"/>
                <w:color w:val="auto"/>
              </w:rPr>
            </w:pPr>
            <w:r>
              <w:rPr>
                <w:rFonts w:ascii="Arial" w:cs="Arial" w:eastAsia="Arial" w:hAnsi="Arial"/>
                <w:sz w:val="22"/>
                <w:szCs w:val="22"/>
                <w:color w:val="auto"/>
              </w:rPr>
              <w:t>AND MINORITY INTEREST</w:t>
            </w:r>
          </w:p>
        </w:tc>
        <w:tc>
          <w:tcPr>
            <w:tcW w:w="900" w:type="dxa"/>
            <w:vAlign w:val="bottom"/>
            <w:gridSpan w:val="2"/>
          </w:tcPr>
          <w:p>
            <w:pPr>
              <w:jc w:val="right"/>
              <w:ind w:right="200"/>
              <w:spacing w:after="0"/>
              <w:rPr>
                <w:sz w:val="20"/>
                <w:szCs w:val="20"/>
                <w:color w:val="auto"/>
              </w:rPr>
            </w:pPr>
            <w:r>
              <w:rPr>
                <w:rFonts w:ascii="Arial" w:cs="Arial" w:eastAsia="Arial" w:hAnsi="Arial"/>
                <w:sz w:val="22"/>
                <w:szCs w:val="22"/>
                <w:color w:val="auto"/>
              </w:rPr>
              <w:t>260</w:t>
            </w:r>
          </w:p>
        </w:tc>
        <w:tc>
          <w:tcPr>
            <w:tcW w:w="880" w:type="dxa"/>
            <w:vAlign w:val="bottom"/>
            <w:gridSpan w:val="2"/>
          </w:tcPr>
          <w:p>
            <w:pPr>
              <w:jc w:val="right"/>
              <w:ind w:right="200"/>
              <w:spacing w:after="0"/>
              <w:rPr>
                <w:sz w:val="20"/>
                <w:szCs w:val="20"/>
                <w:color w:val="auto"/>
              </w:rPr>
            </w:pPr>
            <w:r>
              <w:rPr>
                <w:rFonts w:ascii="Arial" w:cs="Arial" w:eastAsia="Arial" w:hAnsi="Arial"/>
                <w:sz w:val="22"/>
                <w:szCs w:val="22"/>
                <w:color w:val="auto"/>
              </w:rPr>
              <w:t>224</w:t>
            </w:r>
          </w:p>
        </w:tc>
        <w:tc>
          <w:tcPr>
            <w:tcW w:w="6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22"/>
                <w:szCs w:val="22"/>
                <w:color w:val="auto"/>
              </w:rPr>
              <w:t>42</w:t>
            </w:r>
          </w:p>
        </w:tc>
        <w:tc>
          <w:tcPr>
            <w:tcW w:w="1040" w:type="dxa"/>
            <w:vAlign w:val="bottom"/>
            <w:gridSpan w:val="2"/>
          </w:tcPr>
          <w:p>
            <w:pPr>
              <w:jc w:val="right"/>
              <w:spacing w:after="0"/>
              <w:rPr>
                <w:sz w:val="20"/>
                <w:szCs w:val="20"/>
                <w:color w:val="auto"/>
              </w:rPr>
            </w:pPr>
            <w:r>
              <w:rPr>
                <w:rFonts w:ascii="Arial" w:cs="Arial" w:eastAsia="Arial" w:hAnsi="Arial"/>
                <w:sz w:val="22"/>
                <w:szCs w:val="22"/>
                <w:color w:val="auto"/>
              </w:rPr>
              <w:t>1,087</w:t>
            </w:r>
          </w:p>
        </w:tc>
        <w:tc>
          <w:tcPr>
            <w:tcW w:w="200" w:type="dxa"/>
            <w:vAlign w:val="bottom"/>
          </w:tcPr>
          <w:p>
            <w:pPr>
              <w:spacing w:after="0"/>
              <w:rPr>
                <w:sz w:val="23"/>
                <w:szCs w:val="23"/>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22"/>
                <w:szCs w:val="22"/>
                <w:color w:val="auto"/>
              </w:rPr>
              <w:t>(1,102)</w:t>
            </w:r>
          </w:p>
        </w:tc>
        <w:tc>
          <w:tcPr>
            <w:tcW w:w="1000" w:type="dxa"/>
            <w:vAlign w:val="bottom"/>
            <w:gridSpan w:val="2"/>
          </w:tcPr>
          <w:p>
            <w:pPr>
              <w:jc w:val="right"/>
              <w:ind w:right="80"/>
              <w:spacing w:after="0"/>
              <w:rPr>
                <w:sz w:val="20"/>
                <w:szCs w:val="20"/>
                <w:color w:val="auto"/>
              </w:rPr>
            </w:pPr>
            <w:r>
              <w:rPr>
                <w:rFonts w:ascii="Arial" w:cs="Arial" w:eastAsia="Arial" w:hAnsi="Arial"/>
                <w:sz w:val="22"/>
                <w:szCs w:val="22"/>
                <w:color w:val="auto"/>
              </w:rPr>
              <w:t>511</w:t>
            </w:r>
          </w:p>
        </w:tc>
        <w:tc>
          <w:tcPr>
            <w:tcW w:w="0" w:type="dxa"/>
            <w:vAlign w:val="bottom"/>
          </w:tcPr>
          <w:p>
            <w:pPr>
              <w:spacing w:after="0"/>
              <w:rPr>
                <w:sz w:val="1"/>
                <w:szCs w:val="1"/>
                <w:color w:val="auto"/>
              </w:rPr>
            </w:pPr>
          </w:p>
        </w:tc>
      </w:tr>
      <w:tr>
        <w:trPr>
          <w:trHeight w:val="455"/>
        </w:trPr>
        <w:tc>
          <w:tcPr>
            <w:tcW w:w="3340" w:type="dxa"/>
            <w:vAlign w:val="bottom"/>
          </w:tcPr>
          <w:p>
            <w:pPr>
              <w:spacing w:after="0"/>
              <w:rPr>
                <w:sz w:val="20"/>
                <w:szCs w:val="20"/>
                <w:color w:val="auto"/>
              </w:rPr>
            </w:pPr>
            <w:r>
              <w:rPr>
                <w:rFonts w:ascii="Arial" w:cs="Arial" w:eastAsia="Arial" w:hAnsi="Arial"/>
                <w:sz w:val="22"/>
                <w:szCs w:val="22"/>
                <w:color w:val="auto"/>
              </w:rPr>
              <w:t>INCOME TAX (EXPENSE)</w:t>
            </w: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3340" w:type="dxa"/>
            <w:vAlign w:val="bottom"/>
          </w:tcPr>
          <w:p>
            <w:pPr>
              <w:spacing w:after="0"/>
              <w:rPr>
                <w:sz w:val="20"/>
                <w:szCs w:val="20"/>
                <w:color w:val="auto"/>
              </w:rPr>
            </w:pPr>
            <w:r>
              <w:rPr>
                <w:rFonts w:ascii="Arial" w:cs="Arial" w:eastAsia="Arial" w:hAnsi="Arial"/>
                <w:sz w:val="22"/>
                <w:szCs w:val="22"/>
                <w:color w:val="auto"/>
              </w:rPr>
              <w:t>BENEFIT</w:t>
            </w:r>
          </w:p>
        </w:tc>
        <w:tc>
          <w:tcPr>
            <w:tcW w:w="900" w:type="dxa"/>
            <w:vAlign w:val="bottom"/>
            <w:gridSpan w:val="2"/>
          </w:tcPr>
          <w:p>
            <w:pPr>
              <w:jc w:val="right"/>
              <w:ind w:right="200"/>
              <w:spacing w:after="0"/>
              <w:rPr>
                <w:sz w:val="20"/>
                <w:szCs w:val="20"/>
                <w:color w:val="auto"/>
              </w:rPr>
            </w:pPr>
            <w:r>
              <w:rPr>
                <w:rFonts w:ascii="Arial" w:cs="Arial" w:eastAsia="Arial" w:hAnsi="Arial"/>
                <w:sz w:val="22"/>
                <w:szCs w:val="22"/>
                <w:color w:val="auto"/>
              </w:rPr>
              <w:t>2</w:t>
            </w:r>
          </w:p>
        </w:tc>
        <w:tc>
          <w:tcPr>
            <w:tcW w:w="880" w:type="dxa"/>
            <w:vAlign w:val="bottom"/>
            <w:gridSpan w:val="2"/>
          </w:tcPr>
          <w:p>
            <w:pPr>
              <w:jc w:val="right"/>
              <w:ind w:right="200"/>
              <w:spacing w:after="0"/>
              <w:rPr>
                <w:sz w:val="20"/>
                <w:szCs w:val="20"/>
                <w:color w:val="auto"/>
              </w:rPr>
            </w:pPr>
            <w:r>
              <w:rPr>
                <w:rFonts w:ascii="Arial" w:cs="Arial" w:eastAsia="Arial" w:hAnsi="Arial"/>
                <w:sz w:val="22"/>
                <w:szCs w:val="22"/>
                <w:color w:val="auto"/>
              </w:rPr>
              <w:t>41</w:t>
            </w:r>
          </w:p>
        </w:tc>
        <w:tc>
          <w:tcPr>
            <w:tcW w:w="880" w:type="dxa"/>
            <w:vAlign w:val="bottom"/>
            <w:gridSpan w:val="2"/>
          </w:tcPr>
          <w:p>
            <w:pPr>
              <w:jc w:val="right"/>
              <w:ind w:right="200"/>
              <w:spacing w:after="0"/>
              <w:rPr>
                <w:sz w:val="20"/>
                <w:szCs w:val="20"/>
                <w:color w:val="auto"/>
              </w:rPr>
            </w:pPr>
            <w:r>
              <w:rPr>
                <w:rFonts w:ascii="Arial" w:cs="Arial" w:eastAsia="Arial" w:hAnsi="Arial"/>
                <w:sz w:val="22"/>
                <w:szCs w:val="22"/>
                <w:color w:val="auto"/>
              </w:rPr>
              <w:t>27</w:t>
            </w:r>
          </w:p>
        </w:tc>
        <w:tc>
          <w:tcPr>
            <w:tcW w:w="740" w:type="dxa"/>
            <w:vAlign w:val="bottom"/>
          </w:tcPr>
          <w:p>
            <w:pPr>
              <w:jc w:val="right"/>
              <w:spacing w:after="0"/>
              <w:rPr>
                <w:sz w:val="20"/>
                <w:szCs w:val="20"/>
                <w:color w:val="auto"/>
              </w:rPr>
            </w:pPr>
            <w:r>
              <w:rPr>
                <w:rFonts w:ascii="Arial" w:cs="Arial" w:eastAsia="Arial" w:hAnsi="Arial"/>
                <w:sz w:val="22"/>
                <w:szCs w:val="22"/>
                <w:color w:val="auto"/>
              </w:rPr>
              <w:t>35</w:t>
            </w:r>
          </w:p>
        </w:tc>
        <w:tc>
          <w:tcPr>
            <w:tcW w:w="1240" w:type="dxa"/>
            <w:vAlign w:val="bottom"/>
            <w:gridSpan w:val="3"/>
          </w:tcPr>
          <w:p>
            <w:pPr>
              <w:jc w:val="right"/>
              <w:ind w:right="120"/>
              <w:spacing w:after="0"/>
              <w:rPr>
                <w:sz w:val="20"/>
                <w:szCs w:val="20"/>
                <w:color w:val="auto"/>
              </w:rPr>
            </w:pPr>
            <w:r>
              <w:rPr>
                <w:rFonts w:ascii="Arial" w:cs="Arial" w:eastAsia="Arial" w:hAnsi="Arial"/>
                <w:sz w:val="22"/>
                <w:szCs w:val="22"/>
                <w:color w:val="auto"/>
              </w:rPr>
              <w:t>(339)</w:t>
            </w:r>
          </w:p>
        </w:tc>
        <w:tc>
          <w:tcPr>
            <w:tcW w:w="9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gridSpan w:val="2"/>
          </w:tcPr>
          <w:p>
            <w:pPr>
              <w:jc w:val="right"/>
              <w:spacing w:after="0"/>
              <w:rPr>
                <w:sz w:val="20"/>
                <w:szCs w:val="20"/>
                <w:color w:val="auto"/>
              </w:rPr>
            </w:pPr>
            <w:r>
              <w:rPr>
                <w:rFonts w:ascii="Arial" w:cs="Arial" w:eastAsia="Arial" w:hAnsi="Arial"/>
                <w:sz w:val="22"/>
                <w:szCs w:val="22"/>
                <w:color w:val="auto"/>
              </w:rPr>
              <w:t>(234)</w:t>
            </w:r>
          </w:p>
        </w:tc>
        <w:tc>
          <w:tcPr>
            <w:tcW w:w="0" w:type="dxa"/>
            <w:vAlign w:val="bottom"/>
          </w:tcPr>
          <w:p>
            <w:pPr>
              <w:spacing w:after="0"/>
              <w:rPr>
                <w:sz w:val="1"/>
                <w:szCs w:val="1"/>
                <w:color w:val="auto"/>
              </w:rPr>
            </w:pPr>
          </w:p>
        </w:tc>
      </w:tr>
      <w:tr>
        <w:trPr>
          <w:trHeight w:val="98"/>
        </w:trPr>
        <w:tc>
          <w:tcPr>
            <w:tcW w:w="3340" w:type="dxa"/>
            <w:vAlign w:val="bottom"/>
            <w:vMerge w:val="restart"/>
          </w:tcPr>
          <w:p>
            <w:pPr>
              <w:spacing w:after="0"/>
              <w:rPr>
                <w:sz w:val="20"/>
                <w:szCs w:val="20"/>
                <w:color w:val="auto"/>
              </w:rPr>
            </w:pPr>
            <w:r>
              <w:rPr>
                <w:rFonts w:ascii="Arial" w:cs="Arial" w:eastAsia="Arial" w:hAnsi="Arial"/>
                <w:sz w:val="22"/>
                <w:szCs w:val="22"/>
                <w:color w:val="auto"/>
              </w:rPr>
              <w:t>INCOME (LOSS) BEFORE</w:t>
            </w:r>
          </w:p>
        </w:tc>
        <w:tc>
          <w:tcPr>
            <w:tcW w:w="7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66"/>
        </w:trPr>
        <w:tc>
          <w:tcPr>
            <w:tcW w:w="334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3340" w:type="dxa"/>
            <w:vAlign w:val="bottom"/>
          </w:tcPr>
          <w:p>
            <w:pPr>
              <w:spacing w:after="0"/>
              <w:rPr>
                <w:sz w:val="20"/>
                <w:szCs w:val="20"/>
                <w:color w:val="auto"/>
              </w:rPr>
            </w:pPr>
            <w:r>
              <w:rPr>
                <w:rFonts w:ascii="Arial" w:cs="Arial" w:eastAsia="Arial" w:hAnsi="Arial"/>
                <w:sz w:val="22"/>
                <w:szCs w:val="22"/>
                <w:color w:val="auto"/>
              </w:rPr>
              <w:t>MINORITY INTEREST</w:t>
            </w:r>
          </w:p>
        </w:tc>
        <w:tc>
          <w:tcPr>
            <w:tcW w:w="900" w:type="dxa"/>
            <w:vAlign w:val="bottom"/>
            <w:gridSpan w:val="2"/>
          </w:tcPr>
          <w:p>
            <w:pPr>
              <w:jc w:val="right"/>
              <w:ind w:right="200"/>
              <w:spacing w:after="0"/>
              <w:rPr>
                <w:sz w:val="20"/>
                <w:szCs w:val="20"/>
                <w:color w:val="auto"/>
              </w:rPr>
            </w:pPr>
            <w:r>
              <w:rPr>
                <w:rFonts w:ascii="Arial" w:cs="Arial" w:eastAsia="Arial" w:hAnsi="Arial"/>
                <w:sz w:val="22"/>
                <w:szCs w:val="22"/>
                <w:color w:val="auto"/>
              </w:rPr>
              <w:t>262</w:t>
            </w:r>
          </w:p>
        </w:tc>
        <w:tc>
          <w:tcPr>
            <w:tcW w:w="880" w:type="dxa"/>
            <w:vAlign w:val="bottom"/>
            <w:gridSpan w:val="2"/>
          </w:tcPr>
          <w:p>
            <w:pPr>
              <w:jc w:val="right"/>
              <w:ind w:right="200"/>
              <w:spacing w:after="0"/>
              <w:rPr>
                <w:sz w:val="20"/>
                <w:szCs w:val="20"/>
                <w:color w:val="auto"/>
              </w:rPr>
            </w:pPr>
            <w:r>
              <w:rPr>
                <w:rFonts w:ascii="Arial" w:cs="Arial" w:eastAsia="Arial" w:hAnsi="Arial"/>
                <w:sz w:val="22"/>
                <w:szCs w:val="22"/>
                <w:color w:val="auto"/>
              </w:rPr>
              <w:t>265</w:t>
            </w:r>
          </w:p>
        </w:tc>
        <w:tc>
          <w:tcPr>
            <w:tcW w:w="880" w:type="dxa"/>
            <w:vAlign w:val="bottom"/>
            <w:gridSpan w:val="2"/>
          </w:tcPr>
          <w:p>
            <w:pPr>
              <w:jc w:val="right"/>
              <w:ind w:right="200"/>
              <w:spacing w:after="0"/>
              <w:rPr>
                <w:sz w:val="20"/>
                <w:szCs w:val="20"/>
                <w:color w:val="auto"/>
              </w:rPr>
            </w:pPr>
            <w:r>
              <w:rPr>
                <w:rFonts w:ascii="Arial" w:cs="Arial" w:eastAsia="Arial" w:hAnsi="Arial"/>
                <w:sz w:val="22"/>
                <w:szCs w:val="22"/>
                <w:color w:val="auto"/>
              </w:rPr>
              <w:t>27</w:t>
            </w:r>
          </w:p>
        </w:tc>
        <w:tc>
          <w:tcPr>
            <w:tcW w:w="740" w:type="dxa"/>
            <w:vAlign w:val="bottom"/>
          </w:tcPr>
          <w:p>
            <w:pPr>
              <w:jc w:val="right"/>
              <w:spacing w:after="0"/>
              <w:rPr>
                <w:sz w:val="20"/>
                <w:szCs w:val="20"/>
                <w:color w:val="auto"/>
              </w:rPr>
            </w:pPr>
            <w:r>
              <w:rPr>
                <w:rFonts w:ascii="Arial" w:cs="Arial" w:eastAsia="Arial" w:hAnsi="Arial"/>
                <w:sz w:val="22"/>
                <w:szCs w:val="22"/>
                <w:color w:val="auto"/>
              </w:rPr>
              <w:t>77</w:t>
            </w:r>
          </w:p>
        </w:tc>
        <w:tc>
          <w:tcPr>
            <w:tcW w:w="1040" w:type="dxa"/>
            <w:vAlign w:val="bottom"/>
            <w:gridSpan w:val="2"/>
          </w:tcPr>
          <w:p>
            <w:pPr>
              <w:jc w:val="right"/>
              <w:spacing w:after="0"/>
              <w:rPr>
                <w:sz w:val="20"/>
                <w:szCs w:val="20"/>
                <w:color w:val="auto"/>
              </w:rPr>
            </w:pPr>
            <w:r>
              <w:rPr>
                <w:rFonts w:ascii="Arial" w:cs="Arial" w:eastAsia="Arial" w:hAnsi="Arial"/>
                <w:sz w:val="22"/>
                <w:szCs w:val="22"/>
                <w:color w:val="auto"/>
              </w:rPr>
              <w:t>748</w:t>
            </w:r>
          </w:p>
        </w:tc>
        <w:tc>
          <w:tcPr>
            <w:tcW w:w="200" w:type="dxa"/>
            <w:vAlign w:val="bottom"/>
          </w:tcPr>
          <w:p>
            <w:pPr>
              <w:spacing w:after="0"/>
              <w:rPr>
                <w:sz w:val="23"/>
                <w:szCs w:val="23"/>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22"/>
                <w:szCs w:val="22"/>
                <w:color w:val="auto"/>
              </w:rPr>
              <w:t>(1,102)</w:t>
            </w:r>
          </w:p>
        </w:tc>
        <w:tc>
          <w:tcPr>
            <w:tcW w:w="1000" w:type="dxa"/>
            <w:vAlign w:val="bottom"/>
            <w:gridSpan w:val="2"/>
          </w:tcPr>
          <w:p>
            <w:pPr>
              <w:jc w:val="right"/>
              <w:ind w:right="80"/>
              <w:spacing w:after="0"/>
              <w:rPr>
                <w:sz w:val="20"/>
                <w:szCs w:val="20"/>
                <w:color w:val="auto"/>
              </w:rPr>
            </w:pPr>
            <w:r>
              <w:rPr>
                <w:rFonts w:ascii="Arial" w:cs="Arial" w:eastAsia="Arial" w:hAnsi="Arial"/>
                <w:sz w:val="22"/>
                <w:szCs w:val="22"/>
                <w:color w:val="auto"/>
              </w:rPr>
              <w:t>277</w:t>
            </w:r>
          </w:p>
        </w:tc>
        <w:tc>
          <w:tcPr>
            <w:tcW w:w="0" w:type="dxa"/>
            <w:vAlign w:val="bottom"/>
          </w:tcPr>
          <w:p>
            <w:pPr>
              <w:spacing w:after="0"/>
              <w:rPr>
                <w:sz w:val="1"/>
                <w:szCs w:val="1"/>
                <w:color w:val="auto"/>
              </w:rPr>
            </w:pPr>
          </w:p>
        </w:tc>
      </w:tr>
      <w:tr>
        <w:trPr>
          <w:trHeight w:val="486"/>
        </w:trPr>
        <w:tc>
          <w:tcPr>
            <w:tcW w:w="3340" w:type="dxa"/>
            <w:vAlign w:val="bottom"/>
          </w:tcPr>
          <w:p>
            <w:pPr>
              <w:spacing w:after="0"/>
              <w:rPr>
                <w:sz w:val="20"/>
                <w:szCs w:val="20"/>
                <w:color w:val="auto"/>
              </w:rPr>
            </w:pPr>
            <w:r>
              <w:rPr>
                <w:rFonts w:ascii="Arial" w:cs="Arial" w:eastAsia="Arial" w:hAnsi="Arial"/>
                <w:sz w:val="22"/>
                <w:szCs w:val="22"/>
                <w:color w:val="auto"/>
              </w:rPr>
              <w:t>MINORITY INTEREST</w:t>
            </w: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40" w:type="dxa"/>
            <w:vAlign w:val="bottom"/>
            <w:gridSpan w:val="3"/>
          </w:tcPr>
          <w:p>
            <w:pPr>
              <w:jc w:val="right"/>
              <w:ind w:right="120"/>
              <w:spacing w:after="0"/>
              <w:rPr>
                <w:sz w:val="20"/>
                <w:szCs w:val="20"/>
                <w:color w:val="auto"/>
              </w:rPr>
            </w:pPr>
            <w:r>
              <w:rPr>
                <w:rFonts w:ascii="Arial" w:cs="Arial" w:eastAsia="Arial" w:hAnsi="Arial"/>
                <w:sz w:val="22"/>
                <w:szCs w:val="22"/>
                <w:color w:val="auto"/>
              </w:rPr>
              <w:t>(15)</w:t>
            </w: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gridSpan w:val="2"/>
          </w:tcPr>
          <w:p>
            <w:pPr>
              <w:jc w:val="right"/>
              <w:spacing w:after="0"/>
              <w:rPr>
                <w:sz w:val="20"/>
                <w:szCs w:val="20"/>
                <w:color w:val="auto"/>
              </w:rPr>
            </w:pPr>
            <w:r>
              <w:rPr>
                <w:rFonts w:ascii="Arial" w:cs="Arial" w:eastAsia="Arial" w:hAnsi="Arial"/>
                <w:sz w:val="22"/>
                <w:szCs w:val="22"/>
                <w:color w:val="auto"/>
              </w:rPr>
              <w:t>(15)</w:t>
            </w:r>
          </w:p>
        </w:tc>
        <w:tc>
          <w:tcPr>
            <w:tcW w:w="0" w:type="dxa"/>
            <w:vAlign w:val="bottom"/>
          </w:tcPr>
          <w:p>
            <w:pPr>
              <w:spacing w:after="0"/>
              <w:rPr>
                <w:sz w:val="1"/>
                <w:szCs w:val="1"/>
                <w:color w:val="auto"/>
              </w:rPr>
            </w:pPr>
          </w:p>
        </w:tc>
      </w:tr>
      <w:tr>
        <w:trPr>
          <w:trHeight w:val="98"/>
        </w:trPr>
        <w:tc>
          <w:tcPr>
            <w:tcW w:w="334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98"/>
        </w:trPr>
        <w:tc>
          <w:tcPr>
            <w:tcW w:w="3340" w:type="dxa"/>
            <w:vAlign w:val="bottom"/>
          </w:tcPr>
          <w:p>
            <w:pPr>
              <w:spacing w:after="0"/>
              <w:rPr>
                <w:sz w:val="20"/>
                <w:szCs w:val="20"/>
                <w:color w:val="auto"/>
              </w:rPr>
            </w:pPr>
            <w:r>
              <w:rPr>
                <w:rFonts w:ascii="Arial" w:cs="Arial" w:eastAsia="Arial" w:hAnsi="Arial"/>
                <w:sz w:val="22"/>
                <w:szCs w:val="22"/>
                <w:color w:val="auto"/>
              </w:rPr>
              <w:t>NET INCOME (LOSS)</w:t>
            </w:r>
          </w:p>
        </w:tc>
        <w:tc>
          <w:tcPr>
            <w:tcW w:w="900" w:type="dxa"/>
            <w:vAlign w:val="bottom"/>
            <w:gridSpan w:val="2"/>
          </w:tcPr>
          <w:p>
            <w:pPr>
              <w:jc w:val="right"/>
              <w:ind w:right="200"/>
              <w:spacing w:after="0"/>
              <w:rPr>
                <w:sz w:val="20"/>
                <w:szCs w:val="20"/>
                <w:color w:val="auto"/>
              </w:rPr>
            </w:pPr>
            <w:r>
              <w:rPr>
                <w:rFonts w:ascii="Arial" w:cs="Arial" w:eastAsia="Arial" w:hAnsi="Arial"/>
                <w:sz w:val="22"/>
                <w:szCs w:val="22"/>
                <w:color w:val="auto"/>
              </w:rPr>
              <w:t>$262</w:t>
            </w:r>
          </w:p>
        </w:tc>
        <w:tc>
          <w:tcPr>
            <w:tcW w:w="880" w:type="dxa"/>
            <w:vAlign w:val="bottom"/>
            <w:gridSpan w:val="2"/>
          </w:tcPr>
          <w:p>
            <w:pPr>
              <w:jc w:val="right"/>
              <w:ind w:right="200"/>
              <w:spacing w:after="0"/>
              <w:rPr>
                <w:sz w:val="20"/>
                <w:szCs w:val="20"/>
                <w:color w:val="auto"/>
              </w:rPr>
            </w:pPr>
            <w:r>
              <w:rPr>
                <w:rFonts w:ascii="Arial" w:cs="Arial" w:eastAsia="Arial" w:hAnsi="Arial"/>
                <w:sz w:val="22"/>
                <w:szCs w:val="22"/>
                <w:color w:val="auto"/>
              </w:rPr>
              <w:t>$265</w:t>
            </w:r>
          </w:p>
        </w:tc>
        <w:tc>
          <w:tcPr>
            <w:tcW w:w="880" w:type="dxa"/>
            <w:vAlign w:val="bottom"/>
            <w:gridSpan w:val="2"/>
          </w:tcPr>
          <w:p>
            <w:pPr>
              <w:jc w:val="right"/>
              <w:ind w:right="200"/>
              <w:spacing w:after="0"/>
              <w:rPr>
                <w:sz w:val="20"/>
                <w:szCs w:val="20"/>
                <w:color w:val="auto"/>
              </w:rPr>
            </w:pPr>
            <w:r>
              <w:rPr>
                <w:rFonts w:ascii="Arial" w:cs="Arial" w:eastAsia="Arial" w:hAnsi="Arial"/>
                <w:sz w:val="22"/>
                <w:szCs w:val="22"/>
                <w:color w:val="auto"/>
              </w:rPr>
              <w:t>$27</w:t>
            </w:r>
          </w:p>
        </w:tc>
        <w:tc>
          <w:tcPr>
            <w:tcW w:w="740" w:type="dxa"/>
            <w:vAlign w:val="bottom"/>
          </w:tcPr>
          <w:p>
            <w:pPr>
              <w:jc w:val="right"/>
              <w:spacing w:after="0"/>
              <w:rPr>
                <w:sz w:val="20"/>
                <w:szCs w:val="20"/>
                <w:color w:val="auto"/>
              </w:rPr>
            </w:pPr>
            <w:r>
              <w:rPr>
                <w:rFonts w:ascii="Arial" w:cs="Arial" w:eastAsia="Arial" w:hAnsi="Arial"/>
                <w:sz w:val="22"/>
                <w:szCs w:val="22"/>
                <w:color w:val="auto"/>
              </w:rPr>
              <w:t>$77</w:t>
            </w:r>
          </w:p>
        </w:tc>
        <w:tc>
          <w:tcPr>
            <w:tcW w:w="1040" w:type="dxa"/>
            <w:vAlign w:val="bottom"/>
            <w:gridSpan w:val="2"/>
          </w:tcPr>
          <w:p>
            <w:pPr>
              <w:jc w:val="right"/>
              <w:spacing w:after="0"/>
              <w:rPr>
                <w:sz w:val="20"/>
                <w:szCs w:val="20"/>
                <w:color w:val="auto"/>
              </w:rPr>
            </w:pPr>
            <w:r>
              <w:rPr>
                <w:rFonts w:ascii="Arial" w:cs="Arial" w:eastAsia="Arial" w:hAnsi="Arial"/>
                <w:sz w:val="22"/>
                <w:szCs w:val="22"/>
                <w:color w:val="auto"/>
              </w:rPr>
              <w:t>$733</w:t>
            </w:r>
          </w:p>
        </w:tc>
        <w:tc>
          <w:tcPr>
            <w:tcW w:w="200" w:type="dxa"/>
            <w:vAlign w:val="bottom"/>
          </w:tcPr>
          <w:p>
            <w:pPr>
              <w:spacing w:after="0"/>
              <w:rPr>
                <w:sz w:val="24"/>
                <w:szCs w:val="24"/>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22"/>
                <w:szCs w:val="22"/>
                <w:color w:val="auto"/>
              </w:rPr>
              <w:t>($1,102)</w:t>
            </w:r>
          </w:p>
        </w:tc>
        <w:tc>
          <w:tcPr>
            <w:tcW w:w="1000" w:type="dxa"/>
            <w:vAlign w:val="bottom"/>
            <w:gridSpan w:val="2"/>
          </w:tcPr>
          <w:p>
            <w:pPr>
              <w:jc w:val="right"/>
              <w:ind w:right="80"/>
              <w:spacing w:after="0"/>
              <w:rPr>
                <w:sz w:val="20"/>
                <w:szCs w:val="20"/>
                <w:color w:val="auto"/>
              </w:rPr>
            </w:pPr>
            <w:r>
              <w:rPr>
                <w:rFonts w:ascii="Arial" w:cs="Arial" w:eastAsia="Arial" w:hAnsi="Arial"/>
                <w:sz w:val="22"/>
                <w:szCs w:val="22"/>
                <w:color w:val="auto"/>
              </w:rPr>
              <w:t>$262</w:t>
            </w:r>
          </w:p>
        </w:tc>
        <w:tc>
          <w:tcPr>
            <w:tcW w:w="0" w:type="dxa"/>
            <w:vAlign w:val="bottom"/>
          </w:tcPr>
          <w:p>
            <w:pPr>
              <w:spacing w:after="0"/>
              <w:rPr>
                <w:sz w:val="1"/>
                <w:szCs w:val="1"/>
                <w:color w:val="auto"/>
              </w:rPr>
            </w:pPr>
          </w:p>
        </w:tc>
      </w:tr>
      <w:tr>
        <w:trPr>
          <w:trHeight w:val="108"/>
        </w:trPr>
        <w:tc>
          <w:tcPr>
            <w:tcW w:w="334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74"/>
        </w:trPr>
        <w:tc>
          <w:tcPr>
            <w:tcW w:w="3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22"/>
                <w:szCs w:val="22"/>
                <w:color w:val="auto"/>
              </w:rPr>
              <w:t>22</w:t>
            </w: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2558415</wp:posOffset>
            </wp:positionH>
            <wp:positionV relativeFrom="paragraph">
              <wp:posOffset>-378460</wp:posOffset>
            </wp:positionV>
            <wp:extent cx="1270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2121535</wp:posOffset>
            </wp:positionH>
            <wp:positionV relativeFrom="paragraph">
              <wp:posOffset>-378460</wp:posOffset>
            </wp:positionV>
            <wp:extent cx="1270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3115945</wp:posOffset>
            </wp:positionH>
            <wp:positionV relativeFrom="paragraph">
              <wp:posOffset>-378460</wp:posOffset>
            </wp:positionV>
            <wp:extent cx="1270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-378460</wp:posOffset>
            </wp:positionV>
            <wp:extent cx="1270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3673475</wp:posOffset>
            </wp:positionH>
            <wp:positionV relativeFrom="paragraph">
              <wp:posOffset>-378460</wp:posOffset>
            </wp:positionV>
            <wp:extent cx="1270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3244850</wp:posOffset>
            </wp:positionH>
            <wp:positionV relativeFrom="paragraph">
              <wp:posOffset>-378460</wp:posOffset>
            </wp:positionV>
            <wp:extent cx="1270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-378460</wp:posOffset>
            </wp:positionV>
            <wp:extent cx="1270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-378460</wp:posOffset>
            </wp:positionV>
            <wp:extent cx="1270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-378460</wp:posOffset>
            </wp:positionV>
            <wp:extent cx="1270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4393565</wp:posOffset>
            </wp:positionH>
            <wp:positionV relativeFrom="paragraph">
              <wp:posOffset>-378460</wp:posOffset>
            </wp:positionV>
            <wp:extent cx="1270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-378460</wp:posOffset>
            </wp:positionV>
            <wp:extent cx="1270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-378460</wp:posOffset>
            </wp:positionV>
            <wp:extent cx="1270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-378460</wp:posOffset>
            </wp:positionV>
            <wp:extent cx="1270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-378460</wp:posOffset>
            </wp:positionV>
            <wp:extent cx="1270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130810</wp:posOffset>
            </wp:positionV>
            <wp:extent cx="7263765"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94" w:lineRule="exact"/>
        <w:rPr>
          <w:sz w:val="20"/>
          <w:szCs w:val="20"/>
          <w:color w:val="auto"/>
        </w:rPr>
      </w:pPr>
    </w:p>
    <w:p>
      <w:pPr>
        <w:jc w:val="center"/>
        <w:ind w:right="-1160"/>
        <w:spacing w:after="0"/>
        <w:rPr>
          <w:sz w:val="20"/>
          <w:szCs w:val="20"/>
          <w:color w:val="auto"/>
        </w:rPr>
      </w:pPr>
      <w:r>
        <w:rPr>
          <w:rFonts w:ascii="Arial" w:cs="Arial" w:eastAsia="Arial" w:hAnsi="Arial"/>
          <w:sz w:val="22"/>
          <w:szCs w:val="22"/>
          <w:color w:val="auto"/>
        </w:rPr>
        <w:t>COMCAST CORPORATION AND SUBSIDIARIES</w:t>
      </w:r>
    </w:p>
    <w:p>
      <w:pPr>
        <w:jc w:val="center"/>
        <w:ind w:right="-1160"/>
        <w:spacing w:after="0" w:line="238" w:lineRule="auto"/>
        <w:rPr>
          <w:sz w:val="20"/>
          <w:szCs w:val="20"/>
          <w:color w:val="auto"/>
        </w:rPr>
      </w:pPr>
      <w:r>
        <w:rPr>
          <w:rFonts w:ascii="Arial" w:cs="Arial" w:eastAsia="Arial" w:hAnsi="Arial"/>
          <w:sz w:val="22"/>
          <w:szCs w:val="22"/>
          <w:color w:val="auto"/>
        </w:rPr>
        <w:t>FORM 10-Q</w:t>
      </w:r>
    </w:p>
    <w:p>
      <w:pPr>
        <w:jc w:val="center"/>
        <w:ind w:right="-1160"/>
        <w:spacing w:after="0" w:line="230" w:lineRule="auto"/>
        <w:rPr>
          <w:sz w:val="20"/>
          <w:szCs w:val="20"/>
          <w:color w:val="auto"/>
        </w:rPr>
      </w:pPr>
      <w:r>
        <w:rPr>
          <w:rFonts w:ascii="Arial" w:cs="Arial" w:eastAsia="Arial" w:hAnsi="Arial"/>
          <w:sz w:val="22"/>
          <w:szCs w:val="22"/>
          <w:color w:val="auto"/>
        </w:rPr>
        <w:t>QUARTER ENDED JUNE 30, 2004</w:t>
      </w:r>
    </w:p>
    <w:p>
      <w:pPr>
        <w:jc w:val="center"/>
        <w:ind w:right="-1160"/>
        <w:spacing w:after="0" w:line="231" w:lineRule="auto"/>
        <w:rPr>
          <w:sz w:val="20"/>
          <w:szCs w:val="20"/>
          <w:color w:val="auto"/>
        </w:rPr>
      </w:pPr>
      <w:r>
        <w:rPr>
          <w:rFonts w:ascii="Arial" w:cs="Arial" w:eastAsia="Arial" w:hAnsi="Arial"/>
          <w:sz w:val="22"/>
          <w:szCs w:val="22"/>
          <w:color w:val="auto"/>
        </w:rPr>
        <w:t>NOTES TO CONDENSED CONSOLIDATED FINANCIAL STATEMENTS - CONTINUED</w:t>
      </w:r>
    </w:p>
    <w:p>
      <w:pPr>
        <w:spacing w:after="0" w:line="1" w:lineRule="exact"/>
        <w:rPr>
          <w:sz w:val="20"/>
          <w:szCs w:val="20"/>
          <w:color w:val="auto"/>
        </w:rPr>
      </w:pPr>
    </w:p>
    <w:p>
      <w:pPr>
        <w:jc w:val="center"/>
        <w:ind w:right="-1200"/>
        <w:spacing w:after="0"/>
        <w:rPr>
          <w:sz w:val="20"/>
          <w:szCs w:val="20"/>
          <w:color w:val="auto"/>
        </w:rPr>
      </w:pPr>
      <w:r>
        <w:rPr>
          <w:rFonts w:ascii="Arial" w:cs="Arial" w:eastAsia="Arial" w:hAnsi="Arial"/>
          <w:sz w:val="22"/>
          <w:szCs w:val="22"/>
          <w:color w:val="auto"/>
        </w:rPr>
        <w:t>(Unaudited)</w:t>
      </w:r>
    </w:p>
    <w:p>
      <w:pPr>
        <w:spacing w:after="0" w:line="188"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Comcast Corporation</w:t>
      </w:r>
    </w:p>
    <w:p>
      <w:pPr>
        <w:jc w:val="center"/>
        <w:ind w:right="-60"/>
        <w:spacing w:after="0" w:line="238" w:lineRule="auto"/>
        <w:rPr>
          <w:sz w:val="20"/>
          <w:szCs w:val="20"/>
          <w:color w:val="auto"/>
        </w:rPr>
      </w:pPr>
      <w:r>
        <w:rPr>
          <w:rFonts w:ascii="Arial" w:cs="Arial" w:eastAsia="Arial" w:hAnsi="Arial"/>
          <w:sz w:val="22"/>
          <w:szCs w:val="22"/>
          <w:color w:val="auto"/>
        </w:rPr>
        <w:t>Condensed Consolidating Statement of Operations</w:t>
      </w:r>
    </w:p>
    <w:p>
      <w:pPr>
        <w:jc w:val="center"/>
        <w:ind w:right="-60"/>
        <w:spacing w:after="0"/>
        <w:rPr>
          <w:sz w:val="20"/>
          <w:szCs w:val="20"/>
          <w:color w:val="auto"/>
        </w:rPr>
      </w:pPr>
      <w:r>
        <w:rPr>
          <w:rFonts w:ascii="Arial" w:cs="Arial" w:eastAsia="Arial" w:hAnsi="Arial"/>
          <w:sz w:val="22"/>
          <w:szCs w:val="22"/>
          <w:color w:val="auto"/>
        </w:rPr>
        <w:t>For the Three Months Ended June 30, 2003</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Elimination</w:t>
            </w: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8"/>
                <w:szCs w:val="18"/>
                <w:color w:val="auto"/>
                <w:w w:val="87"/>
              </w:rPr>
              <w:t>Combined</w:t>
            </w:r>
          </w:p>
        </w:tc>
        <w:tc>
          <w:tcPr>
            <w:tcW w:w="1060" w:type="dxa"/>
            <w:vAlign w:val="bottom"/>
            <w:gridSpan w:val="2"/>
          </w:tcPr>
          <w:p>
            <w:pPr>
              <w:jc w:val="center"/>
              <w:ind w:right="180"/>
              <w:spacing w:after="0"/>
              <w:rPr>
                <w:sz w:val="20"/>
                <w:szCs w:val="20"/>
                <w:color w:val="auto"/>
              </w:rPr>
            </w:pPr>
            <w:r>
              <w:rPr>
                <w:rFonts w:ascii="Arial" w:cs="Arial" w:eastAsia="Arial" w:hAnsi="Arial"/>
                <w:sz w:val="18"/>
                <w:szCs w:val="18"/>
                <w:color w:val="auto"/>
                <w:w w:val="92"/>
              </w:rPr>
              <w:t>Non-</w:t>
            </w: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color w:val="auto"/>
                <w:w w:val="86"/>
              </w:rPr>
              <w:t>and</w:t>
            </w:r>
          </w:p>
        </w:tc>
        <w:tc>
          <w:tcPr>
            <w:tcW w:w="1000" w:type="dxa"/>
            <w:vAlign w:val="bottom"/>
            <w:gridSpan w:val="2"/>
          </w:tcPr>
          <w:p>
            <w:pPr>
              <w:jc w:val="center"/>
              <w:ind w:right="80"/>
              <w:spacing w:after="0"/>
              <w:rPr>
                <w:sz w:val="20"/>
                <w:szCs w:val="20"/>
                <w:color w:val="auto"/>
              </w:rPr>
            </w:pPr>
            <w:r>
              <w:rPr>
                <w:rFonts w:ascii="Arial" w:cs="Arial" w:eastAsia="Arial" w:hAnsi="Arial"/>
                <w:sz w:val="18"/>
                <w:szCs w:val="18"/>
                <w:color w:val="auto"/>
                <w:w w:val="87"/>
              </w:rPr>
              <w:t>Consolidated</w:t>
            </w:r>
          </w:p>
        </w:tc>
        <w:tc>
          <w:tcPr>
            <w:tcW w:w="0" w:type="dxa"/>
            <w:vAlign w:val="bottom"/>
          </w:tcPr>
          <w:p>
            <w:pPr>
              <w:spacing w:after="0"/>
              <w:rPr>
                <w:sz w:val="1"/>
                <w:szCs w:val="1"/>
                <w:color w:val="auto"/>
              </w:rPr>
            </w:pPr>
          </w:p>
        </w:tc>
      </w:tr>
      <w:tr>
        <w:trPr>
          <w:trHeight w:val="216"/>
        </w:trPr>
        <w:tc>
          <w:tcPr>
            <w:tcW w:w="3360" w:type="dxa"/>
            <w:vAlign w:val="bottom"/>
          </w:tcPr>
          <w:p>
            <w:pPr>
              <w:spacing w:after="0"/>
              <w:rPr>
                <w:sz w:val="18"/>
                <w:szCs w:val="18"/>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8"/>
                <w:szCs w:val="18"/>
                <w:color w:val="auto"/>
                <w:w w:val="87"/>
              </w:rPr>
              <w:t>Comcast</w:t>
            </w:r>
          </w:p>
        </w:tc>
        <w:tc>
          <w:tcPr>
            <w:tcW w:w="880" w:type="dxa"/>
            <w:vAlign w:val="bottom"/>
            <w:gridSpan w:val="2"/>
          </w:tcPr>
          <w:p>
            <w:pPr>
              <w:jc w:val="center"/>
              <w:ind w:right="180"/>
              <w:spacing w:after="0"/>
              <w:rPr>
                <w:sz w:val="20"/>
                <w:szCs w:val="20"/>
                <w:color w:val="auto"/>
              </w:rPr>
            </w:pPr>
            <w:r>
              <w:rPr>
                <w:rFonts w:ascii="Arial" w:cs="Arial" w:eastAsia="Arial" w:hAnsi="Arial"/>
                <w:sz w:val="18"/>
                <w:szCs w:val="18"/>
                <w:color w:val="auto"/>
                <w:w w:val="93"/>
              </w:rPr>
              <w:t>CCCL</w:t>
            </w:r>
          </w:p>
        </w:tc>
        <w:tc>
          <w:tcPr>
            <w:tcW w:w="88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CCCH</w:t>
            </w:r>
          </w:p>
        </w:tc>
        <w:tc>
          <w:tcPr>
            <w:tcW w:w="920" w:type="dxa"/>
            <w:vAlign w:val="bottom"/>
            <w:gridSpan w:val="2"/>
          </w:tcPr>
          <w:p>
            <w:pPr>
              <w:jc w:val="center"/>
              <w:ind w:right="200"/>
              <w:spacing w:after="0"/>
              <w:rPr>
                <w:sz w:val="20"/>
                <w:szCs w:val="20"/>
                <w:color w:val="auto"/>
              </w:rPr>
            </w:pPr>
            <w:r>
              <w:rPr>
                <w:rFonts w:ascii="Arial" w:cs="Arial" w:eastAsia="Arial" w:hAnsi="Arial"/>
                <w:sz w:val="18"/>
                <w:szCs w:val="18"/>
                <w:color w:val="auto"/>
                <w:w w:val="94"/>
              </w:rPr>
              <w:t>CCHMO</w:t>
            </w:r>
          </w:p>
        </w:tc>
        <w:tc>
          <w:tcPr>
            <w:tcW w:w="1060" w:type="dxa"/>
            <w:vAlign w:val="bottom"/>
            <w:gridSpan w:val="2"/>
          </w:tcPr>
          <w:p>
            <w:pPr>
              <w:jc w:val="center"/>
              <w:ind w:right="180"/>
              <w:spacing w:after="0"/>
              <w:rPr>
                <w:sz w:val="20"/>
                <w:szCs w:val="20"/>
                <w:color w:val="auto"/>
              </w:rPr>
            </w:pPr>
            <w:r>
              <w:rPr>
                <w:rFonts w:ascii="Arial" w:cs="Arial" w:eastAsia="Arial" w:hAnsi="Arial"/>
                <w:sz w:val="18"/>
                <w:szCs w:val="18"/>
                <w:color w:val="auto"/>
                <w:w w:val="88"/>
              </w:rPr>
              <w:t>Guarantor</w:t>
            </w: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Consolidation</w:t>
            </w:r>
          </w:p>
        </w:tc>
        <w:tc>
          <w:tcPr>
            <w:tcW w:w="100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Comcast</w:t>
            </w:r>
          </w:p>
        </w:tc>
        <w:tc>
          <w:tcPr>
            <w:tcW w:w="0" w:type="dxa"/>
            <w:vAlign w:val="bottom"/>
          </w:tcPr>
          <w:p>
            <w:pPr>
              <w:spacing w:after="0"/>
              <w:rPr>
                <w:sz w:val="1"/>
                <w:szCs w:val="1"/>
                <w:color w:val="auto"/>
              </w:rPr>
            </w:pPr>
          </w:p>
        </w:tc>
      </w:tr>
      <w:tr>
        <w:trPr>
          <w:trHeight w:val="222"/>
        </w:trPr>
        <w:tc>
          <w:tcPr>
            <w:tcW w:w="3360" w:type="dxa"/>
            <w:vAlign w:val="bottom"/>
          </w:tcPr>
          <w:p>
            <w:pPr>
              <w:spacing w:after="0"/>
              <w:rPr>
                <w:sz w:val="19"/>
                <w:szCs w:val="19"/>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8"/>
                <w:szCs w:val="18"/>
                <w:color w:val="auto"/>
                <w:w w:val="86"/>
              </w:rPr>
              <w:t>Parent</w:t>
            </w:r>
          </w:p>
        </w:tc>
        <w:tc>
          <w:tcPr>
            <w:tcW w:w="880" w:type="dxa"/>
            <w:vAlign w:val="bottom"/>
            <w:gridSpan w:val="2"/>
          </w:tcPr>
          <w:p>
            <w:pPr>
              <w:jc w:val="center"/>
              <w:ind w:right="180"/>
              <w:spacing w:after="0"/>
              <w:rPr>
                <w:sz w:val="20"/>
                <w:szCs w:val="20"/>
                <w:color w:val="auto"/>
              </w:rPr>
            </w:pPr>
            <w:r>
              <w:rPr>
                <w:rFonts w:ascii="Arial" w:cs="Arial" w:eastAsia="Arial" w:hAnsi="Arial"/>
                <w:sz w:val="18"/>
                <w:szCs w:val="18"/>
                <w:color w:val="auto"/>
                <w:w w:val="86"/>
              </w:rPr>
              <w:t>Parent</w:t>
            </w:r>
          </w:p>
        </w:tc>
        <w:tc>
          <w:tcPr>
            <w:tcW w:w="880" w:type="dxa"/>
            <w:vAlign w:val="bottom"/>
            <w:gridSpan w:val="2"/>
          </w:tcPr>
          <w:p>
            <w:pPr>
              <w:jc w:val="center"/>
              <w:ind w:right="200"/>
              <w:spacing w:after="0"/>
              <w:rPr>
                <w:sz w:val="20"/>
                <w:szCs w:val="20"/>
                <w:color w:val="auto"/>
              </w:rPr>
            </w:pPr>
            <w:r>
              <w:rPr>
                <w:rFonts w:ascii="Arial" w:cs="Arial" w:eastAsia="Arial" w:hAnsi="Arial"/>
                <w:sz w:val="18"/>
                <w:szCs w:val="18"/>
                <w:color w:val="auto"/>
                <w:w w:val="82"/>
              </w:rPr>
              <w:t>Parent</w:t>
            </w:r>
          </w:p>
        </w:tc>
        <w:tc>
          <w:tcPr>
            <w:tcW w:w="920" w:type="dxa"/>
            <w:vAlign w:val="bottom"/>
            <w:gridSpan w:val="2"/>
          </w:tcPr>
          <w:p>
            <w:pPr>
              <w:jc w:val="center"/>
              <w:ind w:right="200"/>
              <w:spacing w:after="0"/>
              <w:rPr>
                <w:sz w:val="20"/>
                <w:szCs w:val="20"/>
                <w:color w:val="auto"/>
              </w:rPr>
            </w:pPr>
            <w:r>
              <w:rPr>
                <w:rFonts w:ascii="Arial" w:cs="Arial" w:eastAsia="Arial" w:hAnsi="Arial"/>
                <w:sz w:val="18"/>
                <w:szCs w:val="18"/>
                <w:color w:val="auto"/>
                <w:w w:val="83"/>
              </w:rPr>
              <w:t>Parents</w:t>
            </w:r>
          </w:p>
        </w:tc>
        <w:tc>
          <w:tcPr>
            <w:tcW w:w="1060" w:type="dxa"/>
            <w:vAlign w:val="bottom"/>
            <w:gridSpan w:val="2"/>
          </w:tcPr>
          <w:p>
            <w:pPr>
              <w:jc w:val="center"/>
              <w:ind w:right="200"/>
              <w:spacing w:after="0"/>
              <w:rPr>
                <w:sz w:val="20"/>
                <w:szCs w:val="20"/>
                <w:color w:val="auto"/>
              </w:rPr>
            </w:pPr>
            <w:r>
              <w:rPr>
                <w:rFonts w:ascii="Arial" w:cs="Arial" w:eastAsia="Arial" w:hAnsi="Arial"/>
                <w:sz w:val="18"/>
                <w:szCs w:val="18"/>
                <w:color w:val="auto"/>
                <w:w w:val="87"/>
              </w:rPr>
              <w:t>Subsidiaries</w:t>
            </w: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Adjustments</w:t>
            </w:r>
          </w:p>
        </w:tc>
        <w:tc>
          <w:tcPr>
            <w:tcW w:w="100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Corporation</w:t>
            </w:r>
          </w:p>
        </w:tc>
        <w:tc>
          <w:tcPr>
            <w:tcW w:w="0" w:type="dxa"/>
            <w:vAlign w:val="bottom"/>
          </w:tcPr>
          <w:p>
            <w:pPr>
              <w:spacing w:after="0"/>
              <w:rPr>
                <w:sz w:val="1"/>
                <w:szCs w:val="1"/>
                <w:color w:val="auto"/>
              </w:rPr>
            </w:pPr>
          </w:p>
        </w:tc>
      </w:tr>
      <w:tr>
        <w:trPr>
          <w:trHeight w:val="110"/>
        </w:trPr>
        <w:tc>
          <w:tcPr>
            <w:tcW w:w="3360" w:type="dxa"/>
            <w:vAlign w:val="bottom"/>
            <w:vMerge w:val="restart"/>
          </w:tcPr>
          <w:p>
            <w:pPr>
              <w:spacing w:after="0"/>
              <w:rPr>
                <w:sz w:val="20"/>
                <w:szCs w:val="20"/>
                <w:color w:val="auto"/>
              </w:rPr>
            </w:pPr>
            <w:r>
              <w:rPr>
                <w:rFonts w:ascii="Arial" w:cs="Arial" w:eastAsia="Arial" w:hAnsi="Arial"/>
                <w:sz w:val="22"/>
                <w:szCs w:val="22"/>
                <w:color w:val="auto"/>
              </w:rPr>
              <w:t>REVENUES</w:t>
            </w:r>
          </w:p>
        </w:tc>
        <w:tc>
          <w:tcPr>
            <w:tcW w:w="7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3"/>
        </w:trPr>
        <w:tc>
          <w:tcPr>
            <w:tcW w:w="336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360" w:type="dxa"/>
            <w:vAlign w:val="bottom"/>
          </w:tcPr>
          <w:p>
            <w:pPr>
              <w:ind w:left="180"/>
              <w:spacing w:after="0" w:line="243" w:lineRule="exact"/>
              <w:rPr>
                <w:sz w:val="20"/>
                <w:szCs w:val="20"/>
                <w:color w:val="auto"/>
              </w:rPr>
            </w:pPr>
            <w:r>
              <w:rPr>
                <w:rFonts w:ascii="Arial" w:cs="Arial" w:eastAsia="Arial" w:hAnsi="Arial"/>
                <w:sz w:val="22"/>
                <w:szCs w:val="22"/>
                <w:color w:val="auto"/>
              </w:rPr>
              <w:t>Service revenues</w:t>
            </w:r>
          </w:p>
        </w:tc>
        <w:tc>
          <w:tcPr>
            <w:tcW w:w="700" w:type="dxa"/>
            <w:vAlign w:val="bottom"/>
          </w:tcPr>
          <w:p>
            <w:pPr>
              <w:jc w:val="center"/>
              <w:spacing w:after="0" w:line="243" w:lineRule="exact"/>
              <w:rPr>
                <w:sz w:val="20"/>
                <w:szCs w:val="20"/>
                <w:color w:val="auto"/>
              </w:rPr>
            </w:pPr>
            <w:r>
              <w:rPr>
                <w:rFonts w:ascii="Arial" w:cs="Arial" w:eastAsia="Arial" w:hAnsi="Arial"/>
                <w:sz w:val="22"/>
                <w:szCs w:val="22"/>
                <w:color w:val="auto"/>
                <w:w w:val="81"/>
              </w:rPr>
              <w:t>$</w:t>
            </w:r>
          </w:p>
        </w:tc>
        <w:tc>
          <w:tcPr>
            <w:tcW w:w="180" w:type="dxa"/>
            <w:vAlign w:val="bottom"/>
          </w:tcPr>
          <w:p>
            <w:pPr>
              <w:spacing w:after="0"/>
              <w:rPr>
                <w:sz w:val="21"/>
                <w:szCs w:val="21"/>
                <w:color w:val="auto"/>
              </w:rPr>
            </w:pPr>
          </w:p>
        </w:tc>
        <w:tc>
          <w:tcPr>
            <w:tcW w:w="680" w:type="dxa"/>
            <w:vAlign w:val="bottom"/>
          </w:tcPr>
          <w:p>
            <w:pPr>
              <w:jc w:val="center"/>
              <w:spacing w:after="0" w:line="243" w:lineRule="exact"/>
              <w:rPr>
                <w:sz w:val="20"/>
                <w:szCs w:val="20"/>
                <w:color w:val="auto"/>
              </w:rPr>
            </w:pPr>
            <w:r>
              <w:rPr>
                <w:rFonts w:ascii="Arial" w:cs="Arial" w:eastAsia="Arial" w:hAnsi="Arial"/>
                <w:sz w:val="22"/>
                <w:szCs w:val="22"/>
                <w:color w:val="auto"/>
                <w:w w:val="81"/>
              </w:rPr>
              <w:t>$</w:t>
            </w:r>
          </w:p>
        </w:tc>
        <w:tc>
          <w:tcPr>
            <w:tcW w:w="200" w:type="dxa"/>
            <w:vAlign w:val="bottom"/>
          </w:tcPr>
          <w:p>
            <w:pPr>
              <w:spacing w:after="0"/>
              <w:rPr>
                <w:sz w:val="21"/>
                <w:szCs w:val="21"/>
                <w:color w:val="auto"/>
              </w:rPr>
            </w:pPr>
          </w:p>
        </w:tc>
        <w:tc>
          <w:tcPr>
            <w:tcW w:w="680" w:type="dxa"/>
            <w:vAlign w:val="bottom"/>
          </w:tcPr>
          <w:p>
            <w:pPr>
              <w:jc w:val="center"/>
              <w:spacing w:after="0" w:line="243" w:lineRule="exact"/>
              <w:rPr>
                <w:sz w:val="20"/>
                <w:szCs w:val="20"/>
                <w:color w:val="auto"/>
              </w:rPr>
            </w:pPr>
            <w:r>
              <w:rPr>
                <w:rFonts w:ascii="Arial" w:cs="Arial" w:eastAsia="Arial" w:hAnsi="Arial"/>
                <w:sz w:val="22"/>
                <w:szCs w:val="22"/>
                <w:color w:val="auto"/>
                <w:w w:val="97"/>
              </w:rPr>
              <w:t>$</w:t>
            </w:r>
          </w:p>
        </w:tc>
        <w:tc>
          <w:tcPr>
            <w:tcW w:w="200" w:type="dxa"/>
            <w:vAlign w:val="bottom"/>
          </w:tcPr>
          <w:p>
            <w:pPr>
              <w:spacing w:after="0"/>
              <w:rPr>
                <w:sz w:val="21"/>
                <w:szCs w:val="21"/>
                <w:color w:val="auto"/>
              </w:rPr>
            </w:pPr>
          </w:p>
        </w:tc>
        <w:tc>
          <w:tcPr>
            <w:tcW w:w="740" w:type="dxa"/>
            <w:vAlign w:val="bottom"/>
          </w:tcPr>
          <w:p>
            <w:pPr>
              <w:jc w:val="center"/>
              <w:spacing w:after="0" w:line="243" w:lineRule="exact"/>
              <w:rPr>
                <w:sz w:val="20"/>
                <w:szCs w:val="20"/>
                <w:color w:val="auto"/>
              </w:rPr>
            </w:pPr>
            <w:r>
              <w:rPr>
                <w:rFonts w:ascii="Arial" w:cs="Arial" w:eastAsia="Arial" w:hAnsi="Arial"/>
                <w:sz w:val="22"/>
                <w:szCs w:val="22"/>
                <w:color w:val="auto"/>
                <w:w w:val="97"/>
              </w:rPr>
              <w:t>$</w:t>
            </w:r>
          </w:p>
        </w:tc>
        <w:tc>
          <w:tcPr>
            <w:tcW w:w="180" w:type="dxa"/>
            <w:vAlign w:val="bottom"/>
          </w:tcPr>
          <w:p>
            <w:pPr>
              <w:spacing w:after="0"/>
              <w:rPr>
                <w:sz w:val="21"/>
                <w:szCs w:val="21"/>
                <w:color w:val="auto"/>
              </w:rPr>
            </w:pPr>
          </w:p>
        </w:tc>
        <w:tc>
          <w:tcPr>
            <w:tcW w:w="860" w:type="dxa"/>
            <w:vAlign w:val="bottom"/>
          </w:tcPr>
          <w:p>
            <w:pPr>
              <w:jc w:val="right"/>
              <w:spacing w:after="0" w:line="243" w:lineRule="exact"/>
              <w:rPr>
                <w:sz w:val="20"/>
                <w:szCs w:val="20"/>
                <w:color w:val="auto"/>
              </w:rPr>
            </w:pPr>
            <w:r>
              <w:rPr>
                <w:rFonts w:ascii="Arial" w:cs="Arial" w:eastAsia="Arial" w:hAnsi="Arial"/>
                <w:sz w:val="22"/>
                <w:szCs w:val="22"/>
                <w:color w:val="auto"/>
              </w:rPr>
              <w:t>$4,594</w:t>
            </w:r>
          </w:p>
        </w:tc>
        <w:tc>
          <w:tcPr>
            <w:tcW w:w="200" w:type="dxa"/>
            <w:vAlign w:val="bottom"/>
          </w:tcPr>
          <w:p>
            <w:pPr>
              <w:spacing w:after="0"/>
              <w:rPr>
                <w:sz w:val="21"/>
                <w:szCs w:val="21"/>
                <w:color w:val="auto"/>
              </w:rPr>
            </w:pPr>
          </w:p>
        </w:tc>
        <w:tc>
          <w:tcPr>
            <w:tcW w:w="980" w:type="dxa"/>
            <w:vAlign w:val="bottom"/>
          </w:tcPr>
          <w:p>
            <w:pPr>
              <w:jc w:val="center"/>
              <w:spacing w:after="0" w:line="243" w:lineRule="exact"/>
              <w:rPr>
                <w:sz w:val="20"/>
                <w:szCs w:val="20"/>
                <w:color w:val="auto"/>
              </w:rPr>
            </w:pPr>
            <w:r>
              <w:rPr>
                <w:rFonts w:ascii="Arial" w:cs="Arial" w:eastAsia="Arial" w:hAnsi="Arial"/>
                <w:sz w:val="22"/>
                <w:szCs w:val="22"/>
                <w:color w:val="auto"/>
                <w:w w:val="81"/>
              </w:rPr>
              <w:t>$</w:t>
            </w:r>
          </w:p>
        </w:tc>
        <w:tc>
          <w:tcPr>
            <w:tcW w:w="200" w:type="dxa"/>
            <w:vAlign w:val="bottom"/>
          </w:tcPr>
          <w:p>
            <w:pPr>
              <w:spacing w:after="0"/>
              <w:rPr>
                <w:sz w:val="21"/>
                <w:szCs w:val="21"/>
                <w:color w:val="auto"/>
              </w:rPr>
            </w:pPr>
          </w:p>
        </w:tc>
        <w:tc>
          <w:tcPr>
            <w:tcW w:w="1000" w:type="dxa"/>
            <w:vAlign w:val="bottom"/>
            <w:gridSpan w:val="2"/>
          </w:tcPr>
          <w:p>
            <w:pPr>
              <w:jc w:val="right"/>
              <w:ind w:right="80"/>
              <w:spacing w:after="0" w:line="243" w:lineRule="exact"/>
              <w:rPr>
                <w:sz w:val="20"/>
                <w:szCs w:val="20"/>
                <w:color w:val="auto"/>
              </w:rPr>
            </w:pPr>
            <w:r>
              <w:rPr>
                <w:rFonts w:ascii="Arial" w:cs="Arial" w:eastAsia="Arial" w:hAnsi="Arial"/>
                <w:sz w:val="22"/>
                <w:szCs w:val="22"/>
                <w:color w:val="auto"/>
              </w:rPr>
              <w:t>$4,594</w:t>
            </w:r>
          </w:p>
        </w:tc>
        <w:tc>
          <w:tcPr>
            <w:tcW w:w="0" w:type="dxa"/>
            <w:vAlign w:val="bottom"/>
          </w:tcPr>
          <w:p>
            <w:pPr>
              <w:spacing w:after="0"/>
              <w:rPr>
                <w:sz w:val="1"/>
                <w:szCs w:val="1"/>
                <w:color w:val="auto"/>
              </w:rPr>
            </w:pPr>
          </w:p>
        </w:tc>
      </w:tr>
      <w:tr>
        <w:trPr>
          <w:trHeight w:val="275"/>
        </w:trPr>
        <w:tc>
          <w:tcPr>
            <w:tcW w:w="3360" w:type="dxa"/>
            <w:vAlign w:val="bottom"/>
          </w:tcPr>
          <w:p>
            <w:pPr>
              <w:ind w:left="180"/>
              <w:spacing w:after="0"/>
              <w:rPr>
                <w:sz w:val="20"/>
                <w:szCs w:val="20"/>
                <w:color w:val="auto"/>
              </w:rPr>
            </w:pPr>
            <w:r>
              <w:rPr>
                <w:rFonts w:ascii="Arial" w:cs="Arial" w:eastAsia="Arial" w:hAnsi="Arial"/>
                <w:sz w:val="22"/>
                <w:szCs w:val="22"/>
                <w:color w:val="auto"/>
              </w:rPr>
              <w:t>Management fee revenue</w:t>
            </w:r>
          </w:p>
        </w:tc>
        <w:tc>
          <w:tcPr>
            <w:tcW w:w="700" w:type="dxa"/>
            <w:vAlign w:val="bottom"/>
          </w:tcPr>
          <w:p>
            <w:pPr>
              <w:jc w:val="right"/>
              <w:spacing w:after="0"/>
              <w:rPr>
                <w:sz w:val="20"/>
                <w:szCs w:val="20"/>
                <w:color w:val="auto"/>
              </w:rPr>
            </w:pPr>
            <w:r>
              <w:rPr>
                <w:rFonts w:ascii="Arial" w:cs="Arial" w:eastAsia="Arial" w:hAnsi="Arial"/>
                <w:sz w:val="22"/>
                <w:szCs w:val="22"/>
                <w:color w:val="auto"/>
              </w:rPr>
              <w:t>92</w:t>
            </w:r>
          </w:p>
        </w:tc>
        <w:tc>
          <w:tcPr>
            <w:tcW w:w="180" w:type="dxa"/>
            <w:vAlign w:val="bottom"/>
          </w:tcPr>
          <w:p>
            <w:pPr>
              <w:spacing w:after="0"/>
              <w:rPr>
                <w:sz w:val="23"/>
                <w:szCs w:val="23"/>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22"/>
                <w:szCs w:val="22"/>
                <w:color w:val="auto"/>
              </w:rPr>
              <w:t>34</w:t>
            </w:r>
          </w:p>
        </w:tc>
        <w:tc>
          <w:tcPr>
            <w:tcW w:w="880" w:type="dxa"/>
            <w:vAlign w:val="bottom"/>
            <w:gridSpan w:val="2"/>
          </w:tcPr>
          <w:p>
            <w:pPr>
              <w:jc w:val="right"/>
              <w:ind w:right="200"/>
              <w:spacing w:after="0"/>
              <w:rPr>
                <w:sz w:val="20"/>
                <w:szCs w:val="20"/>
                <w:color w:val="auto"/>
              </w:rPr>
            </w:pPr>
            <w:r>
              <w:rPr>
                <w:rFonts w:ascii="Arial" w:cs="Arial" w:eastAsia="Arial" w:hAnsi="Arial"/>
                <w:sz w:val="22"/>
                <w:szCs w:val="22"/>
                <w:color w:val="auto"/>
              </w:rPr>
              <w:t>58</w:t>
            </w:r>
          </w:p>
        </w:tc>
        <w:tc>
          <w:tcPr>
            <w:tcW w:w="740" w:type="dxa"/>
            <w:vAlign w:val="bottom"/>
          </w:tcPr>
          <w:p>
            <w:pPr>
              <w:jc w:val="right"/>
              <w:spacing w:after="0"/>
              <w:rPr>
                <w:sz w:val="20"/>
                <w:szCs w:val="20"/>
                <w:color w:val="auto"/>
              </w:rPr>
            </w:pPr>
            <w:r>
              <w:rPr>
                <w:rFonts w:ascii="Arial" w:cs="Arial" w:eastAsia="Arial" w:hAnsi="Arial"/>
                <w:sz w:val="22"/>
                <w:szCs w:val="22"/>
                <w:color w:val="auto"/>
              </w:rPr>
              <w:t>58</w:t>
            </w:r>
          </w:p>
        </w:tc>
        <w:tc>
          <w:tcPr>
            <w:tcW w:w="1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22"/>
                <w:szCs w:val="22"/>
                <w:color w:val="auto"/>
              </w:rPr>
              <w:t>(242)</w:t>
            </w:r>
          </w:p>
        </w:tc>
        <w:tc>
          <w:tcPr>
            <w:tcW w:w="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8"/>
        </w:trPr>
        <w:tc>
          <w:tcPr>
            <w:tcW w:w="336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55"/>
        </w:trPr>
        <w:tc>
          <w:tcPr>
            <w:tcW w:w="33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22"/>
                <w:szCs w:val="22"/>
                <w:color w:val="auto"/>
              </w:rPr>
              <w:t>92</w:t>
            </w:r>
          </w:p>
        </w:tc>
        <w:tc>
          <w:tcPr>
            <w:tcW w:w="180" w:type="dxa"/>
            <w:vAlign w:val="bottom"/>
          </w:tcPr>
          <w:p>
            <w:pPr>
              <w:spacing w:after="0"/>
              <w:rPr>
                <w:sz w:val="24"/>
                <w:szCs w:val="2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22"/>
                <w:szCs w:val="22"/>
                <w:color w:val="auto"/>
              </w:rPr>
              <w:t>34</w:t>
            </w:r>
          </w:p>
        </w:tc>
        <w:tc>
          <w:tcPr>
            <w:tcW w:w="880" w:type="dxa"/>
            <w:vAlign w:val="bottom"/>
            <w:gridSpan w:val="2"/>
          </w:tcPr>
          <w:p>
            <w:pPr>
              <w:jc w:val="right"/>
              <w:ind w:right="200"/>
              <w:spacing w:after="0"/>
              <w:rPr>
                <w:sz w:val="20"/>
                <w:szCs w:val="20"/>
                <w:color w:val="auto"/>
              </w:rPr>
            </w:pPr>
            <w:r>
              <w:rPr>
                <w:rFonts w:ascii="Arial" w:cs="Arial" w:eastAsia="Arial" w:hAnsi="Arial"/>
                <w:sz w:val="22"/>
                <w:szCs w:val="22"/>
                <w:color w:val="auto"/>
              </w:rPr>
              <w:t>58</w:t>
            </w:r>
          </w:p>
        </w:tc>
        <w:tc>
          <w:tcPr>
            <w:tcW w:w="740" w:type="dxa"/>
            <w:vAlign w:val="bottom"/>
          </w:tcPr>
          <w:p>
            <w:pPr>
              <w:jc w:val="right"/>
              <w:spacing w:after="0"/>
              <w:rPr>
                <w:sz w:val="20"/>
                <w:szCs w:val="20"/>
                <w:color w:val="auto"/>
              </w:rPr>
            </w:pPr>
            <w:r>
              <w:rPr>
                <w:rFonts w:ascii="Arial" w:cs="Arial" w:eastAsia="Arial" w:hAnsi="Arial"/>
                <w:sz w:val="22"/>
                <w:szCs w:val="22"/>
                <w:color w:val="auto"/>
              </w:rPr>
              <w:t>58</w:t>
            </w:r>
          </w:p>
        </w:tc>
        <w:tc>
          <w:tcPr>
            <w:tcW w:w="1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2"/>
                <w:szCs w:val="22"/>
                <w:color w:val="auto"/>
              </w:rPr>
              <w:t>4,594</w:t>
            </w:r>
          </w:p>
        </w:tc>
        <w:tc>
          <w:tcPr>
            <w:tcW w:w="200" w:type="dxa"/>
            <w:vAlign w:val="bottom"/>
          </w:tcPr>
          <w:p>
            <w:pPr>
              <w:spacing w:after="0"/>
              <w:rPr>
                <w:sz w:val="24"/>
                <w:szCs w:val="24"/>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22"/>
                <w:szCs w:val="22"/>
                <w:color w:val="auto"/>
              </w:rPr>
              <w:t>(242)</w:t>
            </w:r>
          </w:p>
        </w:tc>
        <w:tc>
          <w:tcPr>
            <w:tcW w:w="1000" w:type="dxa"/>
            <w:vAlign w:val="bottom"/>
            <w:gridSpan w:val="2"/>
          </w:tcPr>
          <w:p>
            <w:pPr>
              <w:jc w:val="right"/>
              <w:ind w:right="80"/>
              <w:spacing w:after="0"/>
              <w:rPr>
                <w:sz w:val="20"/>
                <w:szCs w:val="20"/>
                <w:color w:val="auto"/>
              </w:rPr>
            </w:pPr>
            <w:r>
              <w:rPr>
                <w:rFonts w:ascii="Arial" w:cs="Arial" w:eastAsia="Arial" w:hAnsi="Arial"/>
                <w:sz w:val="22"/>
                <w:szCs w:val="22"/>
                <w:color w:val="auto"/>
              </w:rPr>
              <w:t>4,594</w:t>
            </w:r>
          </w:p>
        </w:tc>
        <w:tc>
          <w:tcPr>
            <w:tcW w:w="0" w:type="dxa"/>
            <w:vAlign w:val="bottom"/>
          </w:tcPr>
          <w:p>
            <w:pPr>
              <w:spacing w:after="0"/>
              <w:rPr>
                <w:sz w:val="1"/>
                <w:szCs w:val="1"/>
                <w:color w:val="auto"/>
              </w:rPr>
            </w:pPr>
          </w:p>
        </w:tc>
      </w:tr>
      <w:tr>
        <w:trPr>
          <w:trHeight w:val="98"/>
        </w:trPr>
        <w:tc>
          <w:tcPr>
            <w:tcW w:w="3360" w:type="dxa"/>
            <w:vAlign w:val="bottom"/>
            <w:vMerge w:val="restart"/>
          </w:tcPr>
          <w:p>
            <w:pPr>
              <w:spacing w:after="0"/>
              <w:rPr>
                <w:sz w:val="20"/>
                <w:szCs w:val="20"/>
                <w:color w:val="auto"/>
              </w:rPr>
            </w:pPr>
            <w:r>
              <w:rPr>
                <w:rFonts w:ascii="Arial" w:cs="Arial" w:eastAsia="Arial" w:hAnsi="Arial"/>
                <w:sz w:val="22"/>
                <w:szCs w:val="22"/>
                <w:color w:val="auto"/>
              </w:rPr>
              <w:t>COSTS AND EXPENSES</w:t>
            </w:r>
          </w:p>
        </w:tc>
        <w:tc>
          <w:tcPr>
            <w:tcW w:w="7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66"/>
        </w:trPr>
        <w:tc>
          <w:tcPr>
            <w:tcW w:w="336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360" w:type="dxa"/>
            <w:vAlign w:val="bottom"/>
          </w:tcPr>
          <w:p>
            <w:pPr>
              <w:ind w:left="180"/>
              <w:spacing w:after="0" w:line="243" w:lineRule="exact"/>
              <w:rPr>
                <w:sz w:val="20"/>
                <w:szCs w:val="20"/>
                <w:color w:val="auto"/>
              </w:rPr>
            </w:pPr>
            <w:r>
              <w:rPr>
                <w:rFonts w:ascii="Arial" w:cs="Arial" w:eastAsia="Arial" w:hAnsi="Arial"/>
                <w:sz w:val="22"/>
                <w:szCs w:val="22"/>
                <w:color w:val="auto"/>
              </w:rPr>
              <w:t>Operating (excluding</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60" w:type="dxa"/>
            <w:vAlign w:val="bottom"/>
          </w:tcPr>
          <w:p>
            <w:pPr>
              <w:spacing w:after="0" w:line="243" w:lineRule="exact"/>
              <w:rPr>
                <w:sz w:val="20"/>
                <w:szCs w:val="20"/>
                <w:color w:val="auto"/>
              </w:rPr>
            </w:pPr>
            <w:r>
              <w:rPr>
                <w:rFonts w:ascii="Arial" w:cs="Arial" w:eastAsia="Arial" w:hAnsi="Arial"/>
                <w:sz w:val="22"/>
                <w:szCs w:val="22"/>
                <w:color w:val="auto"/>
              </w:rPr>
              <w:t>depreciation)</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spacing w:after="0" w:line="243" w:lineRule="exact"/>
              <w:rPr>
                <w:sz w:val="20"/>
                <w:szCs w:val="20"/>
                <w:color w:val="auto"/>
              </w:rPr>
            </w:pPr>
            <w:r>
              <w:rPr>
                <w:rFonts w:ascii="Arial" w:cs="Arial" w:eastAsia="Arial" w:hAnsi="Arial"/>
                <w:sz w:val="22"/>
                <w:szCs w:val="22"/>
                <w:color w:val="auto"/>
              </w:rPr>
              <w:t>1,753</w:t>
            </w: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gridSpan w:val="2"/>
          </w:tcPr>
          <w:p>
            <w:pPr>
              <w:jc w:val="right"/>
              <w:ind w:right="80"/>
              <w:spacing w:after="0" w:line="243" w:lineRule="exact"/>
              <w:rPr>
                <w:sz w:val="20"/>
                <w:szCs w:val="20"/>
                <w:color w:val="auto"/>
              </w:rPr>
            </w:pPr>
            <w:r>
              <w:rPr>
                <w:rFonts w:ascii="Arial" w:cs="Arial" w:eastAsia="Arial" w:hAnsi="Arial"/>
                <w:sz w:val="22"/>
                <w:szCs w:val="22"/>
                <w:color w:val="auto"/>
              </w:rPr>
              <w:t>1,753</w:t>
            </w:r>
          </w:p>
        </w:tc>
        <w:tc>
          <w:tcPr>
            <w:tcW w:w="0" w:type="dxa"/>
            <w:vAlign w:val="bottom"/>
          </w:tcPr>
          <w:p>
            <w:pPr>
              <w:spacing w:after="0"/>
              <w:rPr>
                <w:sz w:val="1"/>
                <w:szCs w:val="1"/>
                <w:color w:val="auto"/>
              </w:rPr>
            </w:pPr>
          </w:p>
        </w:tc>
      </w:tr>
      <w:tr>
        <w:trPr>
          <w:trHeight w:val="243"/>
        </w:trPr>
        <w:tc>
          <w:tcPr>
            <w:tcW w:w="3360" w:type="dxa"/>
            <w:vAlign w:val="bottom"/>
          </w:tcPr>
          <w:p>
            <w:pPr>
              <w:ind w:left="180"/>
              <w:spacing w:after="0" w:line="243" w:lineRule="exact"/>
              <w:rPr>
                <w:sz w:val="20"/>
                <w:szCs w:val="20"/>
                <w:color w:val="auto"/>
              </w:rPr>
            </w:pPr>
            <w:r>
              <w:rPr>
                <w:rFonts w:ascii="Arial" w:cs="Arial" w:eastAsia="Arial" w:hAnsi="Arial"/>
                <w:sz w:val="22"/>
                <w:szCs w:val="22"/>
                <w:color w:val="auto"/>
              </w:rPr>
              <w:t>Selling, general and</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60" w:type="dxa"/>
            <w:vAlign w:val="bottom"/>
          </w:tcPr>
          <w:p>
            <w:pPr>
              <w:spacing w:after="0" w:line="243" w:lineRule="exact"/>
              <w:rPr>
                <w:sz w:val="20"/>
                <w:szCs w:val="20"/>
                <w:color w:val="auto"/>
              </w:rPr>
            </w:pPr>
            <w:r>
              <w:rPr>
                <w:rFonts w:ascii="Arial" w:cs="Arial" w:eastAsia="Arial" w:hAnsi="Arial"/>
                <w:sz w:val="22"/>
                <w:szCs w:val="22"/>
                <w:color w:val="auto"/>
              </w:rPr>
              <w:t>administrative</w:t>
            </w:r>
          </w:p>
        </w:tc>
        <w:tc>
          <w:tcPr>
            <w:tcW w:w="700" w:type="dxa"/>
            <w:vAlign w:val="bottom"/>
          </w:tcPr>
          <w:p>
            <w:pPr>
              <w:jc w:val="right"/>
              <w:spacing w:after="0" w:line="243" w:lineRule="exact"/>
              <w:rPr>
                <w:sz w:val="20"/>
                <w:szCs w:val="20"/>
                <w:color w:val="auto"/>
              </w:rPr>
            </w:pPr>
            <w:r>
              <w:rPr>
                <w:rFonts w:ascii="Arial" w:cs="Arial" w:eastAsia="Arial" w:hAnsi="Arial"/>
                <w:sz w:val="22"/>
                <w:szCs w:val="22"/>
                <w:color w:val="auto"/>
              </w:rPr>
              <w:t>38</w:t>
            </w:r>
          </w:p>
        </w:tc>
        <w:tc>
          <w:tcPr>
            <w:tcW w:w="180" w:type="dxa"/>
            <w:vAlign w:val="bottom"/>
          </w:tcPr>
          <w:p>
            <w:pPr>
              <w:spacing w:after="0"/>
              <w:rPr>
                <w:sz w:val="21"/>
                <w:szCs w:val="21"/>
                <w:color w:val="auto"/>
              </w:rPr>
            </w:pPr>
          </w:p>
        </w:tc>
        <w:tc>
          <w:tcPr>
            <w:tcW w:w="880" w:type="dxa"/>
            <w:vAlign w:val="bottom"/>
            <w:gridSpan w:val="2"/>
          </w:tcPr>
          <w:p>
            <w:pPr>
              <w:jc w:val="right"/>
              <w:ind w:right="200"/>
              <w:spacing w:after="0" w:line="243" w:lineRule="exact"/>
              <w:rPr>
                <w:sz w:val="20"/>
                <w:szCs w:val="20"/>
                <w:color w:val="auto"/>
              </w:rPr>
            </w:pPr>
            <w:r>
              <w:rPr>
                <w:rFonts w:ascii="Arial" w:cs="Arial" w:eastAsia="Arial" w:hAnsi="Arial"/>
                <w:sz w:val="22"/>
                <w:szCs w:val="22"/>
                <w:color w:val="auto"/>
              </w:rPr>
              <w:t>34</w:t>
            </w:r>
          </w:p>
        </w:tc>
        <w:tc>
          <w:tcPr>
            <w:tcW w:w="880" w:type="dxa"/>
            <w:vAlign w:val="bottom"/>
            <w:gridSpan w:val="2"/>
          </w:tcPr>
          <w:p>
            <w:pPr>
              <w:jc w:val="right"/>
              <w:ind w:right="200"/>
              <w:spacing w:after="0" w:line="243" w:lineRule="exact"/>
              <w:rPr>
                <w:sz w:val="20"/>
                <w:szCs w:val="20"/>
                <w:color w:val="auto"/>
              </w:rPr>
            </w:pPr>
            <w:r>
              <w:rPr>
                <w:rFonts w:ascii="Arial" w:cs="Arial" w:eastAsia="Arial" w:hAnsi="Arial"/>
                <w:sz w:val="22"/>
                <w:szCs w:val="22"/>
                <w:color w:val="auto"/>
              </w:rPr>
              <w:t>58</w:t>
            </w:r>
          </w:p>
        </w:tc>
        <w:tc>
          <w:tcPr>
            <w:tcW w:w="740" w:type="dxa"/>
            <w:vAlign w:val="bottom"/>
          </w:tcPr>
          <w:p>
            <w:pPr>
              <w:jc w:val="right"/>
              <w:spacing w:after="0" w:line="243" w:lineRule="exact"/>
              <w:rPr>
                <w:sz w:val="20"/>
                <w:szCs w:val="20"/>
                <w:color w:val="auto"/>
              </w:rPr>
            </w:pPr>
            <w:r>
              <w:rPr>
                <w:rFonts w:ascii="Arial" w:cs="Arial" w:eastAsia="Arial" w:hAnsi="Arial"/>
                <w:sz w:val="22"/>
                <w:szCs w:val="22"/>
                <w:color w:val="auto"/>
              </w:rPr>
              <w:t>58</w:t>
            </w:r>
          </w:p>
        </w:tc>
        <w:tc>
          <w:tcPr>
            <w:tcW w:w="180" w:type="dxa"/>
            <w:vAlign w:val="bottom"/>
          </w:tcPr>
          <w:p>
            <w:pPr>
              <w:spacing w:after="0"/>
              <w:rPr>
                <w:sz w:val="21"/>
                <w:szCs w:val="21"/>
                <w:color w:val="auto"/>
              </w:rPr>
            </w:pPr>
          </w:p>
        </w:tc>
        <w:tc>
          <w:tcPr>
            <w:tcW w:w="860" w:type="dxa"/>
            <w:vAlign w:val="bottom"/>
          </w:tcPr>
          <w:p>
            <w:pPr>
              <w:jc w:val="right"/>
              <w:spacing w:after="0" w:line="243" w:lineRule="exact"/>
              <w:rPr>
                <w:sz w:val="20"/>
                <w:szCs w:val="20"/>
                <w:color w:val="auto"/>
              </w:rPr>
            </w:pPr>
            <w:r>
              <w:rPr>
                <w:rFonts w:ascii="Arial" w:cs="Arial" w:eastAsia="Arial" w:hAnsi="Arial"/>
                <w:sz w:val="22"/>
                <w:szCs w:val="22"/>
                <w:color w:val="auto"/>
              </w:rPr>
              <w:t>1,283</w:t>
            </w:r>
          </w:p>
        </w:tc>
        <w:tc>
          <w:tcPr>
            <w:tcW w:w="200" w:type="dxa"/>
            <w:vAlign w:val="bottom"/>
          </w:tcPr>
          <w:p>
            <w:pPr>
              <w:spacing w:after="0"/>
              <w:rPr>
                <w:sz w:val="21"/>
                <w:szCs w:val="21"/>
                <w:color w:val="auto"/>
              </w:rPr>
            </w:pPr>
          </w:p>
        </w:tc>
        <w:tc>
          <w:tcPr>
            <w:tcW w:w="1180" w:type="dxa"/>
            <w:vAlign w:val="bottom"/>
            <w:gridSpan w:val="2"/>
          </w:tcPr>
          <w:p>
            <w:pPr>
              <w:jc w:val="right"/>
              <w:ind w:right="120"/>
              <w:spacing w:after="0" w:line="243" w:lineRule="exact"/>
              <w:rPr>
                <w:sz w:val="20"/>
                <w:szCs w:val="20"/>
                <w:color w:val="auto"/>
              </w:rPr>
            </w:pPr>
            <w:r>
              <w:rPr>
                <w:rFonts w:ascii="Arial" w:cs="Arial" w:eastAsia="Arial" w:hAnsi="Arial"/>
                <w:sz w:val="22"/>
                <w:szCs w:val="22"/>
                <w:color w:val="auto"/>
              </w:rPr>
              <w:t>(242)</w:t>
            </w:r>
          </w:p>
        </w:tc>
        <w:tc>
          <w:tcPr>
            <w:tcW w:w="1000" w:type="dxa"/>
            <w:vAlign w:val="bottom"/>
            <w:gridSpan w:val="2"/>
          </w:tcPr>
          <w:p>
            <w:pPr>
              <w:jc w:val="right"/>
              <w:ind w:right="80"/>
              <w:spacing w:after="0" w:line="243" w:lineRule="exact"/>
              <w:rPr>
                <w:sz w:val="20"/>
                <w:szCs w:val="20"/>
                <w:color w:val="auto"/>
              </w:rPr>
            </w:pPr>
            <w:r>
              <w:rPr>
                <w:rFonts w:ascii="Arial" w:cs="Arial" w:eastAsia="Arial" w:hAnsi="Arial"/>
                <w:sz w:val="22"/>
                <w:szCs w:val="22"/>
                <w:color w:val="auto"/>
              </w:rPr>
              <w:t>1,229</w:t>
            </w:r>
          </w:p>
        </w:tc>
        <w:tc>
          <w:tcPr>
            <w:tcW w:w="0" w:type="dxa"/>
            <w:vAlign w:val="bottom"/>
          </w:tcPr>
          <w:p>
            <w:pPr>
              <w:spacing w:after="0"/>
              <w:rPr>
                <w:sz w:val="1"/>
                <w:szCs w:val="1"/>
                <w:color w:val="auto"/>
              </w:rPr>
            </w:pPr>
          </w:p>
        </w:tc>
      </w:tr>
      <w:tr>
        <w:trPr>
          <w:trHeight w:val="243"/>
        </w:trPr>
        <w:tc>
          <w:tcPr>
            <w:tcW w:w="3360" w:type="dxa"/>
            <w:vAlign w:val="bottom"/>
          </w:tcPr>
          <w:p>
            <w:pPr>
              <w:ind w:left="180"/>
              <w:spacing w:after="0" w:line="243" w:lineRule="exact"/>
              <w:rPr>
                <w:sz w:val="20"/>
                <w:szCs w:val="20"/>
                <w:color w:val="auto"/>
              </w:rPr>
            </w:pPr>
            <w:r>
              <w:rPr>
                <w:rFonts w:ascii="Arial" w:cs="Arial" w:eastAsia="Arial" w:hAnsi="Arial"/>
                <w:sz w:val="22"/>
                <w:szCs w:val="22"/>
                <w:color w:val="auto"/>
              </w:rPr>
              <w:t>Depreciation</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spacing w:after="0" w:line="243" w:lineRule="exact"/>
              <w:rPr>
                <w:sz w:val="20"/>
                <w:szCs w:val="20"/>
                <w:color w:val="auto"/>
              </w:rPr>
            </w:pPr>
            <w:r>
              <w:rPr>
                <w:rFonts w:ascii="Arial" w:cs="Arial" w:eastAsia="Arial" w:hAnsi="Arial"/>
                <w:sz w:val="22"/>
                <w:szCs w:val="22"/>
                <w:color w:val="auto"/>
              </w:rPr>
              <w:t>816</w:t>
            </w: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gridSpan w:val="2"/>
          </w:tcPr>
          <w:p>
            <w:pPr>
              <w:jc w:val="right"/>
              <w:ind w:right="80"/>
              <w:spacing w:after="0" w:line="243" w:lineRule="exact"/>
              <w:rPr>
                <w:sz w:val="20"/>
                <w:szCs w:val="20"/>
                <w:color w:val="auto"/>
              </w:rPr>
            </w:pPr>
            <w:r>
              <w:rPr>
                <w:rFonts w:ascii="Arial" w:cs="Arial" w:eastAsia="Arial" w:hAnsi="Arial"/>
                <w:sz w:val="22"/>
                <w:szCs w:val="22"/>
                <w:color w:val="auto"/>
              </w:rPr>
              <w:t>816</w:t>
            </w:r>
          </w:p>
        </w:tc>
        <w:tc>
          <w:tcPr>
            <w:tcW w:w="0" w:type="dxa"/>
            <w:vAlign w:val="bottom"/>
          </w:tcPr>
          <w:p>
            <w:pPr>
              <w:spacing w:after="0"/>
              <w:rPr>
                <w:sz w:val="1"/>
                <w:szCs w:val="1"/>
                <w:color w:val="auto"/>
              </w:rPr>
            </w:pPr>
          </w:p>
        </w:tc>
      </w:tr>
      <w:tr>
        <w:trPr>
          <w:trHeight w:val="275"/>
        </w:trPr>
        <w:tc>
          <w:tcPr>
            <w:tcW w:w="3360" w:type="dxa"/>
            <w:vAlign w:val="bottom"/>
          </w:tcPr>
          <w:p>
            <w:pPr>
              <w:ind w:left="160"/>
              <w:spacing w:after="0"/>
              <w:rPr>
                <w:sz w:val="20"/>
                <w:szCs w:val="20"/>
                <w:color w:val="auto"/>
              </w:rPr>
            </w:pPr>
            <w:r>
              <w:rPr>
                <w:rFonts w:ascii="Arial" w:cs="Arial" w:eastAsia="Arial" w:hAnsi="Arial"/>
                <w:sz w:val="22"/>
                <w:szCs w:val="22"/>
                <w:color w:val="auto"/>
              </w:rPr>
              <w:t>Amortization</w:t>
            </w:r>
          </w:p>
        </w:tc>
        <w:tc>
          <w:tcPr>
            <w:tcW w:w="7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22"/>
                <w:szCs w:val="22"/>
                <w:color w:val="auto"/>
              </w:rPr>
              <w:t>371</w:t>
            </w:r>
          </w:p>
        </w:tc>
        <w:tc>
          <w:tcPr>
            <w:tcW w:w="2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22"/>
                <w:szCs w:val="22"/>
                <w:color w:val="auto"/>
              </w:rPr>
              <w:t>371</w:t>
            </w:r>
          </w:p>
        </w:tc>
        <w:tc>
          <w:tcPr>
            <w:tcW w:w="0" w:type="dxa"/>
            <w:vAlign w:val="bottom"/>
          </w:tcPr>
          <w:p>
            <w:pPr>
              <w:spacing w:after="0"/>
              <w:rPr>
                <w:sz w:val="1"/>
                <w:szCs w:val="1"/>
                <w:color w:val="auto"/>
              </w:rPr>
            </w:pPr>
          </w:p>
        </w:tc>
      </w:tr>
      <w:tr>
        <w:trPr>
          <w:trHeight w:val="98"/>
        </w:trPr>
        <w:tc>
          <w:tcPr>
            <w:tcW w:w="336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55"/>
        </w:trPr>
        <w:tc>
          <w:tcPr>
            <w:tcW w:w="33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22"/>
                <w:szCs w:val="22"/>
                <w:color w:val="auto"/>
              </w:rPr>
              <w:t>38</w:t>
            </w:r>
          </w:p>
        </w:tc>
        <w:tc>
          <w:tcPr>
            <w:tcW w:w="180" w:type="dxa"/>
            <w:vAlign w:val="bottom"/>
          </w:tcPr>
          <w:p>
            <w:pPr>
              <w:spacing w:after="0"/>
              <w:rPr>
                <w:sz w:val="24"/>
                <w:szCs w:val="2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22"/>
                <w:szCs w:val="22"/>
                <w:color w:val="auto"/>
              </w:rPr>
              <w:t>34</w:t>
            </w:r>
          </w:p>
        </w:tc>
        <w:tc>
          <w:tcPr>
            <w:tcW w:w="880" w:type="dxa"/>
            <w:vAlign w:val="bottom"/>
            <w:gridSpan w:val="2"/>
          </w:tcPr>
          <w:p>
            <w:pPr>
              <w:jc w:val="right"/>
              <w:ind w:right="200"/>
              <w:spacing w:after="0"/>
              <w:rPr>
                <w:sz w:val="20"/>
                <w:szCs w:val="20"/>
                <w:color w:val="auto"/>
              </w:rPr>
            </w:pPr>
            <w:r>
              <w:rPr>
                <w:rFonts w:ascii="Arial" w:cs="Arial" w:eastAsia="Arial" w:hAnsi="Arial"/>
                <w:sz w:val="22"/>
                <w:szCs w:val="22"/>
                <w:color w:val="auto"/>
              </w:rPr>
              <w:t>58</w:t>
            </w:r>
          </w:p>
        </w:tc>
        <w:tc>
          <w:tcPr>
            <w:tcW w:w="740" w:type="dxa"/>
            <w:vAlign w:val="bottom"/>
          </w:tcPr>
          <w:p>
            <w:pPr>
              <w:jc w:val="right"/>
              <w:spacing w:after="0"/>
              <w:rPr>
                <w:sz w:val="20"/>
                <w:szCs w:val="20"/>
                <w:color w:val="auto"/>
              </w:rPr>
            </w:pPr>
            <w:r>
              <w:rPr>
                <w:rFonts w:ascii="Arial" w:cs="Arial" w:eastAsia="Arial" w:hAnsi="Arial"/>
                <w:sz w:val="22"/>
                <w:szCs w:val="22"/>
                <w:color w:val="auto"/>
              </w:rPr>
              <w:t>58</w:t>
            </w:r>
          </w:p>
        </w:tc>
        <w:tc>
          <w:tcPr>
            <w:tcW w:w="1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2"/>
                <w:szCs w:val="22"/>
                <w:color w:val="auto"/>
              </w:rPr>
              <w:t>4,223</w:t>
            </w:r>
          </w:p>
        </w:tc>
        <w:tc>
          <w:tcPr>
            <w:tcW w:w="200" w:type="dxa"/>
            <w:vAlign w:val="bottom"/>
          </w:tcPr>
          <w:p>
            <w:pPr>
              <w:spacing w:after="0"/>
              <w:rPr>
                <w:sz w:val="24"/>
                <w:szCs w:val="24"/>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22"/>
                <w:szCs w:val="22"/>
                <w:color w:val="auto"/>
              </w:rPr>
              <w:t>(242)</w:t>
            </w:r>
          </w:p>
        </w:tc>
        <w:tc>
          <w:tcPr>
            <w:tcW w:w="1000" w:type="dxa"/>
            <w:vAlign w:val="bottom"/>
            <w:gridSpan w:val="2"/>
          </w:tcPr>
          <w:p>
            <w:pPr>
              <w:jc w:val="right"/>
              <w:ind w:right="80"/>
              <w:spacing w:after="0"/>
              <w:rPr>
                <w:sz w:val="20"/>
                <w:szCs w:val="20"/>
                <w:color w:val="auto"/>
              </w:rPr>
            </w:pPr>
            <w:r>
              <w:rPr>
                <w:rFonts w:ascii="Arial" w:cs="Arial" w:eastAsia="Arial" w:hAnsi="Arial"/>
                <w:sz w:val="22"/>
                <w:szCs w:val="22"/>
                <w:color w:val="auto"/>
              </w:rPr>
              <w:t>4,169</w:t>
            </w:r>
          </w:p>
        </w:tc>
        <w:tc>
          <w:tcPr>
            <w:tcW w:w="0" w:type="dxa"/>
            <w:vAlign w:val="bottom"/>
          </w:tcPr>
          <w:p>
            <w:pPr>
              <w:spacing w:after="0"/>
              <w:rPr>
                <w:sz w:val="1"/>
                <w:szCs w:val="1"/>
                <w:color w:val="auto"/>
              </w:rPr>
            </w:pPr>
          </w:p>
        </w:tc>
      </w:tr>
      <w:tr>
        <w:trPr>
          <w:trHeight w:val="98"/>
        </w:trPr>
        <w:tc>
          <w:tcPr>
            <w:tcW w:w="336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98"/>
        </w:trPr>
        <w:tc>
          <w:tcPr>
            <w:tcW w:w="3360" w:type="dxa"/>
            <w:vAlign w:val="bottom"/>
          </w:tcPr>
          <w:p>
            <w:pPr>
              <w:spacing w:after="0"/>
              <w:rPr>
                <w:sz w:val="20"/>
                <w:szCs w:val="20"/>
                <w:color w:val="auto"/>
              </w:rPr>
            </w:pPr>
            <w:r>
              <w:rPr>
                <w:rFonts w:ascii="Arial" w:cs="Arial" w:eastAsia="Arial" w:hAnsi="Arial"/>
                <w:sz w:val="22"/>
                <w:szCs w:val="22"/>
                <w:color w:val="auto"/>
              </w:rPr>
              <w:t>OPERATING INCOME</w:t>
            </w:r>
          </w:p>
        </w:tc>
        <w:tc>
          <w:tcPr>
            <w:tcW w:w="700" w:type="dxa"/>
            <w:vAlign w:val="bottom"/>
          </w:tcPr>
          <w:p>
            <w:pPr>
              <w:jc w:val="right"/>
              <w:spacing w:after="0"/>
              <w:rPr>
                <w:sz w:val="20"/>
                <w:szCs w:val="20"/>
                <w:color w:val="auto"/>
              </w:rPr>
            </w:pPr>
            <w:r>
              <w:rPr>
                <w:rFonts w:ascii="Arial" w:cs="Arial" w:eastAsia="Arial" w:hAnsi="Arial"/>
                <w:sz w:val="22"/>
                <w:szCs w:val="22"/>
                <w:color w:val="auto"/>
              </w:rPr>
              <w:t>54</w:t>
            </w: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2"/>
                <w:szCs w:val="22"/>
                <w:color w:val="auto"/>
              </w:rPr>
              <w:t>371</w:t>
            </w: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22"/>
                <w:szCs w:val="22"/>
                <w:color w:val="auto"/>
              </w:rPr>
              <w:t>425</w:t>
            </w:r>
          </w:p>
        </w:tc>
        <w:tc>
          <w:tcPr>
            <w:tcW w:w="0" w:type="dxa"/>
            <w:vAlign w:val="bottom"/>
          </w:tcPr>
          <w:p>
            <w:pPr>
              <w:spacing w:after="0"/>
              <w:rPr>
                <w:sz w:val="1"/>
                <w:szCs w:val="1"/>
                <w:color w:val="auto"/>
              </w:rPr>
            </w:pPr>
          </w:p>
        </w:tc>
      </w:tr>
      <w:tr>
        <w:trPr>
          <w:trHeight w:val="455"/>
        </w:trPr>
        <w:tc>
          <w:tcPr>
            <w:tcW w:w="3360" w:type="dxa"/>
            <w:vAlign w:val="bottom"/>
          </w:tcPr>
          <w:p>
            <w:pPr>
              <w:spacing w:after="0"/>
              <w:rPr>
                <w:sz w:val="20"/>
                <w:szCs w:val="20"/>
                <w:color w:val="auto"/>
              </w:rPr>
            </w:pPr>
            <w:r>
              <w:rPr>
                <w:rFonts w:ascii="Arial" w:cs="Arial" w:eastAsia="Arial" w:hAnsi="Arial"/>
                <w:sz w:val="22"/>
                <w:szCs w:val="22"/>
                <w:color w:val="auto"/>
              </w:rPr>
              <w:t>OTHER INCOME (EXPENSE)</w:t>
            </w: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360" w:type="dxa"/>
            <w:vAlign w:val="bottom"/>
          </w:tcPr>
          <w:p>
            <w:pPr>
              <w:ind w:left="180"/>
              <w:spacing w:after="0" w:line="243" w:lineRule="exact"/>
              <w:rPr>
                <w:sz w:val="20"/>
                <w:szCs w:val="20"/>
                <w:color w:val="auto"/>
              </w:rPr>
            </w:pPr>
            <w:r>
              <w:rPr>
                <w:rFonts w:ascii="Arial" w:cs="Arial" w:eastAsia="Arial" w:hAnsi="Arial"/>
                <w:sz w:val="22"/>
                <w:szCs w:val="22"/>
                <w:color w:val="auto"/>
              </w:rPr>
              <w:t>Interest expense</w:t>
            </w:r>
          </w:p>
        </w:tc>
        <w:tc>
          <w:tcPr>
            <w:tcW w:w="88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(79)</w:t>
            </w:r>
          </w:p>
        </w:tc>
        <w:tc>
          <w:tcPr>
            <w:tcW w:w="880" w:type="dxa"/>
            <w:vAlign w:val="bottom"/>
            <w:gridSpan w:val="2"/>
          </w:tcPr>
          <w:p>
            <w:pPr>
              <w:jc w:val="right"/>
              <w:ind w:right="120"/>
              <w:spacing w:after="0" w:line="243" w:lineRule="exact"/>
              <w:rPr>
                <w:sz w:val="20"/>
                <w:szCs w:val="20"/>
                <w:color w:val="auto"/>
              </w:rPr>
            </w:pPr>
            <w:r>
              <w:rPr>
                <w:rFonts w:ascii="Arial" w:cs="Arial" w:eastAsia="Arial" w:hAnsi="Arial"/>
                <w:sz w:val="22"/>
                <w:szCs w:val="22"/>
                <w:color w:val="auto"/>
              </w:rPr>
              <w:t>(139)</w:t>
            </w:r>
          </w:p>
        </w:tc>
        <w:tc>
          <w:tcPr>
            <w:tcW w:w="880" w:type="dxa"/>
            <w:vAlign w:val="bottom"/>
            <w:gridSpan w:val="2"/>
          </w:tcPr>
          <w:p>
            <w:pPr>
              <w:jc w:val="right"/>
              <w:ind w:right="120"/>
              <w:spacing w:after="0" w:line="243" w:lineRule="exact"/>
              <w:rPr>
                <w:sz w:val="20"/>
                <w:szCs w:val="20"/>
                <w:color w:val="auto"/>
              </w:rPr>
            </w:pPr>
            <w:r>
              <w:rPr>
                <w:rFonts w:ascii="Arial" w:cs="Arial" w:eastAsia="Arial" w:hAnsi="Arial"/>
                <w:sz w:val="22"/>
                <w:szCs w:val="22"/>
                <w:color w:val="auto"/>
              </w:rPr>
              <w:t>(93)</w:t>
            </w:r>
          </w:p>
        </w:tc>
        <w:tc>
          <w:tcPr>
            <w:tcW w:w="920" w:type="dxa"/>
            <w:vAlign w:val="bottom"/>
            <w:gridSpan w:val="2"/>
          </w:tcPr>
          <w:p>
            <w:pPr>
              <w:jc w:val="right"/>
              <w:ind w:right="120"/>
              <w:spacing w:after="0" w:line="243" w:lineRule="exact"/>
              <w:rPr>
                <w:sz w:val="20"/>
                <w:szCs w:val="20"/>
                <w:color w:val="auto"/>
              </w:rPr>
            </w:pPr>
            <w:r>
              <w:rPr>
                <w:rFonts w:ascii="Arial" w:cs="Arial" w:eastAsia="Arial" w:hAnsi="Arial"/>
                <w:sz w:val="22"/>
                <w:szCs w:val="22"/>
                <w:color w:val="auto"/>
              </w:rPr>
              <w:t>(77)</w:t>
            </w:r>
          </w:p>
        </w:tc>
        <w:tc>
          <w:tcPr>
            <w:tcW w:w="1060" w:type="dxa"/>
            <w:vAlign w:val="bottom"/>
            <w:gridSpan w:val="2"/>
          </w:tcPr>
          <w:p>
            <w:pPr>
              <w:jc w:val="right"/>
              <w:ind w:right="120"/>
              <w:spacing w:after="0" w:line="243" w:lineRule="exact"/>
              <w:rPr>
                <w:sz w:val="20"/>
                <w:szCs w:val="20"/>
                <w:color w:val="auto"/>
              </w:rPr>
            </w:pPr>
            <w:r>
              <w:rPr>
                <w:rFonts w:ascii="Arial" w:cs="Arial" w:eastAsia="Arial" w:hAnsi="Arial"/>
                <w:sz w:val="22"/>
                <w:szCs w:val="22"/>
                <w:color w:val="auto"/>
              </w:rPr>
              <w:t>(102)</w:t>
            </w: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(490)</w:t>
            </w:r>
          </w:p>
        </w:tc>
        <w:tc>
          <w:tcPr>
            <w:tcW w:w="0" w:type="dxa"/>
            <w:vAlign w:val="bottom"/>
          </w:tcPr>
          <w:p>
            <w:pPr>
              <w:spacing w:after="0"/>
              <w:rPr>
                <w:sz w:val="1"/>
                <w:szCs w:val="1"/>
                <w:color w:val="auto"/>
              </w:rPr>
            </w:pPr>
          </w:p>
        </w:tc>
      </w:tr>
      <w:tr>
        <w:trPr>
          <w:trHeight w:val="243"/>
        </w:trPr>
        <w:tc>
          <w:tcPr>
            <w:tcW w:w="3360" w:type="dxa"/>
            <w:vAlign w:val="bottom"/>
          </w:tcPr>
          <w:p>
            <w:pPr>
              <w:ind w:left="180"/>
              <w:spacing w:after="0" w:line="243" w:lineRule="exact"/>
              <w:rPr>
                <w:sz w:val="20"/>
                <w:szCs w:val="20"/>
                <w:color w:val="auto"/>
              </w:rPr>
            </w:pPr>
            <w:r>
              <w:rPr>
                <w:rFonts w:ascii="Arial" w:cs="Arial" w:eastAsia="Arial" w:hAnsi="Arial"/>
                <w:sz w:val="22"/>
                <w:szCs w:val="22"/>
                <w:color w:val="auto"/>
              </w:rPr>
              <w:t>Investment loss, net</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120"/>
              <w:spacing w:after="0" w:line="243" w:lineRule="exact"/>
              <w:rPr>
                <w:sz w:val="20"/>
                <w:szCs w:val="20"/>
                <w:color w:val="auto"/>
              </w:rPr>
            </w:pPr>
            <w:r>
              <w:rPr>
                <w:rFonts w:ascii="Arial" w:cs="Arial" w:eastAsia="Arial" w:hAnsi="Arial"/>
                <w:sz w:val="22"/>
                <w:szCs w:val="22"/>
                <w:color w:val="auto"/>
              </w:rPr>
              <w:t>(6)</w:t>
            </w: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(6)</w:t>
            </w:r>
          </w:p>
        </w:tc>
        <w:tc>
          <w:tcPr>
            <w:tcW w:w="0" w:type="dxa"/>
            <w:vAlign w:val="bottom"/>
          </w:tcPr>
          <w:p>
            <w:pPr>
              <w:spacing w:after="0"/>
              <w:rPr>
                <w:sz w:val="1"/>
                <w:szCs w:val="1"/>
                <w:color w:val="auto"/>
              </w:rPr>
            </w:pPr>
          </w:p>
        </w:tc>
      </w:tr>
      <w:tr>
        <w:trPr>
          <w:trHeight w:val="243"/>
        </w:trPr>
        <w:tc>
          <w:tcPr>
            <w:tcW w:w="3360" w:type="dxa"/>
            <w:vAlign w:val="bottom"/>
          </w:tcPr>
          <w:p>
            <w:pPr>
              <w:ind w:left="180"/>
              <w:spacing w:after="0" w:line="243" w:lineRule="exact"/>
              <w:rPr>
                <w:sz w:val="20"/>
                <w:szCs w:val="20"/>
                <w:color w:val="auto"/>
              </w:rPr>
            </w:pPr>
            <w:r>
              <w:rPr>
                <w:rFonts w:ascii="Arial" w:cs="Arial" w:eastAsia="Arial" w:hAnsi="Arial"/>
                <w:sz w:val="22"/>
                <w:szCs w:val="22"/>
                <w:color w:val="auto"/>
              </w:rPr>
              <w:t>Equity in net (losses) income of</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60" w:type="dxa"/>
            <w:vAlign w:val="bottom"/>
          </w:tcPr>
          <w:p>
            <w:pPr>
              <w:ind w:left="340"/>
              <w:spacing w:after="0" w:line="243" w:lineRule="exact"/>
              <w:rPr>
                <w:sz w:val="20"/>
                <w:szCs w:val="20"/>
                <w:color w:val="auto"/>
              </w:rPr>
            </w:pPr>
            <w:r>
              <w:rPr>
                <w:rFonts w:ascii="Arial" w:cs="Arial" w:eastAsia="Arial" w:hAnsi="Arial"/>
                <w:sz w:val="22"/>
                <w:szCs w:val="22"/>
                <w:color w:val="auto"/>
              </w:rPr>
              <w:t>affiliates</w:t>
            </w:r>
          </w:p>
        </w:tc>
        <w:tc>
          <w:tcPr>
            <w:tcW w:w="88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(5)</w:t>
            </w:r>
          </w:p>
        </w:tc>
        <w:tc>
          <w:tcPr>
            <w:tcW w:w="880" w:type="dxa"/>
            <w:vAlign w:val="bottom"/>
            <w:gridSpan w:val="2"/>
          </w:tcPr>
          <w:p>
            <w:pPr>
              <w:jc w:val="right"/>
              <w:ind w:right="200"/>
              <w:spacing w:after="0" w:line="243" w:lineRule="exact"/>
              <w:rPr>
                <w:sz w:val="20"/>
                <w:szCs w:val="20"/>
                <w:color w:val="auto"/>
              </w:rPr>
            </w:pPr>
            <w:r>
              <w:rPr>
                <w:rFonts w:ascii="Arial" w:cs="Arial" w:eastAsia="Arial" w:hAnsi="Arial"/>
                <w:sz w:val="22"/>
                <w:szCs w:val="22"/>
                <w:color w:val="auto"/>
              </w:rPr>
              <w:t>272</w:t>
            </w:r>
          </w:p>
        </w:tc>
        <w:tc>
          <w:tcPr>
            <w:tcW w:w="880" w:type="dxa"/>
            <w:vAlign w:val="bottom"/>
            <w:gridSpan w:val="2"/>
          </w:tcPr>
          <w:p>
            <w:pPr>
              <w:jc w:val="right"/>
              <w:ind w:right="120"/>
              <w:spacing w:after="0" w:line="243" w:lineRule="exact"/>
              <w:rPr>
                <w:sz w:val="20"/>
                <w:szCs w:val="20"/>
                <w:color w:val="auto"/>
              </w:rPr>
            </w:pPr>
            <w:r>
              <w:rPr>
                <w:rFonts w:ascii="Arial" w:cs="Arial" w:eastAsia="Arial" w:hAnsi="Arial"/>
                <w:sz w:val="22"/>
                <w:szCs w:val="22"/>
                <w:color w:val="auto"/>
              </w:rPr>
              <w:t>(70)</w:t>
            </w:r>
          </w:p>
        </w:tc>
        <w:tc>
          <w:tcPr>
            <w:tcW w:w="920" w:type="dxa"/>
            <w:vAlign w:val="bottom"/>
            <w:gridSpan w:val="2"/>
          </w:tcPr>
          <w:p>
            <w:pPr>
              <w:jc w:val="right"/>
              <w:ind w:right="120"/>
              <w:spacing w:after="0" w:line="243" w:lineRule="exact"/>
              <w:rPr>
                <w:sz w:val="20"/>
                <w:szCs w:val="20"/>
                <w:color w:val="auto"/>
              </w:rPr>
            </w:pPr>
            <w:r>
              <w:rPr>
                <w:rFonts w:ascii="Arial" w:cs="Arial" w:eastAsia="Arial" w:hAnsi="Arial"/>
                <w:sz w:val="22"/>
                <w:szCs w:val="22"/>
                <w:color w:val="auto"/>
              </w:rPr>
              <w:t>(20)</w:t>
            </w:r>
          </w:p>
        </w:tc>
        <w:tc>
          <w:tcPr>
            <w:tcW w:w="860" w:type="dxa"/>
            <w:vAlign w:val="bottom"/>
          </w:tcPr>
          <w:p>
            <w:pPr>
              <w:jc w:val="right"/>
              <w:spacing w:after="0" w:line="243" w:lineRule="exact"/>
              <w:rPr>
                <w:sz w:val="20"/>
                <w:szCs w:val="20"/>
                <w:color w:val="auto"/>
              </w:rPr>
            </w:pPr>
            <w:r>
              <w:rPr>
                <w:rFonts w:ascii="Arial" w:cs="Arial" w:eastAsia="Arial" w:hAnsi="Arial"/>
                <w:sz w:val="22"/>
                <w:szCs w:val="22"/>
                <w:color w:val="auto"/>
              </w:rPr>
              <w:t>183</w:t>
            </w:r>
          </w:p>
        </w:tc>
        <w:tc>
          <w:tcPr>
            <w:tcW w:w="200" w:type="dxa"/>
            <w:vAlign w:val="bottom"/>
          </w:tcPr>
          <w:p>
            <w:pPr>
              <w:spacing w:after="0"/>
              <w:rPr>
                <w:sz w:val="21"/>
                <w:szCs w:val="21"/>
                <w:color w:val="auto"/>
              </w:rPr>
            </w:pPr>
          </w:p>
        </w:tc>
        <w:tc>
          <w:tcPr>
            <w:tcW w:w="1180" w:type="dxa"/>
            <w:vAlign w:val="bottom"/>
            <w:gridSpan w:val="2"/>
          </w:tcPr>
          <w:p>
            <w:pPr>
              <w:jc w:val="right"/>
              <w:ind w:right="120"/>
              <w:spacing w:after="0" w:line="243" w:lineRule="exact"/>
              <w:rPr>
                <w:sz w:val="20"/>
                <w:szCs w:val="20"/>
                <w:color w:val="auto"/>
              </w:rPr>
            </w:pPr>
            <w:r>
              <w:rPr>
                <w:rFonts w:ascii="Arial" w:cs="Arial" w:eastAsia="Arial" w:hAnsi="Arial"/>
                <w:sz w:val="22"/>
                <w:szCs w:val="22"/>
                <w:color w:val="auto"/>
              </w:rPr>
              <w:t>(359)</w:t>
            </w:r>
          </w:p>
        </w:tc>
        <w:tc>
          <w:tcPr>
            <w:tcW w:w="1000" w:type="dxa"/>
            <w:vAlign w:val="bottom"/>
            <w:gridSpan w:val="2"/>
          </w:tcPr>
          <w:p>
            <w:pPr>
              <w:jc w:val="right"/>
              <w:ind w:right="80"/>
              <w:spacing w:after="0" w:line="243" w:lineRule="exact"/>
              <w:rPr>
                <w:sz w:val="20"/>
                <w:szCs w:val="20"/>
                <w:color w:val="auto"/>
              </w:rPr>
            </w:pPr>
            <w:r>
              <w:rPr>
                <w:rFonts w:ascii="Arial" w:cs="Arial" w:eastAsia="Arial" w:hAnsi="Arial"/>
                <w:sz w:val="22"/>
                <w:szCs w:val="22"/>
                <w:color w:val="auto"/>
              </w:rPr>
              <w:t>1</w:t>
            </w:r>
          </w:p>
        </w:tc>
        <w:tc>
          <w:tcPr>
            <w:tcW w:w="0" w:type="dxa"/>
            <w:vAlign w:val="bottom"/>
          </w:tcPr>
          <w:p>
            <w:pPr>
              <w:spacing w:after="0"/>
              <w:rPr>
                <w:sz w:val="1"/>
                <w:szCs w:val="1"/>
                <w:color w:val="auto"/>
              </w:rPr>
            </w:pPr>
          </w:p>
        </w:tc>
      </w:tr>
      <w:tr>
        <w:trPr>
          <w:trHeight w:val="275"/>
        </w:trPr>
        <w:tc>
          <w:tcPr>
            <w:tcW w:w="3360" w:type="dxa"/>
            <w:vAlign w:val="bottom"/>
          </w:tcPr>
          <w:p>
            <w:pPr>
              <w:ind w:left="180"/>
              <w:spacing w:after="0"/>
              <w:rPr>
                <w:sz w:val="20"/>
                <w:szCs w:val="20"/>
                <w:color w:val="auto"/>
              </w:rPr>
            </w:pPr>
            <w:r>
              <w:rPr>
                <w:rFonts w:ascii="Arial" w:cs="Arial" w:eastAsia="Arial" w:hAnsi="Arial"/>
                <w:sz w:val="22"/>
                <w:szCs w:val="22"/>
                <w:color w:val="auto"/>
              </w:rPr>
              <w:t>Other income</w:t>
            </w:r>
          </w:p>
        </w:tc>
        <w:tc>
          <w:tcPr>
            <w:tcW w:w="7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22"/>
                <w:szCs w:val="22"/>
                <w:color w:val="auto"/>
              </w:rPr>
              <w:t>22</w:t>
            </w:r>
          </w:p>
        </w:tc>
        <w:tc>
          <w:tcPr>
            <w:tcW w:w="2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22"/>
                <w:szCs w:val="22"/>
                <w:color w:val="auto"/>
              </w:rPr>
              <w:t>22</w:t>
            </w:r>
          </w:p>
        </w:tc>
        <w:tc>
          <w:tcPr>
            <w:tcW w:w="0" w:type="dxa"/>
            <w:vAlign w:val="bottom"/>
          </w:tcPr>
          <w:p>
            <w:pPr>
              <w:spacing w:after="0"/>
              <w:rPr>
                <w:sz w:val="1"/>
                <w:szCs w:val="1"/>
                <w:color w:val="auto"/>
              </w:rPr>
            </w:pPr>
          </w:p>
        </w:tc>
      </w:tr>
      <w:tr>
        <w:trPr>
          <w:trHeight w:val="98"/>
        </w:trPr>
        <w:tc>
          <w:tcPr>
            <w:tcW w:w="336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55"/>
        </w:trPr>
        <w:tc>
          <w:tcPr>
            <w:tcW w:w="3360" w:type="dxa"/>
            <w:vAlign w:val="bottom"/>
          </w:tcPr>
          <w:p>
            <w:pPr>
              <w:spacing w:after="0"/>
              <w:rPr>
                <w:sz w:val="24"/>
                <w:szCs w:val="2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22"/>
                <w:szCs w:val="22"/>
                <w:color w:val="auto"/>
              </w:rPr>
              <w:t>(84)</w:t>
            </w:r>
          </w:p>
        </w:tc>
        <w:tc>
          <w:tcPr>
            <w:tcW w:w="880" w:type="dxa"/>
            <w:vAlign w:val="bottom"/>
            <w:gridSpan w:val="2"/>
          </w:tcPr>
          <w:p>
            <w:pPr>
              <w:jc w:val="right"/>
              <w:ind w:right="200"/>
              <w:spacing w:after="0"/>
              <w:rPr>
                <w:sz w:val="20"/>
                <w:szCs w:val="20"/>
                <w:color w:val="auto"/>
              </w:rPr>
            </w:pPr>
            <w:r>
              <w:rPr>
                <w:rFonts w:ascii="Arial" w:cs="Arial" w:eastAsia="Arial" w:hAnsi="Arial"/>
                <w:sz w:val="22"/>
                <w:szCs w:val="22"/>
                <w:color w:val="auto"/>
              </w:rPr>
              <w:t>133</w:t>
            </w:r>
          </w:p>
        </w:tc>
        <w:tc>
          <w:tcPr>
            <w:tcW w:w="880" w:type="dxa"/>
            <w:vAlign w:val="bottom"/>
            <w:gridSpan w:val="2"/>
          </w:tcPr>
          <w:p>
            <w:pPr>
              <w:jc w:val="right"/>
              <w:ind w:right="120"/>
              <w:spacing w:after="0"/>
              <w:rPr>
                <w:sz w:val="20"/>
                <w:szCs w:val="20"/>
                <w:color w:val="auto"/>
              </w:rPr>
            </w:pPr>
            <w:r>
              <w:rPr>
                <w:rFonts w:ascii="Arial" w:cs="Arial" w:eastAsia="Arial" w:hAnsi="Arial"/>
                <w:sz w:val="22"/>
                <w:szCs w:val="22"/>
                <w:color w:val="auto"/>
              </w:rPr>
              <w:t>(163)</w:t>
            </w:r>
          </w:p>
        </w:tc>
        <w:tc>
          <w:tcPr>
            <w:tcW w:w="920" w:type="dxa"/>
            <w:vAlign w:val="bottom"/>
            <w:gridSpan w:val="2"/>
          </w:tcPr>
          <w:p>
            <w:pPr>
              <w:jc w:val="right"/>
              <w:ind w:right="120"/>
              <w:spacing w:after="0"/>
              <w:rPr>
                <w:sz w:val="20"/>
                <w:szCs w:val="20"/>
                <w:color w:val="auto"/>
              </w:rPr>
            </w:pPr>
            <w:r>
              <w:rPr>
                <w:rFonts w:ascii="Arial" w:cs="Arial" w:eastAsia="Arial" w:hAnsi="Arial"/>
                <w:sz w:val="22"/>
                <w:szCs w:val="22"/>
                <w:color w:val="auto"/>
              </w:rPr>
              <w:t>(97)</w:t>
            </w:r>
          </w:p>
        </w:tc>
        <w:tc>
          <w:tcPr>
            <w:tcW w:w="860" w:type="dxa"/>
            <w:vAlign w:val="bottom"/>
          </w:tcPr>
          <w:p>
            <w:pPr>
              <w:jc w:val="right"/>
              <w:spacing w:after="0"/>
              <w:rPr>
                <w:sz w:val="20"/>
                <w:szCs w:val="20"/>
                <w:color w:val="auto"/>
              </w:rPr>
            </w:pPr>
            <w:r>
              <w:rPr>
                <w:rFonts w:ascii="Arial" w:cs="Arial" w:eastAsia="Arial" w:hAnsi="Arial"/>
                <w:sz w:val="22"/>
                <w:szCs w:val="22"/>
                <w:color w:val="auto"/>
              </w:rPr>
              <w:t>97</w:t>
            </w:r>
          </w:p>
        </w:tc>
        <w:tc>
          <w:tcPr>
            <w:tcW w:w="200" w:type="dxa"/>
            <w:vAlign w:val="bottom"/>
          </w:tcPr>
          <w:p>
            <w:pPr>
              <w:spacing w:after="0"/>
              <w:rPr>
                <w:sz w:val="24"/>
                <w:szCs w:val="24"/>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22"/>
                <w:szCs w:val="22"/>
                <w:color w:val="auto"/>
              </w:rPr>
              <w:t>(359)</w:t>
            </w:r>
          </w:p>
        </w:tc>
        <w:tc>
          <w:tcPr>
            <w:tcW w:w="1000" w:type="dxa"/>
            <w:vAlign w:val="bottom"/>
            <w:gridSpan w:val="2"/>
          </w:tcPr>
          <w:p>
            <w:pPr>
              <w:jc w:val="right"/>
              <w:spacing w:after="0"/>
              <w:rPr>
                <w:sz w:val="20"/>
                <w:szCs w:val="20"/>
                <w:color w:val="auto"/>
              </w:rPr>
            </w:pPr>
            <w:r>
              <w:rPr>
                <w:rFonts w:ascii="Arial" w:cs="Arial" w:eastAsia="Arial" w:hAnsi="Arial"/>
                <w:sz w:val="22"/>
                <w:szCs w:val="22"/>
                <w:color w:val="auto"/>
              </w:rPr>
              <w:t>(473)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2131695</wp:posOffset>
            </wp:positionH>
            <wp:positionV relativeFrom="paragraph">
              <wp:posOffset>62230</wp:posOffset>
            </wp:positionV>
            <wp:extent cx="427101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4271010" cy="8890"/>
                    </a:xfrm>
                    <a:prstGeom prst="rect">
                      <a:avLst/>
                    </a:prstGeom>
                    <a:noFill/>
                  </pic:spPr>
                </pic:pic>
              </a:graphicData>
            </a:graphic>
          </wp:anchor>
        </w:drawing>
      </w:r>
    </w:p>
    <w:p>
      <w:pPr>
        <w:sectPr>
          <w:pgSz w:w="11900" w:h="16838" w:orient="portrait"/>
          <w:cols w:equalWidth="0" w:num="1">
            <w:col w:w="10219"/>
          </w:cols>
          <w:pgMar w:left="240" w:top="108" w:right="1440" w:bottom="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53"/>
        </w:trPr>
        <w:tc>
          <w:tcPr>
            <w:tcW w:w="3360" w:type="dxa"/>
            <w:vAlign w:val="bottom"/>
          </w:tcPr>
          <w:p>
            <w:pPr>
              <w:spacing w:after="0"/>
              <w:rPr>
                <w:sz w:val="20"/>
                <w:szCs w:val="20"/>
                <w:color w:val="auto"/>
              </w:rPr>
            </w:pPr>
            <w:r>
              <w:rPr>
                <w:rFonts w:ascii="Arial" w:cs="Arial" w:eastAsia="Arial" w:hAnsi="Arial"/>
                <w:sz w:val="22"/>
                <w:szCs w:val="22"/>
                <w:color w:val="auto"/>
              </w:rPr>
              <w:t>INCOME (LOSS) FROM</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60" w:type="dxa"/>
            <w:vAlign w:val="bottom"/>
          </w:tcPr>
          <w:p>
            <w:pPr>
              <w:spacing w:after="0" w:line="243" w:lineRule="exact"/>
              <w:rPr>
                <w:sz w:val="20"/>
                <w:szCs w:val="20"/>
                <w:color w:val="auto"/>
              </w:rPr>
            </w:pPr>
            <w:r>
              <w:rPr>
                <w:rFonts w:ascii="Arial" w:cs="Arial" w:eastAsia="Arial" w:hAnsi="Arial"/>
                <w:sz w:val="22"/>
                <w:szCs w:val="22"/>
                <w:color w:val="auto"/>
              </w:rPr>
              <w:t>CONTINUING</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60" w:type="dxa"/>
            <w:vAlign w:val="bottom"/>
          </w:tcPr>
          <w:p>
            <w:pPr>
              <w:ind w:left="180"/>
              <w:spacing w:after="0" w:line="243" w:lineRule="exact"/>
              <w:rPr>
                <w:sz w:val="20"/>
                <w:szCs w:val="20"/>
                <w:color w:val="auto"/>
              </w:rPr>
            </w:pPr>
            <w:r>
              <w:rPr>
                <w:rFonts w:ascii="Arial" w:cs="Arial" w:eastAsia="Arial" w:hAnsi="Arial"/>
                <w:sz w:val="22"/>
                <w:szCs w:val="22"/>
                <w:color w:val="auto"/>
              </w:rPr>
              <w:t>OPERATIONS BEFORE</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60" w:type="dxa"/>
            <w:vAlign w:val="bottom"/>
          </w:tcPr>
          <w:p>
            <w:pPr>
              <w:spacing w:after="0" w:line="243" w:lineRule="exact"/>
              <w:rPr>
                <w:sz w:val="20"/>
                <w:szCs w:val="20"/>
                <w:color w:val="auto"/>
              </w:rPr>
            </w:pPr>
            <w:r>
              <w:rPr>
                <w:rFonts w:ascii="Arial" w:cs="Arial" w:eastAsia="Arial" w:hAnsi="Arial"/>
                <w:sz w:val="22"/>
                <w:szCs w:val="22"/>
                <w:color w:val="auto"/>
              </w:rPr>
              <w:t>INCOME TAXES</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3360" w:type="dxa"/>
            <w:vAlign w:val="bottom"/>
          </w:tcPr>
          <w:p>
            <w:pPr>
              <w:ind w:left="160"/>
              <w:spacing w:after="0"/>
              <w:rPr>
                <w:sz w:val="20"/>
                <w:szCs w:val="20"/>
                <w:color w:val="auto"/>
              </w:rPr>
            </w:pPr>
            <w:r>
              <w:rPr>
                <w:rFonts w:ascii="Arial" w:cs="Arial" w:eastAsia="Arial" w:hAnsi="Arial"/>
                <w:sz w:val="22"/>
                <w:szCs w:val="22"/>
                <w:color w:val="auto"/>
              </w:rPr>
              <w:t>AND MINORITY INTEREST</w:t>
            </w:r>
          </w:p>
        </w:tc>
        <w:tc>
          <w:tcPr>
            <w:tcW w:w="880" w:type="dxa"/>
            <w:vAlign w:val="bottom"/>
            <w:gridSpan w:val="2"/>
          </w:tcPr>
          <w:p>
            <w:pPr>
              <w:jc w:val="right"/>
              <w:ind w:right="100"/>
              <w:spacing w:after="0"/>
              <w:rPr>
                <w:sz w:val="20"/>
                <w:szCs w:val="20"/>
                <w:color w:val="auto"/>
              </w:rPr>
            </w:pPr>
            <w:r>
              <w:rPr>
                <w:rFonts w:ascii="Arial" w:cs="Arial" w:eastAsia="Arial" w:hAnsi="Arial"/>
                <w:sz w:val="22"/>
                <w:szCs w:val="22"/>
                <w:color w:val="auto"/>
              </w:rPr>
              <w:t>(30)</w:t>
            </w:r>
          </w:p>
        </w:tc>
        <w:tc>
          <w:tcPr>
            <w:tcW w:w="880" w:type="dxa"/>
            <w:vAlign w:val="bottom"/>
            <w:gridSpan w:val="2"/>
          </w:tcPr>
          <w:p>
            <w:pPr>
              <w:jc w:val="right"/>
              <w:ind w:right="200"/>
              <w:spacing w:after="0"/>
              <w:rPr>
                <w:sz w:val="20"/>
                <w:szCs w:val="20"/>
                <w:color w:val="auto"/>
              </w:rPr>
            </w:pPr>
            <w:r>
              <w:rPr>
                <w:rFonts w:ascii="Arial" w:cs="Arial" w:eastAsia="Arial" w:hAnsi="Arial"/>
                <w:sz w:val="22"/>
                <w:szCs w:val="22"/>
                <w:color w:val="auto"/>
              </w:rPr>
              <w:t>133</w:t>
            </w:r>
          </w:p>
        </w:tc>
        <w:tc>
          <w:tcPr>
            <w:tcW w:w="880" w:type="dxa"/>
            <w:vAlign w:val="bottom"/>
            <w:gridSpan w:val="2"/>
          </w:tcPr>
          <w:p>
            <w:pPr>
              <w:jc w:val="right"/>
              <w:ind w:right="120"/>
              <w:spacing w:after="0"/>
              <w:rPr>
                <w:sz w:val="20"/>
                <w:szCs w:val="20"/>
                <w:color w:val="auto"/>
              </w:rPr>
            </w:pPr>
            <w:r>
              <w:rPr>
                <w:rFonts w:ascii="Arial" w:cs="Arial" w:eastAsia="Arial" w:hAnsi="Arial"/>
                <w:sz w:val="22"/>
                <w:szCs w:val="22"/>
                <w:color w:val="auto"/>
              </w:rPr>
              <w:t>(163)</w:t>
            </w:r>
          </w:p>
        </w:tc>
        <w:tc>
          <w:tcPr>
            <w:tcW w:w="920" w:type="dxa"/>
            <w:vAlign w:val="bottom"/>
            <w:gridSpan w:val="2"/>
          </w:tcPr>
          <w:p>
            <w:pPr>
              <w:jc w:val="right"/>
              <w:ind w:right="120"/>
              <w:spacing w:after="0"/>
              <w:rPr>
                <w:sz w:val="20"/>
                <w:szCs w:val="20"/>
                <w:color w:val="auto"/>
              </w:rPr>
            </w:pPr>
            <w:r>
              <w:rPr>
                <w:rFonts w:ascii="Arial" w:cs="Arial" w:eastAsia="Arial" w:hAnsi="Arial"/>
                <w:sz w:val="22"/>
                <w:szCs w:val="22"/>
                <w:color w:val="auto"/>
              </w:rPr>
              <w:t>(97)</w:t>
            </w:r>
          </w:p>
        </w:tc>
        <w:tc>
          <w:tcPr>
            <w:tcW w:w="860" w:type="dxa"/>
            <w:vAlign w:val="bottom"/>
          </w:tcPr>
          <w:p>
            <w:pPr>
              <w:jc w:val="right"/>
              <w:spacing w:after="0"/>
              <w:rPr>
                <w:sz w:val="20"/>
                <w:szCs w:val="20"/>
                <w:color w:val="auto"/>
              </w:rPr>
            </w:pPr>
            <w:r>
              <w:rPr>
                <w:rFonts w:ascii="Arial" w:cs="Arial" w:eastAsia="Arial" w:hAnsi="Arial"/>
                <w:sz w:val="22"/>
                <w:szCs w:val="22"/>
                <w:color w:val="auto"/>
              </w:rPr>
              <w:t>468</w:t>
            </w:r>
          </w:p>
        </w:tc>
        <w:tc>
          <w:tcPr>
            <w:tcW w:w="200" w:type="dxa"/>
            <w:vAlign w:val="bottom"/>
          </w:tcPr>
          <w:p>
            <w:pPr>
              <w:spacing w:after="0"/>
              <w:rPr>
                <w:sz w:val="23"/>
                <w:szCs w:val="23"/>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22"/>
                <w:szCs w:val="22"/>
                <w:color w:val="auto"/>
              </w:rPr>
              <w:t>(359)</w:t>
            </w:r>
          </w:p>
        </w:tc>
        <w:tc>
          <w:tcPr>
            <w:tcW w:w="1000" w:type="dxa"/>
            <w:vAlign w:val="bottom"/>
            <w:gridSpan w:val="2"/>
          </w:tcPr>
          <w:p>
            <w:pPr>
              <w:jc w:val="right"/>
              <w:spacing w:after="0"/>
              <w:rPr>
                <w:sz w:val="20"/>
                <w:szCs w:val="20"/>
                <w:color w:val="auto"/>
              </w:rPr>
            </w:pPr>
            <w:r>
              <w:rPr>
                <w:rFonts w:ascii="Arial" w:cs="Arial" w:eastAsia="Arial" w:hAnsi="Arial"/>
                <w:sz w:val="22"/>
                <w:szCs w:val="22"/>
                <w:color w:val="auto"/>
              </w:rPr>
              <w:t>(48)</w:t>
            </w:r>
          </w:p>
        </w:tc>
        <w:tc>
          <w:tcPr>
            <w:tcW w:w="0" w:type="dxa"/>
            <w:vAlign w:val="bottom"/>
          </w:tcPr>
          <w:p>
            <w:pPr>
              <w:spacing w:after="0"/>
              <w:rPr>
                <w:sz w:val="1"/>
                <w:szCs w:val="1"/>
                <w:color w:val="auto"/>
              </w:rPr>
            </w:pPr>
          </w:p>
        </w:tc>
      </w:tr>
      <w:tr>
        <w:trPr>
          <w:trHeight w:val="455"/>
        </w:trPr>
        <w:tc>
          <w:tcPr>
            <w:tcW w:w="3360" w:type="dxa"/>
            <w:vAlign w:val="bottom"/>
          </w:tcPr>
          <w:p>
            <w:pPr>
              <w:spacing w:after="0"/>
              <w:rPr>
                <w:sz w:val="20"/>
                <w:szCs w:val="20"/>
                <w:color w:val="auto"/>
              </w:rPr>
            </w:pPr>
            <w:r>
              <w:rPr>
                <w:rFonts w:ascii="Arial" w:cs="Arial" w:eastAsia="Arial" w:hAnsi="Arial"/>
                <w:sz w:val="22"/>
                <w:szCs w:val="22"/>
                <w:color w:val="auto"/>
              </w:rPr>
              <w:t>INCOME TAX (EXPENSE)</w:t>
            </w: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3360" w:type="dxa"/>
            <w:vAlign w:val="bottom"/>
          </w:tcPr>
          <w:p>
            <w:pPr>
              <w:spacing w:after="0"/>
              <w:rPr>
                <w:sz w:val="20"/>
                <w:szCs w:val="20"/>
                <w:color w:val="auto"/>
              </w:rPr>
            </w:pPr>
            <w:r>
              <w:rPr>
                <w:rFonts w:ascii="Arial" w:cs="Arial" w:eastAsia="Arial" w:hAnsi="Arial"/>
                <w:sz w:val="22"/>
                <w:szCs w:val="22"/>
                <w:color w:val="auto"/>
              </w:rPr>
              <w:t>BENEFIT</w:t>
            </w:r>
          </w:p>
        </w:tc>
        <w:tc>
          <w:tcPr>
            <w:tcW w:w="700" w:type="dxa"/>
            <w:vAlign w:val="bottom"/>
          </w:tcPr>
          <w:p>
            <w:pPr>
              <w:jc w:val="right"/>
              <w:spacing w:after="0"/>
              <w:rPr>
                <w:sz w:val="20"/>
                <w:szCs w:val="20"/>
                <w:color w:val="auto"/>
              </w:rPr>
            </w:pPr>
            <w:r>
              <w:rPr>
                <w:rFonts w:ascii="Arial" w:cs="Arial" w:eastAsia="Arial" w:hAnsi="Arial"/>
                <w:sz w:val="22"/>
                <w:szCs w:val="22"/>
                <w:color w:val="auto"/>
              </w:rPr>
              <w:t>8</w:t>
            </w:r>
          </w:p>
        </w:tc>
        <w:tc>
          <w:tcPr>
            <w:tcW w:w="180" w:type="dxa"/>
            <w:vAlign w:val="bottom"/>
          </w:tcPr>
          <w:p>
            <w:pPr>
              <w:spacing w:after="0"/>
              <w:rPr>
                <w:sz w:val="23"/>
                <w:szCs w:val="23"/>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22"/>
                <w:szCs w:val="22"/>
                <w:color w:val="auto"/>
              </w:rPr>
              <w:t>49</w:t>
            </w:r>
          </w:p>
        </w:tc>
        <w:tc>
          <w:tcPr>
            <w:tcW w:w="880" w:type="dxa"/>
            <w:vAlign w:val="bottom"/>
            <w:gridSpan w:val="2"/>
          </w:tcPr>
          <w:p>
            <w:pPr>
              <w:jc w:val="right"/>
              <w:ind w:right="200"/>
              <w:spacing w:after="0"/>
              <w:rPr>
                <w:sz w:val="20"/>
                <w:szCs w:val="20"/>
                <w:color w:val="auto"/>
              </w:rPr>
            </w:pPr>
            <w:r>
              <w:rPr>
                <w:rFonts w:ascii="Arial" w:cs="Arial" w:eastAsia="Arial" w:hAnsi="Arial"/>
                <w:sz w:val="22"/>
                <w:szCs w:val="22"/>
                <w:color w:val="auto"/>
              </w:rPr>
              <w:t>32</w:t>
            </w:r>
          </w:p>
        </w:tc>
        <w:tc>
          <w:tcPr>
            <w:tcW w:w="740" w:type="dxa"/>
            <w:vAlign w:val="bottom"/>
          </w:tcPr>
          <w:p>
            <w:pPr>
              <w:jc w:val="right"/>
              <w:spacing w:after="0"/>
              <w:rPr>
                <w:sz w:val="20"/>
                <w:szCs w:val="20"/>
                <w:color w:val="auto"/>
              </w:rPr>
            </w:pPr>
            <w:r>
              <w:rPr>
                <w:rFonts w:ascii="Arial" w:cs="Arial" w:eastAsia="Arial" w:hAnsi="Arial"/>
                <w:sz w:val="22"/>
                <w:szCs w:val="22"/>
                <w:color w:val="auto"/>
              </w:rPr>
              <w:t>27</w:t>
            </w:r>
          </w:p>
        </w:tc>
        <w:tc>
          <w:tcPr>
            <w:tcW w:w="180" w:type="dxa"/>
            <w:vAlign w:val="bottom"/>
          </w:tcPr>
          <w:p>
            <w:pPr>
              <w:spacing w:after="0"/>
              <w:rPr>
                <w:sz w:val="23"/>
                <w:szCs w:val="23"/>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22"/>
                <w:szCs w:val="22"/>
                <w:color w:val="auto"/>
              </w:rPr>
              <w:t>(129)</w:t>
            </w:r>
          </w:p>
        </w:tc>
        <w:tc>
          <w:tcPr>
            <w:tcW w:w="9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gridSpan w:val="2"/>
          </w:tcPr>
          <w:p>
            <w:pPr>
              <w:jc w:val="right"/>
              <w:spacing w:after="0"/>
              <w:rPr>
                <w:sz w:val="20"/>
                <w:szCs w:val="20"/>
                <w:color w:val="auto"/>
              </w:rPr>
            </w:pPr>
            <w:r>
              <w:rPr>
                <w:rFonts w:ascii="Arial" w:cs="Arial" w:eastAsia="Arial" w:hAnsi="Arial"/>
                <w:sz w:val="22"/>
                <w:szCs w:val="22"/>
                <w:color w:val="auto"/>
              </w:rPr>
              <w:t>(13)</w:t>
            </w:r>
          </w:p>
        </w:tc>
        <w:tc>
          <w:tcPr>
            <w:tcW w:w="0" w:type="dxa"/>
            <w:vAlign w:val="bottom"/>
          </w:tcPr>
          <w:p>
            <w:pPr>
              <w:spacing w:after="0"/>
              <w:rPr>
                <w:sz w:val="1"/>
                <w:szCs w:val="1"/>
                <w:color w:val="auto"/>
              </w:rPr>
            </w:pPr>
          </w:p>
        </w:tc>
      </w:tr>
      <w:tr>
        <w:trPr>
          <w:trHeight w:val="98"/>
        </w:trPr>
        <w:tc>
          <w:tcPr>
            <w:tcW w:w="3360" w:type="dxa"/>
            <w:vAlign w:val="bottom"/>
            <w:vMerge w:val="restart"/>
          </w:tcPr>
          <w:p>
            <w:pPr>
              <w:spacing w:after="0"/>
              <w:rPr>
                <w:sz w:val="20"/>
                <w:szCs w:val="20"/>
                <w:color w:val="auto"/>
              </w:rPr>
            </w:pPr>
            <w:r>
              <w:rPr>
                <w:rFonts w:ascii="Arial" w:cs="Arial" w:eastAsia="Arial" w:hAnsi="Arial"/>
                <w:sz w:val="22"/>
                <w:szCs w:val="22"/>
                <w:color w:val="auto"/>
              </w:rPr>
              <w:t>INCOME (LOSS) FROM</w:t>
            </w:r>
          </w:p>
        </w:tc>
        <w:tc>
          <w:tcPr>
            <w:tcW w:w="7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66"/>
        </w:trPr>
        <w:tc>
          <w:tcPr>
            <w:tcW w:w="336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360" w:type="dxa"/>
            <w:vAlign w:val="bottom"/>
          </w:tcPr>
          <w:p>
            <w:pPr>
              <w:spacing w:after="0" w:line="243" w:lineRule="exact"/>
              <w:rPr>
                <w:sz w:val="20"/>
                <w:szCs w:val="20"/>
                <w:color w:val="auto"/>
              </w:rPr>
            </w:pPr>
            <w:r>
              <w:rPr>
                <w:rFonts w:ascii="Arial" w:cs="Arial" w:eastAsia="Arial" w:hAnsi="Arial"/>
                <w:sz w:val="22"/>
                <w:szCs w:val="22"/>
                <w:color w:val="auto"/>
              </w:rPr>
              <w:t>CONTINUING</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60" w:type="dxa"/>
            <w:vAlign w:val="bottom"/>
          </w:tcPr>
          <w:p>
            <w:pPr>
              <w:spacing w:after="0" w:line="243" w:lineRule="exact"/>
              <w:rPr>
                <w:sz w:val="20"/>
                <w:szCs w:val="20"/>
                <w:color w:val="auto"/>
              </w:rPr>
            </w:pPr>
            <w:r>
              <w:rPr>
                <w:rFonts w:ascii="Arial" w:cs="Arial" w:eastAsia="Arial" w:hAnsi="Arial"/>
                <w:sz w:val="22"/>
                <w:szCs w:val="22"/>
                <w:color w:val="auto"/>
              </w:rPr>
              <w:t>OPERATIONS BEFORE</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60" w:type="dxa"/>
            <w:vAlign w:val="bottom"/>
          </w:tcPr>
          <w:p>
            <w:pPr>
              <w:spacing w:after="0" w:line="243" w:lineRule="exact"/>
              <w:rPr>
                <w:sz w:val="20"/>
                <w:szCs w:val="20"/>
                <w:color w:val="auto"/>
              </w:rPr>
            </w:pPr>
            <w:r>
              <w:rPr>
                <w:rFonts w:ascii="Arial" w:cs="Arial" w:eastAsia="Arial" w:hAnsi="Arial"/>
                <w:sz w:val="22"/>
                <w:szCs w:val="22"/>
                <w:color w:val="auto"/>
              </w:rPr>
              <w:t>MINORITY</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3360" w:type="dxa"/>
            <w:vAlign w:val="bottom"/>
          </w:tcPr>
          <w:p>
            <w:pPr>
              <w:spacing w:after="0"/>
              <w:rPr>
                <w:sz w:val="20"/>
                <w:szCs w:val="20"/>
                <w:color w:val="auto"/>
              </w:rPr>
            </w:pPr>
            <w:r>
              <w:rPr>
                <w:rFonts w:ascii="Arial" w:cs="Arial" w:eastAsia="Arial" w:hAnsi="Arial"/>
                <w:sz w:val="22"/>
                <w:szCs w:val="22"/>
                <w:color w:val="auto"/>
              </w:rPr>
              <w:t>INTEREST</w:t>
            </w:r>
          </w:p>
        </w:tc>
        <w:tc>
          <w:tcPr>
            <w:tcW w:w="880" w:type="dxa"/>
            <w:vAlign w:val="bottom"/>
            <w:gridSpan w:val="2"/>
          </w:tcPr>
          <w:p>
            <w:pPr>
              <w:jc w:val="right"/>
              <w:ind w:right="100"/>
              <w:spacing w:after="0"/>
              <w:rPr>
                <w:sz w:val="20"/>
                <w:szCs w:val="20"/>
                <w:color w:val="auto"/>
              </w:rPr>
            </w:pPr>
            <w:r>
              <w:rPr>
                <w:rFonts w:ascii="Arial" w:cs="Arial" w:eastAsia="Arial" w:hAnsi="Arial"/>
                <w:sz w:val="22"/>
                <w:szCs w:val="22"/>
                <w:color w:val="auto"/>
              </w:rPr>
              <w:t>(22)</w:t>
            </w:r>
          </w:p>
        </w:tc>
        <w:tc>
          <w:tcPr>
            <w:tcW w:w="880" w:type="dxa"/>
            <w:vAlign w:val="bottom"/>
            <w:gridSpan w:val="2"/>
          </w:tcPr>
          <w:p>
            <w:pPr>
              <w:jc w:val="right"/>
              <w:ind w:right="200"/>
              <w:spacing w:after="0"/>
              <w:rPr>
                <w:sz w:val="20"/>
                <w:szCs w:val="20"/>
                <w:color w:val="auto"/>
              </w:rPr>
            </w:pPr>
            <w:r>
              <w:rPr>
                <w:rFonts w:ascii="Arial" w:cs="Arial" w:eastAsia="Arial" w:hAnsi="Arial"/>
                <w:sz w:val="22"/>
                <w:szCs w:val="22"/>
                <w:color w:val="auto"/>
              </w:rPr>
              <w:t>182</w:t>
            </w:r>
          </w:p>
        </w:tc>
        <w:tc>
          <w:tcPr>
            <w:tcW w:w="880" w:type="dxa"/>
            <w:vAlign w:val="bottom"/>
            <w:gridSpan w:val="2"/>
          </w:tcPr>
          <w:p>
            <w:pPr>
              <w:jc w:val="right"/>
              <w:ind w:right="120"/>
              <w:spacing w:after="0"/>
              <w:rPr>
                <w:sz w:val="20"/>
                <w:szCs w:val="20"/>
                <w:color w:val="auto"/>
              </w:rPr>
            </w:pPr>
            <w:r>
              <w:rPr>
                <w:rFonts w:ascii="Arial" w:cs="Arial" w:eastAsia="Arial" w:hAnsi="Arial"/>
                <w:sz w:val="22"/>
                <w:szCs w:val="22"/>
                <w:color w:val="auto"/>
              </w:rPr>
              <w:t>(131)</w:t>
            </w:r>
          </w:p>
        </w:tc>
        <w:tc>
          <w:tcPr>
            <w:tcW w:w="920" w:type="dxa"/>
            <w:vAlign w:val="bottom"/>
            <w:gridSpan w:val="2"/>
          </w:tcPr>
          <w:p>
            <w:pPr>
              <w:jc w:val="right"/>
              <w:ind w:right="120"/>
              <w:spacing w:after="0"/>
              <w:rPr>
                <w:sz w:val="20"/>
                <w:szCs w:val="20"/>
                <w:color w:val="auto"/>
              </w:rPr>
            </w:pPr>
            <w:r>
              <w:rPr>
                <w:rFonts w:ascii="Arial" w:cs="Arial" w:eastAsia="Arial" w:hAnsi="Arial"/>
                <w:sz w:val="22"/>
                <w:szCs w:val="22"/>
                <w:color w:val="auto"/>
              </w:rPr>
              <w:t>(70)</w:t>
            </w:r>
          </w:p>
        </w:tc>
        <w:tc>
          <w:tcPr>
            <w:tcW w:w="860" w:type="dxa"/>
            <w:vAlign w:val="bottom"/>
          </w:tcPr>
          <w:p>
            <w:pPr>
              <w:jc w:val="right"/>
              <w:spacing w:after="0"/>
              <w:rPr>
                <w:sz w:val="20"/>
                <w:szCs w:val="20"/>
                <w:color w:val="auto"/>
              </w:rPr>
            </w:pPr>
            <w:r>
              <w:rPr>
                <w:rFonts w:ascii="Arial" w:cs="Arial" w:eastAsia="Arial" w:hAnsi="Arial"/>
                <w:sz w:val="22"/>
                <w:szCs w:val="22"/>
                <w:color w:val="auto"/>
              </w:rPr>
              <w:t>339</w:t>
            </w:r>
          </w:p>
        </w:tc>
        <w:tc>
          <w:tcPr>
            <w:tcW w:w="200" w:type="dxa"/>
            <w:vAlign w:val="bottom"/>
          </w:tcPr>
          <w:p>
            <w:pPr>
              <w:spacing w:after="0"/>
              <w:rPr>
                <w:sz w:val="23"/>
                <w:szCs w:val="23"/>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22"/>
                <w:szCs w:val="22"/>
                <w:color w:val="auto"/>
              </w:rPr>
              <w:t>(359)</w:t>
            </w:r>
          </w:p>
        </w:tc>
        <w:tc>
          <w:tcPr>
            <w:tcW w:w="1000" w:type="dxa"/>
            <w:vAlign w:val="bottom"/>
            <w:gridSpan w:val="2"/>
          </w:tcPr>
          <w:p>
            <w:pPr>
              <w:jc w:val="right"/>
              <w:spacing w:after="0"/>
              <w:rPr>
                <w:sz w:val="20"/>
                <w:szCs w:val="20"/>
                <w:color w:val="auto"/>
              </w:rPr>
            </w:pPr>
            <w:r>
              <w:rPr>
                <w:rFonts w:ascii="Arial" w:cs="Arial" w:eastAsia="Arial" w:hAnsi="Arial"/>
                <w:sz w:val="22"/>
                <w:szCs w:val="22"/>
                <w:color w:val="auto"/>
              </w:rPr>
              <w:t>(61)</w:t>
            </w:r>
          </w:p>
        </w:tc>
        <w:tc>
          <w:tcPr>
            <w:tcW w:w="0" w:type="dxa"/>
            <w:vAlign w:val="bottom"/>
          </w:tcPr>
          <w:p>
            <w:pPr>
              <w:spacing w:after="0"/>
              <w:rPr>
                <w:sz w:val="1"/>
                <w:szCs w:val="1"/>
                <w:color w:val="auto"/>
              </w:rPr>
            </w:pPr>
          </w:p>
        </w:tc>
      </w:tr>
      <w:tr>
        <w:trPr>
          <w:trHeight w:val="486"/>
        </w:trPr>
        <w:tc>
          <w:tcPr>
            <w:tcW w:w="3360" w:type="dxa"/>
            <w:vAlign w:val="bottom"/>
          </w:tcPr>
          <w:p>
            <w:pPr>
              <w:spacing w:after="0"/>
              <w:rPr>
                <w:sz w:val="20"/>
                <w:szCs w:val="20"/>
                <w:color w:val="auto"/>
              </w:rPr>
            </w:pPr>
            <w:r>
              <w:rPr>
                <w:rFonts w:ascii="Arial" w:cs="Arial" w:eastAsia="Arial" w:hAnsi="Arial"/>
                <w:sz w:val="22"/>
                <w:szCs w:val="22"/>
                <w:color w:val="auto"/>
              </w:rPr>
              <w:t>MINORITY INTEREST</w:t>
            </w: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22"/>
                <w:szCs w:val="22"/>
                <w:color w:val="auto"/>
              </w:rPr>
              <w:t>(32)</w:t>
            </w: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gridSpan w:val="2"/>
          </w:tcPr>
          <w:p>
            <w:pPr>
              <w:jc w:val="right"/>
              <w:spacing w:after="0"/>
              <w:rPr>
                <w:sz w:val="20"/>
                <w:szCs w:val="20"/>
                <w:color w:val="auto"/>
              </w:rPr>
            </w:pPr>
            <w:r>
              <w:rPr>
                <w:rFonts w:ascii="Arial" w:cs="Arial" w:eastAsia="Arial" w:hAnsi="Arial"/>
                <w:sz w:val="22"/>
                <w:szCs w:val="22"/>
                <w:color w:val="auto"/>
              </w:rPr>
              <w:t>(32)</w:t>
            </w:r>
          </w:p>
        </w:tc>
        <w:tc>
          <w:tcPr>
            <w:tcW w:w="0" w:type="dxa"/>
            <w:vAlign w:val="bottom"/>
          </w:tcPr>
          <w:p>
            <w:pPr>
              <w:spacing w:after="0"/>
              <w:rPr>
                <w:sz w:val="1"/>
                <w:szCs w:val="1"/>
                <w:color w:val="auto"/>
              </w:rPr>
            </w:pPr>
          </w:p>
        </w:tc>
      </w:tr>
      <w:tr>
        <w:trPr>
          <w:trHeight w:val="98"/>
        </w:trPr>
        <w:tc>
          <w:tcPr>
            <w:tcW w:w="3360" w:type="dxa"/>
            <w:vAlign w:val="bottom"/>
            <w:vMerge w:val="restart"/>
          </w:tcPr>
          <w:p>
            <w:pPr>
              <w:spacing w:after="0"/>
              <w:rPr>
                <w:sz w:val="20"/>
                <w:szCs w:val="20"/>
                <w:color w:val="auto"/>
              </w:rPr>
            </w:pPr>
            <w:r>
              <w:rPr>
                <w:rFonts w:ascii="Arial" w:cs="Arial" w:eastAsia="Arial" w:hAnsi="Arial"/>
                <w:sz w:val="22"/>
                <w:szCs w:val="22"/>
                <w:color w:val="auto"/>
              </w:rPr>
              <w:t>INCOME (LOSS) FROM</w:t>
            </w:r>
          </w:p>
        </w:tc>
        <w:tc>
          <w:tcPr>
            <w:tcW w:w="7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66"/>
        </w:trPr>
        <w:tc>
          <w:tcPr>
            <w:tcW w:w="336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3360" w:type="dxa"/>
            <w:vAlign w:val="bottom"/>
          </w:tcPr>
          <w:p>
            <w:pPr>
              <w:spacing w:after="0"/>
              <w:rPr>
                <w:sz w:val="20"/>
                <w:szCs w:val="20"/>
                <w:color w:val="auto"/>
              </w:rPr>
            </w:pPr>
            <w:r>
              <w:rPr>
                <w:rFonts w:ascii="Arial" w:cs="Arial" w:eastAsia="Arial" w:hAnsi="Arial"/>
                <w:sz w:val="22"/>
                <w:szCs w:val="22"/>
                <w:color w:val="auto"/>
              </w:rPr>
              <w:t>CONTINUING OPERATIONS</w:t>
            </w:r>
          </w:p>
        </w:tc>
        <w:tc>
          <w:tcPr>
            <w:tcW w:w="880" w:type="dxa"/>
            <w:vAlign w:val="bottom"/>
            <w:gridSpan w:val="2"/>
          </w:tcPr>
          <w:p>
            <w:pPr>
              <w:jc w:val="right"/>
              <w:ind w:right="100"/>
              <w:spacing w:after="0"/>
              <w:rPr>
                <w:sz w:val="20"/>
                <w:szCs w:val="20"/>
                <w:color w:val="auto"/>
              </w:rPr>
            </w:pPr>
            <w:r>
              <w:rPr>
                <w:rFonts w:ascii="Arial" w:cs="Arial" w:eastAsia="Arial" w:hAnsi="Arial"/>
                <w:sz w:val="22"/>
                <w:szCs w:val="22"/>
                <w:color w:val="auto"/>
              </w:rPr>
              <w:t>(22)</w:t>
            </w:r>
          </w:p>
        </w:tc>
        <w:tc>
          <w:tcPr>
            <w:tcW w:w="880" w:type="dxa"/>
            <w:vAlign w:val="bottom"/>
            <w:gridSpan w:val="2"/>
          </w:tcPr>
          <w:p>
            <w:pPr>
              <w:jc w:val="right"/>
              <w:ind w:right="200"/>
              <w:spacing w:after="0"/>
              <w:rPr>
                <w:sz w:val="20"/>
                <w:szCs w:val="20"/>
                <w:color w:val="auto"/>
              </w:rPr>
            </w:pPr>
            <w:r>
              <w:rPr>
                <w:rFonts w:ascii="Arial" w:cs="Arial" w:eastAsia="Arial" w:hAnsi="Arial"/>
                <w:sz w:val="22"/>
                <w:szCs w:val="22"/>
                <w:color w:val="auto"/>
              </w:rPr>
              <w:t>182</w:t>
            </w:r>
          </w:p>
        </w:tc>
        <w:tc>
          <w:tcPr>
            <w:tcW w:w="880" w:type="dxa"/>
            <w:vAlign w:val="bottom"/>
            <w:gridSpan w:val="2"/>
          </w:tcPr>
          <w:p>
            <w:pPr>
              <w:jc w:val="right"/>
              <w:ind w:right="120"/>
              <w:spacing w:after="0"/>
              <w:rPr>
                <w:sz w:val="20"/>
                <w:szCs w:val="20"/>
                <w:color w:val="auto"/>
              </w:rPr>
            </w:pPr>
            <w:r>
              <w:rPr>
                <w:rFonts w:ascii="Arial" w:cs="Arial" w:eastAsia="Arial" w:hAnsi="Arial"/>
                <w:sz w:val="22"/>
                <w:szCs w:val="22"/>
                <w:color w:val="auto"/>
              </w:rPr>
              <w:t>(131)</w:t>
            </w:r>
          </w:p>
        </w:tc>
        <w:tc>
          <w:tcPr>
            <w:tcW w:w="920" w:type="dxa"/>
            <w:vAlign w:val="bottom"/>
            <w:gridSpan w:val="2"/>
          </w:tcPr>
          <w:p>
            <w:pPr>
              <w:jc w:val="right"/>
              <w:ind w:right="120"/>
              <w:spacing w:after="0"/>
              <w:rPr>
                <w:sz w:val="20"/>
                <w:szCs w:val="20"/>
                <w:color w:val="auto"/>
              </w:rPr>
            </w:pPr>
            <w:r>
              <w:rPr>
                <w:rFonts w:ascii="Arial" w:cs="Arial" w:eastAsia="Arial" w:hAnsi="Arial"/>
                <w:sz w:val="22"/>
                <w:szCs w:val="22"/>
                <w:color w:val="auto"/>
              </w:rPr>
              <w:t>(70)</w:t>
            </w:r>
          </w:p>
        </w:tc>
        <w:tc>
          <w:tcPr>
            <w:tcW w:w="860" w:type="dxa"/>
            <w:vAlign w:val="bottom"/>
          </w:tcPr>
          <w:p>
            <w:pPr>
              <w:jc w:val="right"/>
              <w:spacing w:after="0"/>
              <w:rPr>
                <w:sz w:val="20"/>
                <w:szCs w:val="20"/>
                <w:color w:val="auto"/>
              </w:rPr>
            </w:pPr>
            <w:r>
              <w:rPr>
                <w:rFonts w:ascii="Arial" w:cs="Arial" w:eastAsia="Arial" w:hAnsi="Arial"/>
                <w:sz w:val="22"/>
                <w:szCs w:val="22"/>
                <w:color w:val="auto"/>
              </w:rPr>
              <w:t>307</w:t>
            </w:r>
          </w:p>
        </w:tc>
        <w:tc>
          <w:tcPr>
            <w:tcW w:w="200" w:type="dxa"/>
            <w:vAlign w:val="bottom"/>
          </w:tcPr>
          <w:p>
            <w:pPr>
              <w:spacing w:after="0"/>
              <w:rPr>
                <w:sz w:val="23"/>
                <w:szCs w:val="23"/>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22"/>
                <w:szCs w:val="22"/>
                <w:color w:val="auto"/>
              </w:rPr>
              <w:t>(359)</w:t>
            </w:r>
          </w:p>
        </w:tc>
        <w:tc>
          <w:tcPr>
            <w:tcW w:w="1000" w:type="dxa"/>
            <w:vAlign w:val="bottom"/>
            <w:gridSpan w:val="2"/>
          </w:tcPr>
          <w:p>
            <w:pPr>
              <w:jc w:val="right"/>
              <w:spacing w:after="0"/>
              <w:rPr>
                <w:sz w:val="20"/>
                <w:szCs w:val="20"/>
                <w:color w:val="auto"/>
              </w:rPr>
            </w:pPr>
            <w:r>
              <w:rPr>
                <w:rFonts w:ascii="Arial" w:cs="Arial" w:eastAsia="Arial" w:hAnsi="Arial"/>
                <w:sz w:val="22"/>
                <w:szCs w:val="22"/>
                <w:color w:val="auto"/>
              </w:rPr>
              <w:t>(93)</w:t>
            </w:r>
          </w:p>
        </w:tc>
        <w:tc>
          <w:tcPr>
            <w:tcW w:w="0" w:type="dxa"/>
            <w:vAlign w:val="bottom"/>
          </w:tcPr>
          <w:p>
            <w:pPr>
              <w:spacing w:after="0"/>
              <w:rPr>
                <w:sz w:val="1"/>
                <w:szCs w:val="1"/>
                <w:color w:val="auto"/>
              </w:rPr>
            </w:pPr>
          </w:p>
        </w:tc>
      </w:tr>
      <w:tr>
        <w:trPr>
          <w:trHeight w:val="455"/>
        </w:trPr>
        <w:tc>
          <w:tcPr>
            <w:tcW w:w="3360" w:type="dxa"/>
            <w:vAlign w:val="bottom"/>
          </w:tcPr>
          <w:p>
            <w:pPr>
              <w:spacing w:after="0"/>
              <w:rPr>
                <w:sz w:val="20"/>
                <w:szCs w:val="20"/>
                <w:color w:val="auto"/>
              </w:rPr>
            </w:pPr>
            <w:r>
              <w:rPr>
                <w:rFonts w:ascii="Arial" w:cs="Arial" w:eastAsia="Arial" w:hAnsi="Arial"/>
                <w:sz w:val="22"/>
                <w:szCs w:val="22"/>
                <w:color w:val="auto"/>
              </w:rPr>
              <w:t>INCOME FROM</w:t>
            </w: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360" w:type="dxa"/>
            <w:vAlign w:val="bottom"/>
          </w:tcPr>
          <w:p>
            <w:pPr>
              <w:spacing w:after="0" w:line="243" w:lineRule="exact"/>
              <w:rPr>
                <w:sz w:val="20"/>
                <w:szCs w:val="20"/>
                <w:color w:val="auto"/>
              </w:rPr>
            </w:pPr>
            <w:r>
              <w:rPr>
                <w:rFonts w:ascii="Arial" w:cs="Arial" w:eastAsia="Arial" w:hAnsi="Arial"/>
                <w:sz w:val="22"/>
                <w:szCs w:val="22"/>
                <w:color w:val="auto"/>
              </w:rPr>
              <w:t>DISCONTINUED</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3360" w:type="dxa"/>
            <w:vAlign w:val="bottom"/>
          </w:tcPr>
          <w:p>
            <w:pPr>
              <w:ind w:left="180"/>
              <w:spacing w:after="0"/>
              <w:rPr>
                <w:sz w:val="20"/>
                <w:szCs w:val="20"/>
                <w:color w:val="auto"/>
              </w:rPr>
            </w:pPr>
            <w:r>
              <w:rPr>
                <w:rFonts w:ascii="Arial" w:cs="Arial" w:eastAsia="Arial" w:hAnsi="Arial"/>
                <w:sz w:val="22"/>
                <w:szCs w:val="22"/>
                <w:color w:val="auto"/>
              </w:rPr>
              <w:t>OPERATIONS, net of tax</w:t>
            </w:r>
          </w:p>
        </w:tc>
        <w:tc>
          <w:tcPr>
            <w:tcW w:w="7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22"/>
                <w:szCs w:val="22"/>
                <w:color w:val="auto"/>
              </w:rPr>
              <w:t>71</w:t>
            </w:r>
          </w:p>
        </w:tc>
        <w:tc>
          <w:tcPr>
            <w:tcW w:w="2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22"/>
                <w:szCs w:val="22"/>
                <w:color w:val="auto"/>
              </w:rPr>
              <w:t>71</w:t>
            </w:r>
          </w:p>
        </w:tc>
        <w:tc>
          <w:tcPr>
            <w:tcW w:w="0" w:type="dxa"/>
            <w:vAlign w:val="bottom"/>
          </w:tcPr>
          <w:p>
            <w:pPr>
              <w:spacing w:after="0"/>
              <w:rPr>
                <w:sz w:val="1"/>
                <w:szCs w:val="1"/>
                <w:color w:val="auto"/>
              </w:rPr>
            </w:pPr>
          </w:p>
        </w:tc>
      </w:tr>
      <w:tr>
        <w:trPr>
          <w:trHeight w:val="98"/>
        </w:trPr>
        <w:tc>
          <w:tcPr>
            <w:tcW w:w="336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98"/>
        </w:trPr>
        <w:tc>
          <w:tcPr>
            <w:tcW w:w="3360" w:type="dxa"/>
            <w:vAlign w:val="bottom"/>
          </w:tcPr>
          <w:p>
            <w:pPr>
              <w:spacing w:after="0"/>
              <w:rPr>
                <w:sz w:val="20"/>
                <w:szCs w:val="20"/>
                <w:color w:val="auto"/>
              </w:rPr>
            </w:pPr>
            <w:r>
              <w:rPr>
                <w:rFonts w:ascii="Arial" w:cs="Arial" w:eastAsia="Arial" w:hAnsi="Arial"/>
                <w:sz w:val="22"/>
                <w:szCs w:val="22"/>
                <w:color w:val="auto"/>
              </w:rPr>
              <w:t>NET INCOME (LOSS)</w:t>
            </w:r>
          </w:p>
        </w:tc>
        <w:tc>
          <w:tcPr>
            <w:tcW w:w="880" w:type="dxa"/>
            <w:vAlign w:val="bottom"/>
            <w:gridSpan w:val="2"/>
          </w:tcPr>
          <w:p>
            <w:pPr>
              <w:jc w:val="right"/>
              <w:ind w:right="100"/>
              <w:spacing w:after="0"/>
              <w:rPr>
                <w:sz w:val="20"/>
                <w:szCs w:val="20"/>
                <w:color w:val="auto"/>
              </w:rPr>
            </w:pPr>
            <w:r>
              <w:rPr>
                <w:rFonts w:ascii="Arial" w:cs="Arial" w:eastAsia="Arial" w:hAnsi="Arial"/>
                <w:sz w:val="22"/>
                <w:szCs w:val="22"/>
                <w:color w:val="auto"/>
              </w:rPr>
              <w:t>($22)</w:t>
            </w:r>
          </w:p>
        </w:tc>
        <w:tc>
          <w:tcPr>
            <w:tcW w:w="880" w:type="dxa"/>
            <w:vAlign w:val="bottom"/>
            <w:gridSpan w:val="2"/>
          </w:tcPr>
          <w:p>
            <w:pPr>
              <w:jc w:val="right"/>
              <w:ind w:right="200"/>
              <w:spacing w:after="0"/>
              <w:rPr>
                <w:sz w:val="20"/>
                <w:szCs w:val="20"/>
                <w:color w:val="auto"/>
              </w:rPr>
            </w:pPr>
            <w:r>
              <w:rPr>
                <w:rFonts w:ascii="Arial" w:cs="Arial" w:eastAsia="Arial" w:hAnsi="Arial"/>
                <w:sz w:val="22"/>
                <w:szCs w:val="22"/>
                <w:color w:val="auto"/>
              </w:rPr>
              <w:t>$182</w:t>
            </w:r>
          </w:p>
        </w:tc>
        <w:tc>
          <w:tcPr>
            <w:tcW w:w="880" w:type="dxa"/>
            <w:vAlign w:val="bottom"/>
            <w:gridSpan w:val="2"/>
          </w:tcPr>
          <w:p>
            <w:pPr>
              <w:jc w:val="right"/>
              <w:ind w:right="120"/>
              <w:spacing w:after="0"/>
              <w:rPr>
                <w:sz w:val="20"/>
                <w:szCs w:val="20"/>
                <w:color w:val="auto"/>
              </w:rPr>
            </w:pPr>
            <w:r>
              <w:rPr>
                <w:rFonts w:ascii="Arial" w:cs="Arial" w:eastAsia="Arial" w:hAnsi="Arial"/>
                <w:sz w:val="22"/>
                <w:szCs w:val="22"/>
                <w:color w:val="auto"/>
              </w:rPr>
              <w:t>($131)</w:t>
            </w:r>
          </w:p>
        </w:tc>
        <w:tc>
          <w:tcPr>
            <w:tcW w:w="920" w:type="dxa"/>
            <w:vAlign w:val="bottom"/>
            <w:gridSpan w:val="2"/>
          </w:tcPr>
          <w:p>
            <w:pPr>
              <w:jc w:val="right"/>
              <w:ind w:right="120"/>
              <w:spacing w:after="0"/>
              <w:rPr>
                <w:sz w:val="20"/>
                <w:szCs w:val="20"/>
                <w:color w:val="auto"/>
              </w:rPr>
            </w:pPr>
            <w:r>
              <w:rPr>
                <w:rFonts w:ascii="Arial" w:cs="Arial" w:eastAsia="Arial" w:hAnsi="Arial"/>
                <w:sz w:val="22"/>
                <w:szCs w:val="22"/>
                <w:color w:val="auto"/>
              </w:rPr>
              <w:t>($70)</w:t>
            </w:r>
          </w:p>
        </w:tc>
        <w:tc>
          <w:tcPr>
            <w:tcW w:w="860" w:type="dxa"/>
            <w:vAlign w:val="bottom"/>
          </w:tcPr>
          <w:p>
            <w:pPr>
              <w:jc w:val="right"/>
              <w:spacing w:after="0"/>
              <w:rPr>
                <w:sz w:val="20"/>
                <w:szCs w:val="20"/>
                <w:color w:val="auto"/>
              </w:rPr>
            </w:pPr>
            <w:r>
              <w:rPr>
                <w:rFonts w:ascii="Arial" w:cs="Arial" w:eastAsia="Arial" w:hAnsi="Arial"/>
                <w:sz w:val="22"/>
                <w:szCs w:val="22"/>
                <w:color w:val="auto"/>
              </w:rPr>
              <w:t>$378</w:t>
            </w:r>
          </w:p>
        </w:tc>
        <w:tc>
          <w:tcPr>
            <w:tcW w:w="200" w:type="dxa"/>
            <w:vAlign w:val="bottom"/>
          </w:tcPr>
          <w:p>
            <w:pPr>
              <w:spacing w:after="0"/>
              <w:rPr>
                <w:sz w:val="24"/>
                <w:szCs w:val="24"/>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22"/>
                <w:szCs w:val="22"/>
                <w:color w:val="auto"/>
              </w:rPr>
              <w:t>($359)</w:t>
            </w:r>
          </w:p>
        </w:tc>
        <w:tc>
          <w:tcPr>
            <w:tcW w:w="1000" w:type="dxa"/>
            <w:vAlign w:val="bottom"/>
            <w:gridSpan w:val="2"/>
          </w:tcPr>
          <w:p>
            <w:pPr>
              <w:jc w:val="right"/>
              <w:spacing w:after="0"/>
              <w:rPr>
                <w:sz w:val="20"/>
                <w:szCs w:val="20"/>
                <w:color w:val="auto"/>
              </w:rPr>
            </w:pPr>
            <w:r>
              <w:rPr>
                <w:rFonts w:ascii="Arial" w:cs="Arial" w:eastAsia="Arial" w:hAnsi="Arial"/>
                <w:sz w:val="22"/>
                <w:szCs w:val="22"/>
                <w:color w:val="auto"/>
              </w:rPr>
              <w:t>($22)</w:t>
            </w:r>
          </w:p>
        </w:tc>
        <w:tc>
          <w:tcPr>
            <w:tcW w:w="0" w:type="dxa"/>
            <w:vAlign w:val="bottom"/>
          </w:tcPr>
          <w:p>
            <w:pPr>
              <w:spacing w:after="0"/>
              <w:rPr>
                <w:sz w:val="1"/>
                <w:szCs w:val="1"/>
                <w:color w:val="auto"/>
              </w:rPr>
            </w:pPr>
          </w:p>
        </w:tc>
      </w:tr>
      <w:tr>
        <w:trPr>
          <w:trHeight w:val="108"/>
        </w:trPr>
        <w:tc>
          <w:tcPr>
            <w:tcW w:w="336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74"/>
        </w:trPr>
        <w:tc>
          <w:tcPr>
            <w:tcW w:w="3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22"/>
                <w:szCs w:val="22"/>
                <w:color w:val="auto"/>
              </w:rPr>
              <w:t>23</w:t>
            </w: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2567305</wp:posOffset>
            </wp:positionH>
            <wp:positionV relativeFrom="paragraph">
              <wp:posOffset>-378460</wp:posOffset>
            </wp:positionV>
            <wp:extent cx="1270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2129790</wp:posOffset>
            </wp:positionH>
            <wp:positionV relativeFrom="paragraph">
              <wp:posOffset>-378460</wp:posOffset>
            </wp:positionV>
            <wp:extent cx="1270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3115945</wp:posOffset>
            </wp:positionH>
            <wp:positionV relativeFrom="paragraph">
              <wp:posOffset>-378460</wp:posOffset>
            </wp:positionV>
            <wp:extent cx="1270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2695575</wp:posOffset>
            </wp:positionH>
            <wp:positionV relativeFrom="paragraph">
              <wp:posOffset>-378460</wp:posOffset>
            </wp:positionV>
            <wp:extent cx="1270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3673475</wp:posOffset>
            </wp:positionH>
            <wp:positionV relativeFrom="paragraph">
              <wp:posOffset>-378460</wp:posOffset>
            </wp:positionV>
            <wp:extent cx="1270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3244850</wp:posOffset>
            </wp:positionH>
            <wp:positionV relativeFrom="paragraph">
              <wp:posOffset>-378460</wp:posOffset>
            </wp:positionV>
            <wp:extent cx="1270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-378460</wp:posOffset>
            </wp:positionV>
            <wp:extent cx="1270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-378460</wp:posOffset>
            </wp:positionV>
            <wp:extent cx="1270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-378460</wp:posOffset>
            </wp:positionV>
            <wp:extent cx="1270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4393565</wp:posOffset>
            </wp:positionH>
            <wp:positionV relativeFrom="paragraph">
              <wp:posOffset>-378460</wp:posOffset>
            </wp:positionV>
            <wp:extent cx="1270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-378460</wp:posOffset>
            </wp:positionV>
            <wp:extent cx="1270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-378460</wp:posOffset>
            </wp:positionV>
            <wp:extent cx="1270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-378460</wp:posOffset>
            </wp:positionV>
            <wp:extent cx="1270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-378460</wp:posOffset>
            </wp:positionV>
            <wp:extent cx="1270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130810</wp:posOffset>
            </wp:positionV>
            <wp:extent cx="7263765"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94" w:lineRule="exact"/>
        <w:rPr>
          <w:sz w:val="20"/>
          <w:szCs w:val="20"/>
          <w:color w:val="auto"/>
        </w:rPr>
      </w:pPr>
    </w:p>
    <w:p>
      <w:pPr>
        <w:jc w:val="center"/>
        <w:ind w:right="-1160"/>
        <w:spacing w:after="0"/>
        <w:rPr>
          <w:sz w:val="20"/>
          <w:szCs w:val="20"/>
          <w:color w:val="auto"/>
        </w:rPr>
      </w:pPr>
      <w:r>
        <w:rPr>
          <w:rFonts w:ascii="Arial" w:cs="Arial" w:eastAsia="Arial" w:hAnsi="Arial"/>
          <w:sz w:val="22"/>
          <w:szCs w:val="22"/>
          <w:color w:val="auto"/>
        </w:rPr>
        <w:t>COMCAST CORPORATION AND SUBSIDIARIES</w:t>
      </w:r>
    </w:p>
    <w:p>
      <w:pPr>
        <w:jc w:val="center"/>
        <w:ind w:right="-1160"/>
        <w:spacing w:after="0" w:line="238" w:lineRule="auto"/>
        <w:rPr>
          <w:sz w:val="20"/>
          <w:szCs w:val="20"/>
          <w:color w:val="auto"/>
        </w:rPr>
      </w:pPr>
      <w:r>
        <w:rPr>
          <w:rFonts w:ascii="Arial" w:cs="Arial" w:eastAsia="Arial" w:hAnsi="Arial"/>
          <w:sz w:val="22"/>
          <w:szCs w:val="22"/>
          <w:color w:val="auto"/>
        </w:rPr>
        <w:t>FORM 10-Q</w:t>
      </w:r>
    </w:p>
    <w:p>
      <w:pPr>
        <w:jc w:val="center"/>
        <w:ind w:right="-1160"/>
        <w:spacing w:after="0" w:line="230" w:lineRule="auto"/>
        <w:rPr>
          <w:sz w:val="20"/>
          <w:szCs w:val="20"/>
          <w:color w:val="auto"/>
        </w:rPr>
      </w:pPr>
      <w:r>
        <w:rPr>
          <w:rFonts w:ascii="Arial" w:cs="Arial" w:eastAsia="Arial" w:hAnsi="Arial"/>
          <w:sz w:val="22"/>
          <w:szCs w:val="22"/>
          <w:color w:val="auto"/>
        </w:rPr>
        <w:t>QUARTER ENDED JUNE 30, 2004</w:t>
      </w:r>
    </w:p>
    <w:p>
      <w:pPr>
        <w:jc w:val="center"/>
        <w:ind w:right="-1160"/>
        <w:spacing w:after="0" w:line="231" w:lineRule="auto"/>
        <w:rPr>
          <w:sz w:val="20"/>
          <w:szCs w:val="20"/>
          <w:color w:val="auto"/>
        </w:rPr>
      </w:pPr>
      <w:r>
        <w:rPr>
          <w:rFonts w:ascii="Arial" w:cs="Arial" w:eastAsia="Arial" w:hAnsi="Arial"/>
          <w:sz w:val="22"/>
          <w:szCs w:val="22"/>
          <w:color w:val="auto"/>
        </w:rPr>
        <w:t>NOTES TO CONDENSED CONSOLIDATED FINANCIAL STATEMENTS - CONTINUED</w:t>
      </w:r>
    </w:p>
    <w:p>
      <w:pPr>
        <w:spacing w:after="0" w:line="1" w:lineRule="exact"/>
        <w:rPr>
          <w:sz w:val="20"/>
          <w:szCs w:val="20"/>
          <w:color w:val="auto"/>
        </w:rPr>
      </w:pPr>
    </w:p>
    <w:p>
      <w:pPr>
        <w:jc w:val="center"/>
        <w:ind w:right="-1200"/>
        <w:spacing w:after="0"/>
        <w:rPr>
          <w:sz w:val="20"/>
          <w:szCs w:val="20"/>
          <w:color w:val="auto"/>
        </w:rPr>
      </w:pPr>
      <w:r>
        <w:rPr>
          <w:rFonts w:ascii="Arial" w:cs="Arial" w:eastAsia="Arial" w:hAnsi="Arial"/>
          <w:sz w:val="22"/>
          <w:szCs w:val="22"/>
          <w:color w:val="auto"/>
        </w:rPr>
        <w:t>(Unaudited)</w:t>
      </w:r>
    </w:p>
    <w:p>
      <w:pPr>
        <w:spacing w:after="0" w:line="188"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Comcast Corporation</w:t>
      </w:r>
    </w:p>
    <w:p>
      <w:pPr>
        <w:jc w:val="center"/>
        <w:ind w:right="-60"/>
        <w:spacing w:after="0" w:line="238" w:lineRule="auto"/>
        <w:rPr>
          <w:sz w:val="20"/>
          <w:szCs w:val="20"/>
          <w:color w:val="auto"/>
        </w:rPr>
      </w:pPr>
      <w:r>
        <w:rPr>
          <w:rFonts w:ascii="Arial" w:cs="Arial" w:eastAsia="Arial" w:hAnsi="Arial"/>
          <w:sz w:val="22"/>
          <w:szCs w:val="22"/>
          <w:color w:val="auto"/>
        </w:rPr>
        <w:t>Condensed Consolidating Statement of Operations</w:t>
      </w:r>
    </w:p>
    <w:p>
      <w:pPr>
        <w:jc w:val="center"/>
        <w:ind w:right="-60"/>
        <w:spacing w:after="0"/>
        <w:rPr>
          <w:sz w:val="20"/>
          <w:szCs w:val="20"/>
          <w:color w:val="auto"/>
        </w:rPr>
      </w:pPr>
      <w:r>
        <w:rPr>
          <w:rFonts w:ascii="Arial" w:cs="Arial" w:eastAsia="Arial" w:hAnsi="Arial"/>
          <w:sz w:val="22"/>
          <w:szCs w:val="22"/>
          <w:color w:val="auto"/>
        </w:rPr>
        <w:t>For the Six Months Ended June 30, 2004</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Elimination</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5"/>
              </w:rPr>
              <w:t>Combined</w:t>
            </w:r>
          </w:p>
        </w:tc>
        <w:tc>
          <w:tcPr>
            <w:tcW w:w="18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2"/>
              </w:rPr>
              <w:t>Non-</w:t>
            </w:r>
          </w:p>
        </w:tc>
        <w:tc>
          <w:tcPr>
            <w:tcW w:w="200" w:type="dxa"/>
            <w:vAlign w:val="bottom"/>
          </w:tcPr>
          <w:p>
            <w:pPr>
              <w:spacing w:after="0"/>
              <w:rPr>
                <w:sz w:val="18"/>
                <w:szCs w:val="18"/>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color w:val="auto"/>
                <w:w w:val="86"/>
              </w:rPr>
              <w:t>and</w:t>
            </w:r>
          </w:p>
        </w:tc>
        <w:tc>
          <w:tcPr>
            <w:tcW w:w="920" w:type="dxa"/>
            <w:vAlign w:val="bottom"/>
          </w:tcPr>
          <w:p>
            <w:pPr>
              <w:jc w:val="center"/>
              <w:spacing w:after="0"/>
              <w:rPr>
                <w:sz w:val="20"/>
                <w:szCs w:val="20"/>
                <w:color w:val="auto"/>
              </w:rPr>
            </w:pPr>
            <w:r>
              <w:rPr>
                <w:rFonts w:ascii="Arial" w:cs="Arial" w:eastAsia="Arial" w:hAnsi="Arial"/>
                <w:sz w:val="18"/>
                <w:szCs w:val="18"/>
                <w:color w:val="auto"/>
                <w:w w:val="87"/>
              </w:rPr>
              <w:t>Consolidated</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18"/>
                <w:szCs w:val="18"/>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8"/>
                <w:szCs w:val="18"/>
                <w:color w:val="auto"/>
                <w:w w:val="87"/>
              </w:rPr>
              <w:t>Comcast</w:t>
            </w:r>
          </w:p>
        </w:tc>
        <w:tc>
          <w:tcPr>
            <w:tcW w:w="88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CCCL</w:t>
            </w:r>
          </w:p>
        </w:tc>
        <w:tc>
          <w:tcPr>
            <w:tcW w:w="88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CCCH</w:t>
            </w:r>
          </w:p>
        </w:tc>
        <w:tc>
          <w:tcPr>
            <w:tcW w:w="740" w:type="dxa"/>
            <w:vAlign w:val="bottom"/>
          </w:tcPr>
          <w:p>
            <w:pPr>
              <w:jc w:val="center"/>
              <w:spacing w:after="0"/>
              <w:rPr>
                <w:sz w:val="20"/>
                <w:szCs w:val="20"/>
                <w:color w:val="auto"/>
              </w:rPr>
            </w:pPr>
            <w:r>
              <w:rPr>
                <w:rFonts w:ascii="Arial" w:cs="Arial" w:eastAsia="Arial" w:hAnsi="Arial"/>
                <w:sz w:val="18"/>
                <w:szCs w:val="18"/>
                <w:color w:val="auto"/>
                <w:w w:val="94"/>
              </w:rPr>
              <w:t>CCHMO</w:t>
            </w:r>
          </w:p>
        </w:tc>
        <w:tc>
          <w:tcPr>
            <w:tcW w:w="18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88"/>
              </w:rPr>
              <w:t>Guarantor</w:t>
            </w:r>
          </w:p>
        </w:tc>
        <w:tc>
          <w:tcPr>
            <w:tcW w:w="200" w:type="dxa"/>
            <w:vAlign w:val="bottom"/>
          </w:tcPr>
          <w:p>
            <w:pPr>
              <w:spacing w:after="0"/>
              <w:rPr>
                <w:sz w:val="18"/>
                <w:szCs w:val="18"/>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Consolidation</w:t>
            </w:r>
          </w:p>
        </w:tc>
        <w:tc>
          <w:tcPr>
            <w:tcW w:w="920" w:type="dxa"/>
            <w:vAlign w:val="bottom"/>
          </w:tcPr>
          <w:p>
            <w:pPr>
              <w:jc w:val="center"/>
              <w:spacing w:after="0"/>
              <w:rPr>
                <w:sz w:val="20"/>
                <w:szCs w:val="20"/>
                <w:color w:val="auto"/>
              </w:rPr>
            </w:pPr>
            <w:r>
              <w:rPr>
                <w:rFonts w:ascii="Arial" w:cs="Arial" w:eastAsia="Arial" w:hAnsi="Arial"/>
                <w:sz w:val="18"/>
                <w:szCs w:val="18"/>
                <w:color w:val="auto"/>
                <w:w w:val="87"/>
              </w:rPr>
              <w:t>Comcast</w:t>
            </w:r>
          </w:p>
        </w:tc>
        <w:tc>
          <w:tcPr>
            <w:tcW w:w="0" w:type="dxa"/>
            <w:vAlign w:val="bottom"/>
          </w:tcPr>
          <w:p>
            <w:pPr>
              <w:spacing w:after="0"/>
              <w:rPr>
                <w:sz w:val="1"/>
                <w:szCs w:val="1"/>
                <w:color w:val="auto"/>
              </w:rPr>
            </w:pPr>
          </w:p>
        </w:tc>
      </w:tr>
      <w:tr>
        <w:trPr>
          <w:trHeight w:val="222"/>
        </w:trPr>
        <w:tc>
          <w:tcPr>
            <w:tcW w:w="3340" w:type="dxa"/>
            <w:vAlign w:val="bottom"/>
          </w:tcPr>
          <w:p>
            <w:pPr>
              <w:spacing w:after="0"/>
              <w:rPr>
                <w:sz w:val="19"/>
                <w:szCs w:val="19"/>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8"/>
                <w:szCs w:val="18"/>
                <w:color w:val="auto"/>
                <w:w w:val="82"/>
              </w:rPr>
              <w:t>Parent</w:t>
            </w:r>
          </w:p>
        </w:tc>
        <w:tc>
          <w:tcPr>
            <w:tcW w:w="880" w:type="dxa"/>
            <w:vAlign w:val="bottom"/>
            <w:gridSpan w:val="2"/>
          </w:tcPr>
          <w:p>
            <w:pPr>
              <w:jc w:val="center"/>
              <w:ind w:right="200"/>
              <w:spacing w:after="0"/>
              <w:rPr>
                <w:sz w:val="20"/>
                <w:szCs w:val="20"/>
                <w:color w:val="auto"/>
              </w:rPr>
            </w:pPr>
            <w:r>
              <w:rPr>
                <w:rFonts w:ascii="Arial" w:cs="Arial" w:eastAsia="Arial" w:hAnsi="Arial"/>
                <w:sz w:val="18"/>
                <w:szCs w:val="18"/>
                <w:color w:val="auto"/>
                <w:w w:val="82"/>
              </w:rPr>
              <w:t>Parent</w:t>
            </w:r>
          </w:p>
        </w:tc>
        <w:tc>
          <w:tcPr>
            <w:tcW w:w="880" w:type="dxa"/>
            <w:vAlign w:val="bottom"/>
            <w:gridSpan w:val="2"/>
          </w:tcPr>
          <w:p>
            <w:pPr>
              <w:jc w:val="center"/>
              <w:ind w:right="200"/>
              <w:spacing w:after="0"/>
              <w:rPr>
                <w:sz w:val="20"/>
                <w:szCs w:val="20"/>
                <w:color w:val="auto"/>
              </w:rPr>
            </w:pPr>
            <w:r>
              <w:rPr>
                <w:rFonts w:ascii="Arial" w:cs="Arial" w:eastAsia="Arial" w:hAnsi="Arial"/>
                <w:sz w:val="18"/>
                <w:szCs w:val="18"/>
                <w:color w:val="auto"/>
                <w:w w:val="82"/>
              </w:rPr>
              <w:t>Parent</w:t>
            </w:r>
          </w:p>
        </w:tc>
        <w:tc>
          <w:tcPr>
            <w:tcW w:w="740" w:type="dxa"/>
            <w:vAlign w:val="bottom"/>
          </w:tcPr>
          <w:p>
            <w:pPr>
              <w:jc w:val="center"/>
              <w:spacing w:after="0"/>
              <w:rPr>
                <w:sz w:val="20"/>
                <w:szCs w:val="20"/>
                <w:color w:val="auto"/>
              </w:rPr>
            </w:pPr>
            <w:r>
              <w:rPr>
                <w:rFonts w:ascii="Arial" w:cs="Arial" w:eastAsia="Arial" w:hAnsi="Arial"/>
                <w:sz w:val="18"/>
                <w:szCs w:val="18"/>
                <w:color w:val="auto"/>
                <w:w w:val="83"/>
              </w:rPr>
              <w:t>Parents</w:t>
            </w:r>
          </w:p>
        </w:tc>
        <w:tc>
          <w:tcPr>
            <w:tcW w:w="180" w:type="dxa"/>
            <w:vAlign w:val="bottom"/>
          </w:tcPr>
          <w:p>
            <w:pPr>
              <w:spacing w:after="0"/>
              <w:rPr>
                <w:sz w:val="19"/>
                <w:szCs w:val="19"/>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87"/>
              </w:rPr>
              <w:t>Subsidiaries</w:t>
            </w:r>
          </w:p>
        </w:tc>
        <w:tc>
          <w:tcPr>
            <w:tcW w:w="200" w:type="dxa"/>
            <w:vAlign w:val="bottom"/>
          </w:tcPr>
          <w:p>
            <w:pPr>
              <w:spacing w:after="0"/>
              <w:rPr>
                <w:sz w:val="19"/>
                <w:szCs w:val="19"/>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Adjustments</w:t>
            </w: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Corporation</w:t>
            </w:r>
          </w:p>
        </w:tc>
        <w:tc>
          <w:tcPr>
            <w:tcW w:w="0" w:type="dxa"/>
            <w:vAlign w:val="bottom"/>
          </w:tcPr>
          <w:p>
            <w:pPr>
              <w:spacing w:after="0"/>
              <w:rPr>
                <w:sz w:val="1"/>
                <w:szCs w:val="1"/>
                <w:color w:val="auto"/>
              </w:rPr>
            </w:pPr>
          </w:p>
        </w:tc>
      </w:tr>
      <w:tr>
        <w:trPr>
          <w:trHeight w:val="110"/>
        </w:trPr>
        <w:tc>
          <w:tcPr>
            <w:tcW w:w="3340" w:type="dxa"/>
            <w:vAlign w:val="bottom"/>
            <w:vMerge w:val="restart"/>
          </w:tcPr>
          <w:p>
            <w:pPr>
              <w:spacing w:after="0"/>
              <w:rPr>
                <w:sz w:val="20"/>
                <w:szCs w:val="20"/>
                <w:color w:val="auto"/>
              </w:rPr>
            </w:pPr>
            <w:r>
              <w:rPr>
                <w:rFonts w:ascii="Arial" w:cs="Arial" w:eastAsia="Arial" w:hAnsi="Arial"/>
                <w:sz w:val="22"/>
                <w:szCs w:val="22"/>
                <w:color w:val="auto"/>
              </w:rPr>
              <w:t>REVENUES</w:t>
            </w:r>
          </w:p>
        </w:tc>
        <w:tc>
          <w:tcPr>
            <w:tcW w:w="7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23"/>
        </w:trPr>
        <w:tc>
          <w:tcPr>
            <w:tcW w:w="334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180"/>
              <w:spacing w:after="0" w:line="243" w:lineRule="exact"/>
              <w:rPr>
                <w:sz w:val="20"/>
                <w:szCs w:val="20"/>
                <w:color w:val="auto"/>
              </w:rPr>
            </w:pPr>
            <w:r>
              <w:rPr>
                <w:rFonts w:ascii="Arial" w:cs="Arial" w:eastAsia="Arial" w:hAnsi="Arial"/>
                <w:sz w:val="22"/>
                <w:szCs w:val="22"/>
                <w:color w:val="auto"/>
              </w:rPr>
              <w:t>Service revenues</w:t>
            </w:r>
          </w:p>
        </w:tc>
        <w:tc>
          <w:tcPr>
            <w:tcW w:w="700" w:type="dxa"/>
            <w:vAlign w:val="bottom"/>
          </w:tcPr>
          <w:p>
            <w:pPr>
              <w:jc w:val="center"/>
              <w:spacing w:after="0" w:line="243" w:lineRule="exact"/>
              <w:rPr>
                <w:sz w:val="20"/>
                <w:szCs w:val="20"/>
                <w:color w:val="auto"/>
              </w:rPr>
            </w:pPr>
            <w:r>
              <w:rPr>
                <w:rFonts w:ascii="Arial" w:cs="Arial" w:eastAsia="Arial" w:hAnsi="Arial"/>
                <w:sz w:val="22"/>
                <w:szCs w:val="22"/>
                <w:color w:val="auto"/>
                <w:w w:val="81"/>
              </w:rPr>
              <w:t>$</w:t>
            </w:r>
          </w:p>
        </w:tc>
        <w:tc>
          <w:tcPr>
            <w:tcW w:w="200" w:type="dxa"/>
            <w:vAlign w:val="bottom"/>
          </w:tcPr>
          <w:p>
            <w:pPr>
              <w:spacing w:after="0"/>
              <w:rPr>
                <w:sz w:val="21"/>
                <w:szCs w:val="21"/>
                <w:color w:val="auto"/>
              </w:rPr>
            </w:pPr>
          </w:p>
        </w:tc>
        <w:tc>
          <w:tcPr>
            <w:tcW w:w="680" w:type="dxa"/>
            <w:vAlign w:val="bottom"/>
          </w:tcPr>
          <w:p>
            <w:pPr>
              <w:jc w:val="center"/>
              <w:spacing w:after="0" w:line="243" w:lineRule="exact"/>
              <w:rPr>
                <w:sz w:val="20"/>
                <w:szCs w:val="20"/>
                <w:color w:val="auto"/>
              </w:rPr>
            </w:pPr>
            <w:r>
              <w:rPr>
                <w:rFonts w:ascii="Arial" w:cs="Arial" w:eastAsia="Arial" w:hAnsi="Arial"/>
                <w:sz w:val="22"/>
                <w:szCs w:val="22"/>
                <w:color w:val="auto"/>
                <w:w w:val="97"/>
              </w:rPr>
              <w:t>$</w:t>
            </w:r>
          </w:p>
        </w:tc>
        <w:tc>
          <w:tcPr>
            <w:tcW w:w="200" w:type="dxa"/>
            <w:vAlign w:val="bottom"/>
          </w:tcPr>
          <w:p>
            <w:pPr>
              <w:spacing w:after="0"/>
              <w:rPr>
                <w:sz w:val="21"/>
                <w:szCs w:val="21"/>
                <w:color w:val="auto"/>
              </w:rPr>
            </w:pPr>
          </w:p>
        </w:tc>
        <w:tc>
          <w:tcPr>
            <w:tcW w:w="680" w:type="dxa"/>
            <w:vAlign w:val="bottom"/>
          </w:tcPr>
          <w:p>
            <w:pPr>
              <w:jc w:val="center"/>
              <w:spacing w:after="0" w:line="243" w:lineRule="exact"/>
              <w:rPr>
                <w:sz w:val="20"/>
                <w:szCs w:val="20"/>
                <w:color w:val="auto"/>
              </w:rPr>
            </w:pPr>
            <w:r>
              <w:rPr>
                <w:rFonts w:ascii="Arial" w:cs="Arial" w:eastAsia="Arial" w:hAnsi="Arial"/>
                <w:sz w:val="22"/>
                <w:szCs w:val="22"/>
                <w:color w:val="auto"/>
                <w:w w:val="97"/>
              </w:rPr>
              <w:t>$</w:t>
            </w:r>
          </w:p>
        </w:tc>
        <w:tc>
          <w:tcPr>
            <w:tcW w:w="200" w:type="dxa"/>
            <w:vAlign w:val="bottom"/>
          </w:tcPr>
          <w:p>
            <w:pPr>
              <w:spacing w:after="0"/>
              <w:rPr>
                <w:sz w:val="21"/>
                <w:szCs w:val="21"/>
                <w:color w:val="auto"/>
              </w:rPr>
            </w:pPr>
          </w:p>
        </w:tc>
        <w:tc>
          <w:tcPr>
            <w:tcW w:w="740" w:type="dxa"/>
            <w:vAlign w:val="bottom"/>
          </w:tcPr>
          <w:p>
            <w:pPr>
              <w:jc w:val="center"/>
              <w:spacing w:after="0" w:line="243" w:lineRule="exact"/>
              <w:rPr>
                <w:sz w:val="20"/>
                <w:szCs w:val="20"/>
                <w:color w:val="auto"/>
              </w:rPr>
            </w:pPr>
            <w:r>
              <w:rPr>
                <w:rFonts w:ascii="Arial" w:cs="Arial" w:eastAsia="Arial" w:hAnsi="Arial"/>
                <w:sz w:val="22"/>
                <w:szCs w:val="22"/>
                <w:color w:val="auto"/>
                <w:w w:val="97"/>
              </w:rPr>
              <w:t>$</w:t>
            </w:r>
          </w:p>
        </w:tc>
        <w:tc>
          <w:tcPr>
            <w:tcW w:w="104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$9,974</w:t>
            </w:r>
          </w:p>
        </w:tc>
        <w:tc>
          <w:tcPr>
            <w:tcW w:w="1180" w:type="dxa"/>
            <w:vAlign w:val="bottom"/>
            <w:gridSpan w:val="2"/>
          </w:tcPr>
          <w:p>
            <w:pPr>
              <w:jc w:val="center"/>
              <w:ind w:left="92"/>
              <w:spacing w:after="0" w:line="243" w:lineRule="exact"/>
              <w:rPr>
                <w:sz w:val="20"/>
                <w:szCs w:val="20"/>
                <w:color w:val="auto"/>
              </w:rPr>
            </w:pPr>
            <w:r>
              <w:rPr>
                <w:rFonts w:ascii="Arial" w:cs="Arial" w:eastAsia="Arial" w:hAnsi="Arial"/>
                <w:sz w:val="22"/>
                <w:szCs w:val="22"/>
                <w:color w:val="auto"/>
                <w:w w:val="81"/>
              </w:rPr>
              <w:t>$</w:t>
            </w:r>
          </w:p>
        </w:tc>
        <w:tc>
          <w:tcPr>
            <w:tcW w:w="200" w:type="dxa"/>
            <w:vAlign w:val="bottom"/>
          </w:tcPr>
          <w:p>
            <w:pPr>
              <w:spacing w:after="0"/>
              <w:rPr>
                <w:sz w:val="21"/>
                <w:szCs w:val="21"/>
                <w:color w:val="auto"/>
              </w:rPr>
            </w:pPr>
          </w:p>
        </w:tc>
        <w:tc>
          <w:tcPr>
            <w:tcW w:w="920" w:type="dxa"/>
            <w:vAlign w:val="bottom"/>
          </w:tcPr>
          <w:p>
            <w:pPr>
              <w:jc w:val="right"/>
              <w:spacing w:after="0" w:line="243" w:lineRule="exact"/>
              <w:rPr>
                <w:sz w:val="20"/>
                <w:szCs w:val="20"/>
                <w:color w:val="auto"/>
              </w:rPr>
            </w:pPr>
            <w:r>
              <w:rPr>
                <w:rFonts w:ascii="Arial" w:cs="Arial" w:eastAsia="Arial" w:hAnsi="Arial"/>
                <w:sz w:val="22"/>
                <w:szCs w:val="22"/>
                <w:color w:val="auto"/>
              </w:rPr>
              <w:t>$9,974</w:t>
            </w:r>
          </w:p>
        </w:tc>
        <w:tc>
          <w:tcPr>
            <w:tcW w:w="0" w:type="dxa"/>
            <w:vAlign w:val="bottom"/>
          </w:tcPr>
          <w:p>
            <w:pPr>
              <w:spacing w:after="0"/>
              <w:rPr>
                <w:sz w:val="1"/>
                <w:szCs w:val="1"/>
                <w:color w:val="auto"/>
              </w:rPr>
            </w:pPr>
          </w:p>
        </w:tc>
      </w:tr>
      <w:tr>
        <w:trPr>
          <w:trHeight w:val="275"/>
        </w:trPr>
        <w:tc>
          <w:tcPr>
            <w:tcW w:w="3340" w:type="dxa"/>
            <w:vAlign w:val="bottom"/>
          </w:tcPr>
          <w:p>
            <w:pPr>
              <w:ind w:left="180"/>
              <w:spacing w:after="0"/>
              <w:rPr>
                <w:sz w:val="20"/>
                <w:szCs w:val="20"/>
                <w:color w:val="auto"/>
              </w:rPr>
            </w:pPr>
            <w:r>
              <w:rPr>
                <w:rFonts w:ascii="Arial" w:cs="Arial" w:eastAsia="Arial" w:hAnsi="Arial"/>
                <w:sz w:val="22"/>
                <w:szCs w:val="22"/>
                <w:color w:val="auto"/>
              </w:rPr>
              <w:t>Management fee revenue</w:t>
            </w:r>
          </w:p>
        </w:tc>
        <w:tc>
          <w:tcPr>
            <w:tcW w:w="700" w:type="dxa"/>
            <w:vAlign w:val="bottom"/>
          </w:tcPr>
          <w:p>
            <w:pPr>
              <w:jc w:val="right"/>
              <w:spacing w:after="0"/>
              <w:rPr>
                <w:sz w:val="20"/>
                <w:szCs w:val="20"/>
                <w:color w:val="auto"/>
              </w:rPr>
            </w:pPr>
            <w:r>
              <w:rPr>
                <w:rFonts w:ascii="Arial" w:cs="Arial" w:eastAsia="Arial" w:hAnsi="Arial"/>
                <w:sz w:val="22"/>
                <w:szCs w:val="22"/>
                <w:color w:val="auto"/>
              </w:rPr>
              <w:t>202</w:t>
            </w:r>
          </w:p>
        </w:tc>
        <w:tc>
          <w:tcPr>
            <w:tcW w:w="200" w:type="dxa"/>
            <w:vAlign w:val="bottom"/>
          </w:tcPr>
          <w:p>
            <w:pPr>
              <w:spacing w:after="0"/>
              <w:rPr>
                <w:sz w:val="23"/>
                <w:szCs w:val="23"/>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22"/>
                <w:szCs w:val="22"/>
                <w:color w:val="auto"/>
              </w:rPr>
              <w:t>79</w:t>
            </w:r>
          </w:p>
        </w:tc>
        <w:tc>
          <w:tcPr>
            <w:tcW w:w="880" w:type="dxa"/>
            <w:vAlign w:val="bottom"/>
            <w:gridSpan w:val="2"/>
          </w:tcPr>
          <w:p>
            <w:pPr>
              <w:jc w:val="right"/>
              <w:ind w:right="200"/>
              <w:spacing w:after="0"/>
              <w:rPr>
                <w:sz w:val="20"/>
                <w:szCs w:val="20"/>
                <w:color w:val="auto"/>
              </w:rPr>
            </w:pPr>
            <w:r>
              <w:rPr>
                <w:rFonts w:ascii="Arial" w:cs="Arial" w:eastAsia="Arial" w:hAnsi="Arial"/>
                <w:sz w:val="22"/>
                <w:szCs w:val="22"/>
                <w:color w:val="auto"/>
              </w:rPr>
              <w:t>125</w:t>
            </w:r>
          </w:p>
        </w:tc>
        <w:tc>
          <w:tcPr>
            <w:tcW w:w="740" w:type="dxa"/>
            <w:vAlign w:val="bottom"/>
          </w:tcPr>
          <w:p>
            <w:pPr>
              <w:jc w:val="right"/>
              <w:spacing w:after="0"/>
              <w:rPr>
                <w:sz w:val="20"/>
                <w:szCs w:val="20"/>
                <w:color w:val="auto"/>
              </w:rPr>
            </w:pPr>
            <w:r>
              <w:rPr>
                <w:rFonts w:ascii="Arial" w:cs="Arial" w:eastAsia="Arial" w:hAnsi="Arial"/>
                <w:sz w:val="22"/>
                <w:szCs w:val="22"/>
                <w:color w:val="auto"/>
              </w:rPr>
              <w:t>125</w:t>
            </w:r>
          </w:p>
        </w:tc>
        <w:tc>
          <w:tcPr>
            <w:tcW w:w="1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380" w:type="dxa"/>
            <w:vAlign w:val="bottom"/>
            <w:gridSpan w:val="3"/>
          </w:tcPr>
          <w:p>
            <w:pPr>
              <w:jc w:val="right"/>
              <w:ind w:right="120"/>
              <w:spacing w:after="0"/>
              <w:rPr>
                <w:sz w:val="20"/>
                <w:szCs w:val="20"/>
                <w:color w:val="auto"/>
              </w:rPr>
            </w:pPr>
            <w:r>
              <w:rPr>
                <w:rFonts w:ascii="Arial" w:cs="Arial" w:eastAsia="Arial" w:hAnsi="Arial"/>
                <w:sz w:val="22"/>
                <w:szCs w:val="22"/>
                <w:color w:val="auto"/>
              </w:rPr>
              <w:t>(531)</w:t>
            </w: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8"/>
        </w:trPr>
        <w:tc>
          <w:tcPr>
            <w:tcW w:w="334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55"/>
        </w:trPr>
        <w:tc>
          <w:tcPr>
            <w:tcW w:w="33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22"/>
                <w:szCs w:val="22"/>
                <w:color w:val="auto"/>
              </w:rPr>
              <w:t>202</w:t>
            </w:r>
          </w:p>
        </w:tc>
        <w:tc>
          <w:tcPr>
            <w:tcW w:w="200" w:type="dxa"/>
            <w:vAlign w:val="bottom"/>
          </w:tcPr>
          <w:p>
            <w:pPr>
              <w:spacing w:after="0"/>
              <w:rPr>
                <w:sz w:val="24"/>
                <w:szCs w:val="2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22"/>
                <w:szCs w:val="22"/>
                <w:color w:val="auto"/>
              </w:rPr>
              <w:t>79</w:t>
            </w:r>
          </w:p>
        </w:tc>
        <w:tc>
          <w:tcPr>
            <w:tcW w:w="880" w:type="dxa"/>
            <w:vAlign w:val="bottom"/>
            <w:gridSpan w:val="2"/>
          </w:tcPr>
          <w:p>
            <w:pPr>
              <w:jc w:val="right"/>
              <w:ind w:right="200"/>
              <w:spacing w:after="0"/>
              <w:rPr>
                <w:sz w:val="20"/>
                <w:szCs w:val="20"/>
                <w:color w:val="auto"/>
              </w:rPr>
            </w:pPr>
            <w:r>
              <w:rPr>
                <w:rFonts w:ascii="Arial" w:cs="Arial" w:eastAsia="Arial" w:hAnsi="Arial"/>
                <w:sz w:val="22"/>
                <w:szCs w:val="22"/>
                <w:color w:val="auto"/>
              </w:rPr>
              <w:t>125</w:t>
            </w:r>
          </w:p>
        </w:tc>
        <w:tc>
          <w:tcPr>
            <w:tcW w:w="740" w:type="dxa"/>
            <w:vAlign w:val="bottom"/>
          </w:tcPr>
          <w:p>
            <w:pPr>
              <w:jc w:val="right"/>
              <w:spacing w:after="0"/>
              <w:rPr>
                <w:sz w:val="20"/>
                <w:szCs w:val="20"/>
                <w:color w:val="auto"/>
              </w:rPr>
            </w:pPr>
            <w:r>
              <w:rPr>
                <w:rFonts w:ascii="Arial" w:cs="Arial" w:eastAsia="Arial" w:hAnsi="Arial"/>
                <w:sz w:val="22"/>
                <w:szCs w:val="22"/>
                <w:color w:val="auto"/>
              </w:rPr>
              <w:t>125</w:t>
            </w:r>
          </w:p>
        </w:tc>
        <w:tc>
          <w:tcPr>
            <w:tcW w:w="1040" w:type="dxa"/>
            <w:vAlign w:val="bottom"/>
            <w:gridSpan w:val="2"/>
          </w:tcPr>
          <w:p>
            <w:pPr>
              <w:jc w:val="right"/>
              <w:spacing w:after="0"/>
              <w:rPr>
                <w:sz w:val="20"/>
                <w:szCs w:val="20"/>
                <w:color w:val="auto"/>
              </w:rPr>
            </w:pPr>
            <w:r>
              <w:rPr>
                <w:rFonts w:ascii="Arial" w:cs="Arial" w:eastAsia="Arial" w:hAnsi="Arial"/>
                <w:sz w:val="22"/>
                <w:szCs w:val="22"/>
                <w:color w:val="auto"/>
              </w:rPr>
              <w:t>9,974</w:t>
            </w:r>
          </w:p>
        </w:tc>
        <w:tc>
          <w:tcPr>
            <w:tcW w:w="1380" w:type="dxa"/>
            <w:vAlign w:val="bottom"/>
            <w:gridSpan w:val="3"/>
          </w:tcPr>
          <w:p>
            <w:pPr>
              <w:jc w:val="right"/>
              <w:ind w:right="120"/>
              <w:spacing w:after="0"/>
              <w:rPr>
                <w:sz w:val="20"/>
                <w:szCs w:val="20"/>
                <w:color w:val="auto"/>
              </w:rPr>
            </w:pPr>
            <w:r>
              <w:rPr>
                <w:rFonts w:ascii="Arial" w:cs="Arial" w:eastAsia="Arial" w:hAnsi="Arial"/>
                <w:sz w:val="22"/>
                <w:szCs w:val="22"/>
                <w:color w:val="auto"/>
              </w:rPr>
              <w:t>(531)</w:t>
            </w:r>
          </w:p>
        </w:tc>
        <w:tc>
          <w:tcPr>
            <w:tcW w:w="920" w:type="dxa"/>
            <w:vAlign w:val="bottom"/>
          </w:tcPr>
          <w:p>
            <w:pPr>
              <w:jc w:val="right"/>
              <w:spacing w:after="0"/>
              <w:rPr>
                <w:sz w:val="20"/>
                <w:szCs w:val="20"/>
                <w:color w:val="auto"/>
              </w:rPr>
            </w:pPr>
            <w:r>
              <w:rPr>
                <w:rFonts w:ascii="Arial" w:cs="Arial" w:eastAsia="Arial" w:hAnsi="Arial"/>
                <w:sz w:val="22"/>
                <w:szCs w:val="22"/>
                <w:color w:val="auto"/>
              </w:rPr>
              <w:t>9,974</w:t>
            </w:r>
          </w:p>
        </w:tc>
        <w:tc>
          <w:tcPr>
            <w:tcW w:w="0" w:type="dxa"/>
            <w:vAlign w:val="bottom"/>
          </w:tcPr>
          <w:p>
            <w:pPr>
              <w:spacing w:after="0"/>
              <w:rPr>
                <w:sz w:val="1"/>
                <w:szCs w:val="1"/>
                <w:color w:val="auto"/>
              </w:rPr>
            </w:pPr>
          </w:p>
        </w:tc>
      </w:tr>
      <w:tr>
        <w:trPr>
          <w:trHeight w:val="98"/>
        </w:trPr>
        <w:tc>
          <w:tcPr>
            <w:tcW w:w="3340" w:type="dxa"/>
            <w:vAlign w:val="bottom"/>
            <w:vMerge w:val="restart"/>
          </w:tcPr>
          <w:p>
            <w:pPr>
              <w:spacing w:after="0"/>
              <w:rPr>
                <w:sz w:val="20"/>
                <w:szCs w:val="20"/>
                <w:color w:val="auto"/>
              </w:rPr>
            </w:pPr>
            <w:r>
              <w:rPr>
                <w:rFonts w:ascii="Arial" w:cs="Arial" w:eastAsia="Arial" w:hAnsi="Arial"/>
                <w:sz w:val="22"/>
                <w:szCs w:val="22"/>
                <w:color w:val="auto"/>
              </w:rPr>
              <w:t>COSTS AND EXPENSES</w:t>
            </w:r>
          </w:p>
        </w:tc>
        <w:tc>
          <w:tcPr>
            <w:tcW w:w="7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566"/>
        </w:trPr>
        <w:tc>
          <w:tcPr>
            <w:tcW w:w="334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180"/>
              <w:spacing w:after="0" w:line="243" w:lineRule="exact"/>
              <w:rPr>
                <w:sz w:val="20"/>
                <w:szCs w:val="20"/>
                <w:color w:val="auto"/>
              </w:rPr>
            </w:pPr>
            <w:r>
              <w:rPr>
                <w:rFonts w:ascii="Arial" w:cs="Arial" w:eastAsia="Arial" w:hAnsi="Arial"/>
                <w:sz w:val="22"/>
                <w:szCs w:val="22"/>
                <w:color w:val="auto"/>
              </w:rPr>
              <w:t>Operating (excluding</w:t>
            </w: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Arial" w:cs="Arial" w:eastAsia="Arial" w:hAnsi="Arial"/>
                <w:sz w:val="22"/>
                <w:szCs w:val="22"/>
                <w:color w:val="auto"/>
              </w:rPr>
              <w:t>depreciation)</w:t>
            </w: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4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3,663</w:t>
            </w: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line="243" w:lineRule="exact"/>
              <w:rPr>
                <w:sz w:val="20"/>
                <w:szCs w:val="20"/>
                <w:color w:val="auto"/>
              </w:rPr>
            </w:pPr>
            <w:r>
              <w:rPr>
                <w:rFonts w:ascii="Arial" w:cs="Arial" w:eastAsia="Arial" w:hAnsi="Arial"/>
                <w:sz w:val="22"/>
                <w:szCs w:val="22"/>
                <w:color w:val="auto"/>
              </w:rPr>
              <w:t>3,663</w:t>
            </w:r>
          </w:p>
        </w:tc>
        <w:tc>
          <w:tcPr>
            <w:tcW w:w="0" w:type="dxa"/>
            <w:vAlign w:val="bottom"/>
          </w:tcPr>
          <w:p>
            <w:pPr>
              <w:spacing w:after="0"/>
              <w:rPr>
                <w:sz w:val="1"/>
                <w:szCs w:val="1"/>
                <w:color w:val="auto"/>
              </w:rPr>
            </w:pPr>
          </w:p>
        </w:tc>
      </w:tr>
      <w:tr>
        <w:trPr>
          <w:trHeight w:val="243"/>
        </w:trPr>
        <w:tc>
          <w:tcPr>
            <w:tcW w:w="3340" w:type="dxa"/>
            <w:vAlign w:val="bottom"/>
          </w:tcPr>
          <w:p>
            <w:pPr>
              <w:ind w:left="180"/>
              <w:spacing w:after="0" w:line="243" w:lineRule="exact"/>
              <w:rPr>
                <w:sz w:val="20"/>
                <w:szCs w:val="20"/>
                <w:color w:val="auto"/>
              </w:rPr>
            </w:pPr>
            <w:r>
              <w:rPr>
                <w:rFonts w:ascii="Arial" w:cs="Arial" w:eastAsia="Arial" w:hAnsi="Arial"/>
                <w:sz w:val="22"/>
                <w:szCs w:val="22"/>
                <w:color w:val="auto"/>
              </w:rPr>
              <w:t>Selling, general and</w:t>
            </w: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Arial" w:cs="Arial" w:eastAsia="Arial" w:hAnsi="Arial"/>
                <w:sz w:val="22"/>
                <w:szCs w:val="22"/>
                <w:color w:val="auto"/>
              </w:rPr>
              <w:t>administrative</w:t>
            </w:r>
          </w:p>
        </w:tc>
        <w:tc>
          <w:tcPr>
            <w:tcW w:w="700" w:type="dxa"/>
            <w:vAlign w:val="bottom"/>
          </w:tcPr>
          <w:p>
            <w:pPr>
              <w:jc w:val="right"/>
              <w:spacing w:after="0" w:line="243" w:lineRule="exact"/>
              <w:rPr>
                <w:sz w:val="20"/>
                <w:szCs w:val="20"/>
                <w:color w:val="auto"/>
              </w:rPr>
            </w:pPr>
            <w:r>
              <w:rPr>
                <w:rFonts w:ascii="Arial" w:cs="Arial" w:eastAsia="Arial" w:hAnsi="Arial"/>
                <w:sz w:val="22"/>
                <w:szCs w:val="22"/>
                <w:color w:val="auto"/>
              </w:rPr>
              <w:t>93</w:t>
            </w:r>
          </w:p>
        </w:tc>
        <w:tc>
          <w:tcPr>
            <w:tcW w:w="200" w:type="dxa"/>
            <w:vAlign w:val="bottom"/>
          </w:tcPr>
          <w:p>
            <w:pPr>
              <w:spacing w:after="0"/>
              <w:rPr>
                <w:sz w:val="21"/>
                <w:szCs w:val="21"/>
                <w:color w:val="auto"/>
              </w:rPr>
            </w:pPr>
          </w:p>
        </w:tc>
        <w:tc>
          <w:tcPr>
            <w:tcW w:w="880" w:type="dxa"/>
            <w:vAlign w:val="bottom"/>
            <w:gridSpan w:val="2"/>
          </w:tcPr>
          <w:p>
            <w:pPr>
              <w:jc w:val="right"/>
              <w:ind w:right="200"/>
              <w:spacing w:after="0" w:line="243" w:lineRule="exact"/>
              <w:rPr>
                <w:sz w:val="20"/>
                <w:szCs w:val="20"/>
                <w:color w:val="auto"/>
              </w:rPr>
            </w:pPr>
            <w:r>
              <w:rPr>
                <w:rFonts w:ascii="Arial" w:cs="Arial" w:eastAsia="Arial" w:hAnsi="Arial"/>
                <w:sz w:val="22"/>
                <w:szCs w:val="22"/>
                <w:color w:val="auto"/>
              </w:rPr>
              <w:t>79</w:t>
            </w:r>
          </w:p>
        </w:tc>
        <w:tc>
          <w:tcPr>
            <w:tcW w:w="880" w:type="dxa"/>
            <w:vAlign w:val="bottom"/>
            <w:gridSpan w:val="2"/>
          </w:tcPr>
          <w:p>
            <w:pPr>
              <w:jc w:val="right"/>
              <w:ind w:right="200"/>
              <w:spacing w:after="0" w:line="243" w:lineRule="exact"/>
              <w:rPr>
                <w:sz w:val="20"/>
                <w:szCs w:val="20"/>
                <w:color w:val="auto"/>
              </w:rPr>
            </w:pPr>
            <w:r>
              <w:rPr>
                <w:rFonts w:ascii="Arial" w:cs="Arial" w:eastAsia="Arial" w:hAnsi="Arial"/>
                <w:sz w:val="22"/>
                <w:szCs w:val="22"/>
                <w:color w:val="auto"/>
              </w:rPr>
              <w:t>125</w:t>
            </w:r>
          </w:p>
        </w:tc>
        <w:tc>
          <w:tcPr>
            <w:tcW w:w="740" w:type="dxa"/>
            <w:vAlign w:val="bottom"/>
          </w:tcPr>
          <w:p>
            <w:pPr>
              <w:jc w:val="right"/>
              <w:spacing w:after="0" w:line="243" w:lineRule="exact"/>
              <w:rPr>
                <w:sz w:val="20"/>
                <w:szCs w:val="20"/>
                <w:color w:val="auto"/>
              </w:rPr>
            </w:pPr>
            <w:r>
              <w:rPr>
                <w:rFonts w:ascii="Arial" w:cs="Arial" w:eastAsia="Arial" w:hAnsi="Arial"/>
                <w:sz w:val="22"/>
                <w:szCs w:val="22"/>
                <w:color w:val="auto"/>
              </w:rPr>
              <w:t>125</w:t>
            </w:r>
          </w:p>
        </w:tc>
        <w:tc>
          <w:tcPr>
            <w:tcW w:w="104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2,735</w:t>
            </w:r>
          </w:p>
        </w:tc>
        <w:tc>
          <w:tcPr>
            <w:tcW w:w="1380" w:type="dxa"/>
            <w:vAlign w:val="bottom"/>
            <w:gridSpan w:val="3"/>
          </w:tcPr>
          <w:p>
            <w:pPr>
              <w:jc w:val="right"/>
              <w:ind w:right="120"/>
              <w:spacing w:after="0" w:line="243" w:lineRule="exact"/>
              <w:rPr>
                <w:sz w:val="20"/>
                <w:szCs w:val="20"/>
                <w:color w:val="auto"/>
              </w:rPr>
            </w:pPr>
            <w:r>
              <w:rPr>
                <w:rFonts w:ascii="Arial" w:cs="Arial" w:eastAsia="Arial" w:hAnsi="Arial"/>
                <w:sz w:val="22"/>
                <w:szCs w:val="22"/>
                <w:color w:val="auto"/>
              </w:rPr>
              <w:t>(531)</w:t>
            </w:r>
          </w:p>
        </w:tc>
        <w:tc>
          <w:tcPr>
            <w:tcW w:w="920" w:type="dxa"/>
            <w:vAlign w:val="bottom"/>
          </w:tcPr>
          <w:p>
            <w:pPr>
              <w:jc w:val="right"/>
              <w:spacing w:after="0" w:line="243" w:lineRule="exact"/>
              <w:rPr>
                <w:sz w:val="20"/>
                <w:szCs w:val="20"/>
                <w:color w:val="auto"/>
              </w:rPr>
            </w:pPr>
            <w:r>
              <w:rPr>
                <w:rFonts w:ascii="Arial" w:cs="Arial" w:eastAsia="Arial" w:hAnsi="Arial"/>
                <w:sz w:val="22"/>
                <w:szCs w:val="22"/>
                <w:color w:val="auto"/>
              </w:rPr>
              <w:t>2,626</w:t>
            </w:r>
          </w:p>
        </w:tc>
        <w:tc>
          <w:tcPr>
            <w:tcW w:w="0" w:type="dxa"/>
            <w:vAlign w:val="bottom"/>
          </w:tcPr>
          <w:p>
            <w:pPr>
              <w:spacing w:after="0"/>
              <w:rPr>
                <w:sz w:val="1"/>
                <w:szCs w:val="1"/>
                <w:color w:val="auto"/>
              </w:rPr>
            </w:pPr>
          </w:p>
        </w:tc>
      </w:tr>
      <w:tr>
        <w:trPr>
          <w:trHeight w:val="243"/>
        </w:trPr>
        <w:tc>
          <w:tcPr>
            <w:tcW w:w="3340" w:type="dxa"/>
            <w:vAlign w:val="bottom"/>
          </w:tcPr>
          <w:p>
            <w:pPr>
              <w:ind w:left="180"/>
              <w:spacing w:after="0" w:line="243" w:lineRule="exact"/>
              <w:rPr>
                <w:sz w:val="20"/>
                <w:szCs w:val="20"/>
                <w:color w:val="auto"/>
              </w:rPr>
            </w:pPr>
            <w:r>
              <w:rPr>
                <w:rFonts w:ascii="Arial" w:cs="Arial" w:eastAsia="Arial" w:hAnsi="Arial"/>
                <w:sz w:val="22"/>
                <w:szCs w:val="22"/>
                <w:color w:val="auto"/>
              </w:rPr>
              <w:t>Depreciation</w:t>
            </w: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4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1,611</w:t>
            </w: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line="243" w:lineRule="exact"/>
              <w:rPr>
                <w:sz w:val="20"/>
                <w:szCs w:val="20"/>
                <w:color w:val="auto"/>
              </w:rPr>
            </w:pPr>
            <w:r>
              <w:rPr>
                <w:rFonts w:ascii="Arial" w:cs="Arial" w:eastAsia="Arial" w:hAnsi="Arial"/>
                <w:sz w:val="22"/>
                <w:szCs w:val="22"/>
                <w:color w:val="auto"/>
              </w:rPr>
              <w:t>1,611</w:t>
            </w:r>
          </w:p>
        </w:tc>
        <w:tc>
          <w:tcPr>
            <w:tcW w:w="0" w:type="dxa"/>
            <w:vAlign w:val="bottom"/>
          </w:tcPr>
          <w:p>
            <w:pPr>
              <w:spacing w:after="0"/>
              <w:rPr>
                <w:sz w:val="1"/>
                <w:szCs w:val="1"/>
                <w:color w:val="auto"/>
              </w:rPr>
            </w:pPr>
          </w:p>
        </w:tc>
      </w:tr>
      <w:tr>
        <w:trPr>
          <w:trHeight w:val="275"/>
        </w:trPr>
        <w:tc>
          <w:tcPr>
            <w:tcW w:w="3340" w:type="dxa"/>
            <w:vAlign w:val="bottom"/>
          </w:tcPr>
          <w:p>
            <w:pPr>
              <w:ind w:left="160"/>
              <w:spacing w:after="0"/>
              <w:rPr>
                <w:sz w:val="20"/>
                <w:szCs w:val="20"/>
                <w:color w:val="auto"/>
              </w:rPr>
            </w:pPr>
            <w:r>
              <w:rPr>
                <w:rFonts w:ascii="Arial" w:cs="Arial" w:eastAsia="Arial" w:hAnsi="Arial"/>
                <w:sz w:val="22"/>
                <w:szCs w:val="22"/>
                <w:color w:val="auto"/>
              </w:rPr>
              <w:t>Amortization</w:t>
            </w:r>
          </w:p>
        </w:tc>
        <w:tc>
          <w:tcPr>
            <w:tcW w:w="7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40" w:type="dxa"/>
            <w:vAlign w:val="bottom"/>
            <w:gridSpan w:val="2"/>
          </w:tcPr>
          <w:p>
            <w:pPr>
              <w:jc w:val="right"/>
              <w:spacing w:after="0"/>
              <w:rPr>
                <w:sz w:val="20"/>
                <w:szCs w:val="20"/>
                <w:color w:val="auto"/>
              </w:rPr>
            </w:pPr>
            <w:r>
              <w:rPr>
                <w:rFonts w:ascii="Arial" w:cs="Arial" w:eastAsia="Arial" w:hAnsi="Arial"/>
                <w:sz w:val="22"/>
                <w:szCs w:val="22"/>
                <w:color w:val="auto"/>
              </w:rPr>
              <w:t>563</w:t>
            </w:r>
          </w:p>
        </w:tc>
        <w:tc>
          <w:tcPr>
            <w:tcW w:w="2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22"/>
                <w:szCs w:val="22"/>
                <w:color w:val="auto"/>
              </w:rPr>
              <w:t>563</w:t>
            </w:r>
          </w:p>
        </w:tc>
        <w:tc>
          <w:tcPr>
            <w:tcW w:w="0" w:type="dxa"/>
            <w:vAlign w:val="bottom"/>
          </w:tcPr>
          <w:p>
            <w:pPr>
              <w:spacing w:after="0"/>
              <w:rPr>
                <w:sz w:val="1"/>
                <w:szCs w:val="1"/>
                <w:color w:val="auto"/>
              </w:rPr>
            </w:pPr>
          </w:p>
        </w:tc>
      </w:tr>
      <w:tr>
        <w:trPr>
          <w:trHeight w:val="98"/>
        </w:trPr>
        <w:tc>
          <w:tcPr>
            <w:tcW w:w="334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55"/>
        </w:trPr>
        <w:tc>
          <w:tcPr>
            <w:tcW w:w="33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22"/>
                <w:szCs w:val="22"/>
                <w:color w:val="auto"/>
              </w:rPr>
              <w:t>93</w:t>
            </w:r>
          </w:p>
        </w:tc>
        <w:tc>
          <w:tcPr>
            <w:tcW w:w="200" w:type="dxa"/>
            <w:vAlign w:val="bottom"/>
          </w:tcPr>
          <w:p>
            <w:pPr>
              <w:spacing w:after="0"/>
              <w:rPr>
                <w:sz w:val="24"/>
                <w:szCs w:val="2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22"/>
                <w:szCs w:val="22"/>
                <w:color w:val="auto"/>
              </w:rPr>
              <w:t>79</w:t>
            </w:r>
          </w:p>
        </w:tc>
        <w:tc>
          <w:tcPr>
            <w:tcW w:w="880" w:type="dxa"/>
            <w:vAlign w:val="bottom"/>
            <w:gridSpan w:val="2"/>
          </w:tcPr>
          <w:p>
            <w:pPr>
              <w:jc w:val="right"/>
              <w:ind w:right="200"/>
              <w:spacing w:after="0"/>
              <w:rPr>
                <w:sz w:val="20"/>
                <w:szCs w:val="20"/>
                <w:color w:val="auto"/>
              </w:rPr>
            </w:pPr>
            <w:r>
              <w:rPr>
                <w:rFonts w:ascii="Arial" w:cs="Arial" w:eastAsia="Arial" w:hAnsi="Arial"/>
                <w:sz w:val="22"/>
                <w:szCs w:val="22"/>
                <w:color w:val="auto"/>
              </w:rPr>
              <w:t>125</w:t>
            </w:r>
          </w:p>
        </w:tc>
        <w:tc>
          <w:tcPr>
            <w:tcW w:w="740" w:type="dxa"/>
            <w:vAlign w:val="bottom"/>
          </w:tcPr>
          <w:p>
            <w:pPr>
              <w:jc w:val="right"/>
              <w:spacing w:after="0"/>
              <w:rPr>
                <w:sz w:val="20"/>
                <w:szCs w:val="20"/>
                <w:color w:val="auto"/>
              </w:rPr>
            </w:pPr>
            <w:r>
              <w:rPr>
                <w:rFonts w:ascii="Arial" w:cs="Arial" w:eastAsia="Arial" w:hAnsi="Arial"/>
                <w:sz w:val="22"/>
                <w:szCs w:val="22"/>
                <w:color w:val="auto"/>
              </w:rPr>
              <w:t>125</w:t>
            </w:r>
          </w:p>
        </w:tc>
        <w:tc>
          <w:tcPr>
            <w:tcW w:w="1040" w:type="dxa"/>
            <w:vAlign w:val="bottom"/>
            <w:gridSpan w:val="2"/>
          </w:tcPr>
          <w:p>
            <w:pPr>
              <w:jc w:val="right"/>
              <w:spacing w:after="0"/>
              <w:rPr>
                <w:sz w:val="20"/>
                <w:szCs w:val="20"/>
                <w:color w:val="auto"/>
              </w:rPr>
            </w:pPr>
            <w:r>
              <w:rPr>
                <w:rFonts w:ascii="Arial" w:cs="Arial" w:eastAsia="Arial" w:hAnsi="Arial"/>
                <w:sz w:val="22"/>
                <w:szCs w:val="22"/>
                <w:color w:val="auto"/>
              </w:rPr>
              <w:t>8,572</w:t>
            </w:r>
          </w:p>
        </w:tc>
        <w:tc>
          <w:tcPr>
            <w:tcW w:w="1380" w:type="dxa"/>
            <w:vAlign w:val="bottom"/>
            <w:gridSpan w:val="3"/>
          </w:tcPr>
          <w:p>
            <w:pPr>
              <w:jc w:val="right"/>
              <w:ind w:right="120"/>
              <w:spacing w:after="0"/>
              <w:rPr>
                <w:sz w:val="20"/>
                <w:szCs w:val="20"/>
                <w:color w:val="auto"/>
              </w:rPr>
            </w:pPr>
            <w:r>
              <w:rPr>
                <w:rFonts w:ascii="Arial" w:cs="Arial" w:eastAsia="Arial" w:hAnsi="Arial"/>
                <w:sz w:val="22"/>
                <w:szCs w:val="22"/>
                <w:color w:val="auto"/>
              </w:rPr>
              <w:t>(531)</w:t>
            </w:r>
          </w:p>
        </w:tc>
        <w:tc>
          <w:tcPr>
            <w:tcW w:w="920" w:type="dxa"/>
            <w:vAlign w:val="bottom"/>
          </w:tcPr>
          <w:p>
            <w:pPr>
              <w:jc w:val="right"/>
              <w:spacing w:after="0"/>
              <w:rPr>
                <w:sz w:val="20"/>
                <w:szCs w:val="20"/>
                <w:color w:val="auto"/>
              </w:rPr>
            </w:pPr>
            <w:r>
              <w:rPr>
                <w:rFonts w:ascii="Arial" w:cs="Arial" w:eastAsia="Arial" w:hAnsi="Arial"/>
                <w:sz w:val="22"/>
                <w:szCs w:val="22"/>
                <w:color w:val="auto"/>
              </w:rPr>
              <w:t>8,463</w:t>
            </w:r>
          </w:p>
        </w:tc>
        <w:tc>
          <w:tcPr>
            <w:tcW w:w="0" w:type="dxa"/>
            <w:vAlign w:val="bottom"/>
          </w:tcPr>
          <w:p>
            <w:pPr>
              <w:spacing w:after="0"/>
              <w:rPr>
                <w:sz w:val="1"/>
                <w:szCs w:val="1"/>
                <w:color w:val="auto"/>
              </w:rPr>
            </w:pPr>
          </w:p>
        </w:tc>
      </w:tr>
      <w:tr>
        <w:trPr>
          <w:trHeight w:val="98"/>
        </w:trPr>
        <w:tc>
          <w:tcPr>
            <w:tcW w:w="334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598"/>
        </w:trPr>
        <w:tc>
          <w:tcPr>
            <w:tcW w:w="3340" w:type="dxa"/>
            <w:vAlign w:val="bottom"/>
          </w:tcPr>
          <w:p>
            <w:pPr>
              <w:spacing w:after="0"/>
              <w:rPr>
                <w:sz w:val="20"/>
                <w:szCs w:val="20"/>
                <w:color w:val="auto"/>
              </w:rPr>
            </w:pPr>
            <w:r>
              <w:rPr>
                <w:rFonts w:ascii="Arial" w:cs="Arial" w:eastAsia="Arial" w:hAnsi="Arial"/>
                <w:sz w:val="22"/>
                <w:szCs w:val="22"/>
                <w:color w:val="auto"/>
              </w:rPr>
              <w:t>OPERATING INCOME</w:t>
            </w:r>
          </w:p>
        </w:tc>
        <w:tc>
          <w:tcPr>
            <w:tcW w:w="700" w:type="dxa"/>
            <w:vAlign w:val="bottom"/>
          </w:tcPr>
          <w:p>
            <w:pPr>
              <w:jc w:val="right"/>
              <w:spacing w:after="0"/>
              <w:rPr>
                <w:sz w:val="20"/>
                <w:szCs w:val="20"/>
                <w:color w:val="auto"/>
              </w:rPr>
            </w:pPr>
            <w:r>
              <w:rPr>
                <w:rFonts w:ascii="Arial" w:cs="Arial" w:eastAsia="Arial" w:hAnsi="Arial"/>
                <w:sz w:val="22"/>
                <w:szCs w:val="22"/>
                <w:color w:val="auto"/>
              </w:rPr>
              <w:t>109</w:t>
            </w: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40" w:type="dxa"/>
            <w:vAlign w:val="bottom"/>
            <w:gridSpan w:val="2"/>
          </w:tcPr>
          <w:p>
            <w:pPr>
              <w:jc w:val="right"/>
              <w:spacing w:after="0"/>
              <w:rPr>
                <w:sz w:val="20"/>
                <w:szCs w:val="20"/>
                <w:color w:val="auto"/>
              </w:rPr>
            </w:pPr>
            <w:r>
              <w:rPr>
                <w:rFonts w:ascii="Arial" w:cs="Arial" w:eastAsia="Arial" w:hAnsi="Arial"/>
                <w:sz w:val="22"/>
                <w:szCs w:val="22"/>
                <w:color w:val="auto"/>
              </w:rPr>
              <w:t>1,402</w:t>
            </w: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2"/>
                <w:szCs w:val="22"/>
                <w:color w:val="auto"/>
              </w:rPr>
              <w:t>1,511</w:t>
            </w:r>
          </w:p>
        </w:tc>
        <w:tc>
          <w:tcPr>
            <w:tcW w:w="0" w:type="dxa"/>
            <w:vAlign w:val="bottom"/>
          </w:tcPr>
          <w:p>
            <w:pPr>
              <w:spacing w:after="0"/>
              <w:rPr>
                <w:sz w:val="1"/>
                <w:szCs w:val="1"/>
                <w:color w:val="auto"/>
              </w:rPr>
            </w:pPr>
          </w:p>
        </w:tc>
      </w:tr>
    </w:tbl>
    <w:p>
      <w:pPr>
        <w:sectPr>
          <w:pgSz w:w="11900" w:h="16838" w:orient="portrait"/>
          <w:cols w:equalWidth="0" w:num="1">
            <w:col w:w="10219"/>
          </w:cols>
          <w:pgMar w:left="240" w:top="446" w:right="1440" w:bottom="0" w:gutter="0" w:footer="0" w:header="0"/>
        </w:sectPr>
      </w:pPr>
    </w:p>
    <w:bookmarkStart w:id="22" w:name="page23"/>
    <w:bookmarkEnd w:id="2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40" w:type="dxa"/>
            <w:vAlign w:val="bottom"/>
          </w:tcPr>
          <w:p>
            <w:pPr>
              <w:spacing w:after="0"/>
              <w:rPr>
                <w:sz w:val="20"/>
                <w:szCs w:val="20"/>
                <w:color w:val="auto"/>
              </w:rPr>
            </w:pPr>
            <w:r>
              <w:rPr>
                <w:rFonts w:ascii="Arial" w:cs="Arial" w:eastAsia="Arial" w:hAnsi="Arial"/>
                <w:sz w:val="22"/>
                <w:szCs w:val="22"/>
                <w:color w:val="auto"/>
              </w:rPr>
              <w:t>OTHER INCOME (EXPENSE)</w:t>
            </w: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180"/>
              <w:spacing w:after="0" w:line="243" w:lineRule="exact"/>
              <w:rPr>
                <w:sz w:val="20"/>
                <w:szCs w:val="20"/>
                <w:color w:val="auto"/>
              </w:rPr>
            </w:pPr>
            <w:r>
              <w:rPr>
                <w:rFonts w:ascii="Arial" w:cs="Arial" w:eastAsia="Arial" w:hAnsi="Arial"/>
                <w:sz w:val="22"/>
                <w:szCs w:val="22"/>
                <w:color w:val="auto"/>
              </w:rPr>
              <w:t>Interest expense</w:t>
            </w:r>
          </w:p>
        </w:tc>
        <w:tc>
          <w:tcPr>
            <w:tcW w:w="900" w:type="dxa"/>
            <w:vAlign w:val="bottom"/>
            <w:gridSpan w:val="2"/>
          </w:tcPr>
          <w:p>
            <w:pPr>
              <w:jc w:val="right"/>
              <w:ind w:right="120"/>
              <w:spacing w:after="0" w:line="243" w:lineRule="exact"/>
              <w:rPr>
                <w:sz w:val="20"/>
                <w:szCs w:val="20"/>
                <w:color w:val="auto"/>
              </w:rPr>
            </w:pPr>
            <w:r>
              <w:rPr>
                <w:rFonts w:ascii="Arial" w:cs="Arial" w:eastAsia="Arial" w:hAnsi="Arial"/>
                <w:sz w:val="22"/>
                <w:szCs w:val="22"/>
                <w:color w:val="auto"/>
              </w:rPr>
              <w:t>(163)</w:t>
            </w:r>
          </w:p>
        </w:tc>
        <w:tc>
          <w:tcPr>
            <w:tcW w:w="880" w:type="dxa"/>
            <w:vAlign w:val="bottom"/>
            <w:gridSpan w:val="2"/>
          </w:tcPr>
          <w:p>
            <w:pPr>
              <w:jc w:val="right"/>
              <w:ind w:right="120"/>
              <w:spacing w:after="0" w:line="243" w:lineRule="exact"/>
              <w:rPr>
                <w:sz w:val="20"/>
                <w:szCs w:val="20"/>
                <w:color w:val="auto"/>
              </w:rPr>
            </w:pPr>
            <w:r>
              <w:rPr>
                <w:rFonts w:ascii="Arial" w:cs="Arial" w:eastAsia="Arial" w:hAnsi="Arial"/>
                <w:sz w:val="22"/>
                <w:szCs w:val="22"/>
                <w:color w:val="auto"/>
              </w:rPr>
              <w:t>(242)</w:t>
            </w:r>
          </w:p>
        </w:tc>
        <w:tc>
          <w:tcPr>
            <w:tcW w:w="880" w:type="dxa"/>
            <w:vAlign w:val="bottom"/>
            <w:gridSpan w:val="2"/>
          </w:tcPr>
          <w:p>
            <w:pPr>
              <w:jc w:val="right"/>
              <w:ind w:right="120"/>
              <w:spacing w:after="0" w:line="243" w:lineRule="exact"/>
              <w:rPr>
                <w:sz w:val="20"/>
                <w:szCs w:val="20"/>
                <w:color w:val="auto"/>
              </w:rPr>
            </w:pPr>
            <w:r>
              <w:rPr>
                <w:rFonts w:ascii="Arial" w:cs="Arial" w:eastAsia="Arial" w:hAnsi="Arial"/>
                <w:sz w:val="22"/>
                <w:szCs w:val="22"/>
                <w:color w:val="auto"/>
              </w:rPr>
              <w:t>(153)</w:t>
            </w:r>
          </w:p>
        </w:tc>
        <w:tc>
          <w:tcPr>
            <w:tcW w:w="920" w:type="dxa"/>
            <w:vAlign w:val="bottom"/>
            <w:gridSpan w:val="2"/>
          </w:tcPr>
          <w:p>
            <w:pPr>
              <w:jc w:val="right"/>
              <w:ind w:right="120"/>
              <w:spacing w:after="0" w:line="243" w:lineRule="exact"/>
              <w:rPr>
                <w:sz w:val="20"/>
                <w:szCs w:val="20"/>
                <w:color w:val="auto"/>
              </w:rPr>
            </w:pPr>
            <w:r>
              <w:rPr>
                <w:rFonts w:ascii="Arial" w:cs="Arial" w:eastAsia="Arial" w:hAnsi="Arial"/>
                <w:sz w:val="22"/>
                <w:szCs w:val="22"/>
                <w:color w:val="auto"/>
              </w:rPr>
              <w:t>(201)</w:t>
            </w:r>
          </w:p>
        </w:tc>
        <w:tc>
          <w:tcPr>
            <w:tcW w:w="1060" w:type="dxa"/>
            <w:vAlign w:val="bottom"/>
            <w:gridSpan w:val="2"/>
          </w:tcPr>
          <w:p>
            <w:pPr>
              <w:jc w:val="right"/>
              <w:ind w:right="120"/>
              <w:spacing w:after="0" w:line="243" w:lineRule="exact"/>
              <w:rPr>
                <w:sz w:val="20"/>
                <w:szCs w:val="20"/>
                <w:color w:val="auto"/>
              </w:rPr>
            </w:pPr>
            <w:r>
              <w:rPr>
                <w:rFonts w:ascii="Arial" w:cs="Arial" w:eastAsia="Arial" w:hAnsi="Arial"/>
                <w:sz w:val="22"/>
                <w:szCs w:val="22"/>
                <w:color w:val="auto"/>
              </w:rPr>
              <w:t>(225)</w:t>
            </w: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(984)</w:t>
            </w:r>
          </w:p>
        </w:tc>
        <w:tc>
          <w:tcPr>
            <w:tcW w:w="0" w:type="dxa"/>
            <w:vAlign w:val="bottom"/>
          </w:tcPr>
          <w:p>
            <w:pPr>
              <w:spacing w:after="0"/>
              <w:rPr>
                <w:sz w:val="1"/>
                <w:szCs w:val="1"/>
                <w:color w:val="auto"/>
              </w:rPr>
            </w:pPr>
          </w:p>
        </w:tc>
      </w:tr>
      <w:tr>
        <w:trPr>
          <w:trHeight w:val="243"/>
        </w:trPr>
        <w:tc>
          <w:tcPr>
            <w:tcW w:w="3340" w:type="dxa"/>
            <w:vAlign w:val="bottom"/>
          </w:tcPr>
          <w:p>
            <w:pPr>
              <w:ind w:left="180"/>
              <w:spacing w:after="0" w:line="243" w:lineRule="exact"/>
              <w:rPr>
                <w:sz w:val="20"/>
                <w:szCs w:val="20"/>
                <w:color w:val="auto"/>
              </w:rPr>
            </w:pPr>
            <w:r>
              <w:rPr>
                <w:rFonts w:ascii="Arial" w:cs="Arial" w:eastAsia="Arial" w:hAnsi="Arial"/>
                <w:sz w:val="22"/>
                <w:szCs w:val="22"/>
                <w:color w:val="auto"/>
              </w:rPr>
              <w:t>Investment income, net</w:t>
            </w: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spacing w:after="0" w:line="243" w:lineRule="exact"/>
              <w:rPr>
                <w:sz w:val="20"/>
                <w:szCs w:val="20"/>
                <w:color w:val="auto"/>
              </w:rPr>
            </w:pPr>
            <w:r>
              <w:rPr>
                <w:rFonts w:ascii="Arial" w:cs="Arial" w:eastAsia="Arial" w:hAnsi="Arial"/>
                <w:sz w:val="22"/>
                <w:szCs w:val="22"/>
                <w:color w:val="auto"/>
              </w:rPr>
              <w:t>142</w:t>
            </w: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gridSpan w:val="2"/>
          </w:tcPr>
          <w:p>
            <w:pPr>
              <w:jc w:val="right"/>
              <w:ind w:right="80"/>
              <w:spacing w:after="0" w:line="243" w:lineRule="exact"/>
              <w:rPr>
                <w:sz w:val="20"/>
                <w:szCs w:val="20"/>
                <w:color w:val="auto"/>
              </w:rPr>
            </w:pPr>
            <w:r>
              <w:rPr>
                <w:rFonts w:ascii="Arial" w:cs="Arial" w:eastAsia="Arial" w:hAnsi="Arial"/>
                <w:sz w:val="22"/>
                <w:szCs w:val="22"/>
                <w:color w:val="auto"/>
              </w:rPr>
              <w:t>142</w:t>
            </w:r>
          </w:p>
        </w:tc>
        <w:tc>
          <w:tcPr>
            <w:tcW w:w="0" w:type="dxa"/>
            <w:vAlign w:val="bottom"/>
          </w:tcPr>
          <w:p>
            <w:pPr>
              <w:spacing w:after="0"/>
              <w:rPr>
                <w:sz w:val="1"/>
                <w:szCs w:val="1"/>
                <w:color w:val="auto"/>
              </w:rPr>
            </w:pPr>
          </w:p>
        </w:tc>
      </w:tr>
      <w:tr>
        <w:trPr>
          <w:trHeight w:val="243"/>
        </w:trPr>
        <w:tc>
          <w:tcPr>
            <w:tcW w:w="3340" w:type="dxa"/>
            <w:vAlign w:val="bottom"/>
          </w:tcPr>
          <w:p>
            <w:pPr>
              <w:ind w:left="180"/>
              <w:spacing w:after="0" w:line="243" w:lineRule="exact"/>
              <w:rPr>
                <w:sz w:val="20"/>
                <w:szCs w:val="20"/>
                <w:color w:val="auto"/>
              </w:rPr>
            </w:pPr>
            <w:r>
              <w:rPr>
                <w:rFonts w:ascii="Arial" w:cs="Arial" w:eastAsia="Arial" w:hAnsi="Arial"/>
                <w:sz w:val="22"/>
                <w:szCs w:val="22"/>
                <w:color w:val="auto"/>
              </w:rPr>
              <w:t>Equity in net (losses) income of</w:t>
            </w: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340"/>
              <w:spacing w:after="0" w:line="243" w:lineRule="exact"/>
              <w:rPr>
                <w:sz w:val="20"/>
                <w:szCs w:val="20"/>
                <w:color w:val="auto"/>
              </w:rPr>
            </w:pPr>
            <w:r>
              <w:rPr>
                <w:rFonts w:ascii="Arial" w:cs="Arial" w:eastAsia="Arial" w:hAnsi="Arial"/>
                <w:sz w:val="22"/>
                <w:szCs w:val="22"/>
                <w:color w:val="auto"/>
              </w:rPr>
              <w:t>affiliates</w:t>
            </w:r>
          </w:p>
        </w:tc>
        <w:tc>
          <w:tcPr>
            <w:tcW w:w="900" w:type="dxa"/>
            <w:vAlign w:val="bottom"/>
            <w:gridSpan w:val="2"/>
          </w:tcPr>
          <w:p>
            <w:pPr>
              <w:jc w:val="right"/>
              <w:ind w:right="200"/>
              <w:spacing w:after="0" w:line="243" w:lineRule="exact"/>
              <w:rPr>
                <w:sz w:val="20"/>
                <w:szCs w:val="20"/>
                <w:color w:val="auto"/>
              </w:rPr>
            </w:pPr>
            <w:r>
              <w:rPr>
                <w:rFonts w:ascii="Arial" w:cs="Arial" w:eastAsia="Arial" w:hAnsi="Arial"/>
                <w:sz w:val="22"/>
                <w:szCs w:val="22"/>
                <w:color w:val="auto"/>
              </w:rPr>
              <w:t>362</w:t>
            </w:r>
          </w:p>
        </w:tc>
        <w:tc>
          <w:tcPr>
            <w:tcW w:w="880" w:type="dxa"/>
            <w:vAlign w:val="bottom"/>
            <w:gridSpan w:val="2"/>
          </w:tcPr>
          <w:p>
            <w:pPr>
              <w:jc w:val="right"/>
              <w:ind w:right="200"/>
              <w:spacing w:after="0" w:line="243" w:lineRule="exact"/>
              <w:rPr>
                <w:sz w:val="20"/>
                <w:szCs w:val="20"/>
                <w:color w:val="auto"/>
              </w:rPr>
            </w:pPr>
            <w:r>
              <w:rPr>
                <w:rFonts w:ascii="Arial" w:cs="Arial" w:eastAsia="Arial" w:hAnsi="Arial"/>
                <w:sz w:val="22"/>
                <w:szCs w:val="22"/>
                <w:color w:val="auto"/>
              </w:rPr>
              <w:t>607</w:t>
            </w:r>
          </w:p>
        </w:tc>
        <w:tc>
          <w:tcPr>
            <w:tcW w:w="880" w:type="dxa"/>
            <w:vAlign w:val="bottom"/>
            <w:gridSpan w:val="2"/>
          </w:tcPr>
          <w:p>
            <w:pPr>
              <w:jc w:val="right"/>
              <w:ind w:right="200"/>
              <w:spacing w:after="0" w:line="243" w:lineRule="exact"/>
              <w:rPr>
                <w:sz w:val="20"/>
                <w:szCs w:val="20"/>
                <w:color w:val="auto"/>
              </w:rPr>
            </w:pPr>
            <w:r>
              <w:rPr>
                <w:rFonts w:ascii="Arial" w:cs="Arial" w:eastAsia="Arial" w:hAnsi="Arial"/>
                <w:sz w:val="22"/>
                <w:szCs w:val="22"/>
                <w:color w:val="auto"/>
              </w:rPr>
              <w:t>170</w:t>
            </w:r>
          </w:p>
        </w:tc>
        <w:tc>
          <w:tcPr>
            <w:tcW w:w="740" w:type="dxa"/>
            <w:vAlign w:val="bottom"/>
          </w:tcPr>
          <w:p>
            <w:pPr>
              <w:jc w:val="right"/>
              <w:spacing w:after="0" w:line="243" w:lineRule="exact"/>
              <w:rPr>
                <w:sz w:val="20"/>
                <w:szCs w:val="20"/>
                <w:color w:val="auto"/>
              </w:rPr>
            </w:pPr>
            <w:r>
              <w:rPr>
                <w:rFonts w:ascii="Arial" w:cs="Arial" w:eastAsia="Arial" w:hAnsi="Arial"/>
                <w:sz w:val="22"/>
                <w:szCs w:val="22"/>
                <w:color w:val="auto"/>
              </w:rPr>
              <w:t>301</w:t>
            </w:r>
          </w:p>
        </w:tc>
        <w:tc>
          <w:tcPr>
            <w:tcW w:w="180" w:type="dxa"/>
            <w:vAlign w:val="bottom"/>
          </w:tcPr>
          <w:p>
            <w:pPr>
              <w:spacing w:after="0"/>
              <w:rPr>
                <w:sz w:val="21"/>
                <w:szCs w:val="21"/>
                <w:color w:val="auto"/>
              </w:rPr>
            </w:pPr>
          </w:p>
        </w:tc>
        <w:tc>
          <w:tcPr>
            <w:tcW w:w="860" w:type="dxa"/>
            <w:vAlign w:val="bottom"/>
          </w:tcPr>
          <w:p>
            <w:pPr>
              <w:jc w:val="right"/>
              <w:spacing w:after="0" w:line="243" w:lineRule="exact"/>
              <w:rPr>
                <w:sz w:val="20"/>
                <w:szCs w:val="20"/>
                <w:color w:val="auto"/>
              </w:rPr>
            </w:pPr>
            <w:r>
              <w:rPr>
                <w:rFonts w:ascii="Arial" w:cs="Arial" w:eastAsia="Arial" w:hAnsi="Arial"/>
                <w:sz w:val="22"/>
                <w:szCs w:val="22"/>
                <w:color w:val="auto"/>
              </w:rPr>
              <w:t>413</w:t>
            </w:r>
          </w:p>
        </w:tc>
        <w:tc>
          <w:tcPr>
            <w:tcW w:w="200" w:type="dxa"/>
            <w:vAlign w:val="bottom"/>
          </w:tcPr>
          <w:p>
            <w:pPr>
              <w:spacing w:after="0"/>
              <w:rPr>
                <w:sz w:val="21"/>
                <w:szCs w:val="21"/>
                <w:color w:val="auto"/>
              </w:rPr>
            </w:pPr>
          </w:p>
        </w:tc>
        <w:tc>
          <w:tcPr>
            <w:tcW w:w="1180" w:type="dxa"/>
            <w:vAlign w:val="bottom"/>
            <w:gridSpan w:val="2"/>
          </w:tcPr>
          <w:p>
            <w:pPr>
              <w:jc w:val="right"/>
              <w:ind w:right="120"/>
              <w:spacing w:after="0" w:line="243" w:lineRule="exact"/>
              <w:rPr>
                <w:sz w:val="20"/>
                <w:szCs w:val="20"/>
                <w:color w:val="auto"/>
              </w:rPr>
            </w:pPr>
            <w:r>
              <w:rPr>
                <w:rFonts w:ascii="Arial" w:cs="Arial" w:eastAsia="Arial" w:hAnsi="Arial"/>
                <w:sz w:val="22"/>
                <w:szCs w:val="22"/>
                <w:color w:val="auto"/>
              </w:rPr>
              <w:t>(1,890)</w:t>
            </w:r>
          </w:p>
        </w:tc>
        <w:tc>
          <w:tcPr>
            <w:tcW w:w="100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(37)</w:t>
            </w:r>
          </w:p>
        </w:tc>
        <w:tc>
          <w:tcPr>
            <w:tcW w:w="0" w:type="dxa"/>
            <w:vAlign w:val="bottom"/>
          </w:tcPr>
          <w:p>
            <w:pPr>
              <w:spacing w:after="0"/>
              <w:rPr>
                <w:sz w:val="1"/>
                <w:szCs w:val="1"/>
                <w:color w:val="auto"/>
              </w:rPr>
            </w:pPr>
          </w:p>
        </w:tc>
      </w:tr>
      <w:tr>
        <w:trPr>
          <w:trHeight w:val="275"/>
        </w:trPr>
        <w:tc>
          <w:tcPr>
            <w:tcW w:w="3340" w:type="dxa"/>
            <w:vAlign w:val="bottom"/>
          </w:tcPr>
          <w:p>
            <w:pPr>
              <w:ind w:left="180"/>
              <w:spacing w:after="0"/>
              <w:rPr>
                <w:sz w:val="20"/>
                <w:szCs w:val="20"/>
                <w:color w:val="auto"/>
              </w:rPr>
            </w:pPr>
            <w:r>
              <w:rPr>
                <w:rFonts w:ascii="Arial" w:cs="Arial" w:eastAsia="Arial" w:hAnsi="Arial"/>
                <w:sz w:val="22"/>
                <w:szCs w:val="22"/>
                <w:color w:val="auto"/>
              </w:rPr>
              <w:t>Other income</w:t>
            </w:r>
          </w:p>
        </w:tc>
        <w:tc>
          <w:tcPr>
            <w:tcW w:w="7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22"/>
                <w:szCs w:val="22"/>
                <w:color w:val="auto"/>
              </w:rPr>
              <w:t>19</w:t>
            </w:r>
          </w:p>
        </w:tc>
        <w:tc>
          <w:tcPr>
            <w:tcW w:w="2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22"/>
                <w:szCs w:val="22"/>
                <w:color w:val="auto"/>
              </w:rPr>
              <w:t>19</w:t>
            </w:r>
          </w:p>
        </w:tc>
        <w:tc>
          <w:tcPr>
            <w:tcW w:w="0" w:type="dxa"/>
            <w:vAlign w:val="bottom"/>
          </w:tcPr>
          <w:p>
            <w:pPr>
              <w:spacing w:after="0"/>
              <w:rPr>
                <w:sz w:val="1"/>
                <w:szCs w:val="1"/>
                <w:color w:val="auto"/>
              </w:rPr>
            </w:pPr>
          </w:p>
        </w:tc>
      </w:tr>
      <w:tr>
        <w:trPr>
          <w:trHeight w:val="98"/>
        </w:trPr>
        <w:tc>
          <w:tcPr>
            <w:tcW w:w="334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55"/>
        </w:trPr>
        <w:tc>
          <w:tcPr>
            <w:tcW w:w="3340" w:type="dxa"/>
            <w:vAlign w:val="bottom"/>
          </w:tcPr>
          <w:p>
            <w:pPr>
              <w:spacing w:after="0"/>
              <w:rPr>
                <w:sz w:val="24"/>
                <w:szCs w:val="2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22"/>
                <w:szCs w:val="22"/>
                <w:color w:val="auto"/>
              </w:rPr>
              <w:t>199</w:t>
            </w:r>
          </w:p>
        </w:tc>
        <w:tc>
          <w:tcPr>
            <w:tcW w:w="880" w:type="dxa"/>
            <w:vAlign w:val="bottom"/>
            <w:gridSpan w:val="2"/>
          </w:tcPr>
          <w:p>
            <w:pPr>
              <w:jc w:val="right"/>
              <w:ind w:right="200"/>
              <w:spacing w:after="0"/>
              <w:rPr>
                <w:sz w:val="20"/>
                <w:szCs w:val="20"/>
                <w:color w:val="auto"/>
              </w:rPr>
            </w:pPr>
            <w:r>
              <w:rPr>
                <w:rFonts w:ascii="Arial" w:cs="Arial" w:eastAsia="Arial" w:hAnsi="Arial"/>
                <w:sz w:val="22"/>
                <w:szCs w:val="22"/>
                <w:color w:val="auto"/>
              </w:rPr>
              <w:t>365</w:t>
            </w:r>
          </w:p>
        </w:tc>
        <w:tc>
          <w:tcPr>
            <w:tcW w:w="880" w:type="dxa"/>
            <w:vAlign w:val="bottom"/>
            <w:gridSpan w:val="2"/>
          </w:tcPr>
          <w:p>
            <w:pPr>
              <w:jc w:val="right"/>
              <w:ind w:right="200"/>
              <w:spacing w:after="0"/>
              <w:rPr>
                <w:sz w:val="20"/>
                <w:szCs w:val="20"/>
                <w:color w:val="auto"/>
              </w:rPr>
            </w:pPr>
            <w:r>
              <w:rPr>
                <w:rFonts w:ascii="Arial" w:cs="Arial" w:eastAsia="Arial" w:hAnsi="Arial"/>
                <w:sz w:val="22"/>
                <w:szCs w:val="22"/>
                <w:color w:val="auto"/>
              </w:rPr>
              <w:t>17</w:t>
            </w:r>
          </w:p>
        </w:tc>
        <w:tc>
          <w:tcPr>
            <w:tcW w:w="740" w:type="dxa"/>
            <w:vAlign w:val="bottom"/>
          </w:tcPr>
          <w:p>
            <w:pPr>
              <w:jc w:val="right"/>
              <w:spacing w:after="0"/>
              <w:rPr>
                <w:sz w:val="20"/>
                <w:szCs w:val="20"/>
                <w:color w:val="auto"/>
              </w:rPr>
            </w:pPr>
            <w:r>
              <w:rPr>
                <w:rFonts w:ascii="Arial" w:cs="Arial" w:eastAsia="Arial" w:hAnsi="Arial"/>
                <w:sz w:val="22"/>
                <w:szCs w:val="22"/>
                <w:color w:val="auto"/>
              </w:rPr>
              <w:t>100</w:t>
            </w:r>
          </w:p>
        </w:tc>
        <w:tc>
          <w:tcPr>
            <w:tcW w:w="1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2"/>
                <w:szCs w:val="22"/>
                <w:color w:val="auto"/>
              </w:rPr>
              <w:t>349</w:t>
            </w:r>
          </w:p>
        </w:tc>
        <w:tc>
          <w:tcPr>
            <w:tcW w:w="200" w:type="dxa"/>
            <w:vAlign w:val="bottom"/>
          </w:tcPr>
          <w:p>
            <w:pPr>
              <w:spacing w:after="0"/>
              <w:rPr>
                <w:sz w:val="24"/>
                <w:szCs w:val="24"/>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22"/>
                <w:szCs w:val="22"/>
                <w:color w:val="auto"/>
              </w:rPr>
              <w:t>(1,890)</w:t>
            </w:r>
          </w:p>
        </w:tc>
        <w:tc>
          <w:tcPr>
            <w:tcW w:w="1000" w:type="dxa"/>
            <w:vAlign w:val="bottom"/>
            <w:gridSpan w:val="2"/>
          </w:tcPr>
          <w:p>
            <w:pPr>
              <w:jc w:val="right"/>
              <w:spacing w:after="0"/>
              <w:rPr>
                <w:sz w:val="20"/>
                <w:szCs w:val="20"/>
                <w:color w:val="auto"/>
              </w:rPr>
            </w:pPr>
            <w:r>
              <w:rPr>
                <w:rFonts w:ascii="Arial" w:cs="Arial" w:eastAsia="Arial" w:hAnsi="Arial"/>
                <w:sz w:val="22"/>
                <w:szCs w:val="22"/>
                <w:color w:val="auto"/>
              </w:rPr>
              <w:t>(860)</w:t>
            </w:r>
          </w:p>
        </w:tc>
        <w:tc>
          <w:tcPr>
            <w:tcW w:w="0" w:type="dxa"/>
            <w:vAlign w:val="bottom"/>
          </w:tcPr>
          <w:p>
            <w:pPr>
              <w:spacing w:after="0"/>
              <w:rPr>
                <w:sz w:val="1"/>
                <w:szCs w:val="1"/>
                <w:color w:val="auto"/>
              </w:rPr>
            </w:pPr>
          </w:p>
        </w:tc>
      </w:tr>
      <w:tr>
        <w:trPr>
          <w:trHeight w:val="98"/>
        </w:trPr>
        <w:tc>
          <w:tcPr>
            <w:tcW w:w="3340" w:type="dxa"/>
            <w:vAlign w:val="bottom"/>
            <w:vMerge w:val="restart"/>
          </w:tcPr>
          <w:p>
            <w:pPr>
              <w:spacing w:after="0"/>
              <w:rPr>
                <w:sz w:val="20"/>
                <w:szCs w:val="20"/>
                <w:color w:val="auto"/>
              </w:rPr>
            </w:pPr>
            <w:r>
              <w:rPr>
                <w:rFonts w:ascii="Arial" w:cs="Arial" w:eastAsia="Arial" w:hAnsi="Arial"/>
                <w:sz w:val="22"/>
                <w:szCs w:val="22"/>
                <w:color w:val="auto"/>
              </w:rPr>
              <w:t>INCOME (LOSS) BEFORE</w:t>
            </w:r>
          </w:p>
        </w:tc>
        <w:tc>
          <w:tcPr>
            <w:tcW w:w="7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66"/>
        </w:trPr>
        <w:tc>
          <w:tcPr>
            <w:tcW w:w="334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Arial" w:cs="Arial" w:eastAsia="Arial" w:hAnsi="Arial"/>
                <w:sz w:val="22"/>
                <w:szCs w:val="22"/>
                <w:color w:val="auto"/>
              </w:rPr>
              <w:t>INCOME TAXES</w:t>
            </w: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3340" w:type="dxa"/>
            <w:vAlign w:val="bottom"/>
          </w:tcPr>
          <w:p>
            <w:pPr>
              <w:ind w:left="160"/>
              <w:spacing w:after="0"/>
              <w:rPr>
                <w:sz w:val="20"/>
                <w:szCs w:val="20"/>
                <w:color w:val="auto"/>
              </w:rPr>
            </w:pPr>
            <w:r>
              <w:rPr>
                <w:rFonts w:ascii="Arial" w:cs="Arial" w:eastAsia="Arial" w:hAnsi="Arial"/>
                <w:sz w:val="22"/>
                <w:szCs w:val="22"/>
                <w:color w:val="auto"/>
              </w:rPr>
              <w:t>AND MINORITY INTEREST</w:t>
            </w:r>
          </w:p>
        </w:tc>
        <w:tc>
          <w:tcPr>
            <w:tcW w:w="900" w:type="dxa"/>
            <w:vAlign w:val="bottom"/>
            <w:gridSpan w:val="2"/>
          </w:tcPr>
          <w:p>
            <w:pPr>
              <w:jc w:val="right"/>
              <w:ind w:right="200"/>
              <w:spacing w:after="0"/>
              <w:rPr>
                <w:sz w:val="20"/>
                <w:szCs w:val="20"/>
                <w:color w:val="auto"/>
              </w:rPr>
            </w:pPr>
            <w:r>
              <w:rPr>
                <w:rFonts w:ascii="Arial" w:cs="Arial" w:eastAsia="Arial" w:hAnsi="Arial"/>
                <w:sz w:val="22"/>
                <w:szCs w:val="22"/>
                <w:color w:val="auto"/>
              </w:rPr>
              <w:t>308</w:t>
            </w:r>
          </w:p>
        </w:tc>
        <w:tc>
          <w:tcPr>
            <w:tcW w:w="880" w:type="dxa"/>
            <w:vAlign w:val="bottom"/>
            <w:gridSpan w:val="2"/>
          </w:tcPr>
          <w:p>
            <w:pPr>
              <w:jc w:val="right"/>
              <w:ind w:right="200"/>
              <w:spacing w:after="0"/>
              <w:rPr>
                <w:sz w:val="20"/>
                <w:szCs w:val="20"/>
                <w:color w:val="auto"/>
              </w:rPr>
            </w:pPr>
            <w:r>
              <w:rPr>
                <w:rFonts w:ascii="Arial" w:cs="Arial" w:eastAsia="Arial" w:hAnsi="Arial"/>
                <w:sz w:val="22"/>
                <w:szCs w:val="22"/>
                <w:color w:val="auto"/>
              </w:rPr>
              <w:t>365</w:t>
            </w:r>
          </w:p>
        </w:tc>
        <w:tc>
          <w:tcPr>
            <w:tcW w:w="880" w:type="dxa"/>
            <w:vAlign w:val="bottom"/>
            <w:gridSpan w:val="2"/>
          </w:tcPr>
          <w:p>
            <w:pPr>
              <w:jc w:val="right"/>
              <w:ind w:right="200"/>
              <w:spacing w:after="0"/>
              <w:rPr>
                <w:sz w:val="20"/>
                <w:szCs w:val="20"/>
                <w:color w:val="auto"/>
              </w:rPr>
            </w:pPr>
            <w:r>
              <w:rPr>
                <w:rFonts w:ascii="Arial" w:cs="Arial" w:eastAsia="Arial" w:hAnsi="Arial"/>
                <w:sz w:val="22"/>
                <w:szCs w:val="22"/>
                <w:color w:val="auto"/>
              </w:rPr>
              <w:t>17</w:t>
            </w:r>
          </w:p>
        </w:tc>
        <w:tc>
          <w:tcPr>
            <w:tcW w:w="740" w:type="dxa"/>
            <w:vAlign w:val="bottom"/>
          </w:tcPr>
          <w:p>
            <w:pPr>
              <w:jc w:val="right"/>
              <w:spacing w:after="0"/>
              <w:rPr>
                <w:sz w:val="20"/>
                <w:szCs w:val="20"/>
                <w:color w:val="auto"/>
              </w:rPr>
            </w:pPr>
            <w:r>
              <w:rPr>
                <w:rFonts w:ascii="Arial" w:cs="Arial" w:eastAsia="Arial" w:hAnsi="Arial"/>
                <w:sz w:val="22"/>
                <w:szCs w:val="22"/>
                <w:color w:val="auto"/>
              </w:rPr>
              <w:t>100</w:t>
            </w:r>
          </w:p>
        </w:tc>
        <w:tc>
          <w:tcPr>
            <w:tcW w:w="1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22"/>
                <w:szCs w:val="22"/>
                <w:color w:val="auto"/>
              </w:rPr>
              <w:t>1,751</w:t>
            </w:r>
          </w:p>
        </w:tc>
        <w:tc>
          <w:tcPr>
            <w:tcW w:w="200" w:type="dxa"/>
            <w:vAlign w:val="bottom"/>
          </w:tcPr>
          <w:p>
            <w:pPr>
              <w:spacing w:after="0"/>
              <w:rPr>
                <w:sz w:val="23"/>
                <w:szCs w:val="23"/>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22"/>
                <w:szCs w:val="22"/>
                <w:color w:val="auto"/>
              </w:rPr>
              <w:t>(1,890)</w:t>
            </w:r>
          </w:p>
        </w:tc>
        <w:tc>
          <w:tcPr>
            <w:tcW w:w="1000" w:type="dxa"/>
            <w:vAlign w:val="bottom"/>
            <w:gridSpan w:val="2"/>
          </w:tcPr>
          <w:p>
            <w:pPr>
              <w:jc w:val="right"/>
              <w:ind w:right="80"/>
              <w:spacing w:after="0"/>
              <w:rPr>
                <w:sz w:val="20"/>
                <w:szCs w:val="20"/>
                <w:color w:val="auto"/>
              </w:rPr>
            </w:pPr>
            <w:r>
              <w:rPr>
                <w:rFonts w:ascii="Arial" w:cs="Arial" w:eastAsia="Arial" w:hAnsi="Arial"/>
                <w:sz w:val="22"/>
                <w:szCs w:val="22"/>
                <w:color w:val="auto"/>
              </w:rPr>
              <w:t>651</w:t>
            </w:r>
          </w:p>
        </w:tc>
        <w:tc>
          <w:tcPr>
            <w:tcW w:w="0" w:type="dxa"/>
            <w:vAlign w:val="bottom"/>
          </w:tcPr>
          <w:p>
            <w:pPr>
              <w:spacing w:after="0"/>
              <w:rPr>
                <w:sz w:val="1"/>
                <w:szCs w:val="1"/>
                <w:color w:val="auto"/>
              </w:rPr>
            </w:pPr>
          </w:p>
        </w:tc>
      </w:tr>
      <w:tr>
        <w:trPr>
          <w:trHeight w:val="455"/>
        </w:trPr>
        <w:tc>
          <w:tcPr>
            <w:tcW w:w="3340" w:type="dxa"/>
            <w:vAlign w:val="bottom"/>
          </w:tcPr>
          <w:p>
            <w:pPr>
              <w:spacing w:after="0"/>
              <w:rPr>
                <w:sz w:val="20"/>
                <w:szCs w:val="20"/>
                <w:color w:val="auto"/>
              </w:rPr>
            </w:pPr>
            <w:r>
              <w:rPr>
                <w:rFonts w:ascii="Arial" w:cs="Arial" w:eastAsia="Arial" w:hAnsi="Arial"/>
                <w:sz w:val="22"/>
                <w:szCs w:val="22"/>
                <w:color w:val="auto"/>
              </w:rPr>
              <w:t>INCOME TAX (EXPENSE)</w:t>
            </w: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3340" w:type="dxa"/>
            <w:vAlign w:val="bottom"/>
          </w:tcPr>
          <w:p>
            <w:pPr>
              <w:spacing w:after="0"/>
              <w:rPr>
                <w:sz w:val="20"/>
                <w:szCs w:val="20"/>
                <w:color w:val="auto"/>
              </w:rPr>
            </w:pPr>
            <w:r>
              <w:rPr>
                <w:rFonts w:ascii="Arial" w:cs="Arial" w:eastAsia="Arial" w:hAnsi="Arial"/>
                <w:sz w:val="22"/>
                <w:szCs w:val="22"/>
                <w:color w:val="auto"/>
              </w:rPr>
              <w:t>BENEFIT</w:t>
            </w:r>
          </w:p>
        </w:tc>
        <w:tc>
          <w:tcPr>
            <w:tcW w:w="900" w:type="dxa"/>
            <w:vAlign w:val="bottom"/>
            <w:gridSpan w:val="2"/>
          </w:tcPr>
          <w:p>
            <w:pPr>
              <w:jc w:val="right"/>
              <w:ind w:right="200"/>
              <w:spacing w:after="0"/>
              <w:rPr>
                <w:sz w:val="20"/>
                <w:szCs w:val="20"/>
                <w:color w:val="auto"/>
              </w:rPr>
            </w:pPr>
            <w:r>
              <w:rPr>
                <w:rFonts w:ascii="Arial" w:cs="Arial" w:eastAsia="Arial" w:hAnsi="Arial"/>
                <w:sz w:val="22"/>
                <w:szCs w:val="22"/>
                <w:color w:val="auto"/>
              </w:rPr>
              <w:t>19</w:t>
            </w:r>
          </w:p>
        </w:tc>
        <w:tc>
          <w:tcPr>
            <w:tcW w:w="880" w:type="dxa"/>
            <w:vAlign w:val="bottom"/>
            <w:gridSpan w:val="2"/>
          </w:tcPr>
          <w:p>
            <w:pPr>
              <w:jc w:val="right"/>
              <w:ind w:right="200"/>
              <w:spacing w:after="0"/>
              <w:rPr>
                <w:sz w:val="20"/>
                <w:szCs w:val="20"/>
                <w:color w:val="auto"/>
              </w:rPr>
            </w:pPr>
            <w:r>
              <w:rPr>
                <w:rFonts w:ascii="Arial" w:cs="Arial" w:eastAsia="Arial" w:hAnsi="Arial"/>
                <w:sz w:val="22"/>
                <w:szCs w:val="22"/>
                <w:color w:val="auto"/>
              </w:rPr>
              <w:t>85</w:t>
            </w:r>
          </w:p>
        </w:tc>
        <w:tc>
          <w:tcPr>
            <w:tcW w:w="880" w:type="dxa"/>
            <w:vAlign w:val="bottom"/>
            <w:gridSpan w:val="2"/>
          </w:tcPr>
          <w:p>
            <w:pPr>
              <w:jc w:val="right"/>
              <w:ind w:right="200"/>
              <w:spacing w:after="0"/>
              <w:rPr>
                <w:sz w:val="20"/>
                <w:szCs w:val="20"/>
                <w:color w:val="auto"/>
              </w:rPr>
            </w:pPr>
            <w:r>
              <w:rPr>
                <w:rFonts w:ascii="Arial" w:cs="Arial" w:eastAsia="Arial" w:hAnsi="Arial"/>
                <w:sz w:val="22"/>
                <w:szCs w:val="22"/>
                <w:color w:val="auto"/>
              </w:rPr>
              <w:t>54</w:t>
            </w:r>
          </w:p>
        </w:tc>
        <w:tc>
          <w:tcPr>
            <w:tcW w:w="740" w:type="dxa"/>
            <w:vAlign w:val="bottom"/>
          </w:tcPr>
          <w:p>
            <w:pPr>
              <w:jc w:val="right"/>
              <w:spacing w:after="0"/>
              <w:rPr>
                <w:sz w:val="20"/>
                <w:szCs w:val="20"/>
                <w:color w:val="auto"/>
              </w:rPr>
            </w:pPr>
            <w:r>
              <w:rPr>
                <w:rFonts w:ascii="Arial" w:cs="Arial" w:eastAsia="Arial" w:hAnsi="Arial"/>
                <w:sz w:val="22"/>
                <w:szCs w:val="22"/>
                <w:color w:val="auto"/>
              </w:rPr>
              <w:t>70</w:t>
            </w:r>
          </w:p>
        </w:tc>
        <w:tc>
          <w:tcPr>
            <w:tcW w:w="180" w:type="dxa"/>
            <w:vAlign w:val="bottom"/>
          </w:tcPr>
          <w:p>
            <w:pPr>
              <w:spacing w:after="0"/>
              <w:rPr>
                <w:sz w:val="23"/>
                <w:szCs w:val="23"/>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22"/>
                <w:szCs w:val="22"/>
                <w:color w:val="auto"/>
              </w:rPr>
              <w:t>(538)</w:t>
            </w:r>
          </w:p>
        </w:tc>
        <w:tc>
          <w:tcPr>
            <w:tcW w:w="9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gridSpan w:val="2"/>
          </w:tcPr>
          <w:p>
            <w:pPr>
              <w:jc w:val="right"/>
              <w:spacing w:after="0"/>
              <w:rPr>
                <w:sz w:val="20"/>
                <w:szCs w:val="20"/>
                <w:color w:val="auto"/>
              </w:rPr>
            </w:pPr>
            <w:r>
              <w:rPr>
                <w:rFonts w:ascii="Arial" w:cs="Arial" w:eastAsia="Arial" w:hAnsi="Arial"/>
                <w:sz w:val="22"/>
                <w:szCs w:val="22"/>
                <w:color w:val="auto"/>
              </w:rPr>
              <w:t>(310)</w:t>
            </w:r>
          </w:p>
        </w:tc>
        <w:tc>
          <w:tcPr>
            <w:tcW w:w="0" w:type="dxa"/>
            <w:vAlign w:val="bottom"/>
          </w:tcPr>
          <w:p>
            <w:pPr>
              <w:spacing w:after="0"/>
              <w:rPr>
                <w:sz w:val="1"/>
                <w:szCs w:val="1"/>
                <w:color w:val="auto"/>
              </w:rPr>
            </w:pPr>
          </w:p>
        </w:tc>
      </w:tr>
      <w:tr>
        <w:trPr>
          <w:trHeight w:val="98"/>
        </w:trPr>
        <w:tc>
          <w:tcPr>
            <w:tcW w:w="3340" w:type="dxa"/>
            <w:vAlign w:val="bottom"/>
            <w:vMerge w:val="restart"/>
          </w:tcPr>
          <w:p>
            <w:pPr>
              <w:spacing w:after="0"/>
              <w:rPr>
                <w:sz w:val="20"/>
                <w:szCs w:val="20"/>
                <w:color w:val="auto"/>
              </w:rPr>
            </w:pPr>
            <w:r>
              <w:rPr>
                <w:rFonts w:ascii="Arial" w:cs="Arial" w:eastAsia="Arial" w:hAnsi="Arial"/>
                <w:sz w:val="22"/>
                <w:szCs w:val="22"/>
                <w:color w:val="auto"/>
              </w:rPr>
              <w:t>INCOME (LOSS) BEFORE</w:t>
            </w:r>
          </w:p>
        </w:tc>
        <w:tc>
          <w:tcPr>
            <w:tcW w:w="7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66"/>
        </w:trPr>
        <w:tc>
          <w:tcPr>
            <w:tcW w:w="334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3340" w:type="dxa"/>
            <w:vAlign w:val="bottom"/>
          </w:tcPr>
          <w:p>
            <w:pPr>
              <w:spacing w:after="0"/>
              <w:rPr>
                <w:sz w:val="20"/>
                <w:szCs w:val="20"/>
                <w:color w:val="auto"/>
              </w:rPr>
            </w:pPr>
            <w:r>
              <w:rPr>
                <w:rFonts w:ascii="Arial" w:cs="Arial" w:eastAsia="Arial" w:hAnsi="Arial"/>
                <w:sz w:val="22"/>
                <w:szCs w:val="22"/>
                <w:color w:val="auto"/>
              </w:rPr>
              <w:t>MINORITY INTEREST</w:t>
            </w:r>
          </w:p>
        </w:tc>
        <w:tc>
          <w:tcPr>
            <w:tcW w:w="900" w:type="dxa"/>
            <w:vAlign w:val="bottom"/>
            <w:gridSpan w:val="2"/>
          </w:tcPr>
          <w:p>
            <w:pPr>
              <w:jc w:val="right"/>
              <w:ind w:right="200"/>
              <w:spacing w:after="0"/>
              <w:rPr>
                <w:sz w:val="20"/>
                <w:szCs w:val="20"/>
                <w:color w:val="auto"/>
              </w:rPr>
            </w:pPr>
            <w:r>
              <w:rPr>
                <w:rFonts w:ascii="Arial" w:cs="Arial" w:eastAsia="Arial" w:hAnsi="Arial"/>
                <w:sz w:val="22"/>
                <w:szCs w:val="22"/>
                <w:color w:val="auto"/>
              </w:rPr>
              <w:t>327</w:t>
            </w:r>
          </w:p>
        </w:tc>
        <w:tc>
          <w:tcPr>
            <w:tcW w:w="880" w:type="dxa"/>
            <w:vAlign w:val="bottom"/>
            <w:gridSpan w:val="2"/>
          </w:tcPr>
          <w:p>
            <w:pPr>
              <w:jc w:val="right"/>
              <w:ind w:right="200"/>
              <w:spacing w:after="0"/>
              <w:rPr>
                <w:sz w:val="20"/>
                <w:szCs w:val="20"/>
                <w:color w:val="auto"/>
              </w:rPr>
            </w:pPr>
            <w:r>
              <w:rPr>
                <w:rFonts w:ascii="Arial" w:cs="Arial" w:eastAsia="Arial" w:hAnsi="Arial"/>
                <w:sz w:val="22"/>
                <w:szCs w:val="22"/>
                <w:color w:val="auto"/>
              </w:rPr>
              <w:t>450</w:t>
            </w:r>
          </w:p>
        </w:tc>
        <w:tc>
          <w:tcPr>
            <w:tcW w:w="880" w:type="dxa"/>
            <w:vAlign w:val="bottom"/>
            <w:gridSpan w:val="2"/>
          </w:tcPr>
          <w:p>
            <w:pPr>
              <w:jc w:val="right"/>
              <w:ind w:right="200"/>
              <w:spacing w:after="0"/>
              <w:rPr>
                <w:sz w:val="20"/>
                <w:szCs w:val="20"/>
                <w:color w:val="auto"/>
              </w:rPr>
            </w:pPr>
            <w:r>
              <w:rPr>
                <w:rFonts w:ascii="Arial" w:cs="Arial" w:eastAsia="Arial" w:hAnsi="Arial"/>
                <w:sz w:val="22"/>
                <w:szCs w:val="22"/>
                <w:color w:val="auto"/>
              </w:rPr>
              <w:t>71</w:t>
            </w:r>
          </w:p>
        </w:tc>
        <w:tc>
          <w:tcPr>
            <w:tcW w:w="740" w:type="dxa"/>
            <w:vAlign w:val="bottom"/>
          </w:tcPr>
          <w:p>
            <w:pPr>
              <w:jc w:val="right"/>
              <w:spacing w:after="0"/>
              <w:rPr>
                <w:sz w:val="20"/>
                <w:szCs w:val="20"/>
                <w:color w:val="auto"/>
              </w:rPr>
            </w:pPr>
            <w:r>
              <w:rPr>
                <w:rFonts w:ascii="Arial" w:cs="Arial" w:eastAsia="Arial" w:hAnsi="Arial"/>
                <w:sz w:val="22"/>
                <w:szCs w:val="22"/>
                <w:color w:val="auto"/>
              </w:rPr>
              <w:t>170</w:t>
            </w:r>
          </w:p>
        </w:tc>
        <w:tc>
          <w:tcPr>
            <w:tcW w:w="1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22"/>
                <w:szCs w:val="22"/>
                <w:color w:val="auto"/>
              </w:rPr>
              <w:t>1,213</w:t>
            </w:r>
          </w:p>
        </w:tc>
        <w:tc>
          <w:tcPr>
            <w:tcW w:w="200" w:type="dxa"/>
            <w:vAlign w:val="bottom"/>
          </w:tcPr>
          <w:p>
            <w:pPr>
              <w:spacing w:after="0"/>
              <w:rPr>
                <w:sz w:val="23"/>
                <w:szCs w:val="23"/>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22"/>
                <w:szCs w:val="22"/>
                <w:color w:val="auto"/>
              </w:rPr>
              <w:t>(1,890)</w:t>
            </w:r>
          </w:p>
        </w:tc>
        <w:tc>
          <w:tcPr>
            <w:tcW w:w="1000" w:type="dxa"/>
            <w:vAlign w:val="bottom"/>
            <w:gridSpan w:val="2"/>
          </w:tcPr>
          <w:p>
            <w:pPr>
              <w:jc w:val="right"/>
              <w:ind w:right="80"/>
              <w:spacing w:after="0"/>
              <w:rPr>
                <w:sz w:val="20"/>
                <w:szCs w:val="20"/>
                <w:color w:val="auto"/>
              </w:rPr>
            </w:pPr>
            <w:r>
              <w:rPr>
                <w:rFonts w:ascii="Arial" w:cs="Arial" w:eastAsia="Arial" w:hAnsi="Arial"/>
                <w:sz w:val="22"/>
                <w:szCs w:val="22"/>
                <w:color w:val="auto"/>
              </w:rPr>
              <w:t>341</w:t>
            </w:r>
          </w:p>
        </w:tc>
        <w:tc>
          <w:tcPr>
            <w:tcW w:w="0" w:type="dxa"/>
            <w:vAlign w:val="bottom"/>
          </w:tcPr>
          <w:p>
            <w:pPr>
              <w:spacing w:after="0"/>
              <w:rPr>
                <w:sz w:val="1"/>
                <w:szCs w:val="1"/>
                <w:color w:val="auto"/>
              </w:rPr>
            </w:pPr>
          </w:p>
        </w:tc>
      </w:tr>
      <w:tr>
        <w:trPr>
          <w:trHeight w:val="486"/>
        </w:trPr>
        <w:tc>
          <w:tcPr>
            <w:tcW w:w="3340" w:type="dxa"/>
            <w:vAlign w:val="bottom"/>
          </w:tcPr>
          <w:p>
            <w:pPr>
              <w:spacing w:after="0"/>
              <w:rPr>
                <w:sz w:val="20"/>
                <w:szCs w:val="20"/>
                <w:color w:val="auto"/>
              </w:rPr>
            </w:pPr>
            <w:r>
              <w:rPr>
                <w:rFonts w:ascii="Arial" w:cs="Arial" w:eastAsia="Arial" w:hAnsi="Arial"/>
                <w:sz w:val="22"/>
                <w:szCs w:val="22"/>
                <w:color w:val="auto"/>
              </w:rPr>
              <w:t>MINORITY INTEREST</w:t>
            </w: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22"/>
                <w:szCs w:val="22"/>
                <w:color w:val="auto"/>
              </w:rPr>
              <w:t>(14)</w:t>
            </w: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gridSpan w:val="2"/>
          </w:tcPr>
          <w:p>
            <w:pPr>
              <w:jc w:val="right"/>
              <w:spacing w:after="0"/>
              <w:rPr>
                <w:sz w:val="20"/>
                <w:szCs w:val="20"/>
                <w:color w:val="auto"/>
              </w:rPr>
            </w:pPr>
            <w:r>
              <w:rPr>
                <w:rFonts w:ascii="Arial" w:cs="Arial" w:eastAsia="Arial" w:hAnsi="Arial"/>
                <w:sz w:val="22"/>
                <w:szCs w:val="22"/>
                <w:color w:val="auto"/>
              </w:rPr>
              <w:t>(14)</w:t>
            </w:r>
          </w:p>
        </w:tc>
        <w:tc>
          <w:tcPr>
            <w:tcW w:w="0" w:type="dxa"/>
            <w:vAlign w:val="bottom"/>
          </w:tcPr>
          <w:p>
            <w:pPr>
              <w:spacing w:after="0"/>
              <w:rPr>
                <w:sz w:val="1"/>
                <w:szCs w:val="1"/>
                <w:color w:val="auto"/>
              </w:rPr>
            </w:pPr>
          </w:p>
        </w:tc>
      </w:tr>
      <w:tr>
        <w:trPr>
          <w:trHeight w:val="98"/>
        </w:trPr>
        <w:tc>
          <w:tcPr>
            <w:tcW w:w="334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98"/>
        </w:trPr>
        <w:tc>
          <w:tcPr>
            <w:tcW w:w="3340" w:type="dxa"/>
            <w:vAlign w:val="bottom"/>
          </w:tcPr>
          <w:p>
            <w:pPr>
              <w:spacing w:after="0"/>
              <w:rPr>
                <w:sz w:val="20"/>
                <w:szCs w:val="20"/>
                <w:color w:val="auto"/>
              </w:rPr>
            </w:pPr>
            <w:r>
              <w:rPr>
                <w:rFonts w:ascii="Arial" w:cs="Arial" w:eastAsia="Arial" w:hAnsi="Arial"/>
                <w:sz w:val="22"/>
                <w:szCs w:val="22"/>
                <w:color w:val="auto"/>
              </w:rPr>
              <w:t>NET INCOME (LOSS)</w:t>
            </w:r>
          </w:p>
        </w:tc>
        <w:tc>
          <w:tcPr>
            <w:tcW w:w="900" w:type="dxa"/>
            <w:vAlign w:val="bottom"/>
            <w:gridSpan w:val="2"/>
          </w:tcPr>
          <w:p>
            <w:pPr>
              <w:jc w:val="right"/>
              <w:ind w:right="200"/>
              <w:spacing w:after="0"/>
              <w:rPr>
                <w:sz w:val="20"/>
                <w:szCs w:val="20"/>
                <w:color w:val="auto"/>
              </w:rPr>
            </w:pPr>
            <w:r>
              <w:rPr>
                <w:rFonts w:ascii="Arial" w:cs="Arial" w:eastAsia="Arial" w:hAnsi="Arial"/>
                <w:sz w:val="22"/>
                <w:szCs w:val="22"/>
                <w:color w:val="auto"/>
              </w:rPr>
              <w:t>$327</w:t>
            </w:r>
          </w:p>
        </w:tc>
        <w:tc>
          <w:tcPr>
            <w:tcW w:w="880" w:type="dxa"/>
            <w:vAlign w:val="bottom"/>
            <w:gridSpan w:val="2"/>
          </w:tcPr>
          <w:p>
            <w:pPr>
              <w:jc w:val="right"/>
              <w:ind w:right="200"/>
              <w:spacing w:after="0"/>
              <w:rPr>
                <w:sz w:val="20"/>
                <w:szCs w:val="20"/>
                <w:color w:val="auto"/>
              </w:rPr>
            </w:pPr>
            <w:r>
              <w:rPr>
                <w:rFonts w:ascii="Arial" w:cs="Arial" w:eastAsia="Arial" w:hAnsi="Arial"/>
                <w:sz w:val="22"/>
                <w:szCs w:val="22"/>
                <w:color w:val="auto"/>
              </w:rPr>
              <w:t>$450</w:t>
            </w:r>
          </w:p>
        </w:tc>
        <w:tc>
          <w:tcPr>
            <w:tcW w:w="880" w:type="dxa"/>
            <w:vAlign w:val="bottom"/>
            <w:gridSpan w:val="2"/>
          </w:tcPr>
          <w:p>
            <w:pPr>
              <w:jc w:val="right"/>
              <w:ind w:right="200"/>
              <w:spacing w:after="0"/>
              <w:rPr>
                <w:sz w:val="20"/>
                <w:szCs w:val="20"/>
                <w:color w:val="auto"/>
              </w:rPr>
            </w:pPr>
            <w:r>
              <w:rPr>
                <w:rFonts w:ascii="Arial" w:cs="Arial" w:eastAsia="Arial" w:hAnsi="Arial"/>
                <w:sz w:val="22"/>
                <w:szCs w:val="22"/>
                <w:color w:val="auto"/>
              </w:rPr>
              <w:t>$71</w:t>
            </w:r>
          </w:p>
        </w:tc>
        <w:tc>
          <w:tcPr>
            <w:tcW w:w="740" w:type="dxa"/>
            <w:vAlign w:val="bottom"/>
          </w:tcPr>
          <w:p>
            <w:pPr>
              <w:jc w:val="right"/>
              <w:spacing w:after="0"/>
              <w:rPr>
                <w:sz w:val="20"/>
                <w:szCs w:val="20"/>
                <w:color w:val="auto"/>
              </w:rPr>
            </w:pPr>
            <w:r>
              <w:rPr>
                <w:rFonts w:ascii="Arial" w:cs="Arial" w:eastAsia="Arial" w:hAnsi="Arial"/>
                <w:sz w:val="22"/>
                <w:szCs w:val="22"/>
                <w:color w:val="auto"/>
              </w:rPr>
              <w:t>$170</w:t>
            </w:r>
          </w:p>
        </w:tc>
        <w:tc>
          <w:tcPr>
            <w:tcW w:w="1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2"/>
                <w:szCs w:val="22"/>
                <w:color w:val="auto"/>
              </w:rPr>
              <w:t>$1,199</w:t>
            </w:r>
          </w:p>
        </w:tc>
        <w:tc>
          <w:tcPr>
            <w:tcW w:w="200" w:type="dxa"/>
            <w:vAlign w:val="bottom"/>
          </w:tcPr>
          <w:p>
            <w:pPr>
              <w:spacing w:after="0"/>
              <w:rPr>
                <w:sz w:val="24"/>
                <w:szCs w:val="24"/>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22"/>
                <w:szCs w:val="22"/>
                <w:color w:val="auto"/>
              </w:rPr>
              <w:t>($1,890)</w:t>
            </w:r>
          </w:p>
        </w:tc>
        <w:tc>
          <w:tcPr>
            <w:tcW w:w="1000" w:type="dxa"/>
            <w:vAlign w:val="bottom"/>
            <w:gridSpan w:val="2"/>
          </w:tcPr>
          <w:p>
            <w:pPr>
              <w:jc w:val="right"/>
              <w:ind w:right="80"/>
              <w:spacing w:after="0"/>
              <w:rPr>
                <w:sz w:val="20"/>
                <w:szCs w:val="20"/>
                <w:color w:val="auto"/>
              </w:rPr>
            </w:pPr>
            <w:r>
              <w:rPr>
                <w:rFonts w:ascii="Arial" w:cs="Arial" w:eastAsia="Arial" w:hAnsi="Arial"/>
                <w:sz w:val="22"/>
                <w:szCs w:val="22"/>
                <w:color w:val="auto"/>
              </w:rPr>
              <w:t>$327</w:t>
            </w:r>
          </w:p>
        </w:tc>
        <w:tc>
          <w:tcPr>
            <w:tcW w:w="0" w:type="dxa"/>
            <w:vAlign w:val="bottom"/>
          </w:tcPr>
          <w:p>
            <w:pPr>
              <w:spacing w:after="0"/>
              <w:rPr>
                <w:sz w:val="1"/>
                <w:szCs w:val="1"/>
                <w:color w:val="auto"/>
              </w:rPr>
            </w:pPr>
          </w:p>
        </w:tc>
      </w:tr>
      <w:tr>
        <w:trPr>
          <w:trHeight w:val="108"/>
        </w:trPr>
        <w:tc>
          <w:tcPr>
            <w:tcW w:w="334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74"/>
        </w:trPr>
        <w:tc>
          <w:tcPr>
            <w:tcW w:w="3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22"/>
                <w:szCs w:val="22"/>
                <w:color w:val="auto"/>
              </w:rPr>
              <w:t>24</w:t>
            </w: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2558415</wp:posOffset>
            </wp:positionH>
            <wp:positionV relativeFrom="paragraph">
              <wp:posOffset>-378460</wp:posOffset>
            </wp:positionV>
            <wp:extent cx="1270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2121535</wp:posOffset>
            </wp:positionH>
            <wp:positionV relativeFrom="paragraph">
              <wp:posOffset>-378460</wp:posOffset>
            </wp:positionV>
            <wp:extent cx="1270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3115945</wp:posOffset>
            </wp:positionH>
            <wp:positionV relativeFrom="paragraph">
              <wp:posOffset>-378460</wp:posOffset>
            </wp:positionV>
            <wp:extent cx="1270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-378460</wp:posOffset>
            </wp:positionV>
            <wp:extent cx="1270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3673475</wp:posOffset>
            </wp:positionH>
            <wp:positionV relativeFrom="paragraph">
              <wp:posOffset>-378460</wp:posOffset>
            </wp:positionV>
            <wp:extent cx="1270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3244850</wp:posOffset>
            </wp:positionH>
            <wp:positionV relativeFrom="paragraph">
              <wp:posOffset>-378460</wp:posOffset>
            </wp:positionV>
            <wp:extent cx="1270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-378460</wp:posOffset>
            </wp:positionV>
            <wp:extent cx="1270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-378460</wp:posOffset>
            </wp:positionV>
            <wp:extent cx="1270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-378460</wp:posOffset>
            </wp:positionV>
            <wp:extent cx="1270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4393565</wp:posOffset>
            </wp:positionH>
            <wp:positionV relativeFrom="paragraph">
              <wp:posOffset>-378460</wp:posOffset>
            </wp:positionV>
            <wp:extent cx="1270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-378460</wp:posOffset>
            </wp:positionV>
            <wp:extent cx="1270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-378460</wp:posOffset>
            </wp:positionV>
            <wp:extent cx="1270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-378460</wp:posOffset>
            </wp:positionV>
            <wp:extent cx="1270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-378460</wp:posOffset>
            </wp:positionV>
            <wp:extent cx="1270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130810</wp:posOffset>
            </wp:positionV>
            <wp:extent cx="7263765"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94" w:lineRule="exact"/>
        <w:rPr>
          <w:sz w:val="20"/>
          <w:szCs w:val="20"/>
          <w:color w:val="auto"/>
        </w:rPr>
      </w:pPr>
    </w:p>
    <w:p>
      <w:pPr>
        <w:jc w:val="center"/>
        <w:ind w:right="-1160"/>
        <w:spacing w:after="0"/>
        <w:rPr>
          <w:sz w:val="20"/>
          <w:szCs w:val="20"/>
          <w:color w:val="auto"/>
        </w:rPr>
      </w:pPr>
      <w:r>
        <w:rPr>
          <w:rFonts w:ascii="Arial" w:cs="Arial" w:eastAsia="Arial" w:hAnsi="Arial"/>
          <w:sz w:val="22"/>
          <w:szCs w:val="22"/>
          <w:color w:val="auto"/>
        </w:rPr>
        <w:t>COMCAST CORPORATION AND SUBSIDIARIES</w:t>
      </w:r>
    </w:p>
    <w:p>
      <w:pPr>
        <w:jc w:val="center"/>
        <w:ind w:right="-1160"/>
        <w:spacing w:after="0" w:line="238" w:lineRule="auto"/>
        <w:rPr>
          <w:sz w:val="20"/>
          <w:szCs w:val="20"/>
          <w:color w:val="auto"/>
        </w:rPr>
      </w:pPr>
      <w:r>
        <w:rPr>
          <w:rFonts w:ascii="Arial" w:cs="Arial" w:eastAsia="Arial" w:hAnsi="Arial"/>
          <w:sz w:val="22"/>
          <w:szCs w:val="22"/>
          <w:color w:val="auto"/>
        </w:rPr>
        <w:t>FORM 10-Q</w:t>
      </w:r>
    </w:p>
    <w:p>
      <w:pPr>
        <w:jc w:val="center"/>
        <w:ind w:right="-1160"/>
        <w:spacing w:after="0" w:line="230" w:lineRule="auto"/>
        <w:rPr>
          <w:sz w:val="20"/>
          <w:szCs w:val="20"/>
          <w:color w:val="auto"/>
        </w:rPr>
      </w:pPr>
      <w:r>
        <w:rPr>
          <w:rFonts w:ascii="Arial" w:cs="Arial" w:eastAsia="Arial" w:hAnsi="Arial"/>
          <w:sz w:val="22"/>
          <w:szCs w:val="22"/>
          <w:color w:val="auto"/>
        </w:rPr>
        <w:t>QUARTER ENDED JUNE 30, 2004</w:t>
      </w:r>
    </w:p>
    <w:p>
      <w:pPr>
        <w:jc w:val="center"/>
        <w:ind w:right="-1160"/>
        <w:spacing w:after="0" w:line="231" w:lineRule="auto"/>
        <w:rPr>
          <w:sz w:val="20"/>
          <w:szCs w:val="20"/>
          <w:color w:val="auto"/>
        </w:rPr>
      </w:pPr>
      <w:r>
        <w:rPr>
          <w:rFonts w:ascii="Arial" w:cs="Arial" w:eastAsia="Arial" w:hAnsi="Arial"/>
          <w:sz w:val="22"/>
          <w:szCs w:val="22"/>
          <w:color w:val="auto"/>
        </w:rPr>
        <w:t>NOTES TO CONDENSED CONSOLIDATED FINANCIAL STATEMENTS - CONTINUED</w:t>
      </w:r>
    </w:p>
    <w:p>
      <w:pPr>
        <w:spacing w:after="0" w:line="1" w:lineRule="exact"/>
        <w:rPr>
          <w:sz w:val="20"/>
          <w:szCs w:val="20"/>
          <w:color w:val="auto"/>
        </w:rPr>
      </w:pPr>
    </w:p>
    <w:p>
      <w:pPr>
        <w:jc w:val="center"/>
        <w:ind w:right="-1200"/>
        <w:spacing w:after="0"/>
        <w:rPr>
          <w:sz w:val="20"/>
          <w:szCs w:val="20"/>
          <w:color w:val="auto"/>
        </w:rPr>
      </w:pPr>
      <w:r>
        <w:rPr>
          <w:rFonts w:ascii="Arial" w:cs="Arial" w:eastAsia="Arial" w:hAnsi="Arial"/>
          <w:sz w:val="22"/>
          <w:szCs w:val="22"/>
          <w:color w:val="auto"/>
        </w:rPr>
        <w:t>(Unaudited)</w:t>
      </w:r>
    </w:p>
    <w:p>
      <w:pPr>
        <w:spacing w:after="0" w:line="188"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Comcast Corporation</w:t>
      </w:r>
    </w:p>
    <w:p>
      <w:pPr>
        <w:jc w:val="center"/>
        <w:ind w:right="-60"/>
        <w:spacing w:after="0" w:line="238" w:lineRule="auto"/>
        <w:rPr>
          <w:sz w:val="20"/>
          <w:szCs w:val="20"/>
          <w:color w:val="auto"/>
        </w:rPr>
      </w:pPr>
      <w:r>
        <w:rPr>
          <w:rFonts w:ascii="Arial" w:cs="Arial" w:eastAsia="Arial" w:hAnsi="Arial"/>
          <w:sz w:val="22"/>
          <w:szCs w:val="22"/>
          <w:color w:val="auto"/>
        </w:rPr>
        <w:t>Condensed Consolidating Statement of Operations</w:t>
      </w:r>
    </w:p>
    <w:p>
      <w:pPr>
        <w:jc w:val="center"/>
        <w:ind w:right="-60"/>
        <w:spacing w:after="0"/>
        <w:rPr>
          <w:sz w:val="20"/>
          <w:szCs w:val="20"/>
          <w:color w:val="auto"/>
        </w:rPr>
      </w:pPr>
      <w:r>
        <w:rPr>
          <w:rFonts w:ascii="Arial" w:cs="Arial" w:eastAsia="Arial" w:hAnsi="Arial"/>
          <w:sz w:val="22"/>
          <w:szCs w:val="22"/>
          <w:color w:val="auto"/>
        </w:rPr>
        <w:t>For the Six Months Ended June 30, 2003</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Elimination</w:t>
            </w: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8"/>
                <w:szCs w:val="18"/>
                <w:color w:val="auto"/>
                <w:w w:val="87"/>
              </w:rPr>
              <w:t>Combined</w:t>
            </w:r>
          </w:p>
        </w:tc>
        <w:tc>
          <w:tcPr>
            <w:tcW w:w="1060" w:type="dxa"/>
            <w:vAlign w:val="bottom"/>
            <w:gridSpan w:val="2"/>
          </w:tcPr>
          <w:p>
            <w:pPr>
              <w:jc w:val="center"/>
              <w:ind w:right="180"/>
              <w:spacing w:after="0"/>
              <w:rPr>
                <w:sz w:val="20"/>
                <w:szCs w:val="20"/>
                <w:color w:val="auto"/>
              </w:rPr>
            </w:pPr>
            <w:r>
              <w:rPr>
                <w:rFonts w:ascii="Arial" w:cs="Arial" w:eastAsia="Arial" w:hAnsi="Arial"/>
                <w:sz w:val="18"/>
                <w:szCs w:val="18"/>
                <w:color w:val="auto"/>
                <w:w w:val="92"/>
              </w:rPr>
              <w:t>Non-</w:t>
            </w: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color w:val="auto"/>
                <w:w w:val="86"/>
              </w:rPr>
              <w:t>and</w:t>
            </w:r>
          </w:p>
        </w:tc>
        <w:tc>
          <w:tcPr>
            <w:tcW w:w="1000" w:type="dxa"/>
            <w:vAlign w:val="bottom"/>
            <w:gridSpan w:val="2"/>
          </w:tcPr>
          <w:p>
            <w:pPr>
              <w:jc w:val="center"/>
              <w:ind w:right="80"/>
              <w:spacing w:after="0"/>
              <w:rPr>
                <w:sz w:val="20"/>
                <w:szCs w:val="20"/>
                <w:color w:val="auto"/>
              </w:rPr>
            </w:pPr>
            <w:r>
              <w:rPr>
                <w:rFonts w:ascii="Arial" w:cs="Arial" w:eastAsia="Arial" w:hAnsi="Arial"/>
                <w:sz w:val="18"/>
                <w:szCs w:val="18"/>
                <w:color w:val="auto"/>
                <w:w w:val="87"/>
              </w:rPr>
              <w:t>Consolidated</w:t>
            </w:r>
          </w:p>
        </w:tc>
        <w:tc>
          <w:tcPr>
            <w:tcW w:w="0" w:type="dxa"/>
            <w:vAlign w:val="bottom"/>
          </w:tcPr>
          <w:p>
            <w:pPr>
              <w:spacing w:after="0"/>
              <w:rPr>
                <w:sz w:val="1"/>
                <w:szCs w:val="1"/>
                <w:color w:val="auto"/>
              </w:rPr>
            </w:pPr>
          </w:p>
        </w:tc>
      </w:tr>
      <w:tr>
        <w:trPr>
          <w:trHeight w:val="216"/>
        </w:trPr>
        <w:tc>
          <w:tcPr>
            <w:tcW w:w="3360" w:type="dxa"/>
            <w:vAlign w:val="bottom"/>
          </w:tcPr>
          <w:p>
            <w:pPr>
              <w:spacing w:after="0"/>
              <w:rPr>
                <w:sz w:val="18"/>
                <w:szCs w:val="18"/>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8"/>
                <w:szCs w:val="18"/>
                <w:color w:val="auto"/>
                <w:w w:val="87"/>
              </w:rPr>
              <w:t>Comcast</w:t>
            </w:r>
          </w:p>
        </w:tc>
        <w:tc>
          <w:tcPr>
            <w:tcW w:w="880" w:type="dxa"/>
            <w:vAlign w:val="bottom"/>
            <w:gridSpan w:val="2"/>
          </w:tcPr>
          <w:p>
            <w:pPr>
              <w:jc w:val="center"/>
              <w:ind w:right="180"/>
              <w:spacing w:after="0"/>
              <w:rPr>
                <w:sz w:val="20"/>
                <w:szCs w:val="20"/>
                <w:color w:val="auto"/>
              </w:rPr>
            </w:pPr>
            <w:r>
              <w:rPr>
                <w:rFonts w:ascii="Arial" w:cs="Arial" w:eastAsia="Arial" w:hAnsi="Arial"/>
                <w:sz w:val="18"/>
                <w:szCs w:val="18"/>
                <w:color w:val="auto"/>
                <w:w w:val="93"/>
              </w:rPr>
              <w:t>CCCL</w:t>
            </w:r>
          </w:p>
        </w:tc>
        <w:tc>
          <w:tcPr>
            <w:tcW w:w="88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CCCH</w:t>
            </w:r>
          </w:p>
        </w:tc>
        <w:tc>
          <w:tcPr>
            <w:tcW w:w="920" w:type="dxa"/>
            <w:vAlign w:val="bottom"/>
            <w:gridSpan w:val="2"/>
          </w:tcPr>
          <w:p>
            <w:pPr>
              <w:jc w:val="center"/>
              <w:ind w:right="200"/>
              <w:spacing w:after="0"/>
              <w:rPr>
                <w:sz w:val="20"/>
                <w:szCs w:val="20"/>
                <w:color w:val="auto"/>
              </w:rPr>
            </w:pPr>
            <w:r>
              <w:rPr>
                <w:rFonts w:ascii="Arial" w:cs="Arial" w:eastAsia="Arial" w:hAnsi="Arial"/>
                <w:sz w:val="18"/>
                <w:szCs w:val="18"/>
                <w:color w:val="auto"/>
                <w:w w:val="94"/>
              </w:rPr>
              <w:t>CCHMO</w:t>
            </w:r>
          </w:p>
        </w:tc>
        <w:tc>
          <w:tcPr>
            <w:tcW w:w="1060" w:type="dxa"/>
            <w:vAlign w:val="bottom"/>
            <w:gridSpan w:val="2"/>
          </w:tcPr>
          <w:p>
            <w:pPr>
              <w:jc w:val="center"/>
              <w:ind w:right="180"/>
              <w:spacing w:after="0"/>
              <w:rPr>
                <w:sz w:val="20"/>
                <w:szCs w:val="20"/>
                <w:color w:val="auto"/>
              </w:rPr>
            </w:pPr>
            <w:r>
              <w:rPr>
                <w:rFonts w:ascii="Arial" w:cs="Arial" w:eastAsia="Arial" w:hAnsi="Arial"/>
                <w:sz w:val="18"/>
                <w:szCs w:val="18"/>
                <w:color w:val="auto"/>
                <w:w w:val="88"/>
              </w:rPr>
              <w:t>Guarantor</w:t>
            </w: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Consolidation</w:t>
            </w:r>
          </w:p>
        </w:tc>
        <w:tc>
          <w:tcPr>
            <w:tcW w:w="100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Comcast</w:t>
            </w:r>
          </w:p>
        </w:tc>
        <w:tc>
          <w:tcPr>
            <w:tcW w:w="0" w:type="dxa"/>
            <w:vAlign w:val="bottom"/>
          </w:tcPr>
          <w:p>
            <w:pPr>
              <w:spacing w:after="0"/>
              <w:rPr>
                <w:sz w:val="1"/>
                <w:szCs w:val="1"/>
                <w:color w:val="auto"/>
              </w:rPr>
            </w:pPr>
          </w:p>
        </w:tc>
      </w:tr>
      <w:tr>
        <w:trPr>
          <w:trHeight w:val="222"/>
        </w:trPr>
        <w:tc>
          <w:tcPr>
            <w:tcW w:w="3360" w:type="dxa"/>
            <w:vAlign w:val="bottom"/>
          </w:tcPr>
          <w:p>
            <w:pPr>
              <w:spacing w:after="0"/>
              <w:rPr>
                <w:sz w:val="19"/>
                <w:szCs w:val="19"/>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8"/>
                <w:szCs w:val="18"/>
                <w:color w:val="auto"/>
                <w:w w:val="86"/>
              </w:rPr>
              <w:t>Parent</w:t>
            </w:r>
          </w:p>
        </w:tc>
        <w:tc>
          <w:tcPr>
            <w:tcW w:w="880" w:type="dxa"/>
            <w:vAlign w:val="bottom"/>
            <w:gridSpan w:val="2"/>
          </w:tcPr>
          <w:p>
            <w:pPr>
              <w:jc w:val="center"/>
              <w:ind w:right="180"/>
              <w:spacing w:after="0"/>
              <w:rPr>
                <w:sz w:val="20"/>
                <w:szCs w:val="20"/>
                <w:color w:val="auto"/>
              </w:rPr>
            </w:pPr>
            <w:r>
              <w:rPr>
                <w:rFonts w:ascii="Arial" w:cs="Arial" w:eastAsia="Arial" w:hAnsi="Arial"/>
                <w:sz w:val="18"/>
                <w:szCs w:val="18"/>
                <w:color w:val="auto"/>
                <w:w w:val="86"/>
              </w:rPr>
              <w:t>Parent</w:t>
            </w:r>
          </w:p>
        </w:tc>
        <w:tc>
          <w:tcPr>
            <w:tcW w:w="880" w:type="dxa"/>
            <w:vAlign w:val="bottom"/>
            <w:gridSpan w:val="2"/>
          </w:tcPr>
          <w:p>
            <w:pPr>
              <w:jc w:val="center"/>
              <w:ind w:right="200"/>
              <w:spacing w:after="0"/>
              <w:rPr>
                <w:sz w:val="20"/>
                <w:szCs w:val="20"/>
                <w:color w:val="auto"/>
              </w:rPr>
            </w:pPr>
            <w:r>
              <w:rPr>
                <w:rFonts w:ascii="Arial" w:cs="Arial" w:eastAsia="Arial" w:hAnsi="Arial"/>
                <w:sz w:val="18"/>
                <w:szCs w:val="18"/>
                <w:color w:val="auto"/>
                <w:w w:val="82"/>
              </w:rPr>
              <w:t>Parent</w:t>
            </w:r>
          </w:p>
        </w:tc>
        <w:tc>
          <w:tcPr>
            <w:tcW w:w="920" w:type="dxa"/>
            <w:vAlign w:val="bottom"/>
            <w:gridSpan w:val="2"/>
          </w:tcPr>
          <w:p>
            <w:pPr>
              <w:jc w:val="center"/>
              <w:ind w:right="200"/>
              <w:spacing w:after="0"/>
              <w:rPr>
                <w:sz w:val="20"/>
                <w:szCs w:val="20"/>
                <w:color w:val="auto"/>
              </w:rPr>
            </w:pPr>
            <w:r>
              <w:rPr>
                <w:rFonts w:ascii="Arial" w:cs="Arial" w:eastAsia="Arial" w:hAnsi="Arial"/>
                <w:sz w:val="18"/>
                <w:szCs w:val="18"/>
                <w:color w:val="auto"/>
                <w:w w:val="83"/>
              </w:rPr>
              <w:t>Parents</w:t>
            </w:r>
          </w:p>
        </w:tc>
        <w:tc>
          <w:tcPr>
            <w:tcW w:w="1060" w:type="dxa"/>
            <w:vAlign w:val="bottom"/>
            <w:gridSpan w:val="2"/>
          </w:tcPr>
          <w:p>
            <w:pPr>
              <w:jc w:val="center"/>
              <w:ind w:right="200"/>
              <w:spacing w:after="0"/>
              <w:rPr>
                <w:sz w:val="20"/>
                <w:szCs w:val="20"/>
                <w:color w:val="auto"/>
              </w:rPr>
            </w:pPr>
            <w:r>
              <w:rPr>
                <w:rFonts w:ascii="Arial" w:cs="Arial" w:eastAsia="Arial" w:hAnsi="Arial"/>
                <w:sz w:val="18"/>
                <w:szCs w:val="18"/>
                <w:color w:val="auto"/>
                <w:w w:val="87"/>
              </w:rPr>
              <w:t>Subsidiaries</w:t>
            </w: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Adjustments</w:t>
            </w:r>
          </w:p>
        </w:tc>
        <w:tc>
          <w:tcPr>
            <w:tcW w:w="100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Corporation</w:t>
            </w:r>
          </w:p>
        </w:tc>
        <w:tc>
          <w:tcPr>
            <w:tcW w:w="0" w:type="dxa"/>
            <w:vAlign w:val="bottom"/>
          </w:tcPr>
          <w:p>
            <w:pPr>
              <w:spacing w:after="0"/>
              <w:rPr>
                <w:sz w:val="1"/>
                <w:szCs w:val="1"/>
                <w:color w:val="auto"/>
              </w:rPr>
            </w:pPr>
          </w:p>
        </w:tc>
      </w:tr>
      <w:tr>
        <w:trPr>
          <w:trHeight w:val="110"/>
        </w:trPr>
        <w:tc>
          <w:tcPr>
            <w:tcW w:w="3360" w:type="dxa"/>
            <w:vAlign w:val="bottom"/>
            <w:vMerge w:val="restart"/>
          </w:tcPr>
          <w:p>
            <w:pPr>
              <w:spacing w:after="0"/>
              <w:rPr>
                <w:sz w:val="20"/>
                <w:szCs w:val="20"/>
                <w:color w:val="auto"/>
              </w:rPr>
            </w:pPr>
            <w:r>
              <w:rPr>
                <w:rFonts w:ascii="Arial" w:cs="Arial" w:eastAsia="Arial" w:hAnsi="Arial"/>
                <w:sz w:val="22"/>
                <w:szCs w:val="22"/>
                <w:color w:val="auto"/>
              </w:rPr>
              <w:t>REVENUES</w:t>
            </w:r>
          </w:p>
        </w:tc>
        <w:tc>
          <w:tcPr>
            <w:tcW w:w="7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3"/>
        </w:trPr>
        <w:tc>
          <w:tcPr>
            <w:tcW w:w="336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360" w:type="dxa"/>
            <w:vAlign w:val="bottom"/>
          </w:tcPr>
          <w:p>
            <w:pPr>
              <w:ind w:left="180"/>
              <w:spacing w:after="0" w:line="243" w:lineRule="exact"/>
              <w:rPr>
                <w:sz w:val="20"/>
                <w:szCs w:val="20"/>
                <w:color w:val="auto"/>
              </w:rPr>
            </w:pPr>
            <w:r>
              <w:rPr>
                <w:rFonts w:ascii="Arial" w:cs="Arial" w:eastAsia="Arial" w:hAnsi="Arial"/>
                <w:sz w:val="22"/>
                <w:szCs w:val="22"/>
                <w:color w:val="auto"/>
              </w:rPr>
              <w:t>Service revenues</w:t>
            </w:r>
          </w:p>
        </w:tc>
        <w:tc>
          <w:tcPr>
            <w:tcW w:w="700" w:type="dxa"/>
            <w:vAlign w:val="bottom"/>
          </w:tcPr>
          <w:p>
            <w:pPr>
              <w:jc w:val="center"/>
              <w:spacing w:after="0" w:line="243" w:lineRule="exact"/>
              <w:rPr>
                <w:sz w:val="20"/>
                <w:szCs w:val="20"/>
                <w:color w:val="auto"/>
              </w:rPr>
            </w:pPr>
            <w:r>
              <w:rPr>
                <w:rFonts w:ascii="Arial" w:cs="Arial" w:eastAsia="Arial" w:hAnsi="Arial"/>
                <w:sz w:val="22"/>
                <w:szCs w:val="22"/>
                <w:color w:val="auto"/>
                <w:w w:val="81"/>
              </w:rPr>
              <w:t>$</w:t>
            </w:r>
          </w:p>
        </w:tc>
        <w:tc>
          <w:tcPr>
            <w:tcW w:w="180" w:type="dxa"/>
            <w:vAlign w:val="bottom"/>
          </w:tcPr>
          <w:p>
            <w:pPr>
              <w:spacing w:after="0"/>
              <w:rPr>
                <w:sz w:val="21"/>
                <w:szCs w:val="21"/>
                <w:color w:val="auto"/>
              </w:rPr>
            </w:pPr>
          </w:p>
        </w:tc>
        <w:tc>
          <w:tcPr>
            <w:tcW w:w="680" w:type="dxa"/>
            <w:vAlign w:val="bottom"/>
          </w:tcPr>
          <w:p>
            <w:pPr>
              <w:jc w:val="center"/>
              <w:spacing w:after="0" w:line="243" w:lineRule="exact"/>
              <w:rPr>
                <w:sz w:val="20"/>
                <w:szCs w:val="20"/>
                <w:color w:val="auto"/>
              </w:rPr>
            </w:pPr>
            <w:r>
              <w:rPr>
                <w:rFonts w:ascii="Arial" w:cs="Arial" w:eastAsia="Arial" w:hAnsi="Arial"/>
                <w:sz w:val="22"/>
                <w:szCs w:val="22"/>
                <w:color w:val="auto"/>
                <w:w w:val="81"/>
              </w:rPr>
              <w:t>$</w:t>
            </w:r>
          </w:p>
        </w:tc>
        <w:tc>
          <w:tcPr>
            <w:tcW w:w="200" w:type="dxa"/>
            <w:vAlign w:val="bottom"/>
          </w:tcPr>
          <w:p>
            <w:pPr>
              <w:spacing w:after="0"/>
              <w:rPr>
                <w:sz w:val="21"/>
                <w:szCs w:val="21"/>
                <w:color w:val="auto"/>
              </w:rPr>
            </w:pPr>
          </w:p>
        </w:tc>
        <w:tc>
          <w:tcPr>
            <w:tcW w:w="680" w:type="dxa"/>
            <w:vAlign w:val="bottom"/>
          </w:tcPr>
          <w:p>
            <w:pPr>
              <w:jc w:val="center"/>
              <w:spacing w:after="0" w:line="243" w:lineRule="exact"/>
              <w:rPr>
                <w:sz w:val="20"/>
                <w:szCs w:val="20"/>
                <w:color w:val="auto"/>
              </w:rPr>
            </w:pPr>
            <w:r>
              <w:rPr>
                <w:rFonts w:ascii="Arial" w:cs="Arial" w:eastAsia="Arial" w:hAnsi="Arial"/>
                <w:sz w:val="22"/>
                <w:szCs w:val="22"/>
                <w:color w:val="auto"/>
                <w:w w:val="97"/>
              </w:rPr>
              <w:t>$</w:t>
            </w:r>
          </w:p>
        </w:tc>
        <w:tc>
          <w:tcPr>
            <w:tcW w:w="200" w:type="dxa"/>
            <w:vAlign w:val="bottom"/>
          </w:tcPr>
          <w:p>
            <w:pPr>
              <w:spacing w:after="0"/>
              <w:rPr>
                <w:sz w:val="21"/>
                <w:szCs w:val="21"/>
                <w:color w:val="auto"/>
              </w:rPr>
            </w:pPr>
          </w:p>
        </w:tc>
        <w:tc>
          <w:tcPr>
            <w:tcW w:w="740" w:type="dxa"/>
            <w:vAlign w:val="bottom"/>
          </w:tcPr>
          <w:p>
            <w:pPr>
              <w:jc w:val="center"/>
              <w:spacing w:after="0" w:line="243" w:lineRule="exact"/>
              <w:rPr>
                <w:sz w:val="20"/>
                <w:szCs w:val="20"/>
                <w:color w:val="auto"/>
              </w:rPr>
            </w:pPr>
            <w:r>
              <w:rPr>
                <w:rFonts w:ascii="Arial" w:cs="Arial" w:eastAsia="Arial" w:hAnsi="Arial"/>
                <w:sz w:val="22"/>
                <w:szCs w:val="22"/>
                <w:color w:val="auto"/>
                <w:w w:val="97"/>
              </w:rPr>
              <w:t>$</w:t>
            </w:r>
          </w:p>
        </w:tc>
        <w:tc>
          <w:tcPr>
            <w:tcW w:w="180" w:type="dxa"/>
            <w:vAlign w:val="bottom"/>
          </w:tcPr>
          <w:p>
            <w:pPr>
              <w:spacing w:after="0"/>
              <w:rPr>
                <w:sz w:val="21"/>
                <w:szCs w:val="21"/>
                <w:color w:val="auto"/>
              </w:rPr>
            </w:pPr>
          </w:p>
        </w:tc>
        <w:tc>
          <w:tcPr>
            <w:tcW w:w="860" w:type="dxa"/>
            <w:vAlign w:val="bottom"/>
          </w:tcPr>
          <w:p>
            <w:pPr>
              <w:jc w:val="right"/>
              <w:spacing w:after="0" w:line="243" w:lineRule="exact"/>
              <w:rPr>
                <w:sz w:val="20"/>
                <w:szCs w:val="20"/>
                <w:color w:val="auto"/>
              </w:rPr>
            </w:pPr>
            <w:r>
              <w:rPr>
                <w:rFonts w:ascii="Arial" w:cs="Arial" w:eastAsia="Arial" w:hAnsi="Arial"/>
                <w:sz w:val="22"/>
                <w:szCs w:val="22"/>
                <w:color w:val="auto"/>
              </w:rPr>
              <w:t>$9,060</w:t>
            </w:r>
          </w:p>
        </w:tc>
        <w:tc>
          <w:tcPr>
            <w:tcW w:w="200" w:type="dxa"/>
            <w:vAlign w:val="bottom"/>
          </w:tcPr>
          <w:p>
            <w:pPr>
              <w:spacing w:after="0"/>
              <w:rPr>
                <w:sz w:val="21"/>
                <w:szCs w:val="21"/>
                <w:color w:val="auto"/>
              </w:rPr>
            </w:pPr>
          </w:p>
        </w:tc>
        <w:tc>
          <w:tcPr>
            <w:tcW w:w="980" w:type="dxa"/>
            <w:vAlign w:val="bottom"/>
          </w:tcPr>
          <w:p>
            <w:pPr>
              <w:jc w:val="center"/>
              <w:spacing w:after="0" w:line="243" w:lineRule="exact"/>
              <w:rPr>
                <w:sz w:val="20"/>
                <w:szCs w:val="20"/>
                <w:color w:val="auto"/>
              </w:rPr>
            </w:pPr>
            <w:r>
              <w:rPr>
                <w:rFonts w:ascii="Arial" w:cs="Arial" w:eastAsia="Arial" w:hAnsi="Arial"/>
                <w:sz w:val="22"/>
                <w:szCs w:val="22"/>
                <w:color w:val="auto"/>
                <w:w w:val="81"/>
              </w:rPr>
              <w:t>$</w:t>
            </w:r>
          </w:p>
        </w:tc>
        <w:tc>
          <w:tcPr>
            <w:tcW w:w="200" w:type="dxa"/>
            <w:vAlign w:val="bottom"/>
          </w:tcPr>
          <w:p>
            <w:pPr>
              <w:spacing w:after="0"/>
              <w:rPr>
                <w:sz w:val="21"/>
                <w:szCs w:val="21"/>
                <w:color w:val="auto"/>
              </w:rPr>
            </w:pPr>
          </w:p>
        </w:tc>
        <w:tc>
          <w:tcPr>
            <w:tcW w:w="1000" w:type="dxa"/>
            <w:vAlign w:val="bottom"/>
            <w:gridSpan w:val="2"/>
          </w:tcPr>
          <w:p>
            <w:pPr>
              <w:jc w:val="right"/>
              <w:ind w:right="80"/>
              <w:spacing w:after="0" w:line="243" w:lineRule="exact"/>
              <w:rPr>
                <w:sz w:val="20"/>
                <w:szCs w:val="20"/>
                <w:color w:val="auto"/>
              </w:rPr>
            </w:pPr>
            <w:r>
              <w:rPr>
                <w:rFonts w:ascii="Arial" w:cs="Arial" w:eastAsia="Arial" w:hAnsi="Arial"/>
                <w:sz w:val="22"/>
                <w:szCs w:val="22"/>
                <w:color w:val="auto"/>
              </w:rPr>
              <w:t>$9,060</w:t>
            </w:r>
          </w:p>
        </w:tc>
        <w:tc>
          <w:tcPr>
            <w:tcW w:w="0" w:type="dxa"/>
            <w:vAlign w:val="bottom"/>
          </w:tcPr>
          <w:p>
            <w:pPr>
              <w:spacing w:after="0"/>
              <w:rPr>
                <w:sz w:val="1"/>
                <w:szCs w:val="1"/>
                <w:color w:val="auto"/>
              </w:rPr>
            </w:pPr>
          </w:p>
        </w:tc>
      </w:tr>
      <w:tr>
        <w:trPr>
          <w:trHeight w:val="275"/>
        </w:trPr>
        <w:tc>
          <w:tcPr>
            <w:tcW w:w="3360" w:type="dxa"/>
            <w:vAlign w:val="bottom"/>
          </w:tcPr>
          <w:p>
            <w:pPr>
              <w:ind w:left="180"/>
              <w:spacing w:after="0"/>
              <w:rPr>
                <w:sz w:val="20"/>
                <w:szCs w:val="20"/>
                <w:color w:val="auto"/>
              </w:rPr>
            </w:pPr>
            <w:r>
              <w:rPr>
                <w:rFonts w:ascii="Arial" w:cs="Arial" w:eastAsia="Arial" w:hAnsi="Arial"/>
                <w:sz w:val="22"/>
                <w:szCs w:val="22"/>
                <w:color w:val="auto"/>
              </w:rPr>
              <w:t>Management fee revenue</w:t>
            </w:r>
          </w:p>
        </w:tc>
        <w:tc>
          <w:tcPr>
            <w:tcW w:w="700" w:type="dxa"/>
            <w:vAlign w:val="bottom"/>
          </w:tcPr>
          <w:p>
            <w:pPr>
              <w:jc w:val="right"/>
              <w:spacing w:after="0"/>
              <w:rPr>
                <w:sz w:val="20"/>
                <w:szCs w:val="20"/>
                <w:color w:val="auto"/>
              </w:rPr>
            </w:pPr>
            <w:r>
              <w:rPr>
                <w:rFonts w:ascii="Arial" w:cs="Arial" w:eastAsia="Arial" w:hAnsi="Arial"/>
                <w:sz w:val="22"/>
                <w:szCs w:val="22"/>
                <w:color w:val="auto"/>
              </w:rPr>
              <w:t>187</w:t>
            </w:r>
          </w:p>
        </w:tc>
        <w:tc>
          <w:tcPr>
            <w:tcW w:w="180" w:type="dxa"/>
            <w:vAlign w:val="bottom"/>
          </w:tcPr>
          <w:p>
            <w:pPr>
              <w:spacing w:after="0"/>
              <w:rPr>
                <w:sz w:val="23"/>
                <w:szCs w:val="23"/>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22"/>
                <w:szCs w:val="22"/>
                <w:color w:val="auto"/>
              </w:rPr>
              <w:t>71</w:t>
            </w:r>
          </w:p>
        </w:tc>
        <w:tc>
          <w:tcPr>
            <w:tcW w:w="880" w:type="dxa"/>
            <w:vAlign w:val="bottom"/>
            <w:gridSpan w:val="2"/>
          </w:tcPr>
          <w:p>
            <w:pPr>
              <w:jc w:val="right"/>
              <w:ind w:right="200"/>
              <w:spacing w:after="0"/>
              <w:rPr>
                <w:sz w:val="20"/>
                <w:szCs w:val="20"/>
                <w:color w:val="auto"/>
              </w:rPr>
            </w:pPr>
            <w:r>
              <w:rPr>
                <w:rFonts w:ascii="Arial" w:cs="Arial" w:eastAsia="Arial" w:hAnsi="Arial"/>
                <w:sz w:val="22"/>
                <w:szCs w:val="22"/>
                <w:color w:val="auto"/>
              </w:rPr>
              <w:t>116</w:t>
            </w:r>
          </w:p>
        </w:tc>
        <w:tc>
          <w:tcPr>
            <w:tcW w:w="740" w:type="dxa"/>
            <w:vAlign w:val="bottom"/>
          </w:tcPr>
          <w:p>
            <w:pPr>
              <w:jc w:val="right"/>
              <w:spacing w:after="0"/>
              <w:rPr>
                <w:sz w:val="20"/>
                <w:szCs w:val="20"/>
                <w:color w:val="auto"/>
              </w:rPr>
            </w:pPr>
            <w:r>
              <w:rPr>
                <w:rFonts w:ascii="Arial" w:cs="Arial" w:eastAsia="Arial" w:hAnsi="Arial"/>
                <w:sz w:val="22"/>
                <w:szCs w:val="22"/>
                <w:color w:val="auto"/>
              </w:rPr>
              <w:t>116</w:t>
            </w:r>
          </w:p>
        </w:tc>
        <w:tc>
          <w:tcPr>
            <w:tcW w:w="1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22"/>
                <w:szCs w:val="22"/>
                <w:color w:val="auto"/>
              </w:rPr>
              <w:t>(490)</w:t>
            </w:r>
          </w:p>
        </w:tc>
        <w:tc>
          <w:tcPr>
            <w:tcW w:w="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8"/>
        </w:trPr>
        <w:tc>
          <w:tcPr>
            <w:tcW w:w="336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55"/>
        </w:trPr>
        <w:tc>
          <w:tcPr>
            <w:tcW w:w="33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22"/>
                <w:szCs w:val="22"/>
                <w:color w:val="auto"/>
              </w:rPr>
              <w:t>187</w:t>
            </w:r>
          </w:p>
        </w:tc>
        <w:tc>
          <w:tcPr>
            <w:tcW w:w="180" w:type="dxa"/>
            <w:vAlign w:val="bottom"/>
          </w:tcPr>
          <w:p>
            <w:pPr>
              <w:spacing w:after="0"/>
              <w:rPr>
                <w:sz w:val="24"/>
                <w:szCs w:val="2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22"/>
                <w:szCs w:val="22"/>
                <w:color w:val="auto"/>
              </w:rPr>
              <w:t>71</w:t>
            </w:r>
          </w:p>
        </w:tc>
        <w:tc>
          <w:tcPr>
            <w:tcW w:w="880" w:type="dxa"/>
            <w:vAlign w:val="bottom"/>
            <w:gridSpan w:val="2"/>
          </w:tcPr>
          <w:p>
            <w:pPr>
              <w:jc w:val="right"/>
              <w:ind w:right="200"/>
              <w:spacing w:after="0"/>
              <w:rPr>
                <w:sz w:val="20"/>
                <w:szCs w:val="20"/>
                <w:color w:val="auto"/>
              </w:rPr>
            </w:pPr>
            <w:r>
              <w:rPr>
                <w:rFonts w:ascii="Arial" w:cs="Arial" w:eastAsia="Arial" w:hAnsi="Arial"/>
                <w:sz w:val="22"/>
                <w:szCs w:val="22"/>
                <w:color w:val="auto"/>
              </w:rPr>
              <w:t>116</w:t>
            </w:r>
          </w:p>
        </w:tc>
        <w:tc>
          <w:tcPr>
            <w:tcW w:w="740" w:type="dxa"/>
            <w:vAlign w:val="bottom"/>
          </w:tcPr>
          <w:p>
            <w:pPr>
              <w:jc w:val="right"/>
              <w:spacing w:after="0"/>
              <w:rPr>
                <w:sz w:val="20"/>
                <w:szCs w:val="20"/>
                <w:color w:val="auto"/>
              </w:rPr>
            </w:pPr>
            <w:r>
              <w:rPr>
                <w:rFonts w:ascii="Arial" w:cs="Arial" w:eastAsia="Arial" w:hAnsi="Arial"/>
                <w:sz w:val="22"/>
                <w:szCs w:val="22"/>
                <w:color w:val="auto"/>
              </w:rPr>
              <w:t>116</w:t>
            </w:r>
          </w:p>
        </w:tc>
        <w:tc>
          <w:tcPr>
            <w:tcW w:w="1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2"/>
                <w:szCs w:val="22"/>
                <w:color w:val="auto"/>
              </w:rPr>
              <w:t>9,060</w:t>
            </w:r>
          </w:p>
        </w:tc>
        <w:tc>
          <w:tcPr>
            <w:tcW w:w="200" w:type="dxa"/>
            <w:vAlign w:val="bottom"/>
          </w:tcPr>
          <w:p>
            <w:pPr>
              <w:spacing w:after="0"/>
              <w:rPr>
                <w:sz w:val="24"/>
                <w:szCs w:val="24"/>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22"/>
                <w:szCs w:val="22"/>
                <w:color w:val="auto"/>
              </w:rPr>
              <w:t>(490)</w:t>
            </w:r>
          </w:p>
        </w:tc>
        <w:tc>
          <w:tcPr>
            <w:tcW w:w="1000" w:type="dxa"/>
            <w:vAlign w:val="bottom"/>
            <w:gridSpan w:val="2"/>
          </w:tcPr>
          <w:p>
            <w:pPr>
              <w:jc w:val="right"/>
              <w:ind w:right="80"/>
              <w:spacing w:after="0"/>
              <w:rPr>
                <w:sz w:val="20"/>
                <w:szCs w:val="20"/>
                <w:color w:val="auto"/>
              </w:rPr>
            </w:pPr>
            <w:r>
              <w:rPr>
                <w:rFonts w:ascii="Arial" w:cs="Arial" w:eastAsia="Arial" w:hAnsi="Arial"/>
                <w:sz w:val="22"/>
                <w:szCs w:val="22"/>
                <w:color w:val="auto"/>
              </w:rPr>
              <w:t>9,060</w:t>
            </w:r>
          </w:p>
        </w:tc>
        <w:tc>
          <w:tcPr>
            <w:tcW w:w="0" w:type="dxa"/>
            <w:vAlign w:val="bottom"/>
          </w:tcPr>
          <w:p>
            <w:pPr>
              <w:spacing w:after="0"/>
              <w:rPr>
                <w:sz w:val="1"/>
                <w:szCs w:val="1"/>
                <w:color w:val="auto"/>
              </w:rPr>
            </w:pPr>
          </w:p>
        </w:tc>
      </w:tr>
      <w:tr>
        <w:trPr>
          <w:trHeight w:val="98"/>
        </w:trPr>
        <w:tc>
          <w:tcPr>
            <w:tcW w:w="3360" w:type="dxa"/>
            <w:vAlign w:val="bottom"/>
            <w:vMerge w:val="restart"/>
          </w:tcPr>
          <w:p>
            <w:pPr>
              <w:spacing w:after="0"/>
              <w:rPr>
                <w:sz w:val="20"/>
                <w:szCs w:val="20"/>
                <w:color w:val="auto"/>
              </w:rPr>
            </w:pPr>
            <w:r>
              <w:rPr>
                <w:rFonts w:ascii="Arial" w:cs="Arial" w:eastAsia="Arial" w:hAnsi="Arial"/>
                <w:sz w:val="22"/>
                <w:szCs w:val="22"/>
                <w:color w:val="auto"/>
              </w:rPr>
              <w:t>COSTS AND EXPENSES</w:t>
            </w:r>
          </w:p>
        </w:tc>
        <w:tc>
          <w:tcPr>
            <w:tcW w:w="7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66"/>
        </w:trPr>
        <w:tc>
          <w:tcPr>
            <w:tcW w:w="336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360" w:type="dxa"/>
            <w:vAlign w:val="bottom"/>
          </w:tcPr>
          <w:p>
            <w:pPr>
              <w:ind w:left="180"/>
              <w:spacing w:after="0" w:line="243" w:lineRule="exact"/>
              <w:rPr>
                <w:sz w:val="20"/>
                <w:szCs w:val="20"/>
                <w:color w:val="auto"/>
              </w:rPr>
            </w:pPr>
            <w:r>
              <w:rPr>
                <w:rFonts w:ascii="Arial" w:cs="Arial" w:eastAsia="Arial" w:hAnsi="Arial"/>
                <w:sz w:val="22"/>
                <w:szCs w:val="22"/>
                <w:color w:val="auto"/>
              </w:rPr>
              <w:t>Operating (excluding</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60" w:type="dxa"/>
            <w:vAlign w:val="bottom"/>
          </w:tcPr>
          <w:p>
            <w:pPr>
              <w:spacing w:after="0" w:line="243" w:lineRule="exact"/>
              <w:rPr>
                <w:sz w:val="20"/>
                <w:szCs w:val="20"/>
                <w:color w:val="auto"/>
              </w:rPr>
            </w:pPr>
            <w:r>
              <w:rPr>
                <w:rFonts w:ascii="Arial" w:cs="Arial" w:eastAsia="Arial" w:hAnsi="Arial"/>
                <w:sz w:val="22"/>
                <w:szCs w:val="22"/>
                <w:color w:val="auto"/>
              </w:rPr>
              <w:t>depreciation)</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spacing w:after="0" w:line="243" w:lineRule="exact"/>
              <w:rPr>
                <w:sz w:val="20"/>
                <w:szCs w:val="20"/>
                <w:color w:val="auto"/>
              </w:rPr>
            </w:pPr>
            <w:r>
              <w:rPr>
                <w:rFonts w:ascii="Arial" w:cs="Arial" w:eastAsia="Arial" w:hAnsi="Arial"/>
                <w:sz w:val="22"/>
                <w:szCs w:val="22"/>
                <w:color w:val="auto"/>
              </w:rPr>
              <w:t>3,564</w:t>
            </w: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gridSpan w:val="2"/>
          </w:tcPr>
          <w:p>
            <w:pPr>
              <w:jc w:val="right"/>
              <w:ind w:right="80"/>
              <w:spacing w:after="0" w:line="243" w:lineRule="exact"/>
              <w:rPr>
                <w:sz w:val="20"/>
                <w:szCs w:val="20"/>
                <w:color w:val="auto"/>
              </w:rPr>
            </w:pPr>
            <w:r>
              <w:rPr>
                <w:rFonts w:ascii="Arial" w:cs="Arial" w:eastAsia="Arial" w:hAnsi="Arial"/>
                <w:sz w:val="22"/>
                <w:szCs w:val="22"/>
                <w:color w:val="auto"/>
              </w:rPr>
              <w:t>3,564</w:t>
            </w:r>
          </w:p>
        </w:tc>
        <w:tc>
          <w:tcPr>
            <w:tcW w:w="0" w:type="dxa"/>
            <w:vAlign w:val="bottom"/>
          </w:tcPr>
          <w:p>
            <w:pPr>
              <w:spacing w:after="0"/>
              <w:rPr>
                <w:sz w:val="1"/>
                <w:szCs w:val="1"/>
                <w:color w:val="auto"/>
              </w:rPr>
            </w:pPr>
          </w:p>
        </w:tc>
      </w:tr>
      <w:tr>
        <w:trPr>
          <w:trHeight w:val="243"/>
        </w:trPr>
        <w:tc>
          <w:tcPr>
            <w:tcW w:w="3360" w:type="dxa"/>
            <w:vAlign w:val="bottom"/>
          </w:tcPr>
          <w:p>
            <w:pPr>
              <w:ind w:left="180"/>
              <w:spacing w:after="0" w:line="243" w:lineRule="exact"/>
              <w:rPr>
                <w:sz w:val="20"/>
                <w:szCs w:val="20"/>
                <w:color w:val="auto"/>
              </w:rPr>
            </w:pPr>
            <w:r>
              <w:rPr>
                <w:rFonts w:ascii="Arial" w:cs="Arial" w:eastAsia="Arial" w:hAnsi="Arial"/>
                <w:sz w:val="22"/>
                <w:szCs w:val="22"/>
                <w:color w:val="auto"/>
              </w:rPr>
              <w:t>Selling, general and</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60" w:type="dxa"/>
            <w:vAlign w:val="bottom"/>
          </w:tcPr>
          <w:p>
            <w:pPr>
              <w:spacing w:after="0" w:line="243" w:lineRule="exact"/>
              <w:rPr>
                <w:sz w:val="20"/>
                <w:szCs w:val="20"/>
                <w:color w:val="auto"/>
              </w:rPr>
            </w:pPr>
            <w:r>
              <w:rPr>
                <w:rFonts w:ascii="Arial" w:cs="Arial" w:eastAsia="Arial" w:hAnsi="Arial"/>
                <w:sz w:val="22"/>
                <w:szCs w:val="22"/>
                <w:color w:val="auto"/>
              </w:rPr>
              <w:t>administrative</w:t>
            </w:r>
          </w:p>
        </w:tc>
        <w:tc>
          <w:tcPr>
            <w:tcW w:w="700" w:type="dxa"/>
            <w:vAlign w:val="bottom"/>
          </w:tcPr>
          <w:p>
            <w:pPr>
              <w:jc w:val="right"/>
              <w:spacing w:after="0" w:line="243" w:lineRule="exact"/>
              <w:rPr>
                <w:sz w:val="20"/>
                <w:szCs w:val="20"/>
                <w:color w:val="auto"/>
              </w:rPr>
            </w:pPr>
            <w:r>
              <w:rPr>
                <w:rFonts w:ascii="Arial" w:cs="Arial" w:eastAsia="Arial" w:hAnsi="Arial"/>
                <w:sz w:val="22"/>
                <w:szCs w:val="22"/>
                <w:color w:val="auto"/>
              </w:rPr>
              <w:t>76</w:t>
            </w:r>
          </w:p>
        </w:tc>
        <w:tc>
          <w:tcPr>
            <w:tcW w:w="180" w:type="dxa"/>
            <w:vAlign w:val="bottom"/>
          </w:tcPr>
          <w:p>
            <w:pPr>
              <w:spacing w:after="0"/>
              <w:rPr>
                <w:sz w:val="21"/>
                <w:szCs w:val="21"/>
                <w:color w:val="auto"/>
              </w:rPr>
            </w:pPr>
          </w:p>
        </w:tc>
        <w:tc>
          <w:tcPr>
            <w:tcW w:w="880" w:type="dxa"/>
            <w:vAlign w:val="bottom"/>
            <w:gridSpan w:val="2"/>
          </w:tcPr>
          <w:p>
            <w:pPr>
              <w:jc w:val="right"/>
              <w:ind w:right="200"/>
              <w:spacing w:after="0" w:line="243" w:lineRule="exact"/>
              <w:rPr>
                <w:sz w:val="20"/>
                <w:szCs w:val="20"/>
                <w:color w:val="auto"/>
              </w:rPr>
            </w:pPr>
            <w:r>
              <w:rPr>
                <w:rFonts w:ascii="Arial" w:cs="Arial" w:eastAsia="Arial" w:hAnsi="Arial"/>
                <w:sz w:val="22"/>
                <w:szCs w:val="22"/>
                <w:color w:val="auto"/>
              </w:rPr>
              <w:t>71</w:t>
            </w:r>
          </w:p>
        </w:tc>
        <w:tc>
          <w:tcPr>
            <w:tcW w:w="880" w:type="dxa"/>
            <w:vAlign w:val="bottom"/>
            <w:gridSpan w:val="2"/>
          </w:tcPr>
          <w:p>
            <w:pPr>
              <w:jc w:val="right"/>
              <w:ind w:right="200"/>
              <w:spacing w:after="0" w:line="243" w:lineRule="exact"/>
              <w:rPr>
                <w:sz w:val="20"/>
                <w:szCs w:val="20"/>
                <w:color w:val="auto"/>
              </w:rPr>
            </w:pPr>
            <w:r>
              <w:rPr>
                <w:rFonts w:ascii="Arial" w:cs="Arial" w:eastAsia="Arial" w:hAnsi="Arial"/>
                <w:sz w:val="22"/>
                <w:szCs w:val="22"/>
                <w:color w:val="auto"/>
              </w:rPr>
              <w:t>116</w:t>
            </w:r>
          </w:p>
        </w:tc>
        <w:tc>
          <w:tcPr>
            <w:tcW w:w="740" w:type="dxa"/>
            <w:vAlign w:val="bottom"/>
          </w:tcPr>
          <w:p>
            <w:pPr>
              <w:jc w:val="right"/>
              <w:spacing w:after="0" w:line="243" w:lineRule="exact"/>
              <w:rPr>
                <w:sz w:val="20"/>
                <w:szCs w:val="20"/>
                <w:color w:val="auto"/>
              </w:rPr>
            </w:pPr>
            <w:r>
              <w:rPr>
                <w:rFonts w:ascii="Arial" w:cs="Arial" w:eastAsia="Arial" w:hAnsi="Arial"/>
                <w:sz w:val="22"/>
                <w:szCs w:val="22"/>
                <w:color w:val="auto"/>
              </w:rPr>
              <w:t>116</w:t>
            </w:r>
          </w:p>
        </w:tc>
        <w:tc>
          <w:tcPr>
            <w:tcW w:w="180" w:type="dxa"/>
            <w:vAlign w:val="bottom"/>
          </w:tcPr>
          <w:p>
            <w:pPr>
              <w:spacing w:after="0"/>
              <w:rPr>
                <w:sz w:val="21"/>
                <w:szCs w:val="21"/>
                <w:color w:val="auto"/>
              </w:rPr>
            </w:pPr>
          </w:p>
        </w:tc>
        <w:tc>
          <w:tcPr>
            <w:tcW w:w="860" w:type="dxa"/>
            <w:vAlign w:val="bottom"/>
          </w:tcPr>
          <w:p>
            <w:pPr>
              <w:jc w:val="right"/>
              <w:spacing w:after="0" w:line="243" w:lineRule="exact"/>
              <w:rPr>
                <w:sz w:val="20"/>
                <w:szCs w:val="20"/>
                <w:color w:val="auto"/>
              </w:rPr>
            </w:pPr>
            <w:r>
              <w:rPr>
                <w:rFonts w:ascii="Arial" w:cs="Arial" w:eastAsia="Arial" w:hAnsi="Arial"/>
                <w:sz w:val="22"/>
                <w:szCs w:val="22"/>
                <w:color w:val="auto"/>
              </w:rPr>
              <w:t>2,567</w:t>
            </w:r>
          </w:p>
        </w:tc>
        <w:tc>
          <w:tcPr>
            <w:tcW w:w="200" w:type="dxa"/>
            <w:vAlign w:val="bottom"/>
          </w:tcPr>
          <w:p>
            <w:pPr>
              <w:spacing w:after="0"/>
              <w:rPr>
                <w:sz w:val="21"/>
                <w:szCs w:val="21"/>
                <w:color w:val="auto"/>
              </w:rPr>
            </w:pPr>
          </w:p>
        </w:tc>
        <w:tc>
          <w:tcPr>
            <w:tcW w:w="1180" w:type="dxa"/>
            <w:vAlign w:val="bottom"/>
            <w:gridSpan w:val="2"/>
          </w:tcPr>
          <w:p>
            <w:pPr>
              <w:jc w:val="right"/>
              <w:ind w:right="120"/>
              <w:spacing w:after="0" w:line="243" w:lineRule="exact"/>
              <w:rPr>
                <w:sz w:val="20"/>
                <w:szCs w:val="20"/>
                <w:color w:val="auto"/>
              </w:rPr>
            </w:pPr>
            <w:r>
              <w:rPr>
                <w:rFonts w:ascii="Arial" w:cs="Arial" w:eastAsia="Arial" w:hAnsi="Arial"/>
                <w:sz w:val="22"/>
                <w:szCs w:val="22"/>
                <w:color w:val="auto"/>
              </w:rPr>
              <w:t>(490)</w:t>
            </w:r>
          </w:p>
        </w:tc>
        <w:tc>
          <w:tcPr>
            <w:tcW w:w="1000" w:type="dxa"/>
            <w:vAlign w:val="bottom"/>
            <w:gridSpan w:val="2"/>
          </w:tcPr>
          <w:p>
            <w:pPr>
              <w:jc w:val="right"/>
              <w:ind w:right="80"/>
              <w:spacing w:after="0" w:line="243" w:lineRule="exact"/>
              <w:rPr>
                <w:sz w:val="20"/>
                <w:szCs w:val="20"/>
                <w:color w:val="auto"/>
              </w:rPr>
            </w:pPr>
            <w:r>
              <w:rPr>
                <w:rFonts w:ascii="Arial" w:cs="Arial" w:eastAsia="Arial" w:hAnsi="Arial"/>
                <w:sz w:val="22"/>
                <w:szCs w:val="22"/>
                <w:color w:val="auto"/>
              </w:rPr>
              <w:t>2,456</w:t>
            </w:r>
          </w:p>
        </w:tc>
        <w:tc>
          <w:tcPr>
            <w:tcW w:w="0" w:type="dxa"/>
            <w:vAlign w:val="bottom"/>
          </w:tcPr>
          <w:p>
            <w:pPr>
              <w:spacing w:after="0"/>
              <w:rPr>
                <w:sz w:val="1"/>
                <w:szCs w:val="1"/>
                <w:color w:val="auto"/>
              </w:rPr>
            </w:pPr>
          </w:p>
        </w:tc>
      </w:tr>
      <w:tr>
        <w:trPr>
          <w:trHeight w:val="243"/>
        </w:trPr>
        <w:tc>
          <w:tcPr>
            <w:tcW w:w="3360" w:type="dxa"/>
            <w:vAlign w:val="bottom"/>
          </w:tcPr>
          <w:p>
            <w:pPr>
              <w:ind w:left="180"/>
              <w:spacing w:after="0" w:line="243" w:lineRule="exact"/>
              <w:rPr>
                <w:sz w:val="20"/>
                <w:szCs w:val="20"/>
                <w:color w:val="auto"/>
              </w:rPr>
            </w:pPr>
            <w:r>
              <w:rPr>
                <w:rFonts w:ascii="Arial" w:cs="Arial" w:eastAsia="Arial" w:hAnsi="Arial"/>
                <w:sz w:val="22"/>
                <w:szCs w:val="22"/>
                <w:color w:val="auto"/>
              </w:rPr>
              <w:t>Depreciation</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spacing w:after="0" w:line="243" w:lineRule="exact"/>
              <w:rPr>
                <w:sz w:val="20"/>
                <w:szCs w:val="20"/>
                <w:color w:val="auto"/>
              </w:rPr>
            </w:pPr>
            <w:r>
              <w:rPr>
                <w:rFonts w:ascii="Arial" w:cs="Arial" w:eastAsia="Arial" w:hAnsi="Arial"/>
                <w:sz w:val="22"/>
                <w:szCs w:val="22"/>
                <w:color w:val="auto"/>
              </w:rPr>
              <w:t>1,596</w:t>
            </w: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gridSpan w:val="2"/>
          </w:tcPr>
          <w:p>
            <w:pPr>
              <w:jc w:val="right"/>
              <w:ind w:right="80"/>
              <w:spacing w:after="0" w:line="243" w:lineRule="exact"/>
              <w:rPr>
                <w:sz w:val="20"/>
                <w:szCs w:val="20"/>
                <w:color w:val="auto"/>
              </w:rPr>
            </w:pPr>
            <w:r>
              <w:rPr>
                <w:rFonts w:ascii="Arial" w:cs="Arial" w:eastAsia="Arial" w:hAnsi="Arial"/>
                <w:sz w:val="22"/>
                <w:szCs w:val="22"/>
                <w:color w:val="auto"/>
              </w:rPr>
              <w:t>1,596</w:t>
            </w:r>
          </w:p>
        </w:tc>
        <w:tc>
          <w:tcPr>
            <w:tcW w:w="0" w:type="dxa"/>
            <w:vAlign w:val="bottom"/>
          </w:tcPr>
          <w:p>
            <w:pPr>
              <w:spacing w:after="0"/>
              <w:rPr>
                <w:sz w:val="1"/>
                <w:szCs w:val="1"/>
                <w:color w:val="auto"/>
              </w:rPr>
            </w:pPr>
          </w:p>
        </w:tc>
      </w:tr>
      <w:tr>
        <w:trPr>
          <w:trHeight w:val="275"/>
        </w:trPr>
        <w:tc>
          <w:tcPr>
            <w:tcW w:w="3360" w:type="dxa"/>
            <w:vAlign w:val="bottom"/>
          </w:tcPr>
          <w:p>
            <w:pPr>
              <w:ind w:left="160"/>
              <w:spacing w:after="0"/>
              <w:rPr>
                <w:sz w:val="20"/>
                <w:szCs w:val="20"/>
                <w:color w:val="auto"/>
              </w:rPr>
            </w:pPr>
            <w:r>
              <w:rPr>
                <w:rFonts w:ascii="Arial" w:cs="Arial" w:eastAsia="Arial" w:hAnsi="Arial"/>
                <w:sz w:val="22"/>
                <w:szCs w:val="22"/>
                <w:color w:val="auto"/>
              </w:rPr>
              <w:t>Amortization</w:t>
            </w:r>
          </w:p>
        </w:tc>
        <w:tc>
          <w:tcPr>
            <w:tcW w:w="7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22"/>
                <w:szCs w:val="22"/>
                <w:color w:val="auto"/>
              </w:rPr>
              <w:t>725</w:t>
            </w:r>
          </w:p>
        </w:tc>
        <w:tc>
          <w:tcPr>
            <w:tcW w:w="2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22"/>
                <w:szCs w:val="22"/>
                <w:color w:val="auto"/>
              </w:rPr>
              <w:t>725</w:t>
            </w:r>
          </w:p>
        </w:tc>
        <w:tc>
          <w:tcPr>
            <w:tcW w:w="0" w:type="dxa"/>
            <w:vAlign w:val="bottom"/>
          </w:tcPr>
          <w:p>
            <w:pPr>
              <w:spacing w:after="0"/>
              <w:rPr>
                <w:sz w:val="1"/>
                <w:szCs w:val="1"/>
                <w:color w:val="auto"/>
              </w:rPr>
            </w:pPr>
          </w:p>
        </w:tc>
      </w:tr>
      <w:tr>
        <w:trPr>
          <w:trHeight w:val="98"/>
        </w:trPr>
        <w:tc>
          <w:tcPr>
            <w:tcW w:w="336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55"/>
        </w:trPr>
        <w:tc>
          <w:tcPr>
            <w:tcW w:w="33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22"/>
                <w:szCs w:val="22"/>
                <w:color w:val="auto"/>
              </w:rPr>
              <w:t>76</w:t>
            </w:r>
          </w:p>
        </w:tc>
        <w:tc>
          <w:tcPr>
            <w:tcW w:w="180" w:type="dxa"/>
            <w:vAlign w:val="bottom"/>
          </w:tcPr>
          <w:p>
            <w:pPr>
              <w:spacing w:after="0"/>
              <w:rPr>
                <w:sz w:val="24"/>
                <w:szCs w:val="2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22"/>
                <w:szCs w:val="22"/>
                <w:color w:val="auto"/>
              </w:rPr>
              <w:t>71</w:t>
            </w:r>
          </w:p>
        </w:tc>
        <w:tc>
          <w:tcPr>
            <w:tcW w:w="880" w:type="dxa"/>
            <w:vAlign w:val="bottom"/>
            <w:gridSpan w:val="2"/>
          </w:tcPr>
          <w:p>
            <w:pPr>
              <w:jc w:val="right"/>
              <w:ind w:right="200"/>
              <w:spacing w:after="0"/>
              <w:rPr>
                <w:sz w:val="20"/>
                <w:szCs w:val="20"/>
                <w:color w:val="auto"/>
              </w:rPr>
            </w:pPr>
            <w:r>
              <w:rPr>
                <w:rFonts w:ascii="Arial" w:cs="Arial" w:eastAsia="Arial" w:hAnsi="Arial"/>
                <w:sz w:val="22"/>
                <w:szCs w:val="22"/>
                <w:color w:val="auto"/>
              </w:rPr>
              <w:t>116</w:t>
            </w:r>
          </w:p>
        </w:tc>
        <w:tc>
          <w:tcPr>
            <w:tcW w:w="740" w:type="dxa"/>
            <w:vAlign w:val="bottom"/>
          </w:tcPr>
          <w:p>
            <w:pPr>
              <w:jc w:val="right"/>
              <w:spacing w:after="0"/>
              <w:rPr>
                <w:sz w:val="20"/>
                <w:szCs w:val="20"/>
                <w:color w:val="auto"/>
              </w:rPr>
            </w:pPr>
            <w:r>
              <w:rPr>
                <w:rFonts w:ascii="Arial" w:cs="Arial" w:eastAsia="Arial" w:hAnsi="Arial"/>
                <w:sz w:val="22"/>
                <w:szCs w:val="22"/>
                <w:color w:val="auto"/>
              </w:rPr>
              <w:t>116</w:t>
            </w:r>
          </w:p>
        </w:tc>
        <w:tc>
          <w:tcPr>
            <w:tcW w:w="1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2"/>
                <w:szCs w:val="22"/>
                <w:color w:val="auto"/>
              </w:rPr>
              <w:t>8,452</w:t>
            </w:r>
          </w:p>
        </w:tc>
        <w:tc>
          <w:tcPr>
            <w:tcW w:w="200" w:type="dxa"/>
            <w:vAlign w:val="bottom"/>
          </w:tcPr>
          <w:p>
            <w:pPr>
              <w:spacing w:after="0"/>
              <w:rPr>
                <w:sz w:val="24"/>
                <w:szCs w:val="24"/>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22"/>
                <w:szCs w:val="22"/>
                <w:color w:val="auto"/>
              </w:rPr>
              <w:t>(490)</w:t>
            </w:r>
          </w:p>
        </w:tc>
        <w:tc>
          <w:tcPr>
            <w:tcW w:w="1000" w:type="dxa"/>
            <w:vAlign w:val="bottom"/>
            <w:gridSpan w:val="2"/>
          </w:tcPr>
          <w:p>
            <w:pPr>
              <w:jc w:val="right"/>
              <w:ind w:right="80"/>
              <w:spacing w:after="0"/>
              <w:rPr>
                <w:sz w:val="20"/>
                <w:szCs w:val="20"/>
                <w:color w:val="auto"/>
              </w:rPr>
            </w:pPr>
            <w:r>
              <w:rPr>
                <w:rFonts w:ascii="Arial" w:cs="Arial" w:eastAsia="Arial" w:hAnsi="Arial"/>
                <w:sz w:val="22"/>
                <w:szCs w:val="22"/>
                <w:color w:val="auto"/>
              </w:rPr>
              <w:t>8,341</w:t>
            </w:r>
          </w:p>
        </w:tc>
        <w:tc>
          <w:tcPr>
            <w:tcW w:w="0" w:type="dxa"/>
            <w:vAlign w:val="bottom"/>
          </w:tcPr>
          <w:p>
            <w:pPr>
              <w:spacing w:after="0"/>
              <w:rPr>
                <w:sz w:val="1"/>
                <w:szCs w:val="1"/>
                <w:color w:val="auto"/>
              </w:rPr>
            </w:pPr>
          </w:p>
        </w:tc>
      </w:tr>
      <w:tr>
        <w:trPr>
          <w:trHeight w:val="98"/>
        </w:trPr>
        <w:tc>
          <w:tcPr>
            <w:tcW w:w="336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98"/>
        </w:trPr>
        <w:tc>
          <w:tcPr>
            <w:tcW w:w="3360" w:type="dxa"/>
            <w:vAlign w:val="bottom"/>
          </w:tcPr>
          <w:p>
            <w:pPr>
              <w:spacing w:after="0"/>
              <w:rPr>
                <w:sz w:val="20"/>
                <w:szCs w:val="20"/>
                <w:color w:val="auto"/>
              </w:rPr>
            </w:pPr>
            <w:r>
              <w:rPr>
                <w:rFonts w:ascii="Arial" w:cs="Arial" w:eastAsia="Arial" w:hAnsi="Arial"/>
                <w:sz w:val="22"/>
                <w:szCs w:val="22"/>
                <w:color w:val="auto"/>
              </w:rPr>
              <w:t>OPERATING INCOME</w:t>
            </w:r>
          </w:p>
        </w:tc>
        <w:tc>
          <w:tcPr>
            <w:tcW w:w="700" w:type="dxa"/>
            <w:vAlign w:val="bottom"/>
          </w:tcPr>
          <w:p>
            <w:pPr>
              <w:jc w:val="right"/>
              <w:spacing w:after="0"/>
              <w:rPr>
                <w:sz w:val="20"/>
                <w:szCs w:val="20"/>
                <w:color w:val="auto"/>
              </w:rPr>
            </w:pPr>
            <w:r>
              <w:rPr>
                <w:rFonts w:ascii="Arial" w:cs="Arial" w:eastAsia="Arial" w:hAnsi="Arial"/>
                <w:sz w:val="22"/>
                <w:szCs w:val="22"/>
                <w:color w:val="auto"/>
              </w:rPr>
              <w:t>111</w:t>
            </w: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2"/>
                <w:szCs w:val="22"/>
                <w:color w:val="auto"/>
              </w:rPr>
              <w:t>608</w:t>
            </w: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22"/>
                <w:szCs w:val="22"/>
                <w:color w:val="auto"/>
              </w:rPr>
              <w:t>719</w:t>
            </w:r>
          </w:p>
        </w:tc>
        <w:tc>
          <w:tcPr>
            <w:tcW w:w="0" w:type="dxa"/>
            <w:vAlign w:val="bottom"/>
          </w:tcPr>
          <w:p>
            <w:pPr>
              <w:spacing w:after="0"/>
              <w:rPr>
                <w:sz w:val="1"/>
                <w:szCs w:val="1"/>
                <w:color w:val="auto"/>
              </w:rPr>
            </w:pPr>
          </w:p>
        </w:tc>
      </w:tr>
      <w:tr>
        <w:trPr>
          <w:trHeight w:val="455"/>
        </w:trPr>
        <w:tc>
          <w:tcPr>
            <w:tcW w:w="3360" w:type="dxa"/>
            <w:vAlign w:val="bottom"/>
          </w:tcPr>
          <w:p>
            <w:pPr>
              <w:spacing w:after="0"/>
              <w:rPr>
                <w:sz w:val="20"/>
                <w:szCs w:val="20"/>
                <w:color w:val="auto"/>
              </w:rPr>
            </w:pPr>
            <w:r>
              <w:rPr>
                <w:rFonts w:ascii="Arial" w:cs="Arial" w:eastAsia="Arial" w:hAnsi="Arial"/>
                <w:sz w:val="22"/>
                <w:szCs w:val="22"/>
                <w:color w:val="auto"/>
              </w:rPr>
              <w:t>OTHER INCOME (EXPENSE)</w:t>
            </w: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360" w:type="dxa"/>
            <w:vAlign w:val="bottom"/>
          </w:tcPr>
          <w:p>
            <w:pPr>
              <w:ind w:left="180"/>
              <w:spacing w:after="0" w:line="243" w:lineRule="exact"/>
              <w:rPr>
                <w:sz w:val="20"/>
                <w:szCs w:val="20"/>
                <w:color w:val="auto"/>
              </w:rPr>
            </w:pPr>
            <w:r>
              <w:rPr>
                <w:rFonts w:ascii="Arial" w:cs="Arial" w:eastAsia="Arial" w:hAnsi="Arial"/>
                <w:sz w:val="22"/>
                <w:szCs w:val="22"/>
                <w:color w:val="auto"/>
              </w:rPr>
              <w:t>Interest expense</w:t>
            </w:r>
          </w:p>
        </w:tc>
        <w:tc>
          <w:tcPr>
            <w:tcW w:w="88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(123)</w:t>
            </w:r>
          </w:p>
        </w:tc>
        <w:tc>
          <w:tcPr>
            <w:tcW w:w="880" w:type="dxa"/>
            <w:vAlign w:val="bottom"/>
            <w:gridSpan w:val="2"/>
          </w:tcPr>
          <w:p>
            <w:pPr>
              <w:jc w:val="right"/>
              <w:ind w:right="120"/>
              <w:spacing w:after="0" w:line="243" w:lineRule="exact"/>
              <w:rPr>
                <w:sz w:val="20"/>
                <w:szCs w:val="20"/>
                <w:color w:val="auto"/>
              </w:rPr>
            </w:pPr>
            <w:r>
              <w:rPr>
                <w:rFonts w:ascii="Arial" w:cs="Arial" w:eastAsia="Arial" w:hAnsi="Arial"/>
                <w:sz w:val="22"/>
                <w:szCs w:val="22"/>
                <w:color w:val="auto"/>
              </w:rPr>
              <w:t>(274)</w:t>
            </w:r>
          </w:p>
        </w:tc>
        <w:tc>
          <w:tcPr>
            <w:tcW w:w="880" w:type="dxa"/>
            <w:vAlign w:val="bottom"/>
            <w:gridSpan w:val="2"/>
          </w:tcPr>
          <w:p>
            <w:pPr>
              <w:jc w:val="right"/>
              <w:ind w:right="120"/>
              <w:spacing w:after="0" w:line="243" w:lineRule="exact"/>
              <w:rPr>
                <w:sz w:val="20"/>
                <w:szCs w:val="20"/>
                <w:color w:val="auto"/>
              </w:rPr>
            </w:pPr>
            <w:r>
              <w:rPr>
                <w:rFonts w:ascii="Arial" w:cs="Arial" w:eastAsia="Arial" w:hAnsi="Arial"/>
                <w:sz w:val="22"/>
                <w:szCs w:val="22"/>
                <w:color w:val="auto"/>
              </w:rPr>
              <w:t>(206)</w:t>
            </w:r>
          </w:p>
        </w:tc>
        <w:tc>
          <w:tcPr>
            <w:tcW w:w="920" w:type="dxa"/>
            <w:vAlign w:val="bottom"/>
            <w:gridSpan w:val="2"/>
          </w:tcPr>
          <w:p>
            <w:pPr>
              <w:jc w:val="right"/>
              <w:ind w:right="120"/>
              <w:spacing w:after="0" w:line="243" w:lineRule="exact"/>
              <w:rPr>
                <w:sz w:val="20"/>
                <w:szCs w:val="20"/>
                <w:color w:val="auto"/>
              </w:rPr>
            </w:pPr>
            <w:r>
              <w:rPr>
                <w:rFonts w:ascii="Arial" w:cs="Arial" w:eastAsia="Arial" w:hAnsi="Arial"/>
                <w:sz w:val="22"/>
                <w:szCs w:val="22"/>
                <w:color w:val="auto"/>
              </w:rPr>
              <w:t>(192)</w:t>
            </w:r>
          </w:p>
        </w:tc>
        <w:tc>
          <w:tcPr>
            <w:tcW w:w="1060" w:type="dxa"/>
            <w:vAlign w:val="bottom"/>
            <w:gridSpan w:val="2"/>
          </w:tcPr>
          <w:p>
            <w:pPr>
              <w:jc w:val="right"/>
              <w:ind w:right="120"/>
              <w:spacing w:after="0" w:line="243" w:lineRule="exact"/>
              <w:rPr>
                <w:sz w:val="20"/>
                <w:szCs w:val="20"/>
                <w:color w:val="auto"/>
              </w:rPr>
            </w:pPr>
            <w:r>
              <w:rPr>
                <w:rFonts w:ascii="Arial" w:cs="Arial" w:eastAsia="Arial" w:hAnsi="Arial"/>
                <w:sz w:val="22"/>
                <w:szCs w:val="22"/>
                <w:color w:val="auto"/>
              </w:rPr>
              <w:t>(219)</w:t>
            </w: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(1,014)</w:t>
            </w:r>
          </w:p>
        </w:tc>
        <w:tc>
          <w:tcPr>
            <w:tcW w:w="0" w:type="dxa"/>
            <w:vAlign w:val="bottom"/>
          </w:tcPr>
          <w:p>
            <w:pPr>
              <w:spacing w:after="0"/>
              <w:rPr>
                <w:sz w:val="1"/>
                <w:szCs w:val="1"/>
                <w:color w:val="auto"/>
              </w:rPr>
            </w:pPr>
          </w:p>
        </w:tc>
      </w:tr>
      <w:tr>
        <w:trPr>
          <w:trHeight w:val="243"/>
        </w:trPr>
        <w:tc>
          <w:tcPr>
            <w:tcW w:w="3360" w:type="dxa"/>
            <w:vAlign w:val="bottom"/>
          </w:tcPr>
          <w:p>
            <w:pPr>
              <w:ind w:left="180"/>
              <w:spacing w:after="0" w:line="243" w:lineRule="exact"/>
              <w:rPr>
                <w:sz w:val="20"/>
                <w:szCs w:val="20"/>
                <w:color w:val="auto"/>
              </w:rPr>
            </w:pPr>
            <w:r>
              <w:rPr>
                <w:rFonts w:ascii="Arial" w:cs="Arial" w:eastAsia="Arial" w:hAnsi="Arial"/>
                <w:sz w:val="22"/>
                <w:szCs w:val="22"/>
                <w:color w:val="auto"/>
              </w:rPr>
              <w:t>Investment loss, net</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120"/>
              <w:spacing w:after="0" w:line="243" w:lineRule="exact"/>
              <w:rPr>
                <w:sz w:val="20"/>
                <w:szCs w:val="20"/>
                <w:color w:val="auto"/>
              </w:rPr>
            </w:pPr>
            <w:r>
              <w:rPr>
                <w:rFonts w:ascii="Arial" w:cs="Arial" w:eastAsia="Arial" w:hAnsi="Arial"/>
                <w:sz w:val="22"/>
                <w:szCs w:val="22"/>
                <w:color w:val="auto"/>
              </w:rPr>
              <w:t>(229)</w:t>
            </w: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(229)</w:t>
            </w:r>
          </w:p>
        </w:tc>
        <w:tc>
          <w:tcPr>
            <w:tcW w:w="0" w:type="dxa"/>
            <w:vAlign w:val="bottom"/>
          </w:tcPr>
          <w:p>
            <w:pPr>
              <w:spacing w:after="0"/>
              <w:rPr>
                <w:sz w:val="1"/>
                <w:szCs w:val="1"/>
                <w:color w:val="auto"/>
              </w:rPr>
            </w:pPr>
          </w:p>
        </w:tc>
      </w:tr>
      <w:tr>
        <w:trPr>
          <w:trHeight w:val="275"/>
        </w:trPr>
        <w:tc>
          <w:tcPr>
            <w:tcW w:w="3360" w:type="dxa"/>
            <w:vAlign w:val="bottom"/>
          </w:tcPr>
          <w:p>
            <w:pPr>
              <w:ind w:left="180"/>
              <w:spacing w:after="0"/>
              <w:rPr>
                <w:sz w:val="20"/>
                <w:szCs w:val="20"/>
                <w:color w:val="auto"/>
              </w:rPr>
            </w:pPr>
            <w:r>
              <w:rPr>
                <w:rFonts w:ascii="Arial" w:cs="Arial" w:eastAsia="Arial" w:hAnsi="Arial"/>
                <w:sz w:val="22"/>
                <w:szCs w:val="22"/>
                <w:color w:val="auto"/>
              </w:rPr>
              <w:t>Equity in net (losses) income of</w:t>
            </w:r>
          </w:p>
        </w:tc>
        <w:tc>
          <w:tcPr>
            <w:tcW w:w="7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108" w:right="1440" w:bottom="0" w:gutter="0" w:footer="0" w:header="0"/>
        </w:sectPr>
      </w:pPr>
    </w:p>
    <w:bookmarkStart w:id="23" w:name="page24"/>
    <w:bookmarkEnd w:id="2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60" w:type="dxa"/>
            <w:vAlign w:val="bottom"/>
          </w:tcPr>
          <w:p>
            <w:pPr>
              <w:ind w:left="340"/>
              <w:spacing w:after="0"/>
              <w:rPr>
                <w:sz w:val="20"/>
                <w:szCs w:val="20"/>
                <w:color w:val="auto"/>
              </w:rPr>
            </w:pPr>
            <w:r>
              <w:rPr>
                <w:rFonts w:ascii="Arial" w:cs="Arial" w:eastAsia="Arial" w:hAnsi="Arial"/>
                <w:sz w:val="22"/>
                <w:szCs w:val="22"/>
                <w:color w:val="auto"/>
              </w:rPr>
              <w:t>affiliates</w:t>
            </w:r>
          </w:p>
        </w:tc>
        <w:tc>
          <w:tcPr>
            <w:tcW w:w="880" w:type="dxa"/>
            <w:vAlign w:val="bottom"/>
            <w:gridSpan w:val="2"/>
          </w:tcPr>
          <w:p>
            <w:pPr>
              <w:jc w:val="right"/>
              <w:ind w:right="100"/>
              <w:spacing w:after="0"/>
              <w:rPr>
                <w:sz w:val="20"/>
                <w:szCs w:val="20"/>
                <w:color w:val="auto"/>
              </w:rPr>
            </w:pPr>
            <w:r>
              <w:rPr>
                <w:rFonts w:ascii="Arial" w:cs="Arial" w:eastAsia="Arial" w:hAnsi="Arial"/>
                <w:sz w:val="22"/>
                <w:szCs w:val="22"/>
                <w:color w:val="auto"/>
              </w:rPr>
              <w:t>(310)</w:t>
            </w:r>
          </w:p>
        </w:tc>
        <w:tc>
          <w:tcPr>
            <w:tcW w:w="880" w:type="dxa"/>
            <w:vAlign w:val="bottom"/>
            <w:gridSpan w:val="2"/>
          </w:tcPr>
          <w:p>
            <w:pPr>
              <w:jc w:val="right"/>
              <w:ind w:right="200"/>
              <w:spacing w:after="0"/>
              <w:rPr>
                <w:sz w:val="20"/>
                <w:szCs w:val="20"/>
                <w:color w:val="auto"/>
              </w:rPr>
            </w:pPr>
            <w:r>
              <w:rPr>
                <w:rFonts w:ascii="Arial" w:cs="Arial" w:eastAsia="Arial" w:hAnsi="Arial"/>
                <w:sz w:val="22"/>
                <w:szCs w:val="22"/>
                <w:color w:val="auto"/>
              </w:rPr>
              <w:t>501</w:t>
            </w:r>
          </w:p>
        </w:tc>
        <w:tc>
          <w:tcPr>
            <w:tcW w:w="880" w:type="dxa"/>
            <w:vAlign w:val="bottom"/>
            <w:gridSpan w:val="2"/>
          </w:tcPr>
          <w:p>
            <w:pPr>
              <w:jc w:val="right"/>
              <w:ind w:right="120"/>
              <w:spacing w:after="0"/>
              <w:rPr>
                <w:sz w:val="20"/>
                <w:szCs w:val="20"/>
                <w:color w:val="auto"/>
              </w:rPr>
            </w:pPr>
            <w:r>
              <w:rPr>
                <w:rFonts w:ascii="Arial" w:cs="Arial" w:eastAsia="Arial" w:hAnsi="Arial"/>
                <w:sz w:val="22"/>
                <w:szCs w:val="22"/>
                <w:color w:val="auto"/>
              </w:rPr>
              <w:t>(407)</w:t>
            </w:r>
          </w:p>
        </w:tc>
        <w:tc>
          <w:tcPr>
            <w:tcW w:w="920" w:type="dxa"/>
            <w:vAlign w:val="bottom"/>
            <w:gridSpan w:val="2"/>
          </w:tcPr>
          <w:p>
            <w:pPr>
              <w:jc w:val="right"/>
              <w:ind w:right="120"/>
              <w:spacing w:after="0"/>
              <w:rPr>
                <w:sz w:val="20"/>
                <w:szCs w:val="20"/>
                <w:color w:val="auto"/>
              </w:rPr>
            </w:pPr>
            <w:r>
              <w:rPr>
                <w:rFonts w:ascii="Arial" w:cs="Arial" w:eastAsia="Arial" w:hAnsi="Arial"/>
                <w:sz w:val="22"/>
                <w:szCs w:val="22"/>
                <w:color w:val="auto"/>
              </w:rPr>
              <w:t>(282)</w:t>
            </w:r>
          </w:p>
        </w:tc>
        <w:tc>
          <w:tcPr>
            <w:tcW w:w="860" w:type="dxa"/>
            <w:vAlign w:val="bottom"/>
          </w:tcPr>
          <w:p>
            <w:pPr>
              <w:jc w:val="right"/>
              <w:spacing w:after="0"/>
              <w:rPr>
                <w:sz w:val="20"/>
                <w:szCs w:val="20"/>
                <w:color w:val="auto"/>
              </w:rPr>
            </w:pPr>
            <w:r>
              <w:rPr>
                <w:rFonts w:ascii="Arial" w:cs="Arial" w:eastAsia="Arial" w:hAnsi="Arial"/>
                <w:sz w:val="22"/>
                <w:szCs w:val="22"/>
                <w:color w:val="auto"/>
              </w:rPr>
              <w:t>307</w:t>
            </w: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22"/>
                <w:szCs w:val="22"/>
                <w:color w:val="auto"/>
              </w:rPr>
              <w:t>175</w:t>
            </w:r>
          </w:p>
        </w:tc>
        <w:tc>
          <w:tcPr>
            <w:tcW w:w="1200" w:type="dxa"/>
            <w:vAlign w:val="bottom"/>
            <w:gridSpan w:val="3"/>
          </w:tcPr>
          <w:p>
            <w:pPr>
              <w:jc w:val="right"/>
              <w:spacing w:after="0"/>
              <w:rPr>
                <w:sz w:val="20"/>
                <w:szCs w:val="20"/>
                <w:color w:val="auto"/>
              </w:rPr>
            </w:pPr>
            <w:r>
              <w:rPr>
                <w:rFonts w:ascii="Arial" w:cs="Arial" w:eastAsia="Arial" w:hAnsi="Arial"/>
                <w:sz w:val="22"/>
                <w:szCs w:val="22"/>
                <w:color w:val="auto"/>
              </w:rPr>
              <w:t>(16)</w:t>
            </w:r>
          </w:p>
        </w:tc>
        <w:tc>
          <w:tcPr>
            <w:tcW w:w="0" w:type="dxa"/>
            <w:vAlign w:val="bottom"/>
          </w:tcPr>
          <w:p>
            <w:pPr>
              <w:spacing w:after="0"/>
              <w:rPr>
                <w:sz w:val="1"/>
                <w:szCs w:val="1"/>
                <w:color w:val="auto"/>
              </w:rPr>
            </w:pPr>
          </w:p>
        </w:tc>
      </w:tr>
      <w:tr>
        <w:trPr>
          <w:trHeight w:val="275"/>
        </w:trPr>
        <w:tc>
          <w:tcPr>
            <w:tcW w:w="3360" w:type="dxa"/>
            <w:vAlign w:val="bottom"/>
          </w:tcPr>
          <w:p>
            <w:pPr>
              <w:ind w:left="180"/>
              <w:spacing w:after="0"/>
              <w:rPr>
                <w:sz w:val="20"/>
                <w:szCs w:val="20"/>
                <w:color w:val="auto"/>
              </w:rPr>
            </w:pPr>
            <w:r>
              <w:rPr>
                <w:rFonts w:ascii="Arial" w:cs="Arial" w:eastAsia="Arial" w:hAnsi="Arial"/>
                <w:sz w:val="22"/>
                <w:szCs w:val="22"/>
                <w:color w:val="auto"/>
              </w:rPr>
              <w:t>Other income</w:t>
            </w:r>
          </w:p>
        </w:tc>
        <w:tc>
          <w:tcPr>
            <w:tcW w:w="7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22"/>
                <w:szCs w:val="22"/>
                <w:color w:val="auto"/>
              </w:rPr>
              <w:t>35</w:t>
            </w:r>
          </w:p>
        </w:tc>
        <w:tc>
          <w:tcPr>
            <w:tcW w:w="2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0" w:type="dxa"/>
            <w:vAlign w:val="bottom"/>
            <w:gridSpan w:val="3"/>
          </w:tcPr>
          <w:p>
            <w:pPr>
              <w:jc w:val="right"/>
              <w:ind w:right="80"/>
              <w:spacing w:after="0"/>
              <w:rPr>
                <w:sz w:val="20"/>
                <w:szCs w:val="20"/>
                <w:color w:val="auto"/>
              </w:rPr>
            </w:pPr>
            <w:r>
              <w:rPr>
                <w:rFonts w:ascii="Arial" w:cs="Arial" w:eastAsia="Arial" w:hAnsi="Arial"/>
                <w:sz w:val="22"/>
                <w:szCs w:val="22"/>
                <w:color w:val="auto"/>
              </w:rPr>
              <w:t>35</w:t>
            </w:r>
          </w:p>
        </w:tc>
        <w:tc>
          <w:tcPr>
            <w:tcW w:w="0" w:type="dxa"/>
            <w:vAlign w:val="bottom"/>
          </w:tcPr>
          <w:p>
            <w:pPr>
              <w:spacing w:after="0"/>
              <w:rPr>
                <w:sz w:val="1"/>
                <w:szCs w:val="1"/>
                <w:color w:val="auto"/>
              </w:rPr>
            </w:pPr>
          </w:p>
        </w:tc>
      </w:tr>
      <w:tr>
        <w:trPr>
          <w:trHeight w:val="98"/>
        </w:trPr>
        <w:tc>
          <w:tcPr>
            <w:tcW w:w="336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55"/>
        </w:trPr>
        <w:tc>
          <w:tcPr>
            <w:tcW w:w="3360" w:type="dxa"/>
            <w:vAlign w:val="bottom"/>
          </w:tcPr>
          <w:p>
            <w:pPr>
              <w:spacing w:after="0"/>
              <w:rPr>
                <w:sz w:val="24"/>
                <w:szCs w:val="2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22"/>
                <w:szCs w:val="22"/>
                <w:color w:val="auto"/>
              </w:rPr>
              <w:t>(433)</w:t>
            </w:r>
          </w:p>
        </w:tc>
        <w:tc>
          <w:tcPr>
            <w:tcW w:w="880" w:type="dxa"/>
            <w:vAlign w:val="bottom"/>
            <w:gridSpan w:val="2"/>
          </w:tcPr>
          <w:p>
            <w:pPr>
              <w:jc w:val="right"/>
              <w:ind w:right="200"/>
              <w:spacing w:after="0"/>
              <w:rPr>
                <w:sz w:val="20"/>
                <w:szCs w:val="20"/>
                <w:color w:val="auto"/>
              </w:rPr>
            </w:pPr>
            <w:r>
              <w:rPr>
                <w:rFonts w:ascii="Arial" w:cs="Arial" w:eastAsia="Arial" w:hAnsi="Arial"/>
                <w:sz w:val="22"/>
                <w:szCs w:val="22"/>
                <w:color w:val="auto"/>
              </w:rPr>
              <w:t>227</w:t>
            </w:r>
          </w:p>
        </w:tc>
        <w:tc>
          <w:tcPr>
            <w:tcW w:w="880" w:type="dxa"/>
            <w:vAlign w:val="bottom"/>
            <w:gridSpan w:val="2"/>
          </w:tcPr>
          <w:p>
            <w:pPr>
              <w:jc w:val="right"/>
              <w:ind w:right="120"/>
              <w:spacing w:after="0"/>
              <w:rPr>
                <w:sz w:val="20"/>
                <w:szCs w:val="20"/>
                <w:color w:val="auto"/>
              </w:rPr>
            </w:pPr>
            <w:r>
              <w:rPr>
                <w:rFonts w:ascii="Arial" w:cs="Arial" w:eastAsia="Arial" w:hAnsi="Arial"/>
                <w:sz w:val="22"/>
                <w:szCs w:val="22"/>
                <w:color w:val="auto"/>
              </w:rPr>
              <w:t>(613)</w:t>
            </w:r>
          </w:p>
        </w:tc>
        <w:tc>
          <w:tcPr>
            <w:tcW w:w="920" w:type="dxa"/>
            <w:vAlign w:val="bottom"/>
            <w:gridSpan w:val="2"/>
          </w:tcPr>
          <w:p>
            <w:pPr>
              <w:jc w:val="right"/>
              <w:ind w:right="120"/>
              <w:spacing w:after="0"/>
              <w:rPr>
                <w:sz w:val="20"/>
                <w:szCs w:val="20"/>
                <w:color w:val="auto"/>
              </w:rPr>
            </w:pPr>
            <w:r>
              <w:rPr>
                <w:rFonts w:ascii="Arial" w:cs="Arial" w:eastAsia="Arial" w:hAnsi="Arial"/>
                <w:sz w:val="22"/>
                <w:szCs w:val="22"/>
                <w:color w:val="auto"/>
              </w:rPr>
              <w:t>(474)</w:t>
            </w:r>
          </w:p>
        </w:tc>
        <w:tc>
          <w:tcPr>
            <w:tcW w:w="1060" w:type="dxa"/>
            <w:vAlign w:val="bottom"/>
            <w:gridSpan w:val="2"/>
          </w:tcPr>
          <w:p>
            <w:pPr>
              <w:jc w:val="right"/>
              <w:ind w:right="120"/>
              <w:spacing w:after="0"/>
              <w:rPr>
                <w:sz w:val="20"/>
                <w:szCs w:val="20"/>
                <w:color w:val="auto"/>
              </w:rPr>
            </w:pPr>
            <w:r>
              <w:rPr>
                <w:rFonts w:ascii="Arial" w:cs="Arial" w:eastAsia="Arial" w:hAnsi="Arial"/>
                <w:sz w:val="22"/>
                <w:szCs w:val="22"/>
                <w:color w:val="auto"/>
              </w:rPr>
              <w:t>(106)</w:t>
            </w:r>
          </w:p>
        </w:tc>
        <w:tc>
          <w:tcPr>
            <w:tcW w:w="980" w:type="dxa"/>
            <w:vAlign w:val="bottom"/>
          </w:tcPr>
          <w:p>
            <w:pPr>
              <w:jc w:val="right"/>
              <w:spacing w:after="0"/>
              <w:rPr>
                <w:sz w:val="20"/>
                <w:szCs w:val="20"/>
                <w:color w:val="auto"/>
              </w:rPr>
            </w:pPr>
            <w:r>
              <w:rPr>
                <w:rFonts w:ascii="Arial" w:cs="Arial" w:eastAsia="Arial" w:hAnsi="Arial"/>
                <w:sz w:val="22"/>
                <w:szCs w:val="22"/>
                <w:color w:val="auto"/>
              </w:rPr>
              <w:t>175</w:t>
            </w:r>
          </w:p>
        </w:tc>
        <w:tc>
          <w:tcPr>
            <w:tcW w:w="1200" w:type="dxa"/>
            <w:vAlign w:val="bottom"/>
            <w:gridSpan w:val="3"/>
          </w:tcPr>
          <w:p>
            <w:pPr>
              <w:jc w:val="right"/>
              <w:spacing w:after="0"/>
              <w:rPr>
                <w:sz w:val="20"/>
                <w:szCs w:val="20"/>
                <w:color w:val="auto"/>
              </w:rPr>
            </w:pPr>
            <w:r>
              <w:rPr>
                <w:rFonts w:ascii="Arial" w:cs="Arial" w:eastAsia="Arial" w:hAnsi="Arial"/>
                <w:sz w:val="22"/>
                <w:szCs w:val="22"/>
                <w:color w:val="auto"/>
              </w:rPr>
              <w:t>(1,224)</w:t>
            </w:r>
          </w:p>
        </w:tc>
        <w:tc>
          <w:tcPr>
            <w:tcW w:w="0" w:type="dxa"/>
            <w:vAlign w:val="bottom"/>
          </w:tcPr>
          <w:p>
            <w:pPr>
              <w:spacing w:after="0"/>
              <w:rPr>
                <w:sz w:val="1"/>
                <w:szCs w:val="1"/>
                <w:color w:val="auto"/>
              </w:rPr>
            </w:pPr>
          </w:p>
        </w:tc>
      </w:tr>
      <w:tr>
        <w:trPr>
          <w:trHeight w:val="98"/>
        </w:trPr>
        <w:tc>
          <w:tcPr>
            <w:tcW w:w="3360" w:type="dxa"/>
            <w:vAlign w:val="bottom"/>
            <w:vMerge w:val="restart"/>
          </w:tcPr>
          <w:p>
            <w:pPr>
              <w:spacing w:after="0"/>
              <w:rPr>
                <w:sz w:val="20"/>
                <w:szCs w:val="20"/>
                <w:color w:val="auto"/>
              </w:rPr>
            </w:pPr>
            <w:r>
              <w:rPr>
                <w:rFonts w:ascii="Arial" w:cs="Arial" w:eastAsia="Arial" w:hAnsi="Arial"/>
                <w:sz w:val="22"/>
                <w:szCs w:val="22"/>
                <w:color w:val="auto"/>
              </w:rPr>
              <w:t>INCOME (LOSS) FROM</w:t>
            </w:r>
          </w:p>
        </w:tc>
        <w:tc>
          <w:tcPr>
            <w:tcW w:w="7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3"/>
        </w:trPr>
        <w:tc>
          <w:tcPr>
            <w:tcW w:w="336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360" w:type="dxa"/>
            <w:vAlign w:val="bottom"/>
          </w:tcPr>
          <w:p>
            <w:pPr>
              <w:spacing w:after="0" w:line="243" w:lineRule="exact"/>
              <w:rPr>
                <w:sz w:val="20"/>
                <w:szCs w:val="20"/>
                <w:color w:val="auto"/>
              </w:rPr>
            </w:pPr>
            <w:r>
              <w:rPr>
                <w:rFonts w:ascii="Arial" w:cs="Arial" w:eastAsia="Arial" w:hAnsi="Arial"/>
                <w:sz w:val="22"/>
                <w:szCs w:val="22"/>
                <w:color w:val="auto"/>
              </w:rPr>
              <w:t>CONTINUING</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60" w:type="dxa"/>
            <w:vAlign w:val="bottom"/>
          </w:tcPr>
          <w:p>
            <w:pPr>
              <w:spacing w:after="0" w:line="243" w:lineRule="exact"/>
              <w:rPr>
                <w:sz w:val="20"/>
                <w:szCs w:val="20"/>
                <w:color w:val="auto"/>
              </w:rPr>
            </w:pPr>
            <w:r>
              <w:rPr>
                <w:rFonts w:ascii="Arial" w:cs="Arial" w:eastAsia="Arial" w:hAnsi="Arial"/>
                <w:sz w:val="22"/>
                <w:szCs w:val="22"/>
                <w:color w:val="auto"/>
                <w:w w:val="99"/>
              </w:rPr>
              <w:t>OPERATIONS BEFORE INCOME</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60" w:type="dxa"/>
            <w:vAlign w:val="bottom"/>
          </w:tcPr>
          <w:p>
            <w:pPr>
              <w:spacing w:after="0" w:line="243" w:lineRule="exact"/>
              <w:rPr>
                <w:sz w:val="20"/>
                <w:szCs w:val="20"/>
                <w:color w:val="auto"/>
              </w:rPr>
            </w:pPr>
            <w:r>
              <w:rPr>
                <w:rFonts w:ascii="Arial" w:cs="Arial" w:eastAsia="Arial" w:hAnsi="Arial"/>
                <w:sz w:val="22"/>
                <w:szCs w:val="22"/>
                <w:color w:val="auto"/>
              </w:rPr>
              <w:t>TAXES</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3360" w:type="dxa"/>
            <w:vAlign w:val="bottom"/>
          </w:tcPr>
          <w:p>
            <w:pPr>
              <w:spacing w:after="0"/>
              <w:rPr>
                <w:sz w:val="20"/>
                <w:szCs w:val="20"/>
                <w:color w:val="auto"/>
              </w:rPr>
            </w:pPr>
            <w:r>
              <w:rPr>
                <w:rFonts w:ascii="Arial" w:cs="Arial" w:eastAsia="Arial" w:hAnsi="Arial"/>
                <w:sz w:val="22"/>
                <w:szCs w:val="22"/>
                <w:color w:val="auto"/>
              </w:rPr>
              <w:t>AND MINORITY INTEREST</w:t>
            </w:r>
          </w:p>
        </w:tc>
        <w:tc>
          <w:tcPr>
            <w:tcW w:w="880" w:type="dxa"/>
            <w:vAlign w:val="bottom"/>
            <w:gridSpan w:val="2"/>
          </w:tcPr>
          <w:p>
            <w:pPr>
              <w:jc w:val="right"/>
              <w:ind w:right="100"/>
              <w:spacing w:after="0"/>
              <w:rPr>
                <w:sz w:val="20"/>
                <w:szCs w:val="20"/>
                <w:color w:val="auto"/>
              </w:rPr>
            </w:pPr>
            <w:r>
              <w:rPr>
                <w:rFonts w:ascii="Arial" w:cs="Arial" w:eastAsia="Arial" w:hAnsi="Arial"/>
                <w:sz w:val="22"/>
                <w:szCs w:val="22"/>
                <w:color w:val="auto"/>
              </w:rPr>
              <w:t>(322)</w:t>
            </w:r>
          </w:p>
        </w:tc>
        <w:tc>
          <w:tcPr>
            <w:tcW w:w="880" w:type="dxa"/>
            <w:vAlign w:val="bottom"/>
            <w:gridSpan w:val="2"/>
          </w:tcPr>
          <w:p>
            <w:pPr>
              <w:jc w:val="right"/>
              <w:ind w:right="200"/>
              <w:spacing w:after="0"/>
              <w:rPr>
                <w:sz w:val="20"/>
                <w:szCs w:val="20"/>
                <w:color w:val="auto"/>
              </w:rPr>
            </w:pPr>
            <w:r>
              <w:rPr>
                <w:rFonts w:ascii="Arial" w:cs="Arial" w:eastAsia="Arial" w:hAnsi="Arial"/>
                <w:sz w:val="22"/>
                <w:szCs w:val="22"/>
                <w:color w:val="auto"/>
              </w:rPr>
              <w:t>227</w:t>
            </w:r>
          </w:p>
        </w:tc>
        <w:tc>
          <w:tcPr>
            <w:tcW w:w="880" w:type="dxa"/>
            <w:vAlign w:val="bottom"/>
            <w:gridSpan w:val="2"/>
          </w:tcPr>
          <w:p>
            <w:pPr>
              <w:jc w:val="right"/>
              <w:ind w:right="120"/>
              <w:spacing w:after="0"/>
              <w:rPr>
                <w:sz w:val="20"/>
                <w:szCs w:val="20"/>
                <w:color w:val="auto"/>
              </w:rPr>
            </w:pPr>
            <w:r>
              <w:rPr>
                <w:rFonts w:ascii="Arial" w:cs="Arial" w:eastAsia="Arial" w:hAnsi="Arial"/>
                <w:sz w:val="22"/>
                <w:szCs w:val="22"/>
                <w:color w:val="auto"/>
              </w:rPr>
              <w:t>(613)</w:t>
            </w:r>
          </w:p>
        </w:tc>
        <w:tc>
          <w:tcPr>
            <w:tcW w:w="920" w:type="dxa"/>
            <w:vAlign w:val="bottom"/>
            <w:gridSpan w:val="2"/>
          </w:tcPr>
          <w:p>
            <w:pPr>
              <w:jc w:val="right"/>
              <w:ind w:right="120"/>
              <w:spacing w:after="0"/>
              <w:rPr>
                <w:sz w:val="20"/>
                <w:szCs w:val="20"/>
                <w:color w:val="auto"/>
              </w:rPr>
            </w:pPr>
            <w:r>
              <w:rPr>
                <w:rFonts w:ascii="Arial" w:cs="Arial" w:eastAsia="Arial" w:hAnsi="Arial"/>
                <w:sz w:val="22"/>
                <w:szCs w:val="22"/>
                <w:color w:val="auto"/>
              </w:rPr>
              <w:t>(474)</w:t>
            </w:r>
          </w:p>
        </w:tc>
        <w:tc>
          <w:tcPr>
            <w:tcW w:w="860" w:type="dxa"/>
            <w:vAlign w:val="bottom"/>
          </w:tcPr>
          <w:p>
            <w:pPr>
              <w:jc w:val="right"/>
              <w:spacing w:after="0"/>
              <w:rPr>
                <w:sz w:val="20"/>
                <w:szCs w:val="20"/>
                <w:color w:val="auto"/>
              </w:rPr>
            </w:pPr>
            <w:r>
              <w:rPr>
                <w:rFonts w:ascii="Arial" w:cs="Arial" w:eastAsia="Arial" w:hAnsi="Arial"/>
                <w:sz w:val="22"/>
                <w:szCs w:val="22"/>
                <w:color w:val="auto"/>
              </w:rPr>
              <w:t>502</w:t>
            </w:r>
          </w:p>
        </w:tc>
        <w:tc>
          <w:tcPr>
            <w:tcW w:w="2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22"/>
                <w:szCs w:val="22"/>
                <w:color w:val="auto"/>
              </w:rPr>
              <w:t>175</w:t>
            </w:r>
          </w:p>
        </w:tc>
        <w:tc>
          <w:tcPr>
            <w:tcW w:w="1200" w:type="dxa"/>
            <w:vAlign w:val="bottom"/>
            <w:gridSpan w:val="3"/>
          </w:tcPr>
          <w:p>
            <w:pPr>
              <w:jc w:val="right"/>
              <w:spacing w:after="0"/>
              <w:rPr>
                <w:sz w:val="20"/>
                <w:szCs w:val="20"/>
                <w:color w:val="auto"/>
              </w:rPr>
            </w:pPr>
            <w:r>
              <w:rPr>
                <w:rFonts w:ascii="Arial" w:cs="Arial" w:eastAsia="Arial" w:hAnsi="Arial"/>
                <w:sz w:val="22"/>
                <w:szCs w:val="22"/>
                <w:color w:val="auto"/>
              </w:rPr>
              <w:t>(505)</w:t>
            </w:r>
          </w:p>
        </w:tc>
        <w:tc>
          <w:tcPr>
            <w:tcW w:w="0" w:type="dxa"/>
            <w:vAlign w:val="bottom"/>
          </w:tcPr>
          <w:p>
            <w:pPr>
              <w:spacing w:after="0"/>
              <w:rPr>
                <w:sz w:val="1"/>
                <w:szCs w:val="1"/>
                <w:color w:val="auto"/>
              </w:rPr>
            </w:pPr>
          </w:p>
        </w:tc>
      </w:tr>
      <w:tr>
        <w:trPr>
          <w:trHeight w:val="455"/>
        </w:trPr>
        <w:tc>
          <w:tcPr>
            <w:tcW w:w="3360" w:type="dxa"/>
            <w:vAlign w:val="bottom"/>
          </w:tcPr>
          <w:p>
            <w:pPr>
              <w:spacing w:after="0"/>
              <w:rPr>
                <w:sz w:val="20"/>
                <w:szCs w:val="20"/>
                <w:color w:val="auto"/>
              </w:rPr>
            </w:pPr>
            <w:r>
              <w:rPr>
                <w:rFonts w:ascii="Arial" w:cs="Arial" w:eastAsia="Arial" w:hAnsi="Arial"/>
                <w:sz w:val="22"/>
                <w:szCs w:val="22"/>
                <w:color w:val="auto"/>
              </w:rPr>
              <w:t>INCOME TAX (EXPENSE)</w:t>
            </w: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3360" w:type="dxa"/>
            <w:vAlign w:val="bottom"/>
          </w:tcPr>
          <w:p>
            <w:pPr>
              <w:spacing w:after="0"/>
              <w:rPr>
                <w:sz w:val="20"/>
                <w:szCs w:val="20"/>
                <w:color w:val="auto"/>
              </w:rPr>
            </w:pPr>
            <w:r>
              <w:rPr>
                <w:rFonts w:ascii="Arial" w:cs="Arial" w:eastAsia="Arial" w:hAnsi="Arial"/>
                <w:sz w:val="22"/>
                <w:szCs w:val="22"/>
                <w:color w:val="auto"/>
              </w:rPr>
              <w:t>BENEFIT</w:t>
            </w:r>
          </w:p>
        </w:tc>
        <w:tc>
          <w:tcPr>
            <w:tcW w:w="700" w:type="dxa"/>
            <w:vAlign w:val="bottom"/>
          </w:tcPr>
          <w:p>
            <w:pPr>
              <w:jc w:val="right"/>
              <w:spacing w:after="0"/>
              <w:rPr>
                <w:sz w:val="20"/>
                <w:szCs w:val="20"/>
                <w:color w:val="auto"/>
              </w:rPr>
            </w:pPr>
            <w:r>
              <w:rPr>
                <w:rFonts w:ascii="Arial" w:cs="Arial" w:eastAsia="Arial" w:hAnsi="Arial"/>
                <w:sz w:val="22"/>
                <w:szCs w:val="22"/>
                <w:color w:val="auto"/>
              </w:rPr>
              <w:t>3</w:t>
            </w:r>
          </w:p>
        </w:tc>
        <w:tc>
          <w:tcPr>
            <w:tcW w:w="180" w:type="dxa"/>
            <w:vAlign w:val="bottom"/>
          </w:tcPr>
          <w:p>
            <w:pPr>
              <w:spacing w:after="0"/>
              <w:rPr>
                <w:sz w:val="23"/>
                <w:szCs w:val="23"/>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22"/>
                <w:szCs w:val="22"/>
                <w:color w:val="auto"/>
              </w:rPr>
              <w:t>96</w:t>
            </w:r>
          </w:p>
        </w:tc>
        <w:tc>
          <w:tcPr>
            <w:tcW w:w="880" w:type="dxa"/>
            <w:vAlign w:val="bottom"/>
            <w:gridSpan w:val="2"/>
          </w:tcPr>
          <w:p>
            <w:pPr>
              <w:jc w:val="right"/>
              <w:ind w:right="200"/>
              <w:spacing w:after="0"/>
              <w:rPr>
                <w:sz w:val="20"/>
                <w:szCs w:val="20"/>
                <w:color w:val="auto"/>
              </w:rPr>
            </w:pPr>
            <w:r>
              <w:rPr>
                <w:rFonts w:ascii="Arial" w:cs="Arial" w:eastAsia="Arial" w:hAnsi="Arial"/>
                <w:sz w:val="22"/>
                <w:szCs w:val="22"/>
                <w:color w:val="auto"/>
              </w:rPr>
              <w:t>72</w:t>
            </w:r>
          </w:p>
        </w:tc>
        <w:tc>
          <w:tcPr>
            <w:tcW w:w="740" w:type="dxa"/>
            <w:vAlign w:val="bottom"/>
          </w:tcPr>
          <w:p>
            <w:pPr>
              <w:jc w:val="right"/>
              <w:spacing w:after="0"/>
              <w:rPr>
                <w:sz w:val="20"/>
                <w:szCs w:val="20"/>
                <w:color w:val="auto"/>
              </w:rPr>
            </w:pPr>
            <w:r>
              <w:rPr>
                <w:rFonts w:ascii="Arial" w:cs="Arial" w:eastAsia="Arial" w:hAnsi="Arial"/>
                <w:sz w:val="22"/>
                <w:szCs w:val="22"/>
                <w:color w:val="auto"/>
              </w:rPr>
              <w:t>67</w:t>
            </w:r>
          </w:p>
        </w:tc>
        <w:tc>
          <w:tcPr>
            <w:tcW w:w="180" w:type="dxa"/>
            <w:vAlign w:val="bottom"/>
          </w:tcPr>
          <w:p>
            <w:pPr>
              <w:spacing w:after="0"/>
              <w:rPr>
                <w:sz w:val="23"/>
                <w:szCs w:val="23"/>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22"/>
                <w:szCs w:val="22"/>
                <w:color w:val="auto"/>
              </w:rPr>
              <w:t>(110)</w:t>
            </w:r>
          </w:p>
        </w:tc>
        <w:tc>
          <w:tcPr>
            <w:tcW w:w="980" w:type="dxa"/>
            <w:vAlign w:val="bottom"/>
          </w:tcPr>
          <w:p>
            <w:pPr>
              <w:spacing w:after="0"/>
              <w:rPr>
                <w:sz w:val="23"/>
                <w:szCs w:val="23"/>
                <w:color w:val="auto"/>
              </w:rPr>
            </w:pPr>
          </w:p>
        </w:tc>
        <w:tc>
          <w:tcPr>
            <w:tcW w:w="1200" w:type="dxa"/>
            <w:vAlign w:val="bottom"/>
            <w:gridSpan w:val="3"/>
          </w:tcPr>
          <w:p>
            <w:pPr>
              <w:jc w:val="right"/>
              <w:ind w:right="80"/>
              <w:spacing w:after="0"/>
              <w:rPr>
                <w:sz w:val="20"/>
                <w:szCs w:val="20"/>
                <w:color w:val="auto"/>
              </w:rPr>
            </w:pPr>
            <w:r>
              <w:rPr>
                <w:rFonts w:ascii="Arial" w:cs="Arial" w:eastAsia="Arial" w:hAnsi="Arial"/>
                <w:sz w:val="22"/>
                <w:szCs w:val="22"/>
                <w:color w:val="auto"/>
              </w:rPr>
              <w:t>128</w:t>
            </w:r>
          </w:p>
        </w:tc>
        <w:tc>
          <w:tcPr>
            <w:tcW w:w="0" w:type="dxa"/>
            <w:vAlign w:val="bottom"/>
          </w:tcPr>
          <w:p>
            <w:pPr>
              <w:spacing w:after="0"/>
              <w:rPr>
                <w:sz w:val="1"/>
                <w:szCs w:val="1"/>
                <w:color w:val="auto"/>
              </w:rPr>
            </w:pPr>
          </w:p>
        </w:tc>
      </w:tr>
      <w:tr>
        <w:trPr>
          <w:trHeight w:val="98"/>
        </w:trPr>
        <w:tc>
          <w:tcPr>
            <w:tcW w:w="3360" w:type="dxa"/>
            <w:vAlign w:val="bottom"/>
            <w:vMerge w:val="restart"/>
          </w:tcPr>
          <w:p>
            <w:pPr>
              <w:spacing w:after="0"/>
              <w:rPr>
                <w:sz w:val="20"/>
                <w:szCs w:val="20"/>
                <w:color w:val="auto"/>
              </w:rPr>
            </w:pPr>
            <w:r>
              <w:rPr>
                <w:rFonts w:ascii="Arial" w:cs="Arial" w:eastAsia="Arial" w:hAnsi="Arial"/>
                <w:sz w:val="22"/>
                <w:szCs w:val="22"/>
                <w:color w:val="auto"/>
              </w:rPr>
              <w:t>INCOME (LOSS) FROM</w:t>
            </w:r>
          </w:p>
        </w:tc>
        <w:tc>
          <w:tcPr>
            <w:tcW w:w="7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66"/>
        </w:trPr>
        <w:tc>
          <w:tcPr>
            <w:tcW w:w="336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360" w:type="dxa"/>
            <w:vAlign w:val="bottom"/>
          </w:tcPr>
          <w:p>
            <w:pPr>
              <w:spacing w:after="0" w:line="243" w:lineRule="exact"/>
              <w:rPr>
                <w:sz w:val="20"/>
                <w:szCs w:val="20"/>
                <w:color w:val="auto"/>
              </w:rPr>
            </w:pPr>
            <w:r>
              <w:rPr>
                <w:rFonts w:ascii="Arial" w:cs="Arial" w:eastAsia="Arial" w:hAnsi="Arial"/>
                <w:sz w:val="22"/>
                <w:szCs w:val="22"/>
                <w:color w:val="auto"/>
              </w:rPr>
              <w:t>CONTINUING</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60" w:type="dxa"/>
            <w:vAlign w:val="bottom"/>
          </w:tcPr>
          <w:p>
            <w:pPr>
              <w:spacing w:after="0" w:line="243" w:lineRule="exact"/>
              <w:rPr>
                <w:sz w:val="20"/>
                <w:szCs w:val="20"/>
                <w:color w:val="auto"/>
              </w:rPr>
            </w:pPr>
            <w:r>
              <w:rPr>
                <w:rFonts w:ascii="Arial" w:cs="Arial" w:eastAsia="Arial" w:hAnsi="Arial"/>
                <w:sz w:val="22"/>
                <w:szCs w:val="22"/>
                <w:color w:val="auto"/>
              </w:rPr>
              <w:t>OPERATIONS BEFORE</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60" w:type="dxa"/>
            <w:vAlign w:val="bottom"/>
          </w:tcPr>
          <w:p>
            <w:pPr>
              <w:spacing w:after="0" w:line="243" w:lineRule="exact"/>
              <w:rPr>
                <w:sz w:val="20"/>
                <w:szCs w:val="20"/>
                <w:color w:val="auto"/>
              </w:rPr>
            </w:pPr>
            <w:r>
              <w:rPr>
                <w:rFonts w:ascii="Arial" w:cs="Arial" w:eastAsia="Arial" w:hAnsi="Arial"/>
                <w:sz w:val="22"/>
                <w:szCs w:val="22"/>
                <w:color w:val="auto"/>
              </w:rPr>
              <w:t>MINORITY</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3360" w:type="dxa"/>
            <w:vAlign w:val="bottom"/>
          </w:tcPr>
          <w:p>
            <w:pPr>
              <w:spacing w:after="0"/>
              <w:rPr>
                <w:sz w:val="20"/>
                <w:szCs w:val="20"/>
                <w:color w:val="auto"/>
              </w:rPr>
            </w:pPr>
            <w:r>
              <w:rPr>
                <w:rFonts w:ascii="Arial" w:cs="Arial" w:eastAsia="Arial" w:hAnsi="Arial"/>
                <w:sz w:val="22"/>
                <w:szCs w:val="22"/>
                <w:color w:val="auto"/>
              </w:rPr>
              <w:t>INTEREST</w:t>
            </w:r>
          </w:p>
        </w:tc>
        <w:tc>
          <w:tcPr>
            <w:tcW w:w="880" w:type="dxa"/>
            <w:vAlign w:val="bottom"/>
            <w:gridSpan w:val="2"/>
          </w:tcPr>
          <w:p>
            <w:pPr>
              <w:jc w:val="right"/>
              <w:ind w:right="100"/>
              <w:spacing w:after="0"/>
              <w:rPr>
                <w:sz w:val="20"/>
                <w:szCs w:val="20"/>
                <w:color w:val="auto"/>
              </w:rPr>
            </w:pPr>
            <w:r>
              <w:rPr>
                <w:rFonts w:ascii="Arial" w:cs="Arial" w:eastAsia="Arial" w:hAnsi="Arial"/>
                <w:sz w:val="22"/>
                <w:szCs w:val="22"/>
                <w:color w:val="auto"/>
              </w:rPr>
              <w:t>(319)</w:t>
            </w:r>
          </w:p>
        </w:tc>
        <w:tc>
          <w:tcPr>
            <w:tcW w:w="880" w:type="dxa"/>
            <w:vAlign w:val="bottom"/>
            <w:gridSpan w:val="2"/>
          </w:tcPr>
          <w:p>
            <w:pPr>
              <w:jc w:val="right"/>
              <w:ind w:right="200"/>
              <w:spacing w:after="0"/>
              <w:rPr>
                <w:sz w:val="20"/>
                <w:szCs w:val="20"/>
                <w:color w:val="auto"/>
              </w:rPr>
            </w:pPr>
            <w:r>
              <w:rPr>
                <w:rFonts w:ascii="Arial" w:cs="Arial" w:eastAsia="Arial" w:hAnsi="Arial"/>
                <w:sz w:val="22"/>
                <w:szCs w:val="22"/>
                <w:color w:val="auto"/>
              </w:rPr>
              <w:t>323</w:t>
            </w:r>
          </w:p>
        </w:tc>
        <w:tc>
          <w:tcPr>
            <w:tcW w:w="880" w:type="dxa"/>
            <w:vAlign w:val="bottom"/>
            <w:gridSpan w:val="2"/>
          </w:tcPr>
          <w:p>
            <w:pPr>
              <w:jc w:val="right"/>
              <w:ind w:right="120"/>
              <w:spacing w:after="0"/>
              <w:rPr>
                <w:sz w:val="20"/>
                <w:szCs w:val="20"/>
                <w:color w:val="auto"/>
              </w:rPr>
            </w:pPr>
            <w:r>
              <w:rPr>
                <w:rFonts w:ascii="Arial" w:cs="Arial" w:eastAsia="Arial" w:hAnsi="Arial"/>
                <w:sz w:val="22"/>
                <w:szCs w:val="22"/>
                <w:color w:val="auto"/>
              </w:rPr>
              <w:t>(541)</w:t>
            </w:r>
          </w:p>
        </w:tc>
        <w:tc>
          <w:tcPr>
            <w:tcW w:w="920" w:type="dxa"/>
            <w:vAlign w:val="bottom"/>
            <w:gridSpan w:val="2"/>
          </w:tcPr>
          <w:p>
            <w:pPr>
              <w:jc w:val="right"/>
              <w:ind w:right="120"/>
              <w:spacing w:after="0"/>
              <w:rPr>
                <w:sz w:val="20"/>
                <w:szCs w:val="20"/>
                <w:color w:val="auto"/>
              </w:rPr>
            </w:pPr>
            <w:r>
              <w:rPr>
                <w:rFonts w:ascii="Arial" w:cs="Arial" w:eastAsia="Arial" w:hAnsi="Arial"/>
                <w:sz w:val="22"/>
                <w:szCs w:val="22"/>
                <w:color w:val="auto"/>
              </w:rPr>
              <w:t>(407)</w:t>
            </w:r>
          </w:p>
        </w:tc>
        <w:tc>
          <w:tcPr>
            <w:tcW w:w="860" w:type="dxa"/>
            <w:vAlign w:val="bottom"/>
          </w:tcPr>
          <w:p>
            <w:pPr>
              <w:jc w:val="right"/>
              <w:spacing w:after="0"/>
              <w:rPr>
                <w:sz w:val="20"/>
                <w:szCs w:val="20"/>
                <w:color w:val="auto"/>
              </w:rPr>
            </w:pPr>
            <w:r>
              <w:rPr>
                <w:rFonts w:ascii="Arial" w:cs="Arial" w:eastAsia="Arial" w:hAnsi="Arial"/>
                <w:sz w:val="22"/>
                <w:szCs w:val="22"/>
                <w:color w:val="auto"/>
              </w:rPr>
              <w:t>392</w:t>
            </w:r>
          </w:p>
        </w:tc>
        <w:tc>
          <w:tcPr>
            <w:tcW w:w="2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22"/>
                <w:szCs w:val="22"/>
                <w:color w:val="auto"/>
              </w:rPr>
              <w:t>175</w:t>
            </w:r>
          </w:p>
        </w:tc>
        <w:tc>
          <w:tcPr>
            <w:tcW w:w="1200" w:type="dxa"/>
            <w:vAlign w:val="bottom"/>
            <w:gridSpan w:val="3"/>
          </w:tcPr>
          <w:p>
            <w:pPr>
              <w:jc w:val="right"/>
              <w:spacing w:after="0"/>
              <w:rPr>
                <w:sz w:val="20"/>
                <w:szCs w:val="20"/>
                <w:color w:val="auto"/>
              </w:rPr>
            </w:pPr>
            <w:r>
              <w:rPr>
                <w:rFonts w:ascii="Arial" w:cs="Arial" w:eastAsia="Arial" w:hAnsi="Arial"/>
                <w:sz w:val="22"/>
                <w:szCs w:val="22"/>
                <w:color w:val="auto"/>
              </w:rPr>
              <w:t>(377)</w:t>
            </w:r>
          </w:p>
        </w:tc>
        <w:tc>
          <w:tcPr>
            <w:tcW w:w="0" w:type="dxa"/>
            <w:vAlign w:val="bottom"/>
          </w:tcPr>
          <w:p>
            <w:pPr>
              <w:spacing w:after="0"/>
              <w:rPr>
                <w:sz w:val="1"/>
                <w:szCs w:val="1"/>
                <w:color w:val="auto"/>
              </w:rPr>
            </w:pPr>
          </w:p>
        </w:tc>
      </w:tr>
      <w:tr>
        <w:trPr>
          <w:trHeight w:val="486"/>
        </w:trPr>
        <w:tc>
          <w:tcPr>
            <w:tcW w:w="3360" w:type="dxa"/>
            <w:vAlign w:val="bottom"/>
          </w:tcPr>
          <w:p>
            <w:pPr>
              <w:spacing w:after="0"/>
              <w:rPr>
                <w:sz w:val="20"/>
                <w:szCs w:val="20"/>
                <w:color w:val="auto"/>
              </w:rPr>
            </w:pPr>
            <w:r>
              <w:rPr>
                <w:rFonts w:ascii="Arial" w:cs="Arial" w:eastAsia="Arial" w:hAnsi="Arial"/>
                <w:sz w:val="22"/>
                <w:szCs w:val="22"/>
                <w:color w:val="auto"/>
              </w:rPr>
              <w:t>MINORITY INTEREST</w:t>
            </w: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22"/>
                <w:szCs w:val="22"/>
                <w:color w:val="auto"/>
              </w:rPr>
              <w:t>(71)</w:t>
            </w:r>
          </w:p>
        </w:tc>
        <w:tc>
          <w:tcPr>
            <w:tcW w:w="980" w:type="dxa"/>
            <w:vAlign w:val="bottom"/>
          </w:tcPr>
          <w:p>
            <w:pPr>
              <w:spacing w:after="0"/>
              <w:rPr>
                <w:sz w:val="24"/>
                <w:szCs w:val="24"/>
                <w:color w:val="auto"/>
              </w:rPr>
            </w:pPr>
          </w:p>
        </w:tc>
        <w:tc>
          <w:tcPr>
            <w:tcW w:w="1200" w:type="dxa"/>
            <w:vAlign w:val="bottom"/>
            <w:gridSpan w:val="3"/>
          </w:tcPr>
          <w:p>
            <w:pPr>
              <w:jc w:val="right"/>
              <w:spacing w:after="0"/>
              <w:rPr>
                <w:sz w:val="20"/>
                <w:szCs w:val="20"/>
                <w:color w:val="auto"/>
              </w:rPr>
            </w:pPr>
            <w:r>
              <w:rPr>
                <w:rFonts w:ascii="Arial" w:cs="Arial" w:eastAsia="Arial" w:hAnsi="Arial"/>
                <w:sz w:val="22"/>
                <w:szCs w:val="22"/>
                <w:color w:val="auto"/>
              </w:rPr>
              <w:t>(71)</w:t>
            </w:r>
          </w:p>
        </w:tc>
        <w:tc>
          <w:tcPr>
            <w:tcW w:w="0" w:type="dxa"/>
            <w:vAlign w:val="bottom"/>
          </w:tcPr>
          <w:p>
            <w:pPr>
              <w:spacing w:after="0"/>
              <w:rPr>
                <w:sz w:val="1"/>
                <w:szCs w:val="1"/>
                <w:color w:val="auto"/>
              </w:rPr>
            </w:pPr>
          </w:p>
        </w:tc>
      </w:tr>
      <w:tr>
        <w:trPr>
          <w:trHeight w:val="98"/>
        </w:trPr>
        <w:tc>
          <w:tcPr>
            <w:tcW w:w="3360" w:type="dxa"/>
            <w:vAlign w:val="bottom"/>
            <w:vMerge w:val="restart"/>
          </w:tcPr>
          <w:p>
            <w:pPr>
              <w:spacing w:after="0"/>
              <w:rPr>
                <w:sz w:val="20"/>
                <w:szCs w:val="20"/>
                <w:color w:val="auto"/>
              </w:rPr>
            </w:pPr>
            <w:r>
              <w:rPr>
                <w:rFonts w:ascii="Arial" w:cs="Arial" w:eastAsia="Arial" w:hAnsi="Arial"/>
                <w:sz w:val="22"/>
                <w:szCs w:val="22"/>
                <w:color w:val="auto"/>
              </w:rPr>
              <w:t>INCOME (LOSS) FROM</w:t>
            </w:r>
          </w:p>
        </w:tc>
        <w:tc>
          <w:tcPr>
            <w:tcW w:w="7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66"/>
        </w:trPr>
        <w:tc>
          <w:tcPr>
            <w:tcW w:w="336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360" w:type="dxa"/>
            <w:vAlign w:val="bottom"/>
          </w:tcPr>
          <w:p>
            <w:pPr>
              <w:spacing w:after="0" w:line="243" w:lineRule="exact"/>
              <w:rPr>
                <w:sz w:val="20"/>
                <w:szCs w:val="20"/>
                <w:color w:val="auto"/>
              </w:rPr>
            </w:pPr>
            <w:r>
              <w:rPr>
                <w:rFonts w:ascii="Arial" w:cs="Arial" w:eastAsia="Arial" w:hAnsi="Arial"/>
                <w:sz w:val="22"/>
                <w:szCs w:val="22"/>
                <w:color w:val="auto"/>
              </w:rPr>
              <w:t>CONTINUING</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3360" w:type="dxa"/>
            <w:vAlign w:val="bottom"/>
          </w:tcPr>
          <w:p>
            <w:pPr>
              <w:ind w:left="180"/>
              <w:spacing w:after="0"/>
              <w:rPr>
                <w:sz w:val="20"/>
                <w:szCs w:val="20"/>
                <w:color w:val="auto"/>
              </w:rPr>
            </w:pPr>
            <w:r>
              <w:rPr>
                <w:rFonts w:ascii="Arial" w:cs="Arial" w:eastAsia="Arial" w:hAnsi="Arial"/>
                <w:sz w:val="22"/>
                <w:szCs w:val="22"/>
                <w:color w:val="auto"/>
              </w:rPr>
              <w:t>OPERATIONS</w:t>
            </w:r>
          </w:p>
        </w:tc>
        <w:tc>
          <w:tcPr>
            <w:tcW w:w="880" w:type="dxa"/>
            <w:vAlign w:val="bottom"/>
            <w:gridSpan w:val="2"/>
          </w:tcPr>
          <w:p>
            <w:pPr>
              <w:jc w:val="right"/>
              <w:ind w:right="100"/>
              <w:spacing w:after="0"/>
              <w:rPr>
                <w:sz w:val="20"/>
                <w:szCs w:val="20"/>
                <w:color w:val="auto"/>
              </w:rPr>
            </w:pPr>
            <w:r>
              <w:rPr>
                <w:rFonts w:ascii="Arial" w:cs="Arial" w:eastAsia="Arial" w:hAnsi="Arial"/>
                <w:sz w:val="22"/>
                <w:szCs w:val="22"/>
                <w:color w:val="auto"/>
              </w:rPr>
              <w:t>(319)</w:t>
            </w:r>
          </w:p>
        </w:tc>
        <w:tc>
          <w:tcPr>
            <w:tcW w:w="880" w:type="dxa"/>
            <w:vAlign w:val="bottom"/>
            <w:gridSpan w:val="2"/>
          </w:tcPr>
          <w:p>
            <w:pPr>
              <w:jc w:val="right"/>
              <w:ind w:right="200"/>
              <w:spacing w:after="0"/>
              <w:rPr>
                <w:sz w:val="20"/>
                <w:szCs w:val="20"/>
                <w:color w:val="auto"/>
              </w:rPr>
            </w:pPr>
            <w:r>
              <w:rPr>
                <w:rFonts w:ascii="Arial" w:cs="Arial" w:eastAsia="Arial" w:hAnsi="Arial"/>
                <w:sz w:val="22"/>
                <w:szCs w:val="22"/>
                <w:color w:val="auto"/>
              </w:rPr>
              <w:t>323</w:t>
            </w:r>
          </w:p>
        </w:tc>
        <w:tc>
          <w:tcPr>
            <w:tcW w:w="880" w:type="dxa"/>
            <w:vAlign w:val="bottom"/>
            <w:gridSpan w:val="2"/>
          </w:tcPr>
          <w:p>
            <w:pPr>
              <w:jc w:val="right"/>
              <w:ind w:right="120"/>
              <w:spacing w:after="0"/>
              <w:rPr>
                <w:sz w:val="20"/>
                <w:szCs w:val="20"/>
                <w:color w:val="auto"/>
              </w:rPr>
            </w:pPr>
            <w:r>
              <w:rPr>
                <w:rFonts w:ascii="Arial" w:cs="Arial" w:eastAsia="Arial" w:hAnsi="Arial"/>
                <w:sz w:val="22"/>
                <w:szCs w:val="22"/>
                <w:color w:val="auto"/>
              </w:rPr>
              <w:t>(541)</w:t>
            </w:r>
          </w:p>
        </w:tc>
        <w:tc>
          <w:tcPr>
            <w:tcW w:w="920" w:type="dxa"/>
            <w:vAlign w:val="bottom"/>
            <w:gridSpan w:val="2"/>
          </w:tcPr>
          <w:p>
            <w:pPr>
              <w:jc w:val="right"/>
              <w:ind w:right="120"/>
              <w:spacing w:after="0"/>
              <w:rPr>
                <w:sz w:val="20"/>
                <w:szCs w:val="20"/>
                <w:color w:val="auto"/>
              </w:rPr>
            </w:pPr>
            <w:r>
              <w:rPr>
                <w:rFonts w:ascii="Arial" w:cs="Arial" w:eastAsia="Arial" w:hAnsi="Arial"/>
                <w:sz w:val="22"/>
                <w:szCs w:val="22"/>
                <w:color w:val="auto"/>
              </w:rPr>
              <w:t>(407)</w:t>
            </w:r>
          </w:p>
        </w:tc>
        <w:tc>
          <w:tcPr>
            <w:tcW w:w="860" w:type="dxa"/>
            <w:vAlign w:val="bottom"/>
          </w:tcPr>
          <w:p>
            <w:pPr>
              <w:jc w:val="right"/>
              <w:spacing w:after="0"/>
              <w:rPr>
                <w:sz w:val="20"/>
                <w:szCs w:val="20"/>
                <w:color w:val="auto"/>
              </w:rPr>
            </w:pPr>
            <w:r>
              <w:rPr>
                <w:rFonts w:ascii="Arial" w:cs="Arial" w:eastAsia="Arial" w:hAnsi="Arial"/>
                <w:sz w:val="22"/>
                <w:szCs w:val="22"/>
                <w:color w:val="auto"/>
              </w:rPr>
              <w:t>321</w:t>
            </w:r>
          </w:p>
        </w:tc>
        <w:tc>
          <w:tcPr>
            <w:tcW w:w="2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22"/>
                <w:szCs w:val="22"/>
                <w:color w:val="auto"/>
              </w:rPr>
              <w:t>175</w:t>
            </w:r>
          </w:p>
        </w:tc>
        <w:tc>
          <w:tcPr>
            <w:tcW w:w="1200" w:type="dxa"/>
            <w:vAlign w:val="bottom"/>
            <w:gridSpan w:val="3"/>
          </w:tcPr>
          <w:p>
            <w:pPr>
              <w:jc w:val="right"/>
              <w:spacing w:after="0"/>
              <w:rPr>
                <w:sz w:val="20"/>
                <w:szCs w:val="20"/>
                <w:color w:val="auto"/>
              </w:rPr>
            </w:pPr>
            <w:r>
              <w:rPr>
                <w:rFonts w:ascii="Arial" w:cs="Arial" w:eastAsia="Arial" w:hAnsi="Arial"/>
                <w:sz w:val="22"/>
                <w:szCs w:val="22"/>
                <w:color w:val="auto"/>
              </w:rPr>
              <w:t>(448)</w:t>
            </w:r>
          </w:p>
        </w:tc>
        <w:tc>
          <w:tcPr>
            <w:tcW w:w="0" w:type="dxa"/>
            <w:vAlign w:val="bottom"/>
          </w:tcPr>
          <w:p>
            <w:pPr>
              <w:spacing w:after="0"/>
              <w:rPr>
                <w:sz w:val="1"/>
                <w:szCs w:val="1"/>
                <w:color w:val="auto"/>
              </w:rPr>
            </w:pPr>
          </w:p>
        </w:tc>
      </w:tr>
      <w:tr>
        <w:trPr>
          <w:trHeight w:val="455"/>
        </w:trPr>
        <w:tc>
          <w:tcPr>
            <w:tcW w:w="3360" w:type="dxa"/>
            <w:vAlign w:val="bottom"/>
          </w:tcPr>
          <w:p>
            <w:pPr>
              <w:spacing w:after="0"/>
              <w:rPr>
                <w:sz w:val="20"/>
                <w:szCs w:val="20"/>
                <w:color w:val="auto"/>
              </w:rPr>
            </w:pPr>
            <w:r>
              <w:rPr>
                <w:rFonts w:ascii="Arial" w:cs="Arial" w:eastAsia="Arial" w:hAnsi="Arial"/>
                <w:sz w:val="22"/>
                <w:szCs w:val="22"/>
                <w:color w:val="auto"/>
              </w:rPr>
              <w:t>INCOME FROM</w:t>
            </w: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360" w:type="dxa"/>
            <w:vAlign w:val="bottom"/>
          </w:tcPr>
          <w:p>
            <w:pPr>
              <w:spacing w:after="0" w:line="243" w:lineRule="exact"/>
              <w:rPr>
                <w:sz w:val="20"/>
                <w:szCs w:val="20"/>
                <w:color w:val="auto"/>
              </w:rPr>
            </w:pPr>
            <w:r>
              <w:rPr>
                <w:rFonts w:ascii="Arial" w:cs="Arial" w:eastAsia="Arial" w:hAnsi="Arial"/>
                <w:sz w:val="22"/>
                <w:szCs w:val="22"/>
                <w:color w:val="auto"/>
              </w:rPr>
              <w:t>DISCONTINUED OPERATIONS,</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3360" w:type="dxa"/>
            <w:vAlign w:val="bottom"/>
          </w:tcPr>
          <w:p>
            <w:pPr>
              <w:ind w:left="180"/>
              <w:spacing w:after="0"/>
              <w:rPr>
                <w:sz w:val="20"/>
                <w:szCs w:val="20"/>
                <w:color w:val="auto"/>
              </w:rPr>
            </w:pPr>
            <w:r>
              <w:rPr>
                <w:rFonts w:ascii="Arial" w:cs="Arial" w:eastAsia="Arial" w:hAnsi="Arial"/>
                <w:sz w:val="22"/>
                <w:szCs w:val="22"/>
                <w:color w:val="auto"/>
              </w:rPr>
              <w:t>net of tax</w:t>
            </w:r>
          </w:p>
        </w:tc>
        <w:tc>
          <w:tcPr>
            <w:tcW w:w="7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22"/>
                <w:szCs w:val="22"/>
                <w:color w:val="auto"/>
              </w:rPr>
              <w:t>129</w:t>
            </w:r>
          </w:p>
        </w:tc>
        <w:tc>
          <w:tcPr>
            <w:tcW w:w="2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0" w:type="dxa"/>
            <w:vAlign w:val="bottom"/>
            <w:gridSpan w:val="3"/>
          </w:tcPr>
          <w:p>
            <w:pPr>
              <w:jc w:val="right"/>
              <w:ind w:right="80"/>
              <w:spacing w:after="0"/>
              <w:rPr>
                <w:sz w:val="20"/>
                <w:szCs w:val="20"/>
                <w:color w:val="auto"/>
              </w:rPr>
            </w:pPr>
            <w:r>
              <w:rPr>
                <w:rFonts w:ascii="Arial" w:cs="Arial" w:eastAsia="Arial" w:hAnsi="Arial"/>
                <w:sz w:val="22"/>
                <w:szCs w:val="22"/>
                <w:color w:val="auto"/>
              </w:rPr>
              <w:t>129</w:t>
            </w:r>
          </w:p>
        </w:tc>
        <w:tc>
          <w:tcPr>
            <w:tcW w:w="0" w:type="dxa"/>
            <w:vAlign w:val="bottom"/>
          </w:tcPr>
          <w:p>
            <w:pPr>
              <w:spacing w:after="0"/>
              <w:rPr>
                <w:sz w:val="1"/>
                <w:szCs w:val="1"/>
                <w:color w:val="auto"/>
              </w:rPr>
            </w:pPr>
          </w:p>
        </w:tc>
      </w:tr>
      <w:tr>
        <w:trPr>
          <w:trHeight w:val="98"/>
        </w:trPr>
        <w:tc>
          <w:tcPr>
            <w:tcW w:w="336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98"/>
        </w:trPr>
        <w:tc>
          <w:tcPr>
            <w:tcW w:w="3360" w:type="dxa"/>
            <w:vAlign w:val="bottom"/>
          </w:tcPr>
          <w:p>
            <w:pPr>
              <w:spacing w:after="0"/>
              <w:rPr>
                <w:sz w:val="20"/>
                <w:szCs w:val="20"/>
                <w:color w:val="auto"/>
              </w:rPr>
            </w:pPr>
            <w:r>
              <w:rPr>
                <w:rFonts w:ascii="Arial" w:cs="Arial" w:eastAsia="Arial" w:hAnsi="Arial"/>
                <w:sz w:val="22"/>
                <w:szCs w:val="22"/>
                <w:color w:val="auto"/>
              </w:rPr>
              <w:t>NET INCOME (LOSS)</w:t>
            </w:r>
          </w:p>
        </w:tc>
        <w:tc>
          <w:tcPr>
            <w:tcW w:w="880" w:type="dxa"/>
            <w:vAlign w:val="bottom"/>
            <w:gridSpan w:val="2"/>
          </w:tcPr>
          <w:p>
            <w:pPr>
              <w:jc w:val="right"/>
              <w:ind w:right="100"/>
              <w:spacing w:after="0"/>
              <w:rPr>
                <w:sz w:val="20"/>
                <w:szCs w:val="20"/>
                <w:color w:val="auto"/>
              </w:rPr>
            </w:pPr>
            <w:r>
              <w:rPr>
                <w:rFonts w:ascii="Arial" w:cs="Arial" w:eastAsia="Arial" w:hAnsi="Arial"/>
                <w:sz w:val="22"/>
                <w:szCs w:val="22"/>
                <w:color w:val="auto"/>
              </w:rPr>
              <w:t>($319)</w:t>
            </w:r>
          </w:p>
        </w:tc>
        <w:tc>
          <w:tcPr>
            <w:tcW w:w="880" w:type="dxa"/>
            <w:vAlign w:val="bottom"/>
            <w:gridSpan w:val="2"/>
          </w:tcPr>
          <w:p>
            <w:pPr>
              <w:jc w:val="right"/>
              <w:ind w:right="200"/>
              <w:spacing w:after="0"/>
              <w:rPr>
                <w:sz w:val="20"/>
                <w:szCs w:val="20"/>
                <w:color w:val="auto"/>
              </w:rPr>
            </w:pPr>
            <w:r>
              <w:rPr>
                <w:rFonts w:ascii="Arial" w:cs="Arial" w:eastAsia="Arial" w:hAnsi="Arial"/>
                <w:sz w:val="22"/>
                <w:szCs w:val="22"/>
                <w:color w:val="auto"/>
              </w:rPr>
              <w:t>$323</w:t>
            </w:r>
          </w:p>
        </w:tc>
        <w:tc>
          <w:tcPr>
            <w:tcW w:w="880" w:type="dxa"/>
            <w:vAlign w:val="bottom"/>
            <w:gridSpan w:val="2"/>
          </w:tcPr>
          <w:p>
            <w:pPr>
              <w:jc w:val="right"/>
              <w:ind w:right="120"/>
              <w:spacing w:after="0"/>
              <w:rPr>
                <w:sz w:val="20"/>
                <w:szCs w:val="20"/>
                <w:color w:val="auto"/>
              </w:rPr>
            </w:pPr>
            <w:r>
              <w:rPr>
                <w:rFonts w:ascii="Arial" w:cs="Arial" w:eastAsia="Arial" w:hAnsi="Arial"/>
                <w:sz w:val="22"/>
                <w:szCs w:val="22"/>
                <w:color w:val="auto"/>
              </w:rPr>
              <w:t>($541)</w:t>
            </w:r>
          </w:p>
        </w:tc>
        <w:tc>
          <w:tcPr>
            <w:tcW w:w="920" w:type="dxa"/>
            <w:vAlign w:val="bottom"/>
            <w:gridSpan w:val="2"/>
          </w:tcPr>
          <w:p>
            <w:pPr>
              <w:jc w:val="right"/>
              <w:ind w:right="120"/>
              <w:spacing w:after="0"/>
              <w:rPr>
                <w:sz w:val="20"/>
                <w:szCs w:val="20"/>
                <w:color w:val="auto"/>
              </w:rPr>
            </w:pPr>
            <w:r>
              <w:rPr>
                <w:rFonts w:ascii="Arial" w:cs="Arial" w:eastAsia="Arial" w:hAnsi="Arial"/>
                <w:sz w:val="22"/>
                <w:szCs w:val="22"/>
                <w:color w:val="auto"/>
              </w:rPr>
              <w:t>($407)</w:t>
            </w:r>
          </w:p>
        </w:tc>
        <w:tc>
          <w:tcPr>
            <w:tcW w:w="860" w:type="dxa"/>
            <w:vAlign w:val="bottom"/>
          </w:tcPr>
          <w:p>
            <w:pPr>
              <w:jc w:val="right"/>
              <w:spacing w:after="0"/>
              <w:rPr>
                <w:sz w:val="20"/>
                <w:szCs w:val="20"/>
                <w:color w:val="auto"/>
              </w:rPr>
            </w:pPr>
            <w:r>
              <w:rPr>
                <w:rFonts w:ascii="Arial" w:cs="Arial" w:eastAsia="Arial" w:hAnsi="Arial"/>
                <w:sz w:val="22"/>
                <w:szCs w:val="22"/>
                <w:color w:val="auto"/>
              </w:rPr>
              <w:t>$450</w:t>
            </w:r>
          </w:p>
        </w:tc>
        <w:tc>
          <w:tcPr>
            <w:tcW w:w="2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2"/>
                <w:szCs w:val="22"/>
                <w:color w:val="auto"/>
              </w:rPr>
              <w:t>$175</w:t>
            </w:r>
          </w:p>
        </w:tc>
        <w:tc>
          <w:tcPr>
            <w:tcW w:w="1200" w:type="dxa"/>
            <w:vAlign w:val="bottom"/>
            <w:gridSpan w:val="3"/>
          </w:tcPr>
          <w:p>
            <w:pPr>
              <w:jc w:val="right"/>
              <w:spacing w:after="0"/>
              <w:rPr>
                <w:sz w:val="20"/>
                <w:szCs w:val="20"/>
                <w:color w:val="auto"/>
              </w:rPr>
            </w:pPr>
            <w:r>
              <w:rPr>
                <w:rFonts w:ascii="Arial" w:cs="Arial" w:eastAsia="Arial" w:hAnsi="Arial"/>
                <w:sz w:val="22"/>
                <w:szCs w:val="22"/>
                <w:color w:val="auto"/>
              </w:rPr>
              <w:t>($319)</w:t>
            </w:r>
          </w:p>
        </w:tc>
        <w:tc>
          <w:tcPr>
            <w:tcW w:w="0" w:type="dxa"/>
            <w:vAlign w:val="bottom"/>
          </w:tcPr>
          <w:p>
            <w:pPr>
              <w:spacing w:after="0"/>
              <w:rPr>
                <w:sz w:val="1"/>
                <w:szCs w:val="1"/>
                <w:color w:val="auto"/>
              </w:rPr>
            </w:pPr>
          </w:p>
        </w:tc>
      </w:tr>
      <w:tr>
        <w:trPr>
          <w:trHeight w:val="108"/>
        </w:trPr>
        <w:tc>
          <w:tcPr>
            <w:tcW w:w="336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74"/>
        </w:trPr>
        <w:tc>
          <w:tcPr>
            <w:tcW w:w="3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22"/>
                <w:szCs w:val="22"/>
                <w:color w:val="auto"/>
              </w:rPr>
              <w:t>25</w:t>
            </w: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2567305</wp:posOffset>
            </wp:positionH>
            <wp:positionV relativeFrom="paragraph">
              <wp:posOffset>-378460</wp:posOffset>
            </wp:positionV>
            <wp:extent cx="1270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2129790</wp:posOffset>
            </wp:positionH>
            <wp:positionV relativeFrom="paragraph">
              <wp:posOffset>-378460</wp:posOffset>
            </wp:positionV>
            <wp:extent cx="1270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3115945</wp:posOffset>
            </wp:positionH>
            <wp:positionV relativeFrom="paragraph">
              <wp:posOffset>-378460</wp:posOffset>
            </wp:positionV>
            <wp:extent cx="1270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2695575</wp:posOffset>
            </wp:positionH>
            <wp:positionV relativeFrom="paragraph">
              <wp:posOffset>-378460</wp:posOffset>
            </wp:positionV>
            <wp:extent cx="1270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3673475</wp:posOffset>
            </wp:positionH>
            <wp:positionV relativeFrom="paragraph">
              <wp:posOffset>-378460</wp:posOffset>
            </wp:positionV>
            <wp:extent cx="1270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3244850</wp:posOffset>
            </wp:positionH>
            <wp:positionV relativeFrom="paragraph">
              <wp:posOffset>-378460</wp:posOffset>
            </wp:positionV>
            <wp:extent cx="1270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-378460</wp:posOffset>
            </wp:positionV>
            <wp:extent cx="1270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-378460</wp:posOffset>
            </wp:positionV>
            <wp:extent cx="1270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-378460</wp:posOffset>
            </wp:positionV>
            <wp:extent cx="1270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4393565</wp:posOffset>
            </wp:positionH>
            <wp:positionV relativeFrom="paragraph">
              <wp:posOffset>-378460</wp:posOffset>
            </wp:positionV>
            <wp:extent cx="1270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-378460</wp:posOffset>
            </wp:positionV>
            <wp:extent cx="1270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-378460</wp:posOffset>
            </wp:positionV>
            <wp:extent cx="1270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-378460</wp:posOffset>
            </wp:positionV>
            <wp:extent cx="1270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-378460</wp:posOffset>
            </wp:positionV>
            <wp:extent cx="1270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130810</wp:posOffset>
            </wp:positionV>
            <wp:extent cx="7263765"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94" w:lineRule="exact"/>
        <w:rPr>
          <w:sz w:val="20"/>
          <w:szCs w:val="20"/>
          <w:color w:val="auto"/>
        </w:rPr>
      </w:pPr>
    </w:p>
    <w:p>
      <w:pPr>
        <w:jc w:val="center"/>
        <w:ind w:right="-1160"/>
        <w:spacing w:after="0"/>
        <w:rPr>
          <w:sz w:val="20"/>
          <w:szCs w:val="20"/>
          <w:color w:val="auto"/>
        </w:rPr>
      </w:pPr>
      <w:r>
        <w:rPr>
          <w:rFonts w:ascii="Arial" w:cs="Arial" w:eastAsia="Arial" w:hAnsi="Arial"/>
          <w:sz w:val="22"/>
          <w:szCs w:val="22"/>
          <w:color w:val="auto"/>
        </w:rPr>
        <w:t>COMCAST CORPORATION AND SUBSIDIARIES</w:t>
      </w:r>
    </w:p>
    <w:p>
      <w:pPr>
        <w:jc w:val="center"/>
        <w:ind w:right="-1160"/>
        <w:spacing w:after="0" w:line="238" w:lineRule="auto"/>
        <w:rPr>
          <w:sz w:val="20"/>
          <w:szCs w:val="20"/>
          <w:color w:val="auto"/>
        </w:rPr>
      </w:pPr>
      <w:r>
        <w:rPr>
          <w:rFonts w:ascii="Arial" w:cs="Arial" w:eastAsia="Arial" w:hAnsi="Arial"/>
          <w:sz w:val="22"/>
          <w:szCs w:val="22"/>
          <w:color w:val="auto"/>
        </w:rPr>
        <w:t>FORM 10-Q</w:t>
      </w:r>
    </w:p>
    <w:p>
      <w:pPr>
        <w:jc w:val="center"/>
        <w:ind w:right="-1160"/>
        <w:spacing w:after="0" w:line="230" w:lineRule="auto"/>
        <w:rPr>
          <w:sz w:val="20"/>
          <w:szCs w:val="20"/>
          <w:color w:val="auto"/>
        </w:rPr>
      </w:pPr>
      <w:r>
        <w:rPr>
          <w:rFonts w:ascii="Arial" w:cs="Arial" w:eastAsia="Arial" w:hAnsi="Arial"/>
          <w:sz w:val="22"/>
          <w:szCs w:val="22"/>
          <w:color w:val="auto"/>
        </w:rPr>
        <w:t>QUARTER ENDED JUNE 30, 2004</w:t>
      </w:r>
    </w:p>
    <w:p>
      <w:pPr>
        <w:jc w:val="center"/>
        <w:ind w:right="-1160"/>
        <w:spacing w:after="0" w:line="231" w:lineRule="auto"/>
        <w:rPr>
          <w:sz w:val="20"/>
          <w:szCs w:val="20"/>
          <w:color w:val="auto"/>
        </w:rPr>
      </w:pPr>
      <w:r>
        <w:rPr>
          <w:rFonts w:ascii="Arial" w:cs="Arial" w:eastAsia="Arial" w:hAnsi="Arial"/>
          <w:sz w:val="22"/>
          <w:szCs w:val="22"/>
          <w:color w:val="auto"/>
        </w:rPr>
        <w:t>NOTES TO CONDENSED CONSOLIDATED FINANCIAL STATEMENTS - CONTINUED</w:t>
      </w:r>
    </w:p>
    <w:p>
      <w:pPr>
        <w:spacing w:after="0" w:line="1" w:lineRule="exact"/>
        <w:rPr>
          <w:sz w:val="20"/>
          <w:szCs w:val="20"/>
          <w:color w:val="auto"/>
        </w:rPr>
      </w:pPr>
    </w:p>
    <w:p>
      <w:pPr>
        <w:jc w:val="center"/>
        <w:ind w:right="-1200"/>
        <w:spacing w:after="0"/>
        <w:rPr>
          <w:sz w:val="20"/>
          <w:szCs w:val="20"/>
          <w:color w:val="auto"/>
        </w:rPr>
      </w:pPr>
      <w:r>
        <w:rPr>
          <w:rFonts w:ascii="Arial" w:cs="Arial" w:eastAsia="Arial" w:hAnsi="Arial"/>
          <w:sz w:val="22"/>
          <w:szCs w:val="22"/>
          <w:color w:val="auto"/>
        </w:rPr>
        <w:t>(Unaudited)</w:t>
      </w:r>
    </w:p>
    <w:p>
      <w:pPr>
        <w:spacing w:after="0" w:line="188"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Comcast Corporation</w:t>
      </w:r>
    </w:p>
    <w:p>
      <w:pPr>
        <w:jc w:val="center"/>
        <w:ind w:right="-60"/>
        <w:spacing w:after="0" w:line="238" w:lineRule="auto"/>
        <w:rPr>
          <w:sz w:val="20"/>
          <w:szCs w:val="20"/>
          <w:color w:val="auto"/>
        </w:rPr>
      </w:pPr>
      <w:r>
        <w:rPr>
          <w:rFonts w:ascii="Arial" w:cs="Arial" w:eastAsia="Arial" w:hAnsi="Arial"/>
          <w:sz w:val="22"/>
          <w:szCs w:val="22"/>
          <w:color w:val="auto"/>
        </w:rPr>
        <w:t>Condensed Consolidating Statement of Cash Flows</w:t>
      </w:r>
    </w:p>
    <w:p>
      <w:pPr>
        <w:jc w:val="center"/>
        <w:ind w:right="-60"/>
        <w:spacing w:after="0"/>
        <w:rPr>
          <w:sz w:val="20"/>
          <w:szCs w:val="20"/>
          <w:color w:val="auto"/>
        </w:rPr>
      </w:pPr>
      <w:r>
        <w:rPr>
          <w:rFonts w:ascii="Arial" w:cs="Arial" w:eastAsia="Arial" w:hAnsi="Arial"/>
          <w:sz w:val="22"/>
          <w:szCs w:val="22"/>
          <w:color w:val="auto"/>
        </w:rPr>
        <w:t>For the Six Months Ended June 30, 2004</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Elimination</w:t>
            </w: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8"/>
                <w:szCs w:val="18"/>
                <w:color w:val="auto"/>
                <w:w w:val="87"/>
              </w:rPr>
              <w:t>Combined</w:t>
            </w:r>
          </w:p>
        </w:tc>
        <w:tc>
          <w:tcPr>
            <w:tcW w:w="1060" w:type="dxa"/>
            <w:vAlign w:val="bottom"/>
            <w:gridSpan w:val="2"/>
          </w:tcPr>
          <w:p>
            <w:pPr>
              <w:jc w:val="center"/>
              <w:ind w:right="180"/>
              <w:spacing w:after="0"/>
              <w:rPr>
                <w:sz w:val="20"/>
                <w:szCs w:val="20"/>
                <w:color w:val="auto"/>
              </w:rPr>
            </w:pPr>
            <w:r>
              <w:rPr>
                <w:rFonts w:ascii="Arial" w:cs="Arial" w:eastAsia="Arial" w:hAnsi="Arial"/>
                <w:sz w:val="18"/>
                <w:szCs w:val="18"/>
                <w:color w:val="auto"/>
                <w:w w:val="92"/>
              </w:rPr>
              <w:t>Non-</w:t>
            </w: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color w:val="auto"/>
                <w:w w:val="86"/>
              </w:rPr>
              <w:t>and</w:t>
            </w:r>
          </w:p>
        </w:tc>
        <w:tc>
          <w:tcPr>
            <w:tcW w:w="1000" w:type="dxa"/>
            <w:vAlign w:val="bottom"/>
            <w:gridSpan w:val="2"/>
          </w:tcPr>
          <w:p>
            <w:pPr>
              <w:jc w:val="center"/>
              <w:ind w:right="80"/>
              <w:spacing w:after="0"/>
              <w:rPr>
                <w:sz w:val="20"/>
                <w:szCs w:val="20"/>
                <w:color w:val="auto"/>
              </w:rPr>
            </w:pPr>
            <w:r>
              <w:rPr>
                <w:rFonts w:ascii="Arial" w:cs="Arial" w:eastAsia="Arial" w:hAnsi="Arial"/>
                <w:sz w:val="18"/>
                <w:szCs w:val="18"/>
                <w:color w:val="auto"/>
                <w:w w:val="87"/>
              </w:rPr>
              <w:t>Consolidated</w:t>
            </w:r>
          </w:p>
        </w:tc>
        <w:tc>
          <w:tcPr>
            <w:tcW w:w="0" w:type="dxa"/>
            <w:vAlign w:val="bottom"/>
          </w:tcPr>
          <w:p>
            <w:pPr>
              <w:spacing w:after="0"/>
              <w:rPr>
                <w:sz w:val="1"/>
                <w:szCs w:val="1"/>
                <w:color w:val="auto"/>
              </w:rPr>
            </w:pPr>
          </w:p>
        </w:tc>
      </w:tr>
      <w:tr>
        <w:trPr>
          <w:trHeight w:val="216"/>
        </w:trPr>
        <w:tc>
          <w:tcPr>
            <w:tcW w:w="336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w w:val="90"/>
              </w:rPr>
              <w:t>Comcast</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CCCL</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CCCH</w:t>
            </w:r>
          </w:p>
        </w:tc>
        <w:tc>
          <w:tcPr>
            <w:tcW w:w="920" w:type="dxa"/>
            <w:vAlign w:val="bottom"/>
            <w:gridSpan w:val="2"/>
          </w:tcPr>
          <w:p>
            <w:pPr>
              <w:jc w:val="center"/>
              <w:ind w:right="200"/>
              <w:spacing w:after="0"/>
              <w:rPr>
                <w:sz w:val="20"/>
                <w:szCs w:val="20"/>
                <w:color w:val="auto"/>
              </w:rPr>
            </w:pPr>
            <w:r>
              <w:rPr>
                <w:rFonts w:ascii="Arial" w:cs="Arial" w:eastAsia="Arial" w:hAnsi="Arial"/>
                <w:sz w:val="18"/>
                <w:szCs w:val="18"/>
                <w:color w:val="auto"/>
                <w:w w:val="94"/>
              </w:rPr>
              <w:t>CCHMO</w:t>
            </w:r>
          </w:p>
        </w:tc>
        <w:tc>
          <w:tcPr>
            <w:tcW w:w="1060" w:type="dxa"/>
            <w:vAlign w:val="bottom"/>
            <w:gridSpan w:val="2"/>
          </w:tcPr>
          <w:p>
            <w:pPr>
              <w:jc w:val="center"/>
              <w:ind w:right="180"/>
              <w:spacing w:after="0"/>
              <w:rPr>
                <w:sz w:val="20"/>
                <w:szCs w:val="20"/>
                <w:color w:val="auto"/>
              </w:rPr>
            </w:pPr>
            <w:r>
              <w:rPr>
                <w:rFonts w:ascii="Arial" w:cs="Arial" w:eastAsia="Arial" w:hAnsi="Arial"/>
                <w:sz w:val="18"/>
                <w:szCs w:val="18"/>
                <w:color w:val="auto"/>
                <w:w w:val="88"/>
              </w:rPr>
              <w:t>Guarantor</w:t>
            </w: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Consolidation</w:t>
            </w:r>
          </w:p>
        </w:tc>
        <w:tc>
          <w:tcPr>
            <w:tcW w:w="100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Comcast</w:t>
            </w:r>
          </w:p>
        </w:tc>
        <w:tc>
          <w:tcPr>
            <w:tcW w:w="0" w:type="dxa"/>
            <w:vAlign w:val="bottom"/>
          </w:tcPr>
          <w:p>
            <w:pPr>
              <w:spacing w:after="0"/>
              <w:rPr>
                <w:sz w:val="1"/>
                <w:szCs w:val="1"/>
                <w:color w:val="auto"/>
              </w:rPr>
            </w:pPr>
          </w:p>
        </w:tc>
      </w:tr>
      <w:tr>
        <w:trPr>
          <w:trHeight w:val="222"/>
        </w:trPr>
        <w:tc>
          <w:tcPr>
            <w:tcW w:w="3360" w:type="dxa"/>
            <w:vAlign w:val="bottom"/>
          </w:tcPr>
          <w:p>
            <w:pPr>
              <w:spacing w:after="0"/>
              <w:rPr>
                <w:sz w:val="19"/>
                <w:szCs w:val="19"/>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Parent</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Parent</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Parent</w:t>
            </w:r>
          </w:p>
        </w:tc>
        <w:tc>
          <w:tcPr>
            <w:tcW w:w="920" w:type="dxa"/>
            <w:vAlign w:val="bottom"/>
            <w:gridSpan w:val="2"/>
          </w:tcPr>
          <w:p>
            <w:pPr>
              <w:jc w:val="center"/>
              <w:ind w:right="200"/>
              <w:spacing w:after="0"/>
              <w:rPr>
                <w:sz w:val="20"/>
                <w:szCs w:val="20"/>
                <w:color w:val="auto"/>
              </w:rPr>
            </w:pPr>
            <w:r>
              <w:rPr>
                <w:rFonts w:ascii="Arial" w:cs="Arial" w:eastAsia="Arial" w:hAnsi="Arial"/>
                <w:sz w:val="18"/>
                <w:szCs w:val="18"/>
                <w:color w:val="auto"/>
                <w:w w:val="83"/>
              </w:rPr>
              <w:t>Parents</w:t>
            </w:r>
          </w:p>
        </w:tc>
        <w:tc>
          <w:tcPr>
            <w:tcW w:w="1060" w:type="dxa"/>
            <w:vAlign w:val="bottom"/>
            <w:gridSpan w:val="2"/>
          </w:tcPr>
          <w:p>
            <w:pPr>
              <w:jc w:val="center"/>
              <w:ind w:right="200"/>
              <w:spacing w:after="0"/>
              <w:rPr>
                <w:sz w:val="20"/>
                <w:szCs w:val="20"/>
                <w:color w:val="auto"/>
              </w:rPr>
            </w:pPr>
            <w:r>
              <w:rPr>
                <w:rFonts w:ascii="Arial" w:cs="Arial" w:eastAsia="Arial" w:hAnsi="Arial"/>
                <w:sz w:val="18"/>
                <w:szCs w:val="18"/>
                <w:color w:val="auto"/>
                <w:w w:val="87"/>
              </w:rPr>
              <w:t>Subsidiaries</w:t>
            </w: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Adjustments</w:t>
            </w:r>
          </w:p>
        </w:tc>
        <w:tc>
          <w:tcPr>
            <w:tcW w:w="100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Corporation</w:t>
            </w:r>
          </w:p>
        </w:tc>
        <w:tc>
          <w:tcPr>
            <w:tcW w:w="0" w:type="dxa"/>
            <w:vAlign w:val="bottom"/>
          </w:tcPr>
          <w:p>
            <w:pPr>
              <w:spacing w:after="0"/>
              <w:rPr>
                <w:sz w:val="1"/>
                <w:szCs w:val="1"/>
                <w:color w:val="auto"/>
              </w:rPr>
            </w:pPr>
          </w:p>
        </w:tc>
      </w:tr>
      <w:tr>
        <w:trPr>
          <w:trHeight w:val="110"/>
        </w:trPr>
        <w:tc>
          <w:tcPr>
            <w:tcW w:w="3360" w:type="dxa"/>
            <w:vAlign w:val="bottom"/>
            <w:vMerge w:val="restart"/>
          </w:tcPr>
          <w:p>
            <w:pPr>
              <w:spacing w:after="0"/>
              <w:rPr>
                <w:sz w:val="20"/>
                <w:szCs w:val="20"/>
                <w:color w:val="auto"/>
              </w:rPr>
            </w:pPr>
            <w:r>
              <w:rPr>
                <w:rFonts w:ascii="Arial" w:cs="Arial" w:eastAsia="Arial" w:hAnsi="Arial"/>
                <w:sz w:val="22"/>
                <w:szCs w:val="22"/>
                <w:color w:val="auto"/>
              </w:rPr>
              <w:t>OPERATING ACTIVITIES</w:t>
            </w:r>
          </w:p>
        </w:tc>
        <w:tc>
          <w:tcPr>
            <w:tcW w:w="7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3"/>
        </w:trPr>
        <w:tc>
          <w:tcPr>
            <w:tcW w:w="336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360" w:type="dxa"/>
            <w:vAlign w:val="bottom"/>
          </w:tcPr>
          <w:p>
            <w:pPr>
              <w:spacing w:after="0" w:line="243" w:lineRule="exact"/>
              <w:rPr>
                <w:sz w:val="20"/>
                <w:szCs w:val="20"/>
                <w:color w:val="auto"/>
              </w:rPr>
            </w:pPr>
            <w:r>
              <w:rPr>
                <w:rFonts w:ascii="Arial" w:cs="Arial" w:eastAsia="Arial" w:hAnsi="Arial"/>
                <w:sz w:val="22"/>
                <w:szCs w:val="22"/>
                <w:color w:val="auto"/>
              </w:rPr>
              <w:t>Net income (loss)</w:t>
            </w:r>
          </w:p>
        </w:tc>
        <w:tc>
          <w:tcPr>
            <w:tcW w:w="700" w:type="dxa"/>
            <w:vAlign w:val="bottom"/>
          </w:tcPr>
          <w:p>
            <w:pPr>
              <w:jc w:val="right"/>
              <w:spacing w:after="0" w:line="243" w:lineRule="exact"/>
              <w:rPr>
                <w:sz w:val="20"/>
                <w:szCs w:val="20"/>
                <w:color w:val="auto"/>
              </w:rPr>
            </w:pPr>
            <w:r>
              <w:rPr>
                <w:rFonts w:ascii="Arial" w:cs="Arial" w:eastAsia="Arial" w:hAnsi="Arial"/>
                <w:sz w:val="22"/>
                <w:szCs w:val="22"/>
                <w:color w:val="auto"/>
              </w:rPr>
              <w:t>$327</w:t>
            </w:r>
          </w:p>
        </w:tc>
        <w:tc>
          <w:tcPr>
            <w:tcW w:w="180" w:type="dxa"/>
            <w:vAlign w:val="bottom"/>
          </w:tcPr>
          <w:p>
            <w:pPr>
              <w:spacing w:after="0"/>
              <w:rPr>
                <w:sz w:val="21"/>
                <w:szCs w:val="21"/>
                <w:color w:val="auto"/>
              </w:rPr>
            </w:pPr>
          </w:p>
        </w:tc>
        <w:tc>
          <w:tcPr>
            <w:tcW w:w="880" w:type="dxa"/>
            <w:vAlign w:val="bottom"/>
            <w:gridSpan w:val="2"/>
          </w:tcPr>
          <w:p>
            <w:pPr>
              <w:jc w:val="right"/>
              <w:ind w:right="200"/>
              <w:spacing w:after="0" w:line="243" w:lineRule="exact"/>
              <w:rPr>
                <w:sz w:val="20"/>
                <w:szCs w:val="20"/>
                <w:color w:val="auto"/>
              </w:rPr>
            </w:pPr>
            <w:r>
              <w:rPr>
                <w:rFonts w:ascii="Arial" w:cs="Arial" w:eastAsia="Arial" w:hAnsi="Arial"/>
                <w:sz w:val="22"/>
                <w:szCs w:val="22"/>
                <w:color w:val="auto"/>
              </w:rPr>
              <w:t>$450</w:t>
            </w:r>
          </w:p>
        </w:tc>
        <w:tc>
          <w:tcPr>
            <w:tcW w:w="880" w:type="dxa"/>
            <w:vAlign w:val="bottom"/>
            <w:gridSpan w:val="2"/>
          </w:tcPr>
          <w:p>
            <w:pPr>
              <w:jc w:val="right"/>
              <w:ind w:right="200"/>
              <w:spacing w:after="0" w:line="243" w:lineRule="exact"/>
              <w:rPr>
                <w:sz w:val="20"/>
                <w:szCs w:val="20"/>
                <w:color w:val="auto"/>
              </w:rPr>
            </w:pPr>
            <w:r>
              <w:rPr>
                <w:rFonts w:ascii="Arial" w:cs="Arial" w:eastAsia="Arial" w:hAnsi="Arial"/>
                <w:sz w:val="22"/>
                <w:szCs w:val="22"/>
                <w:color w:val="auto"/>
              </w:rPr>
              <w:t>$71</w:t>
            </w:r>
          </w:p>
        </w:tc>
        <w:tc>
          <w:tcPr>
            <w:tcW w:w="740" w:type="dxa"/>
            <w:vAlign w:val="bottom"/>
          </w:tcPr>
          <w:p>
            <w:pPr>
              <w:jc w:val="right"/>
              <w:spacing w:after="0" w:line="243" w:lineRule="exact"/>
              <w:rPr>
                <w:sz w:val="20"/>
                <w:szCs w:val="20"/>
                <w:color w:val="auto"/>
              </w:rPr>
            </w:pPr>
            <w:r>
              <w:rPr>
                <w:rFonts w:ascii="Arial" w:cs="Arial" w:eastAsia="Arial" w:hAnsi="Arial"/>
                <w:sz w:val="22"/>
                <w:szCs w:val="22"/>
                <w:color w:val="auto"/>
              </w:rPr>
              <w:t>$170</w:t>
            </w:r>
          </w:p>
        </w:tc>
        <w:tc>
          <w:tcPr>
            <w:tcW w:w="180" w:type="dxa"/>
            <w:vAlign w:val="bottom"/>
          </w:tcPr>
          <w:p>
            <w:pPr>
              <w:spacing w:after="0"/>
              <w:rPr>
                <w:sz w:val="21"/>
                <w:szCs w:val="21"/>
                <w:color w:val="auto"/>
              </w:rPr>
            </w:pPr>
          </w:p>
        </w:tc>
        <w:tc>
          <w:tcPr>
            <w:tcW w:w="860" w:type="dxa"/>
            <w:vAlign w:val="bottom"/>
          </w:tcPr>
          <w:p>
            <w:pPr>
              <w:jc w:val="right"/>
              <w:spacing w:after="0" w:line="243" w:lineRule="exact"/>
              <w:rPr>
                <w:sz w:val="20"/>
                <w:szCs w:val="20"/>
                <w:color w:val="auto"/>
              </w:rPr>
            </w:pPr>
            <w:r>
              <w:rPr>
                <w:rFonts w:ascii="Arial" w:cs="Arial" w:eastAsia="Arial" w:hAnsi="Arial"/>
                <w:sz w:val="22"/>
                <w:szCs w:val="22"/>
                <w:color w:val="auto"/>
              </w:rPr>
              <w:t>$1,199</w:t>
            </w:r>
          </w:p>
        </w:tc>
        <w:tc>
          <w:tcPr>
            <w:tcW w:w="200" w:type="dxa"/>
            <w:vAlign w:val="bottom"/>
          </w:tcPr>
          <w:p>
            <w:pPr>
              <w:spacing w:after="0"/>
              <w:rPr>
                <w:sz w:val="21"/>
                <w:szCs w:val="21"/>
                <w:color w:val="auto"/>
              </w:rPr>
            </w:pPr>
          </w:p>
        </w:tc>
        <w:tc>
          <w:tcPr>
            <w:tcW w:w="1180" w:type="dxa"/>
            <w:vAlign w:val="bottom"/>
            <w:gridSpan w:val="2"/>
          </w:tcPr>
          <w:p>
            <w:pPr>
              <w:jc w:val="right"/>
              <w:ind w:right="120"/>
              <w:spacing w:after="0" w:line="243" w:lineRule="exact"/>
              <w:rPr>
                <w:sz w:val="20"/>
                <w:szCs w:val="20"/>
                <w:color w:val="auto"/>
              </w:rPr>
            </w:pPr>
            <w:r>
              <w:rPr>
                <w:rFonts w:ascii="Arial" w:cs="Arial" w:eastAsia="Arial" w:hAnsi="Arial"/>
                <w:sz w:val="22"/>
                <w:szCs w:val="22"/>
                <w:color w:val="auto"/>
              </w:rPr>
              <w:t>($1,890)</w:t>
            </w:r>
          </w:p>
        </w:tc>
        <w:tc>
          <w:tcPr>
            <w:tcW w:w="1000" w:type="dxa"/>
            <w:vAlign w:val="bottom"/>
            <w:gridSpan w:val="2"/>
          </w:tcPr>
          <w:p>
            <w:pPr>
              <w:jc w:val="right"/>
              <w:ind w:right="80"/>
              <w:spacing w:after="0" w:line="243" w:lineRule="exact"/>
              <w:rPr>
                <w:sz w:val="20"/>
                <w:szCs w:val="20"/>
                <w:color w:val="auto"/>
              </w:rPr>
            </w:pPr>
            <w:r>
              <w:rPr>
                <w:rFonts w:ascii="Arial" w:cs="Arial" w:eastAsia="Arial" w:hAnsi="Arial"/>
                <w:sz w:val="22"/>
                <w:szCs w:val="22"/>
                <w:color w:val="auto"/>
              </w:rPr>
              <w:t>$327</w:t>
            </w:r>
          </w:p>
        </w:tc>
        <w:tc>
          <w:tcPr>
            <w:tcW w:w="0" w:type="dxa"/>
            <w:vAlign w:val="bottom"/>
          </w:tcPr>
          <w:p>
            <w:pPr>
              <w:spacing w:after="0"/>
              <w:rPr>
                <w:sz w:val="1"/>
                <w:szCs w:val="1"/>
                <w:color w:val="auto"/>
              </w:rPr>
            </w:pPr>
          </w:p>
        </w:tc>
      </w:tr>
      <w:tr>
        <w:trPr>
          <w:trHeight w:val="243"/>
        </w:trPr>
        <w:tc>
          <w:tcPr>
            <w:tcW w:w="3360" w:type="dxa"/>
            <w:vAlign w:val="bottom"/>
          </w:tcPr>
          <w:p>
            <w:pPr>
              <w:spacing w:after="0" w:line="243" w:lineRule="exact"/>
              <w:rPr>
                <w:sz w:val="20"/>
                <w:szCs w:val="20"/>
                <w:color w:val="auto"/>
              </w:rPr>
            </w:pPr>
            <w:r>
              <w:rPr>
                <w:rFonts w:ascii="Arial" w:cs="Arial" w:eastAsia="Arial" w:hAnsi="Arial"/>
                <w:sz w:val="22"/>
                <w:szCs w:val="22"/>
                <w:color w:val="auto"/>
              </w:rPr>
              <w:t>Adjustments to reconcile net</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60" w:type="dxa"/>
            <w:vAlign w:val="bottom"/>
          </w:tcPr>
          <w:p>
            <w:pPr>
              <w:spacing w:after="0" w:line="243" w:lineRule="exact"/>
              <w:rPr>
                <w:sz w:val="20"/>
                <w:szCs w:val="20"/>
                <w:color w:val="auto"/>
              </w:rPr>
            </w:pPr>
            <w:r>
              <w:rPr>
                <w:rFonts w:ascii="Arial" w:cs="Arial" w:eastAsia="Arial" w:hAnsi="Arial"/>
                <w:sz w:val="22"/>
                <w:szCs w:val="22"/>
                <w:color w:val="auto"/>
              </w:rPr>
              <w:t>income (loss)</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60" w:type="dxa"/>
            <w:vAlign w:val="bottom"/>
          </w:tcPr>
          <w:p>
            <w:pPr>
              <w:ind w:left="120"/>
              <w:spacing w:after="0" w:line="243" w:lineRule="exact"/>
              <w:rPr>
                <w:sz w:val="20"/>
                <w:szCs w:val="20"/>
                <w:color w:val="auto"/>
              </w:rPr>
            </w:pPr>
            <w:r>
              <w:rPr>
                <w:rFonts w:ascii="Arial" w:cs="Arial" w:eastAsia="Arial" w:hAnsi="Arial"/>
                <w:sz w:val="22"/>
                <w:szCs w:val="22"/>
                <w:color w:val="auto"/>
              </w:rPr>
              <w:t>to net cash provided by (used in)</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60" w:type="dxa"/>
            <w:vAlign w:val="bottom"/>
          </w:tcPr>
          <w:p>
            <w:pPr>
              <w:ind w:left="120"/>
              <w:spacing w:after="0" w:line="243" w:lineRule="exact"/>
              <w:rPr>
                <w:sz w:val="20"/>
                <w:szCs w:val="20"/>
                <w:color w:val="auto"/>
              </w:rPr>
            </w:pPr>
            <w:r>
              <w:rPr>
                <w:rFonts w:ascii="Arial" w:cs="Arial" w:eastAsia="Arial" w:hAnsi="Arial"/>
                <w:sz w:val="22"/>
                <w:szCs w:val="22"/>
                <w:color w:val="auto"/>
              </w:rPr>
              <w:t>operating activities:</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60" w:type="dxa"/>
            <w:vAlign w:val="bottom"/>
          </w:tcPr>
          <w:p>
            <w:pPr>
              <w:ind w:left="180"/>
              <w:spacing w:after="0" w:line="243" w:lineRule="exact"/>
              <w:rPr>
                <w:sz w:val="20"/>
                <w:szCs w:val="20"/>
                <w:color w:val="auto"/>
              </w:rPr>
            </w:pPr>
            <w:r>
              <w:rPr>
                <w:rFonts w:ascii="Arial" w:cs="Arial" w:eastAsia="Arial" w:hAnsi="Arial"/>
                <w:sz w:val="22"/>
                <w:szCs w:val="22"/>
                <w:color w:val="auto"/>
              </w:rPr>
              <w:t>Depreciation</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spacing w:after="0" w:line="243" w:lineRule="exact"/>
              <w:rPr>
                <w:sz w:val="20"/>
                <w:szCs w:val="20"/>
                <w:color w:val="auto"/>
              </w:rPr>
            </w:pPr>
            <w:r>
              <w:rPr>
                <w:rFonts w:ascii="Arial" w:cs="Arial" w:eastAsia="Arial" w:hAnsi="Arial"/>
                <w:sz w:val="22"/>
                <w:szCs w:val="22"/>
                <w:color w:val="auto"/>
              </w:rPr>
              <w:t>1,611</w:t>
            </w: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gridSpan w:val="2"/>
          </w:tcPr>
          <w:p>
            <w:pPr>
              <w:jc w:val="right"/>
              <w:ind w:right="80"/>
              <w:spacing w:after="0" w:line="243" w:lineRule="exact"/>
              <w:rPr>
                <w:sz w:val="20"/>
                <w:szCs w:val="20"/>
                <w:color w:val="auto"/>
              </w:rPr>
            </w:pPr>
            <w:r>
              <w:rPr>
                <w:rFonts w:ascii="Arial" w:cs="Arial" w:eastAsia="Arial" w:hAnsi="Arial"/>
                <w:sz w:val="22"/>
                <w:szCs w:val="22"/>
                <w:color w:val="auto"/>
              </w:rPr>
              <w:t>1,611</w:t>
            </w:r>
          </w:p>
        </w:tc>
        <w:tc>
          <w:tcPr>
            <w:tcW w:w="0" w:type="dxa"/>
            <w:vAlign w:val="bottom"/>
          </w:tcPr>
          <w:p>
            <w:pPr>
              <w:spacing w:after="0"/>
              <w:rPr>
                <w:sz w:val="1"/>
                <w:szCs w:val="1"/>
                <w:color w:val="auto"/>
              </w:rPr>
            </w:pPr>
          </w:p>
        </w:tc>
      </w:tr>
      <w:tr>
        <w:trPr>
          <w:trHeight w:val="243"/>
        </w:trPr>
        <w:tc>
          <w:tcPr>
            <w:tcW w:w="3360" w:type="dxa"/>
            <w:vAlign w:val="bottom"/>
          </w:tcPr>
          <w:p>
            <w:pPr>
              <w:ind w:left="160"/>
              <w:spacing w:after="0" w:line="243" w:lineRule="exact"/>
              <w:rPr>
                <w:sz w:val="20"/>
                <w:szCs w:val="20"/>
                <w:color w:val="auto"/>
              </w:rPr>
            </w:pPr>
            <w:r>
              <w:rPr>
                <w:rFonts w:ascii="Arial" w:cs="Arial" w:eastAsia="Arial" w:hAnsi="Arial"/>
                <w:sz w:val="22"/>
                <w:szCs w:val="22"/>
                <w:color w:val="auto"/>
              </w:rPr>
              <w:t>Amortization</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spacing w:after="0" w:line="243" w:lineRule="exact"/>
              <w:rPr>
                <w:sz w:val="20"/>
                <w:szCs w:val="20"/>
                <w:color w:val="auto"/>
              </w:rPr>
            </w:pPr>
            <w:r>
              <w:rPr>
                <w:rFonts w:ascii="Arial" w:cs="Arial" w:eastAsia="Arial" w:hAnsi="Arial"/>
                <w:sz w:val="22"/>
                <w:szCs w:val="22"/>
                <w:color w:val="auto"/>
              </w:rPr>
              <w:t>563</w:t>
            </w: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gridSpan w:val="2"/>
          </w:tcPr>
          <w:p>
            <w:pPr>
              <w:jc w:val="right"/>
              <w:ind w:right="80"/>
              <w:spacing w:after="0" w:line="243" w:lineRule="exact"/>
              <w:rPr>
                <w:sz w:val="20"/>
                <w:szCs w:val="20"/>
                <w:color w:val="auto"/>
              </w:rPr>
            </w:pPr>
            <w:r>
              <w:rPr>
                <w:rFonts w:ascii="Arial" w:cs="Arial" w:eastAsia="Arial" w:hAnsi="Arial"/>
                <w:sz w:val="22"/>
                <w:szCs w:val="22"/>
                <w:color w:val="auto"/>
              </w:rPr>
              <w:t>563</w:t>
            </w:r>
          </w:p>
        </w:tc>
        <w:tc>
          <w:tcPr>
            <w:tcW w:w="0" w:type="dxa"/>
            <w:vAlign w:val="bottom"/>
          </w:tcPr>
          <w:p>
            <w:pPr>
              <w:spacing w:after="0"/>
              <w:rPr>
                <w:sz w:val="1"/>
                <w:szCs w:val="1"/>
                <w:color w:val="auto"/>
              </w:rPr>
            </w:pPr>
          </w:p>
        </w:tc>
      </w:tr>
      <w:tr>
        <w:trPr>
          <w:trHeight w:val="243"/>
        </w:trPr>
        <w:tc>
          <w:tcPr>
            <w:tcW w:w="3360" w:type="dxa"/>
            <w:vAlign w:val="bottom"/>
          </w:tcPr>
          <w:p>
            <w:pPr>
              <w:ind w:left="180"/>
              <w:spacing w:after="0" w:line="243" w:lineRule="exact"/>
              <w:rPr>
                <w:sz w:val="20"/>
                <w:szCs w:val="20"/>
                <w:color w:val="auto"/>
              </w:rPr>
            </w:pPr>
            <w:r>
              <w:rPr>
                <w:rFonts w:ascii="Arial" w:cs="Arial" w:eastAsia="Arial" w:hAnsi="Arial"/>
                <w:sz w:val="22"/>
                <w:szCs w:val="22"/>
                <w:color w:val="auto"/>
              </w:rPr>
              <w:t>Non-cash interest (income)</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60" w:type="dxa"/>
            <w:vAlign w:val="bottom"/>
          </w:tcPr>
          <w:p>
            <w:pPr>
              <w:spacing w:after="0" w:line="243" w:lineRule="exact"/>
              <w:rPr>
                <w:sz w:val="20"/>
                <w:szCs w:val="20"/>
                <w:color w:val="auto"/>
              </w:rPr>
            </w:pPr>
            <w:r>
              <w:rPr>
                <w:rFonts w:ascii="Arial" w:cs="Arial" w:eastAsia="Arial" w:hAnsi="Arial"/>
                <w:sz w:val="22"/>
                <w:szCs w:val="22"/>
                <w:color w:val="auto"/>
              </w:rPr>
              <w:t>expense, net</w:t>
            </w:r>
          </w:p>
        </w:tc>
        <w:tc>
          <w:tcPr>
            <w:tcW w:w="700" w:type="dxa"/>
            <w:vAlign w:val="bottom"/>
          </w:tcPr>
          <w:p>
            <w:pPr>
              <w:jc w:val="right"/>
              <w:spacing w:after="0" w:line="243" w:lineRule="exact"/>
              <w:rPr>
                <w:sz w:val="20"/>
                <w:szCs w:val="20"/>
                <w:color w:val="auto"/>
              </w:rPr>
            </w:pPr>
            <w:r>
              <w:rPr>
                <w:rFonts w:ascii="Arial" w:cs="Arial" w:eastAsia="Arial" w:hAnsi="Arial"/>
                <w:sz w:val="22"/>
                <w:szCs w:val="22"/>
                <w:color w:val="auto"/>
              </w:rPr>
              <w:t>54</w:t>
            </w:r>
          </w:p>
        </w:tc>
        <w:tc>
          <w:tcPr>
            <w:tcW w:w="180" w:type="dxa"/>
            <w:vAlign w:val="bottom"/>
          </w:tcPr>
          <w:p>
            <w:pPr>
              <w:spacing w:after="0"/>
              <w:rPr>
                <w:sz w:val="21"/>
                <w:szCs w:val="21"/>
                <w:color w:val="auto"/>
              </w:rPr>
            </w:pPr>
          </w:p>
        </w:tc>
        <w:tc>
          <w:tcPr>
            <w:tcW w:w="880" w:type="dxa"/>
            <w:vAlign w:val="bottom"/>
            <w:gridSpan w:val="2"/>
          </w:tcPr>
          <w:p>
            <w:pPr>
              <w:jc w:val="right"/>
              <w:ind w:right="200"/>
              <w:spacing w:after="0" w:line="243" w:lineRule="exact"/>
              <w:rPr>
                <w:sz w:val="20"/>
                <w:szCs w:val="20"/>
                <w:color w:val="auto"/>
              </w:rPr>
            </w:pPr>
            <w:r>
              <w:rPr>
                <w:rFonts w:ascii="Arial" w:cs="Arial" w:eastAsia="Arial" w:hAnsi="Arial"/>
                <w:sz w:val="22"/>
                <w:szCs w:val="22"/>
                <w:color w:val="auto"/>
              </w:rPr>
              <w:t>7</w:t>
            </w: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gridSpan w:val="2"/>
          </w:tcPr>
          <w:p>
            <w:pPr>
              <w:jc w:val="right"/>
              <w:ind w:right="120"/>
              <w:spacing w:after="0" w:line="243" w:lineRule="exact"/>
              <w:rPr>
                <w:sz w:val="20"/>
                <w:szCs w:val="20"/>
                <w:color w:val="auto"/>
              </w:rPr>
            </w:pPr>
            <w:r>
              <w:rPr>
                <w:rFonts w:ascii="Arial" w:cs="Arial" w:eastAsia="Arial" w:hAnsi="Arial"/>
                <w:sz w:val="22"/>
                <w:szCs w:val="22"/>
                <w:color w:val="auto"/>
              </w:rPr>
              <w:t>(52)</w:t>
            </w:r>
          </w:p>
        </w:tc>
        <w:tc>
          <w:tcPr>
            <w:tcW w:w="860" w:type="dxa"/>
            <w:vAlign w:val="bottom"/>
          </w:tcPr>
          <w:p>
            <w:pPr>
              <w:jc w:val="right"/>
              <w:spacing w:after="0" w:line="243" w:lineRule="exact"/>
              <w:rPr>
                <w:sz w:val="20"/>
                <w:szCs w:val="20"/>
                <w:color w:val="auto"/>
              </w:rPr>
            </w:pPr>
            <w:r>
              <w:rPr>
                <w:rFonts w:ascii="Arial" w:cs="Arial" w:eastAsia="Arial" w:hAnsi="Arial"/>
                <w:sz w:val="22"/>
                <w:szCs w:val="22"/>
                <w:color w:val="auto"/>
              </w:rPr>
              <w:t>16</w:t>
            </w: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gridSpan w:val="2"/>
          </w:tcPr>
          <w:p>
            <w:pPr>
              <w:jc w:val="right"/>
              <w:ind w:right="80"/>
              <w:spacing w:after="0" w:line="243" w:lineRule="exact"/>
              <w:rPr>
                <w:sz w:val="20"/>
                <w:szCs w:val="20"/>
                <w:color w:val="auto"/>
              </w:rPr>
            </w:pPr>
            <w:r>
              <w:rPr>
                <w:rFonts w:ascii="Arial" w:cs="Arial" w:eastAsia="Arial" w:hAnsi="Arial"/>
                <w:sz w:val="22"/>
                <w:szCs w:val="22"/>
                <w:color w:val="auto"/>
              </w:rPr>
              <w:t>25</w:t>
            </w:r>
          </w:p>
        </w:tc>
        <w:tc>
          <w:tcPr>
            <w:tcW w:w="0" w:type="dxa"/>
            <w:vAlign w:val="bottom"/>
          </w:tcPr>
          <w:p>
            <w:pPr>
              <w:spacing w:after="0"/>
              <w:rPr>
                <w:sz w:val="1"/>
                <w:szCs w:val="1"/>
                <w:color w:val="auto"/>
              </w:rPr>
            </w:pPr>
          </w:p>
        </w:tc>
      </w:tr>
      <w:tr>
        <w:trPr>
          <w:trHeight w:val="243"/>
        </w:trPr>
        <w:tc>
          <w:tcPr>
            <w:tcW w:w="3360" w:type="dxa"/>
            <w:vAlign w:val="bottom"/>
          </w:tcPr>
          <w:p>
            <w:pPr>
              <w:ind w:left="180"/>
              <w:spacing w:after="0" w:line="243" w:lineRule="exact"/>
              <w:rPr>
                <w:sz w:val="20"/>
                <w:szCs w:val="20"/>
                <w:color w:val="auto"/>
              </w:rPr>
            </w:pPr>
            <w:r>
              <w:rPr>
                <w:rFonts w:ascii="Arial" w:cs="Arial" w:eastAsia="Arial" w:hAnsi="Arial"/>
                <w:sz w:val="22"/>
                <w:szCs w:val="22"/>
                <w:color w:val="auto"/>
              </w:rPr>
              <w:t>Equity in net (income) losses of</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60" w:type="dxa"/>
            <w:vAlign w:val="bottom"/>
          </w:tcPr>
          <w:p>
            <w:pPr>
              <w:ind w:left="280"/>
              <w:spacing w:after="0" w:line="243" w:lineRule="exact"/>
              <w:rPr>
                <w:sz w:val="20"/>
                <w:szCs w:val="20"/>
                <w:color w:val="auto"/>
              </w:rPr>
            </w:pPr>
            <w:r>
              <w:rPr>
                <w:rFonts w:ascii="Arial" w:cs="Arial" w:eastAsia="Arial" w:hAnsi="Arial"/>
                <w:sz w:val="22"/>
                <w:szCs w:val="22"/>
                <w:color w:val="auto"/>
              </w:rPr>
              <w:t>affiliates</w:t>
            </w:r>
          </w:p>
        </w:tc>
        <w:tc>
          <w:tcPr>
            <w:tcW w:w="88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(362)</w:t>
            </w:r>
          </w:p>
        </w:tc>
        <w:tc>
          <w:tcPr>
            <w:tcW w:w="880" w:type="dxa"/>
            <w:vAlign w:val="bottom"/>
            <w:gridSpan w:val="2"/>
          </w:tcPr>
          <w:p>
            <w:pPr>
              <w:jc w:val="right"/>
              <w:ind w:right="120"/>
              <w:spacing w:after="0" w:line="243" w:lineRule="exact"/>
              <w:rPr>
                <w:sz w:val="20"/>
                <w:szCs w:val="20"/>
                <w:color w:val="auto"/>
              </w:rPr>
            </w:pPr>
            <w:r>
              <w:rPr>
                <w:rFonts w:ascii="Arial" w:cs="Arial" w:eastAsia="Arial" w:hAnsi="Arial"/>
                <w:sz w:val="22"/>
                <w:szCs w:val="22"/>
                <w:color w:val="auto"/>
              </w:rPr>
              <w:t>(607)</w:t>
            </w:r>
          </w:p>
        </w:tc>
        <w:tc>
          <w:tcPr>
            <w:tcW w:w="880" w:type="dxa"/>
            <w:vAlign w:val="bottom"/>
            <w:gridSpan w:val="2"/>
          </w:tcPr>
          <w:p>
            <w:pPr>
              <w:jc w:val="right"/>
              <w:ind w:right="120"/>
              <w:spacing w:after="0" w:line="243" w:lineRule="exact"/>
              <w:rPr>
                <w:sz w:val="20"/>
                <w:szCs w:val="20"/>
                <w:color w:val="auto"/>
              </w:rPr>
            </w:pPr>
            <w:r>
              <w:rPr>
                <w:rFonts w:ascii="Arial" w:cs="Arial" w:eastAsia="Arial" w:hAnsi="Arial"/>
                <w:sz w:val="22"/>
                <w:szCs w:val="22"/>
                <w:color w:val="auto"/>
              </w:rPr>
              <w:t>(170)</w:t>
            </w:r>
          </w:p>
        </w:tc>
        <w:tc>
          <w:tcPr>
            <w:tcW w:w="920" w:type="dxa"/>
            <w:vAlign w:val="bottom"/>
            <w:gridSpan w:val="2"/>
          </w:tcPr>
          <w:p>
            <w:pPr>
              <w:jc w:val="right"/>
              <w:ind w:right="120"/>
              <w:spacing w:after="0" w:line="243" w:lineRule="exact"/>
              <w:rPr>
                <w:sz w:val="20"/>
                <w:szCs w:val="20"/>
                <w:color w:val="auto"/>
              </w:rPr>
            </w:pPr>
            <w:r>
              <w:rPr>
                <w:rFonts w:ascii="Arial" w:cs="Arial" w:eastAsia="Arial" w:hAnsi="Arial"/>
                <w:sz w:val="22"/>
                <w:szCs w:val="22"/>
                <w:color w:val="auto"/>
              </w:rPr>
              <w:t>(301)</w:t>
            </w:r>
          </w:p>
        </w:tc>
        <w:tc>
          <w:tcPr>
            <w:tcW w:w="1060" w:type="dxa"/>
            <w:vAlign w:val="bottom"/>
            <w:gridSpan w:val="2"/>
          </w:tcPr>
          <w:p>
            <w:pPr>
              <w:jc w:val="right"/>
              <w:ind w:right="120"/>
              <w:spacing w:after="0" w:line="243" w:lineRule="exact"/>
              <w:rPr>
                <w:sz w:val="20"/>
                <w:szCs w:val="20"/>
                <w:color w:val="auto"/>
              </w:rPr>
            </w:pPr>
            <w:r>
              <w:rPr>
                <w:rFonts w:ascii="Arial" w:cs="Arial" w:eastAsia="Arial" w:hAnsi="Arial"/>
                <w:sz w:val="22"/>
                <w:szCs w:val="22"/>
                <w:color w:val="auto"/>
              </w:rPr>
              <w:t>(413)</w:t>
            </w:r>
          </w:p>
        </w:tc>
        <w:tc>
          <w:tcPr>
            <w:tcW w:w="980" w:type="dxa"/>
            <w:vAlign w:val="bottom"/>
          </w:tcPr>
          <w:p>
            <w:pPr>
              <w:jc w:val="right"/>
              <w:spacing w:after="0" w:line="243" w:lineRule="exact"/>
              <w:rPr>
                <w:sz w:val="20"/>
                <w:szCs w:val="20"/>
                <w:color w:val="auto"/>
              </w:rPr>
            </w:pPr>
            <w:r>
              <w:rPr>
                <w:rFonts w:ascii="Arial" w:cs="Arial" w:eastAsia="Arial" w:hAnsi="Arial"/>
                <w:sz w:val="22"/>
                <w:szCs w:val="22"/>
                <w:color w:val="auto"/>
              </w:rPr>
              <w:t>1,890</w:t>
            </w:r>
          </w:p>
        </w:tc>
        <w:tc>
          <w:tcPr>
            <w:tcW w:w="200" w:type="dxa"/>
            <w:vAlign w:val="bottom"/>
          </w:tcPr>
          <w:p>
            <w:pPr>
              <w:spacing w:after="0"/>
              <w:rPr>
                <w:sz w:val="21"/>
                <w:szCs w:val="21"/>
                <w:color w:val="auto"/>
              </w:rPr>
            </w:pPr>
          </w:p>
        </w:tc>
        <w:tc>
          <w:tcPr>
            <w:tcW w:w="1000" w:type="dxa"/>
            <w:vAlign w:val="bottom"/>
            <w:gridSpan w:val="2"/>
          </w:tcPr>
          <w:p>
            <w:pPr>
              <w:jc w:val="right"/>
              <w:ind w:right="80"/>
              <w:spacing w:after="0" w:line="243" w:lineRule="exact"/>
              <w:rPr>
                <w:sz w:val="20"/>
                <w:szCs w:val="20"/>
                <w:color w:val="auto"/>
              </w:rPr>
            </w:pPr>
            <w:r>
              <w:rPr>
                <w:rFonts w:ascii="Arial" w:cs="Arial" w:eastAsia="Arial" w:hAnsi="Arial"/>
                <w:sz w:val="22"/>
                <w:szCs w:val="22"/>
                <w:color w:val="auto"/>
              </w:rPr>
              <w:t>37</w:t>
            </w:r>
          </w:p>
        </w:tc>
        <w:tc>
          <w:tcPr>
            <w:tcW w:w="0" w:type="dxa"/>
            <w:vAlign w:val="bottom"/>
          </w:tcPr>
          <w:p>
            <w:pPr>
              <w:spacing w:after="0"/>
              <w:rPr>
                <w:sz w:val="1"/>
                <w:szCs w:val="1"/>
                <w:color w:val="auto"/>
              </w:rPr>
            </w:pPr>
          </w:p>
        </w:tc>
      </w:tr>
      <w:tr>
        <w:trPr>
          <w:trHeight w:val="243"/>
        </w:trPr>
        <w:tc>
          <w:tcPr>
            <w:tcW w:w="3360" w:type="dxa"/>
            <w:vAlign w:val="bottom"/>
          </w:tcPr>
          <w:p>
            <w:pPr>
              <w:ind w:left="180"/>
              <w:spacing w:after="0" w:line="243" w:lineRule="exact"/>
              <w:rPr>
                <w:sz w:val="20"/>
                <w:szCs w:val="20"/>
                <w:color w:val="auto"/>
              </w:rPr>
            </w:pPr>
            <w:r>
              <w:rPr>
                <w:rFonts w:ascii="Arial" w:cs="Arial" w:eastAsia="Arial" w:hAnsi="Arial"/>
                <w:sz w:val="22"/>
                <w:szCs w:val="22"/>
                <w:color w:val="auto"/>
                <w:w w:val="92"/>
              </w:rPr>
              <w:t>Losses (gains) on investments and</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60" w:type="dxa"/>
            <w:vAlign w:val="bottom"/>
          </w:tcPr>
          <w:p>
            <w:pPr>
              <w:spacing w:after="0" w:line="243" w:lineRule="exact"/>
              <w:rPr>
                <w:sz w:val="20"/>
                <w:szCs w:val="20"/>
                <w:color w:val="auto"/>
              </w:rPr>
            </w:pPr>
            <w:r>
              <w:rPr>
                <w:rFonts w:ascii="Arial" w:cs="Arial" w:eastAsia="Arial" w:hAnsi="Arial"/>
                <w:sz w:val="22"/>
                <w:szCs w:val="22"/>
                <w:color w:val="auto"/>
              </w:rPr>
              <w:t>other</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3360" w:type="dxa"/>
            <w:vAlign w:val="bottom"/>
          </w:tcPr>
          <w:p>
            <w:pPr>
              <w:ind w:left="280"/>
              <w:spacing w:after="0"/>
              <w:rPr>
                <w:sz w:val="20"/>
                <w:szCs w:val="20"/>
                <w:color w:val="auto"/>
              </w:rPr>
            </w:pPr>
            <w:r>
              <w:rPr>
                <w:rFonts w:ascii="Arial" w:cs="Arial" w:eastAsia="Arial" w:hAnsi="Arial"/>
                <w:sz w:val="22"/>
                <w:szCs w:val="22"/>
                <w:color w:val="auto"/>
              </w:rPr>
              <w:t>(income) expense, net</w:t>
            </w:r>
          </w:p>
        </w:tc>
        <w:tc>
          <w:tcPr>
            <w:tcW w:w="7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22"/>
                <w:szCs w:val="22"/>
                <w:color w:val="auto"/>
              </w:rPr>
              <w:t>(125)</w:t>
            </w:r>
          </w:p>
        </w:tc>
        <w:tc>
          <w:tcPr>
            <w:tcW w:w="9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gridSpan w:val="2"/>
          </w:tcPr>
          <w:p>
            <w:pPr>
              <w:jc w:val="right"/>
              <w:spacing w:after="0"/>
              <w:rPr>
                <w:sz w:val="20"/>
                <w:szCs w:val="20"/>
                <w:color w:val="auto"/>
              </w:rPr>
            </w:pPr>
            <w:r>
              <w:rPr>
                <w:rFonts w:ascii="Arial" w:cs="Arial" w:eastAsia="Arial" w:hAnsi="Arial"/>
                <w:sz w:val="22"/>
                <w:szCs w:val="22"/>
                <w:color w:val="auto"/>
              </w:rPr>
              <w:t>(125)</w:t>
            </w:r>
          </w:p>
        </w:tc>
        <w:tc>
          <w:tcPr>
            <w:tcW w:w="0" w:type="dxa"/>
            <w:vAlign w:val="bottom"/>
          </w:tcPr>
          <w:p>
            <w:pPr>
              <w:spacing w:after="0"/>
              <w:rPr>
                <w:sz w:val="1"/>
                <w:szCs w:val="1"/>
                <w:color w:val="auto"/>
              </w:rPr>
            </w:pPr>
          </w:p>
        </w:tc>
      </w:tr>
    </w:tbl>
    <w:p>
      <w:pPr>
        <w:sectPr>
          <w:pgSz w:w="11900" w:h="16840" w:orient="portrait"/>
          <w:cols w:equalWidth="0" w:num="1">
            <w:col w:w="10219"/>
          </w:cols>
          <w:pgMar w:left="240" w:top="108" w:right="1440" w:bottom="0" w:gutter="0" w:footer="0" w:header="0"/>
        </w:sectPr>
      </w:pPr>
    </w:p>
    <w:bookmarkStart w:id="24" w:name="page25"/>
    <w:bookmarkEnd w:id="2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60" w:type="dxa"/>
            <w:vAlign w:val="bottom"/>
          </w:tcPr>
          <w:p>
            <w:pPr>
              <w:ind w:left="180"/>
              <w:spacing w:after="0"/>
              <w:rPr>
                <w:sz w:val="20"/>
                <w:szCs w:val="20"/>
                <w:color w:val="auto"/>
              </w:rPr>
            </w:pPr>
            <w:r>
              <w:rPr>
                <w:rFonts w:ascii="Arial" w:cs="Arial" w:eastAsia="Arial" w:hAnsi="Arial"/>
                <w:sz w:val="22"/>
                <w:szCs w:val="22"/>
                <w:color w:val="auto"/>
              </w:rPr>
              <w:t>Non-cash contribution expense</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22"/>
                <w:szCs w:val="22"/>
                <w:color w:val="auto"/>
              </w:rPr>
              <w:t>23</w:t>
            </w: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0" w:type="dxa"/>
            <w:vAlign w:val="bottom"/>
            <w:gridSpan w:val="3"/>
          </w:tcPr>
          <w:p>
            <w:pPr>
              <w:jc w:val="right"/>
              <w:ind w:right="80"/>
              <w:spacing w:after="0"/>
              <w:rPr>
                <w:sz w:val="20"/>
                <w:szCs w:val="20"/>
                <w:color w:val="auto"/>
              </w:rPr>
            </w:pPr>
            <w:r>
              <w:rPr>
                <w:rFonts w:ascii="Arial" w:cs="Arial" w:eastAsia="Arial" w:hAnsi="Arial"/>
                <w:sz w:val="22"/>
                <w:szCs w:val="22"/>
                <w:color w:val="auto"/>
              </w:rPr>
              <w:t>23</w:t>
            </w:r>
          </w:p>
        </w:tc>
        <w:tc>
          <w:tcPr>
            <w:tcW w:w="0" w:type="dxa"/>
            <w:vAlign w:val="bottom"/>
          </w:tcPr>
          <w:p>
            <w:pPr>
              <w:spacing w:after="0"/>
              <w:rPr>
                <w:sz w:val="1"/>
                <w:szCs w:val="1"/>
                <w:color w:val="auto"/>
              </w:rPr>
            </w:pPr>
          </w:p>
        </w:tc>
      </w:tr>
      <w:tr>
        <w:trPr>
          <w:trHeight w:val="243"/>
        </w:trPr>
        <w:tc>
          <w:tcPr>
            <w:tcW w:w="3360" w:type="dxa"/>
            <w:vAlign w:val="bottom"/>
          </w:tcPr>
          <w:p>
            <w:pPr>
              <w:ind w:left="180"/>
              <w:spacing w:after="0" w:line="243" w:lineRule="exact"/>
              <w:rPr>
                <w:sz w:val="20"/>
                <w:szCs w:val="20"/>
                <w:color w:val="auto"/>
              </w:rPr>
            </w:pPr>
            <w:r>
              <w:rPr>
                <w:rFonts w:ascii="Arial" w:cs="Arial" w:eastAsia="Arial" w:hAnsi="Arial"/>
                <w:sz w:val="22"/>
                <w:szCs w:val="22"/>
                <w:color w:val="auto"/>
              </w:rPr>
              <w:t>Minority interest</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spacing w:after="0" w:line="243" w:lineRule="exact"/>
              <w:rPr>
                <w:sz w:val="20"/>
                <w:szCs w:val="20"/>
                <w:color w:val="auto"/>
              </w:rPr>
            </w:pPr>
            <w:r>
              <w:rPr>
                <w:rFonts w:ascii="Arial" w:cs="Arial" w:eastAsia="Arial" w:hAnsi="Arial"/>
                <w:sz w:val="22"/>
                <w:szCs w:val="22"/>
                <w:color w:val="auto"/>
              </w:rPr>
              <w:t>14</w:t>
            </w: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0" w:type="dxa"/>
            <w:vAlign w:val="bottom"/>
            <w:gridSpan w:val="3"/>
          </w:tcPr>
          <w:p>
            <w:pPr>
              <w:jc w:val="right"/>
              <w:ind w:right="80"/>
              <w:spacing w:after="0" w:line="243" w:lineRule="exact"/>
              <w:rPr>
                <w:sz w:val="20"/>
                <w:szCs w:val="20"/>
                <w:color w:val="auto"/>
              </w:rPr>
            </w:pPr>
            <w:r>
              <w:rPr>
                <w:rFonts w:ascii="Arial" w:cs="Arial" w:eastAsia="Arial" w:hAnsi="Arial"/>
                <w:sz w:val="22"/>
                <w:szCs w:val="22"/>
                <w:color w:val="auto"/>
              </w:rPr>
              <w:t>14</w:t>
            </w:r>
          </w:p>
        </w:tc>
        <w:tc>
          <w:tcPr>
            <w:tcW w:w="0" w:type="dxa"/>
            <w:vAlign w:val="bottom"/>
          </w:tcPr>
          <w:p>
            <w:pPr>
              <w:spacing w:after="0"/>
              <w:rPr>
                <w:sz w:val="1"/>
                <w:szCs w:val="1"/>
                <w:color w:val="auto"/>
              </w:rPr>
            </w:pPr>
          </w:p>
        </w:tc>
      </w:tr>
      <w:tr>
        <w:trPr>
          <w:trHeight w:val="275"/>
        </w:trPr>
        <w:tc>
          <w:tcPr>
            <w:tcW w:w="3360" w:type="dxa"/>
            <w:vAlign w:val="bottom"/>
          </w:tcPr>
          <w:p>
            <w:pPr>
              <w:ind w:left="180"/>
              <w:spacing w:after="0"/>
              <w:rPr>
                <w:sz w:val="20"/>
                <w:szCs w:val="20"/>
                <w:color w:val="auto"/>
              </w:rPr>
            </w:pPr>
            <w:r>
              <w:rPr>
                <w:rFonts w:ascii="Arial" w:cs="Arial" w:eastAsia="Arial" w:hAnsi="Arial"/>
                <w:sz w:val="22"/>
                <w:szCs w:val="22"/>
                <w:color w:val="auto"/>
              </w:rPr>
              <w:t>Deferred income taxes</w:t>
            </w:r>
          </w:p>
        </w:tc>
        <w:tc>
          <w:tcPr>
            <w:tcW w:w="7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22"/>
                <w:szCs w:val="22"/>
                <w:color w:val="auto"/>
              </w:rPr>
              <w:t>155</w:t>
            </w:r>
          </w:p>
        </w:tc>
        <w:tc>
          <w:tcPr>
            <w:tcW w:w="2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0" w:type="dxa"/>
            <w:vAlign w:val="bottom"/>
            <w:gridSpan w:val="3"/>
          </w:tcPr>
          <w:p>
            <w:pPr>
              <w:jc w:val="right"/>
              <w:ind w:right="80"/>
              <w:spacing w:after="0"/>
              <w:rPr>
                <w:sz w:val="20"/>
                <w:szCs w:val="20"/>
                <w:color w:val="auto"/>
              </w:rPr>
            </w:pPr>
            <w:r>
              <w:rPr>
                <w:rFonts w:ascii="Arial" w:cs="Arial" w:eastAsia="Arial" w:hAnsi="Arial"/>
                <w:sz w:val="22"/>
                <w:szCs w:val="22"/>
                <w:color w:val="auto"/>
              </w:rPr>
              <w:t>155</w:t>
            </w:r>
          </w:p>
        </w:tc>
        <w:tc>
          <w:tcPr>
            <w:tcW w:w="0" w:type="dxa"/>
            <w:vAlign w:val="bottom"/>
          </w:tcPr>
          <w:p>
            <w:pPr>
              <w:spacing w:after="0"/>
              <w:rPr>
                <w:sz w:val="1"/>
                <w:szCs w:val="1"/>
                <w:color w:val="auto"/>
              </w:rPr>
            </w:pPr>
          </w:p>
        </w:tc>
      </w:tr>
      <w:tr>
        <w:trPr>
          <w:trHeight w:val="455"/>
        </w:trPr>
        <w:tc>
          <w:tcPr>
            <w:tcW w:w="3360" w:type="dxa"/>
            <w:vAlign w:val="bottom"/>
          </w:tcPr>
          <w:p>
            <w:pPr>
              <w:ind w:left="180"/>
              <w:spacing w:after="0"/>
              <w:rPr>
                <w:sz w:val="20"/>
                <w:szCs w:val="20"/>
                <w:color w:val="auto"/>
              </w:rPr>
            </w:pPr>
            <w:r>
              <w:rPr>
                <w:rFonts w:ascii="Arial" w:cs="Arial" w:eastAsia="Arial" w:hAnsi="Arial"/>
                <w:sz w:val="22"/>
                <w:szCs w:val="22"/>
                <w:color w:val="auto"/>
                <w:w w:val="98"/>
              </w:rPr>
              <w:t>Changes in operating assets and</w:t>
            </w: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360" w:type="dxa"/>
            <w:vAlign w:val="bottom"/>
          </w:tcPr>
          <w:p>
            <w:pPr>
              <w:ind w:left="220"/>
              <w:spacing w:after="0" w:line="243" w:lineRule="exact"/>
              <w:rPr>
                <w:sz w:val="20"/>
                <w:szCs w:val="20"/>
                <w:color w:val="auto"/>
              </w:rPr>
            </w:pPr>
            <w:r>
              <w:rPr>
                <w:rFonts w:ascii="Arial" w:cs="Arial" w:eastAsia="Arial" w:hAnsi="Arial"/>
                <w:sz w:val="22"/>
                <w:szCs w:val="22"/>
                <w:color w:val="auto"/>
              </w:rPr>
              <w:t>liabilities, net of effects of</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60" w:type="dxa"/>
            <w:vAlign w:val="bottom"/>
          </w:tcPr>
          <w:p>
            <w:pPr>
              <w:ind w:left="220"/>
              <w:spacing w:after="0" w:line="243" w:lineRule="exact"/>
              <w:rPr>
                <w:sz w:val="20"/>
                <w:szCs w:val="20"/>
                <w:color w:val="auto"/>
              </w:rPr>
            </w:pPr>
            <w:r>
              <w:rPr>
                <w:rFonts w:ascii="Arial" w:cs="Arial" w:eastAsia="Arial" w:hAnsi="Arial"/>
                <w:sz w:val="22"/>
                <w:szCs w:val="22"/>
                <w:color w:val="auto"/>
              </w:rPr>
              <w:t>acquisitions and divestitures</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60" w:type="dxa"/>
            <w:vAlign w:val="bottom"/>
          </w:tcPr>
          <w:p>
            <w:pPr>
              <w:ind w:left="280"/>
              <w:spacing w:after="0" w:line="243" w:lineRule="exact"/>
              <w:rPr>
                <w:sz w:val="20"/>
                <w:szCs w:val="20"/>
                <w:color w:val="auto"/>
              </w:rPr>
            </w:pPr>
            <w:r>
              <w:rPr>
                <w:rFonts w:ascii="Arial" w:cs="Arial" w:eastAsia="Arial" w:hAnsi="Arial"/>
                <w:sz w:val="22"/>
                <w:szCs w:val="22"/>
                <w:color w:val="auto"/>
                <w:w w:val="99"/>
              </w:rPr>
              <w:t>Change in accounts receivable,</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60" w:type="dxa"/>
            <w:vAlign w:val="bottom"/>
          </w:tcPr>
          <w:p>
            <w:pPr>
              <w:spacing w:after="0" w:line="243" w:lineRule="exact"/>
              <w:rPr>
                <w:sz w:val="20"/>
                <w:szCs w:val="20"/>
                <w:color w:val="auto"/>
              </w:rPr>
            </w:pPr>
            <w:r>
              <w:rPr>
                <w:rFonts w:ascii="Arial" w:cs="Arial" w:eastAsia="Arial" w:hAnsi="Arial"/>
                <w:sz w:val="22"/>
                <w:szCs w:val="22"/>
                <w:color w:val="auto"/>
              </w:rPr>
              <w:t>net</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120"/>
              <w:spacing w:after="0" w:line="243" w:lineRule="exact"/>
              <w:rPr>
                <w:sz w:val="20"/>
                <w:szCs w:val="20"/>
                <w:color w:val="auto"/>
              </w:rPr>
            </w:pPr>
            <w:r>
              <w:rPr>
                <w:rFonts w:ascii="Arial" w:cs="Arial" w:eastAsia="Arial" w:hAnsi="Arial"/>
                <w:sz w:val="22"/>
                <w:szCs w:val="22"/>
                <w:color w:val="auto"/>
              </w:rPr>
              <w:t>(8)</w:t>
            </w:r>
          </w:p>
        </w:tc>
        <w:tc>
          <w:tcPr>
            <w:tcW w:w="980" w:type="dxa"/>
            <w:vAlign w:val="bottom"/>
          </w:tcPr>
          <w:p>
            <w:pPr>
              <w:spacing w:after="0"/>
              <w:rPr>
                <w:sz w:val="21"/>
                <w:szCs w:val="21"/>
                <w:color w:val="auto"/>
              </w:rPr>
            </w:pPr>
          </w:p>
        </w:tc>
        <w:tc>
          <w:tcPr>
            <w:tcW w:w="120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(8)</w:t>
            </w:r>
          </w:p>
        </w:tc>
        <w:tc>
          <w:tcPr>
            <w:tcW w:w="0" w:type="dxa"/>
            <w:vAlign w:val="bottom"/>
          </w:tcPr>
          <w:p>
            <w:pPr>
              <w:spacing w:after="0"/>
              <w:rPr>
                <w:sz w:val="1"/>
                <w:szCs w:val="1"/>
                <w:color w:val="auto"/>
              </w:rPr>
            </w:pPr>
          </w:p>
        </w:tc>
      </w:tr>
      <w:tr>
        <w:trPr>
          <w:trHeight w:val="243"/>
        </w:trPr>
        <w:tc>
          <w:tcPr>
            <w:tcW w:w="3360" w:type="dxa"/>
            <w:vAlign w:val="bottom"/>
          </w:tcPr>
          <w:p>
            <w:pPr>
              <w:ind w:left="280"/>
              <w:spacing w:after="0" w:line="243" w:lineRule="exact"/>
              <w:rPr>
                <w:sz w:val="20"/>
                <w:szCs w:val="20"/>
                <w:color w:val="auto"/>
              </w:rPr>
            </w:pPr>
            <w:r>
              <w:rPr>
                <w:rFonts w:ascii="Arial" w:cs="Arial" w:eastAsia="Arial" w:hAnsi="Arial"/>
                <w:sz w:val="22"/>
                <w:szCs w:val="22"/>
                <w:color w:val="auto"/>
              </w:rPr>
              <w:t>Change in accounts payable</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120"/>
              <w:spacing w:after="0" w:line="243" w:lineRule="exact"/>
              <w:rPr>
                <w:sz w:val="20"/>
                <w:szCs w:val="20"/>
                <w:color w:val="auto"/>
              </w:rPr>
            </w:pPr>
            <w:r>
              <w:rPr>
                <w:rFonts w:ascii="Arial" w:cs="Arial" w:eastAsia="Arial" w:hAnsi="Arial"/>
                <w:sz w:val="22"/>
                <w:szCs w:val="22"/>
                <w:color w:val="auto"/>
              </w:rPr>
              <w:t>(263)</w:t>
            </w:r>
          </w:p>
        </w:tc>
        <w:tc>
          <w:tcPr>
            <w:tcW w:w="980" w:type="dxa"/>
            <w:vAlign w:val="bottom"/>
          </w:tcPr>
          <w:p>
            <w:pPr>
              <w:spacing w:after="0"/>
              <w:rPr>
                <w:sz w:val="21"/>
                <w:szCs w:val="21"/>
                <w:color w:val="auto"/>
              </w:rPr>
            </w:pPr>
          </w:p>
        </w:tc>
        <w:tc>
          <w:tcPr>
            <w:tcW w:w="120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(263)</w:t>
            </w:r>
          </w:p>
        </w:tc>
        <w:tc>
          <w:tcPr>
            <w:tcW w:w="0" w:type="dxa"/>
            <w:vAlign w:val="bottom"/>
          </w:tcPr>
          <w:p>
            <w:pPr>
              <w:spacing w:after="0"/>
              <w:rPr>
                <w:sz w:val="1"/>
                <w:szCs w:val="1"/>
                <w:color w:val="auto"/>
              </w:rPr>
            </w:pPr>
          </w:p>
        </w:tc>
      </w:tr>
      <w:tr>
        <w:trPr>
          <w:trHeight w:val="243"/>
        </w:trPr>
        <w:tc>
          <w:tcPr>
            <w:tcW w:w="3360" w:type="dxa"/>
            <w:vAlign w:val="bottom"/>
          </w:tcPr>
          <w:p>
            <w:pPr>
              <w:ind w:left="280"/>
              <w:spacing w:after="0" w:line="243" w:lineRule="exact"/>
              <w:rPr>
                <w:sz w:val="20"/>
                <w:szCs w:val="20"/>
                <w:color w:val="auto"/>
              </w:rPr>
            </w:pPr>
            <w:r>
              <w:rPr>
                <w:rFonts w:ascii="Arial" w:cs="Arial" w:eastAsia="Arial" w:hAnsi="Arial"/>
                <w:sz w:val="22"/>
                <w:szCs w:val="22"/>
                <w:color w:val="auto"/>
                <w:w w:val="94"/>
              </w:rPr>
              <w:t>Change in other operating assets</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60" w:type="dxa"/>
            <w:vAlign w:val="bottom"/>
          </w:tcPr>
          <w:p>
            <w:pPr>
              <w:spacing w:after="0" w:line="243" w:lineRule="exact"/>
              <w:rPr>
                <w:sz w:val="20"/>
                <w:szCs w:val="20"/>
                <w:color w:val="auto"/>
              </w:rPr>
            </w:pPr>
            <w:r>
              <w:rPr>
                <w:rFonts w:ascii="Arial" w:cs="Arial" w:eastAsia="Arial" w:hAnsi="Arial"/>
                <w:sz w:val="22"/>
                <w:szCs w:val="22"/>
                <w:color w:val="auto"/>
              </w:rPr>
              <w:t>and</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3360" w:type="dxa"/>
            <w:vAlign w:val="bottom"/>
          </w:tcPr>
          <w:p>
            <w:pPr>
              <w:ind w:left="380"/>
              <w:spacing w:after="0"/>
              <w:rPr>
                <w:sz w:val="20"/>
                <w:szCs w:val="20"/>
                <w:color w:val="auto"/>
              </w:rPr>
            </w:pPr>
            <w:r>
              <w:rPr>
                <w:rFonts w:ascii="Arial" w:cs="Arial" w:eastAsia="Arial" w:hAnsi="Arial"/>
                <w:sz w:val="22"/>
                <w:szCs w:val="22"/>
                <w:color w:val="auto"/>
              </w:rPr>
              <w:t>liabilities</w:t>
            </w:r>
          </w:p>
        </w:tc>
        <w:tc>
          <w:tcPr>
            <w:tcW w:w="700" w:type="dxa"/>
            <w:vAlign w:val="bottom"/>
          </w:tcPr>
          <w:p>
            <w:pPr>
              <w:jc w:val="right"/>
              <w:spacing w:after="0"/>
              <w:rPr>
                <w:sz w:val="20"/>
                <w:szCs w:val="20"/>
                <w:color w:val="auto"/>
              </w:rPr>
            </w:pPr>
            <w:r>
              <w:rPr>
                <w:rFonts w:ascii="Arial" w:cs="Arial" w:eastAsia="Arial" w:hAnsi="Arial"/>
                <w:sz w:val="22"/>
                <w:szCs w:val="22"/>
                <w:color w:val="auto"/>
              </w:rPr>
              <w:t>125</w:t>
            </w:r>
          </w:p>
        </w:tc>
        <w:tc>
          <w:tcPr>
            <w:tcW w:w="180" w:type="dxa"/>
            <w:vAlign w:val="bottom"/>
          </w:tcPr>
          <w:p>
            <w:pPr>
              <w:spacing w:after="0"/>
              <w:rPr>
                <w:sz w:val="23"/>
                <w:szCs w:val="23"/>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22"/>
                <w:szCs w:val="22"/>
                <w:color w:val="auto"/>
              </w:rPr>
              <w:t>120</w:t>
            </w:r>
          </w:p>
        </w:tc>
        <w:tc>
          <w:tcPr>
            <w:tcW w:w="880" w:type="dxa"/>
            <w:vAlign w:val="bottom"/>
            <w:gridSpan w:val="2"/>
          </w:tcPr>
          <w:p>
            <w:pPr>
              <w:jc w:val="right"/>
              <w:ind w:right="200"/>
              <w:spacing w:after="0"/>
              <w:rPr>
                <w:sz w:val="20"/>
                <w:szCs w:val="20"/>
                <w:color w:val="auto"/>
              </w:rPr>
            </w:pPr>
            <w:r>
              <w:rPr>
                <w:rFonts w:ascii="Arial" w:cs="Arial" w:eastAsia="Arial" w:hAnsi="Arial"/>
                <w:sz w:val="22"/>
                <w:szCs w:val="22"/>
                <w:color w:val="auto"/>
              </w:rPr>
              <w:t>136</w:t>
            </w:r>
          </w:p>
        </w:tc>
        <w:tc>
          <w:tcPr>
            <w:tcW w:w="920" w:type="dxa"/>
            <w:vAlign w:val="bottom"/>
            <w:gridSpan w:val="2"/>
          </w:tcPr>
          <w:p>
            <w:pPr>
              <w:jc w:val="right"/>
              <w:ind w:right="120"/>
              <w:spacing w:after="0"/>
              <w:rPr>
                <w:sz w:val="20"/>
                <w:szCs w:val="20"/>
                <w:color w:val="auto"/>
              </w:rPr>
            </w:pPr>
            <w:r>
              <w:rPr>
                <w:rFonts w:ascii="Arial" w:cs="Arial" w:eastAsia="Arial" w:hAnsi="Arial"/>
                <w:sz w:val="22"/>
                <w:szCs w:val="22"/>
                <w:color w:val="auto"/>
              </w:rPr>
              <w:t>(37)</w:t>
            </w:r>
          </w:p>
        </w:tc>
        <w:tc>
          <w:tcPr>
            <w:tcW w:w="1060" w:type="dxa"/>
            <w:vAlign w:val="bottom"/>
            <w:gridSpan w:val="2"/>
          </w:tcPr>
          <w:p>
            <w:pPr>
              <w:jc w:val="right"/>
              <w:ind w:right="120"/>
              <w:spacing w:after="0"/>
              <w:rPr>
                <w:sz w:val="20"/>
                <w:szCs w:val="20"/>
                <w:color w:val="auto"/>
              </w:rPr>
            </w:pPr>
            <w:r>
              <w:rPr>
                <w:rFonts w:ascii="Arial" w:cs="Arial" w:eastAsia="Arial" w:hAnsi="Arial"/>
                <w:sz w:val="22"/>
                <w:szCs w:val="22"/>
                <w:color w:val="auto"/>
              </w:rPr>
              <w:t>(70)</w:t>
            </w:r>
          </w:p>
        </w:tc>
        <w:tc>
          <w:tcPr>
            <w:tcW w:w="980" w:type="dxa"/>
            <w:vAlign w:val="bottom"/>
          </w:tcPr>
          <w:p>
            <w:pPr>
              <w:spacing w:after="0"/>
              <w:rPr>
                <w:sz w:val="23"/>
                <w:szCs w:val="23"/>
                <w:color w:val="auto"/>
              </w:rPr>
            </w:pPr>
          </w:p>
        </w:tc>
        <w:tc>
          <w:tcPr>
            <w:tcW w:w="1200" w:type="dxa"/>
            <w:vAlign w:val="bottom"/>
            <w:gridSpan w:val="3"/>
          </w:tcPr>
          <w:p>
            <w:pPr>
              <w:jc w:val="right"/>
              <w:ind w:right="80"/>
              <w:spacing w:after="0"/>
              <w:rPr>
                <w:sz w:val="20"/>
                <w:szCs w:val="20"/>
                <w:color w:val="auto"/>
              </w:rPr>
            </w:pPr>
            <w:r>
              <w:rPr>
                <w:rFonts w:ascii="Arial" w:cs="Arial" w:eastAsia="Arial" w:hAnsi="Arial"/>
                <w:sz w:val="22"/>
                <w:szCs w:val="22"/>
                <w:color w:val="auto"/>
              </w:rPr>
              <w:t>274</w:t>
            </w:r>
          </w:p>
        </w:tc>
        <w:tc>
          <w:tcPr>
            <w:tcW w:w="0" w:type="dxa"/>
            <w:vAlign w:val="bottom"/>
          </w:tcPr>
          <w:p>
            <w:pPr>
              <w:spacing w:after="0"/>
              <w:rPr>
                <w:sz w:val="1"/>
                <w:szCs w:val="1"/>
                <w:color w:val="auto"/>
              </w:rPr>
            </w:pPr>
          </w:p>
        </w:tc>
      </w:tr>
      <w:tr>
        <w:trPr>
          <w:trHeight w:val="98"/>
        </w:trPr>
        <w:tc>
          <w:tcPr>
            <w:tcW w:w="3360" w:type="dxa"/>
            <w:vAlign w:val="bottom"/>
            <w:vMerge w:val="restart"/>
          </w:tcPr>
          <w:p>
            <w:pPr>
              <w:ind w:left="280"/>
              <w:spacing w:after="0"/>
              <w:rPr>
                <w:sz w:val="20"/>
                <w:szCs w:val="20"/>
                <w:color w:val="auto"/>
              </w:rPr>
            </w:pPr>
            <w:r>
              <w:rPr>
                <w:rFonts w:ascii="Arial" w:cs="Arial" w:eastAsia="Arial" w:hAnsi="Arial"/>
                <w:sz w:val="22"/>
                <w:szCs w:val="22"/>
                <w:color w:val="auto"/>
              </w:rPr>
              <w:t>Net cash provided by (used in)</w:t>
            </w:r>
          </w:p>
        </w:tc>
        <w:tc>
          <w:tcPr>
            <w:tcW w:w="7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66"/>
        </w:trPr>
        <w:tc>
          <w:tcPr>
            <w:tcW w:w="336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360" w:type="dxa"/>
            <w:vAlign w:val="bottom"/>
          </w:tcPr>
          <w:p>
            <w:pPr>
              <w:spacing w:after="0" w:line="243" w:lineRule="exact"/>
              <w:rPr>
                <w:sz w:val="20"/>
                <w:szCs w:val="20"/>
                <w:color w:val="auto"/>
              </w:rPr>
            </w:pPr>
            <w:r>
              <w:rPr>
                <w:rFonts w:ascii="Arial" w:cs="Arial" w:eastAsia="Arial" w:hAnsi="Arial"/>
                <w:sz w:val="22"/>
                <w:szCs w:val="22"/>
                <w:color w:val="auto"/>
              </w:rPr>
              <w:t>operating</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3360" w:type="dxa"/>
            <w:vAlign w:val="bottom"/>
          </w:tcPr>
          <w:p>
            <w:pPr>
              <w:ind w:left="380"/>
              <w:spacing w:after="0"/>
              <w:rPr>
                <w:sz w:val="20"/>
                <w:szCs w:val="20"/>
                <w:color w:val="auto"/>
              </w:rPr>
            </w:pPr>
            <w:r>
              <w:rPr>
                <w:rFonts w:ascii="Arial" w:cs="Arial" w:eastAsia="Arial" w:hAnsi="Arial"/>
                <w:sz w:val="22"/>
                <w:szCs w:val="22"/>
                <w:color w:val="auto"/>
              </w:rPr>
              <w:t>activities</w:t>
            </w:r>
          </w:p>
        </w:tc>
        <w:tc>
          <w:tcPr>
            <w:tcW w:w="700" w:type="dxa"/>
            <w:vAlign w:val="bottom"/>
          </w:tcPr>
          <w:p>
            <w:pPr>
              <w:jc w:val="right"/>
              <w:spacing w:after="0"/>
              <w:rPr>
                <w:sz w:val="20"/>
                <w:szCs w:val="20"/>
                <w:color w:val="auto"/>
              </w:rPr>
            </w:pPr>
            <w:r>
              <w:rPr>
                <w:rFonts w:ascii="Arial" w:cs="Arial" w:eastAsia="Arial" w:hAnsi="Arial"/>
                <w:sz w:val="22"/>
                <w:szCs w:val="22"/>
                <w:color w:val="auto"/>
              </w:rPr>
              <w:t>144</w:t>
            </w:r>
          </w:p>
        </w:tc>
        <w:tc>
          <w:tcPr>
            <w:tcW w:w="180" w:type="dxa"/>
            <w:vAlign w:val="bottom"/>
          </w:tcPr>
          <w:p>
            <w:pPr>
              <w:spacing w:after="0"/>
              <w:rPr>
                <w:sz w:val="23"/>
                <w:szCs w:val="23"/>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22"/>
                <w:szCs w:val="22"/>
                <w:color w:val="auto"/>
              </w:rPr>
              <w:t>(30)</w:t>
            </w:r>
          </w:p>
        </w:tc>
        <w:tc>
          <w:tcPr>
            <w:tcW w:w="880" w:type="dxa"/>
            <w:vAlign w:val="bottom"/>
            <w:gridSpan w:val="2"/>
          </w:tcPr>
          <w:p>
            <w:pPr>
              <w:jc w:val="right"/>
              <w:ind w:right="200"/>
              <w:spacing w:after="0"/>
              <w:rPr>
                <w:sz w:val="20"/>
                <w:szCs w:val="20"/>
                <w:color w:val="auto"/>
              </w:rPr>
            </w:pPr>
            <w:r>
              <w:rPr>
                <w:rFonts w:ascii="Arial" w:cs="Arial" w:eastAsia="Arial" w:hAnsi="Arial"/>
                <w:sz w:val="22"/>
                <w:szCs w:val="22"/>
                <w:color w:val="auto"/>
              </w:rPr>
              <w:t>37</w:t>
            </w:r>
          </w:p>
        </w:tc>
        <w:tc>
          <w:tcPr>
            <w:tcW w:w="920" w:type="dxa"/>
            <w:vAlign w:val="bottom"/>
            <w:gridSpan w:val="2"/>
          </w:tcPr>
          <w:p>
            <w:pPr>
              <w:jc w:val="right"/>
              <w:ind w:right="120"/>
              <w:spacing w:after="0"/>
              <w:rPr>
                <w:sz w:val="20"/>
                <w:szCs w:val="20"/>
                <w:color w:val="auto"/>
              </w:rPr>
            </w:pPr>
            <w:r>
              <w:rPr>
                <w:rFonts w:ascii="Arial" w:cs="Arial" w:eastAsia="Arial" w:hAnsi="Arial"/>
                <w:sz w:val="22"/>
                <w:szCs w:val="22"/>
                <w:color w:val="auto"/>
              </w:rPr>
              <w:t>(220)</w:t>
            </w:r>
          </w:p>
        </w:tc>
        <w:tc>
          <w:tcPr>
            <w:tcW w:w="860" w:type="dxa"/>
            <w:vAlign w:val="bottom"/>
          </w:tcPr>
          <w:p>
            <w:pPr>
              <w:jc w:val="right"/>
              <w:spacing w:after="0"/>
              <w:rPr>
                <w:sz w:val="20"/>
                <w:szCs w:val="20"/>
                <w:color w:val="auto"/>
              </w:rPr>
            </w:pPr>
            <w:r>
              <w:rPr>
                <w:rFonts w:ascii="Arial" w:cs="Arial" w:eastAsia="Arial" w:hAnsi="Arial"/>
                <w:sz w:val="22"/>
                <w:szCs w:val="22"/>
                <w:color w:val="auto"/>
              </w:rPr>
              <w:t>2,702</w:t>
            </w:r>
          </w:p>
        </w:tc>
        <w:tc>
          <w:tcPr>
            <w:tcW w:w="2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0" w:type="dxa"/>
            <w:vAlign w:val="bottom"/>
            <w:gridSpan w:val="3"/>
          </w:tcPr>
          <w:p>
            <w:pPr>
              <w:jc w:val="right"/>
              <w:ind w:right="80"/>
              <w:spacing w:after="0"/>
              <w:rPr>
                <w:sz w:val="20"/>
                <w:szCs w:val="20"/>
                <w:color w:val="auto"/>
              </w:rPr>
            </w:pPr>
            <w:r>
              <w:rPr>
                <w:rFonts w:ascii="Arial" w:cs="Arial" w:eastAsia="Arial" w:hAnsi="Arial"/>
                <w:sz w:val="22"/>
                <w:szCs w:val="22"/>
                <w:color w:val="auto"/>
              </w:rPr>
              <w:t>2,633</w:t>
            </w:r>
          </w:p>
        </w:tc>
        <w:tc>
          <w:tcPr>
            <w:tcW w:w="0" w:type="dxa"/>
            <w:vAlign w:val="bottom"/>
          </w:tcPr>
          <w:p>
            <w:pPr>
              <w:spacing w:after="0"/>
              <w:rPr>
                <w:sz w:val="1"/>
                <w:szCs w:val="1"/>
                <w:color w:val="auto"/>
              </w:rPr>
            </w:pPr>
          </w:p>
        </w:tc>
      </w:tr>
      <w:tr>
        <w:trPr>
          <w:trHeight w:val="98"/>
        </w:trPr>
        <w:tc>
          <w:tcPr>
            <w:tcW w:w="3360" w:type="dxa"/>
            <w:vAlign w:val="bottom"/>
            <w:vMerge w:val="restart"/>
          </w:tcPr>
          <w:p>
            <w:pPr>
              <w:spacing w:after="0"/>
              <w:rPr>
                <w:sz w:val="20"/>
                <w:szCs w:val="20"/>
                <w:color w:val="auto"/>
              </w:rPr>
            </w:pPr>
            <w:r>
              <w:rPr>
                <w:rFonts w:ascii="Arial" w:cs="Arial" w:eastAsia="Arial" w:hAnsi="Arial"/>
                <w:sz w:val="22"/>
                <w:szCs w:val="22"/>
                <w:color w:val="auto"/>
              </w:rPr>
              <w:t>FINANCING ACTIVITIES</w:t>
            </w:r>
          </w:p>
        </w:tc>
        <w:tc>
          <w:tcPr>
            <w:tcW w:w="7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66"/>
        </w:trPr>
        <w:tc>
          <w:tcPr>
            <w:tcW w:w="336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360" w:type="dxa"/>
            <w:vAlign w:val="bottom"/>
          </w:tcPr>
          <w:p>
            <w:pPr>
              <w:ind w:left="180"/>
              <w:spacing w:after="0" w:line="243" w:lineRule="exact"/>
              <w:rPr>
                <w:sz w:val="20"/>
                <w:szCs w:val="20"/>
                <w:color w:val="auto"/>
              </w:rPr>
            </w:pPr>
            <w:r>
              <w:rPr>
                <w:rFonts w:ascii="Arial" w:cs="Arial" w:eastAsia="Arial" w:hAnsi="Arial"/>
                <w:sz w:val="22"/>
                <w:szCs w:val="22"/>
                <w:color w:val="auto"/>
              </w:rPr>
              <w:t>Proceeds from borrowings</w:t>
            </w:r>
          </w:p>
        </w:tc>
        <w:tc>
          <w:tcPr>
            <w:tcW w:w="700" w:type="dxa"/>
            <w:vAlign w:val="bottom"/>
          </w:tcPr>
          <w:p>
            <w:pPr>
              <w:jc w:val="right"/>
              <w:spacing w:after="0" w:line="243" w:lineRule="exact"/>
              <w:rPr>
                <w:sz w:val="20"/>
                <w:szCs w:val="20"/>
                <w:color w:val="auto"/>
              </w:rPr>
            </w:pPr>
            <w:r>
              <w:rPr>
                <w:rFonts w:ascii="Arial" w:cs="Arial" w:eastAsia="Arial" w:hAnsi="Arial"/>
                <w:sz w:val="22"/>
                <w:szCs w:val="22"/>
                <w:color w:val="auto"/>
              </w:rPr>
              <w:t>654</w:t>
            </w: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gridSpan w:val="2"/>
          </w:tcPr>
          <w:p>
            <w:pPr>
              <w:jc w:val="right"/>
              <w:ind w:right="200"/>
              <w:spacing w:after="0" w:line="243" w:lineRule="exact"/>
              <w:rPr>
                <w:sz w:val="20"/>
                <w:szCs w:val="20"/>
                <w:color w:val="auto"/>
              </w:rPr>
            </w:pPr>
            <w:r>
              <w:rPr>
                <w:rFonts w:ascii="Arial" w:cs="Arial" w:eastAsia="Arial" w:hAnsi="Arial"/>
                <w:sz w:val="22"/>
                <w:szCs w:val="22"/>
                <w:color w:val="auto"/>
              </w:rPr>
              <w:t>400</w:t>
            </w: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spacing w:after="0" w:line="243" w:lineRule="exact"/>
              <w:rPr>
                <w:sz w:val="20"/>
                <w:szCs w:val="20"/>
                <w:color w:val="auto"/>
              </w:rPr>
            </w:pPr>
            <w:r>
              <w:rPr>
                <w:rFonts w:ascii="Arial" w:cs="Arial" w:eastAsia="Arial" w:hAnsi="Arial"/>
                <w:sz w:val="22"/>
                <w:szCs w:val="22"/>
                <w:color w:val="auto"/>
              </w:rPr>
              <w:t>4</w:t>
            </w: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0" w:type="dxa"/>
            <w:vAlign w:val="bottom"/>
            <w:gridSpan w:val="3"/>
          </w:tcPr>
          <w:p>
            <w:pPr>
              <w:jc w:val="right"/>
              <w:ind w:right="80"/>
              <w:spacing w:after="0" w:line="243" w:lineRule="exact"/>
              <w:rPr>
                <w:sz w:val="20"/>
                <w:szCs w:val="20"/>
                <w:color w:val="auto"/>
              </w:rPr>
            </w:pPr>
            <w:r>
              <w:rPr>
                <w:rFonts w:ascii="Arial" w:cs="Arial" w:eastAsia="Arial" w:hAnsi="Arial"/>
                <w:sz w:val="22"/>
                <w:szCs w:val="22"/>
                <w:color w:val="auto"/>
              </w:rPr>
              <w:t>1,058</w:t>
            </w:r>
          </w:p>
        </w:tc>
        <w:tc>
          <w:tcPr>
            <w:tcW w:w="0" w:type="dxa"/>
            <w:vAlign w:val="bottom"/>
          </w:tcPr>
          <w:p>
            <w:pPr>
              <w:spacing w:after="0"/>
              <w:rPr>
                <w:sz w:val="1"/>
                <w:szCs w:val="1"/>
                <w:color w:val="auto"/>
              </w:rPr>
            </w:pPr>
          </w:p>
        </w:tc>
      </w:tr>
      <w:tr>
        <w:trPr>
          <w:trHeight w:val="243"/>
        </w:trPr>
        <w:tc>
          <w:tcPr>
            <w:tcW w:w="3360" w:type="dxa"/>
            <w:vAlign w:val="bottom"/>
          </w:tcPr>
          <w:p>
            <w:pPr>
              <w:ind w:left="180"/>
              <w:spacing w:after="0" w:line="243" w:lineRule="exact"/>
              <w:rPr>
                <w:sz w:val="20"/>
                <w:szCs w:val="20"/>
                <w:color w:val="auto"/>
              </w:rPr>
            </w:pPr>
            <w:r>
              <w:rPr>
                <w:rFonts w:ascii="Arial" w:cs="Arial" w:eastAsia="Arial" w:hAnsi="Arial"/>
                <w:sz w:val="22"/>
                <w:szCs w:val="22"/>
                <w:color w:val="auto"/>
              </w:rPr>
              <w:t>Retirements and repayments of</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60" w:type="dxa"/>
            <w:vAlign w:val="bottom"/>
          </w:tcPr>
          <w:p>
            <w:pPr>
              <w:spacing w:after="0" w:line="243" w:lineRule="exact"/>
              <w:rPr>
                <w:sz w:val="20"/>
                <w:szCs w:val="20"/>
                <w:color w:val="auto"/>
              </w:rPr>
            </w:pPr>
            <w:r>
              <w:rPr>
                <w:rFonts w:ascii="Arial" w:cs="Arial" w:eastAsia="Arial" w:hAnsi="Arial"/>
                <w:sz w:val="22"/>
                <w:szCs w:val="22"/>
                <w:color w:val="auto"/>
              </w:rPr>
              <w:t>debt</w:t>
            </w:r>
          </w:p>
        </w:tc>
        <w:tc>
          <w:tcPr>
            <w:tcW w:w="88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(350)</w:t>
            </w:r>
          </w:p>
        </w:tc>
        <w:tc>
          <w:tcPr>
            <w:tcW w:w="880" w:type="dxa"/>
            <w:vAlign w:val="bottom"/>
            <w:gridSpan w:val="2"/>
          </w:tcPr>
          <w:p>
            <w:pPr>
              <w:jc w:val="right"/>
              <w:ind w:right="120"/>
              <w:spacing w:after="0" w:line="243" w:lineRule="exact"/>
              <w:rPr>
                <w:sz w:val="20"/>
                <w:szCs w:val="20"/>
                <w:color w:val="auto"/>
              </w:rPr>
            </w:pPr>
            <w:r>
              <w:rPr>
                <w:rFonts w:ascii="Arial" w:cs="Arial" w:eastAsia="Arial" w:hAnsi="Arial"/>
                <w:sz w:val="22"/>
                <w:szCs w:val="22"/>
                <w:color w:val="auto"/>
              </w:rPr>
              <w:t>(561)</w:t>
            </w:r>
          </w:p>
        </w:tc>
        <w:tc>
          <w:tcPr>
            <w:tcW w:w="880" w:type="dxa"/>
            <w:vAlign w:val="bottom"/>
            <w:gridSpan w:val="2"/>
          </w:tcPr>
          <w:p>
            <w:pPr>
              <w:jc w:val="right"/>
              <w:ind w:right="120"/>
              <w:spacing w:after="0" w:line="243" w:lineRule="exact"/>
              <w:rPr>
                <w:sz w:val="20"/>
                <w:szCs w:val="20"/>
                <w:color w:val="auto"/>
              </w:rPr>
            </w:pPr>
            <w:r>
              <w:rPr>
                <w:rFonts w:ascii="Arial" w:cs="Arial" w:eastAsia="Arial" w:hAnsi="Arial"/>
                <w:sz w:val="22"/>
                <w:szCs w:val="22"/>
                <w:color w:val="auto"/>
              </w:rPr>
              <w:t>(200)</w:t>
            </w:r>
          </w:p>
        </w:tc>
        <w:tc>
          <w:tcPr>
            <w:tcW w:w="920" w:type="dxa"/>
            <w:vAlign w:val="bottom"/>
            <w:gridSpan w:val="2"/>
          </w:tcPr>
          <w:p>
            <w:pPr>
              <w:jc w:val="right"/>
              <w:ind w:right="120"/>
              <w:spacing w:after="0" w:line="243" w:lineRule="exact"/>
              <w:rPr>
                <w:sz w:val="20"/>
                <w:szCs w:val="20"/>
                <w:color w:val="auto"/>
              </w:rPr>
            </w:pPr>
            <w:r>
              <w:rPr>
                <w:rFonts w:ascii="Arial" w:cs="Arial" w:eastAsia="Arial" w:hAnsi="Arial"/>
                <w:sz w:val="22"/>
                <w:szCs w:val="22"/>
                <w:color w:val="auto"/>
              </w:rPr>
              <w:t>(6)</w:t>
            </w:r>
          </w:p>
        </w:tc>
        <w:tc>
          <w:tcPr>
            <w:tcW w:w="1060" w:type="dxa"/>
            <w:vAlign w:val="bottom"/>
            <w:gridSpan w:val="2"/>
          </w:tcPr>
          <w:p>
            <w:pPr>
              <w:jc w:val="right"/>
              <w:ind w:right="120"/>
              <w:spacing w:after="0" w:line="243" w:lineRule="exact"/>
              <w:rPr>
                <w:sz w:val="20"/>
                <w:szCs w:val="20"/>
                <w:color w:val="auto"/>
              </w:rPr>
            </w:pPr>
            <w:r>
              <w:rPr>
                <w:rFonts w:ascii="Arial" w:cs="Arial" w:eastAsia="Arial" w:hAnsi="Arial"/>
                <w:sz w:val="22"/>
                <w:szCs w:val="22"/>
                <w:color w:val="auto"/>
              </w:rPr>
              <w:t>(500)</w:t>
            </w:r>
          </w:p>
        </w:tc>
        <w:tc>
          <w:tcPr>
            <w:tcW w:w="980" w:type="dxa"/>
            <w:vAlign w:val="bottom"/>
          </w:tcPr>
          <w:p>
            <w:pPr>
              <w:spacing w:after="0"/>
              <w:rPr>
                <w:sz w:val="21"/>
                <w:szCs w:val="21"/>
                <w:color w:val="auto"/>
              </w:rPr>
            </w:pPr>
          </w:p>
        </w:tc>
        <w:tc>
          <w:tcPr>
            <w:tcW w:w="120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(1,617)</w:t>
            </w:r>
          </w:p>
        </w:tc>
        <w:tc>
          <w:tcPr>
            <w:tcW w:w="0" w:type="dxa"/>
            <w:vAlign w:val="bottom"/>
          </w:tcPr>
          <w:p>
            <w:pPr>
              <w:spacing w:after="0"/>
              <w:rPr>
                <w:sz w:val="1"/>
                <w:szCs w:val="1"/>
                <w:color w:val="auto"/>
              </w:rPr>
            </w:pPr>
          </w:p>
        </w:tc>
      </w:tr>
      <w:tr>
        <w:trPr>
          <w:trHeight w:val="243"/>
        </w:trPr>
        <w:tc>
          <w:tcPr>
            <w:tcW w:w="3360" w:type="dxa"/>
            <w:vAlign w:val="bottom"/>
          </w:tcPr>
          <w:p>
            <w:pPr>
              <w:ind w:left="180"/>
              <w:spacing w:after="0" w:line="243" w:lineRule="exact"/>
              <w:rPr>
                <w:sz w:val="20"/>
                <w:szCs w:val="20"/>
                <w:color w:val="auto"/>
              </w:rPr>
            </w:pPr>
            <w:r>
              <w:rPr>
                <w:rFonts w:ascii="Arial" w:cs="Arial" w:eastAsia="Arial" w:hAnsi="Arial"/>
                <w:sz w:val="22"/>
                <w:szCs w:val="22"/>
                <w:color w:val="auto"/>
              </w:rPr>
              <w:t>Repurchase of common stock</w:t>
            </w:r>
          </w:p>
        </w:tc>
        <w:tc>
          <w:tcPr>
            <w:tcW w:w="88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(511)</w:t>
            </w: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(511)</w:t>
            </w:r>
          </w:p>
        </w:tc>
        <w:tc>
          <w:tcPr>
            <w:tcW w:w="0" w:type="dxa"/>
            <w:vAlign w:val="bottom"/>
          </w:tcPr>
          <w:p>
            <w:pPr>
              <w:spacing w:after="0"/>
              <w:rPr>
                <w:sz w:val="1"/>
                <w:szCs w:val="1"/>
                <w:color w:val="auto"/>
              </w:rPr>
            </w:pPr>
          </w:p>
        </w:tc>
      </w:tr>
      <w:tr>
        <w:trPr>
          <w:trHeight w:val="275"/>
        </w:trPr>
        <w:tc>
          <w:tcPr>
            <w:tcW w:w="3360" w:type="dxa"/>
            <w:vAlign w:val="bottom"/>
          </w:tcPr>
          <w:p>
            <w:pPr>
              <w:ind w:left="180"/>
              <w:spacing w:after="0"/>
              <w:rPr>
                <w:sz w:val="20"/>
                <w:szCs w:val="20"/>
                <w:color w:val="auto"/>
              </w:rPr>
            </w:pPr>
            <w:r>
              <w:rPr>
                <w:rFonts w:ascii="Arial" w:cs="Arial" w:eastAsia="Arial" w:hAnsi="Arial"/>
                <w:sz w:val="22"/>
                <w:szCs w:val="22"/>
                <w:color w:val="auto"/>
              </w:rPr>
              <w:t>Other</w:t>
            </w:r>
          </w:p>
        </w:tc>
        <w:tc>
          <w:tcPr>
            <w:tcW w:w="700" w:type="dxa"/>
            <w:vAlign w:val="bottom"/>
          </w:tcPr>
          <w:p>
            <w:pPr>
              <w:jc w:val="right"/>
              <w:spacing w:after="0"/>
              <w:rPr>
                <w:sz w:val="20"/>
                <w:szCs w:val="20"/>
                <w:color w:val="auto"/>
              </w:rPr>
            </w:pPr>
            <w:r>
              <w:rPr>
                <w:rFonts w:ascii="Arial" w:cs="Arial" w:eastAsia="Arial" w:hAnsi="Arial"/>
                <w:sz w:val="22"/>
                <w:szCs w:val="22"/>
                <w:color w:val="auto"/>
              </w:rPr>
              <w:t>8</w:t>
            </w:r>
          </w:p>
        </w:tc>
        <w:tc>
          <w:tcPr>
            <w:tcW w:w="1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22"/>
                <w:szCs w:val="22"/>
                <w:color w:val="auto"/>
              </w:rPr>
              <w:t>38</w:t>
            </w:r>
          </w:p>
        </w:tc>
        <w:tc>
          <w:tcPr>
            <w:tcW w:w="2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0" w:type="dxa"/>
            <w:vAlign w:val="bottom"/>
            <w:gridSpan w:val="3"/>
          </w:tcPr>
          <w:p>
            <w:pPr>
              <w:jc w:val="right"/>
              <w:ind w:right="80"/>
              <w:spacing w:after="0"/>
              <w:rPr>
                <w:sz w:val="20"/>
                <w:szCs w:val="20"/>
                <w:color w:val="auto"/>
              </w:rPr>
            </w:pPr>
            <w:r>
              <w:rPr>
                <w:rFonts w:ascii="Arial" w:cs="Arial" w:eastAsia="Arial" w:hAnsi="Arial"/>
                <w:sz w:val="22"/>
                <w:szCs w:val="22"/>
                <w:color w:val="auto"/>
              </w:rPr>
              <w:t>46</w:t>
            </w:r>
          </w:p>
        </w:tc>
        <w:tc>
          <w:tcPr>
            <w:tcW w:w="0" w:type="dxa"/>
            <w:vAlign w:val="bottom"/>
          </w:tcPr>
          <w:p>
            <w:pPr>
              <w:spacing w:after="0"/>
              <w:rPr>
                <w:sz w:val="1"/>
                <w:szCs w:val="1"/>
                <w:color w:val="auto"/>
              </w:rPr>
            </w:pPr>
          </w:p>
        </w:tc>
      </w:tr>
      <w:tr>
        <w:trPr>
          <w:trHeight w:val="98"/>
        </w:trPr>
        <w:tc>
          <w:tcPr>
            <w:tcW w:w="3360" w:type="dxa"/>
            <w:vAlign w:val="bottom"/>
            <w:vMerge w:val="restart"/>
          </w:tcPr>
          <w:p>
            <w:pPr>
              <w:ind w:left="280"/>
              <w:spacing w:after="0"/>
              <w:rPr>
                <w:sz w:val="20"/>
                <w:szCs w:val="20"/>
                <w:color w:val="auto"/>
              </w:rPr>
            </w:pPr>
            <w:r>
              <w:rPr>
                <w:rFonts w:ascii="Arial" w:cs="Arial" w:eastAsia="Arial" w:hAnsi="Arial"/>
                <w:sz w:val="22"/>
                <w:szCs w:val="22"/>
                <w:color w:val="auto"/>
              </w:rPr>
              <w:t>Net cash provided by (used in)</w:t>
            </w:r>
          </w:p>
        </w:tc>
        <w:tc>
          <w:tcPr>
            <w:tcW w:w="7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3"/>
        </w:trPr>
        <w:tc>
          <w:tcPr>
            <w:tcW w:w="336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3360" w:type="dxa"/>
            <w:vAlign w:val="bottom"/>
          </w:tcPr>
          <w:p>
            <w:pPr>
              <w:ind w:left="380"/>
              <w:spacing w:after="0"/>
              <w:rPr>
                <w:sz w:val="20"/>
                <w:szCs w:val="20"/>
                <w:color w:val="auto"/>
              </w:rPr>
            </w:pPr>
            <w:r>
              <w:rPr>
                <w:rFonts w:ascii="Arial" w:cs="Arial" w:eastAsia="Arial" w:hAnsi="Arial"/>
                <w:sz w:val="22"/>
                <w:szCs w:val="22"/>
                <w:color w:val="auto"/>
              </w:rPr>
              <w:t>financing activities</w:t>
            </w:r>
          </w:p>
        </w:tc>
        <w:tc>
          <w:tcPr>
            <w:tcW w:w="880" w:type="dxa"/>
            <w:vAlign w:val="bottom"/>
            <w:gridSpan w:val="2"/>
          </w:tcPr>
          <w:p>
            <w:pPr>
              <w:jc w:val="right"/>
              <w:ind w:right="100"/>
              <w:spacing w:after="0"/>
              <w:rPr>
                <w:sz w:val="20"/>
                <w:szCs w:val="20"/>
                <w:color w:val="auto"/>
              </w:rPr>
            </w:pPr>
            <w:r>
              <w:rPr>
                <w:rFonts w:ascii="Arial" w:cs="Arial" w:eastAsia="Arial" w:hAnsi="Arial"/>
                <w:sz w:val="22"/>
                <w:szCs w:val="22"/>
                <w:color w:val="auto"/>
              </w:rPr>
              <w:t>(199)</w:t>
            </w:r>
          </w:p>
        </w:tc>
        <w:tc>
          <w:tcPr>
            <w:tcW w:w="880" w:type="dxa"/>
            <w:vAlign w:val="bottom"/>
            <w:gridSpan w:val="2"/>
          </w:tcPr>
          <w:p>
            <w:pPr>
              <w:jc w:val="right"/>
              <w:ind w:right="120"/>
              <w:spacing w:after="0"/>
              <w:rPr>
                <w:sz w:val="20"/>
                <w:szCs w:val="20"/>
                <w:color w:val="auto"/>
              </w:rPr>
            </w:pPr>
            <w:r>
              <w:rPr>
                <w:rFonts w:ascii="Arial" w:cs="Arial" w:eastAsia="Arial" w:hAnsi="Arial"/>
                <w:sz w:val="22"/>
                <w:szCs w:val="22"/>
                <w:color w:val="auto"/>
              </w:rPr>
              <w:t>(561)</w:t>
            </w:r>
          </w:p>
        </w:tc>
        <w:tc>
          <w:tcPr>
            <w:tcW w:w="880" w:type="dxa"/>
            <w:vAlign w:val="bottom"/>
            <w:gridSpan w:val="2"/>
          </w:tcPr>
          <w:p>
            <w:pPr>
              <w:jc w:val="right"/>
              <w:ind w:right="200"/>
              <w:spacing w:after="0"/>
              <w:rPr>
                <w:sz w:val="20"/>
                <w:szCs w:val="20"/>
                <w:color w:val="auto"/>
              </w:rPr>
            </w:pPr>
            <w:r>
              <w:rPr>
                <w:rFonts w:ascii="Arial" w:cs="Arial" w:eastAsia="Arial" w:hAnsi="Arial"/>
                <w:sz w:val="22"/>
                <w:szCs w:val="22"/>
                <w:color w:val="auto"/>
              </w:rPr>
              <w:t>200</w:t>
            </w:r>
          </w:p>
        </w:tc>
        <w:tc>
          <w:tcPr>
            <w:tcW w:w="920" w:type="dxa"/>
            <w:vAlign w:val="bottom"/>
            <w:gridSpan w:val="2"/>
          </w:tcPr>
          <w:p>
            <w:pPr>
              <w:jc w:val="right"/>
              <w:ind w:right="120"/>
              <w:spacing w:after="0"/>
              <w:rPr>
                <w:sz w:val="20"/>
                <w:szCs w:val="20"/>
                <w:color w:val="auto"/>
              </w:rPr>
            </w:pPr>
            <w:r>
              <w:rPr>
                <w:rFonts w:ascii="Arial" w:cs="Arial" w:eastAsia="Arial" w:hAnsi="Arial"/>
                <w:sz w:val="22"/>
                <w:szCs w:val="22"/>
                <w:color w:val="auto"/>
              </w:rPr>
              <w:t>(6)</w:t>
            </w:r>
          </w:p>
        </w:tc>
        <w:tc>
          <w:tcPr>
            <w:tcW w:w="1060" w:type="dxa"/>
            <w:vAlign w:val="bottom"/>
            <w:gridSpan w:val="2"/>
          </w:tcPr>
          <w:p>
            <w:pPr>
              <w:jc w:val="right"/>
              <w:ind w:right="120"/>
              <w:spacing w:after="0"/>
              <w:rPr>
                <w:sz w:val="20"/>
                <w:szCs w:val="20"/>
                <w:color w:val="auto"/>
              </w:rPr>
            </w:pPr>
            <w:r>
              <w:rPr>
                <w:rFonts w:ascii="Arial" w:cs="Arial" w:eastAsia="Arial" w:hAnsi="Arial"/>
                <w:sz w:val="22"/>
                <w:szCs w:val="22"/>
                <w:color w:val="auto"/>
              </w:rPr>
              <w:t>(458)</w:t>
            </w:r>
          </w:p>
        </w:tc>
        <w:tc>
          <w:tcPr>
            <w:tcW w:w="980" w:type="dxa"/>
            <w:vAlign w:val="bottom"/>
          </w:tcPr>
          <w:p>
            <w:pPr>
              <w:spacing w:after="0"/>
              <w:rPr>
                <w:sz w:val="23"/>
                <w:szCs w:val="23"/>
                <w:color w:val="auto"/>
              </w:rPr>
            </w:pPr>
          </w:p>
        </w:tc>
        <w:tc>
          <w:tcPr>
            <w:tcW w:w="1200" w:type="dxa"/>
            <w:vAlign w:val="bottom"/>
            <w:gridSpan w:val="3"/>
          </w:tcPr>
          <w:p>
            <w:pPr>
              <w:jc w:val="right"/>
              <w:spacing w:after="0"/>
              <w:rPr>
                <w:sz w:val="20"/>
                <w:szCs w:val="20"/>
                <w:color w:val="auto"/>
              </w:rPr>
            </w:pPr>
            <w:r>
              <w:rPr>
                <w:rFonts w:ascii="Arial" w:cs="Arial" w:eastAsia="Arial" w:hAnsi="Arial"/>
                <w:sz w:val="22"/>
                <w:szCs w:val="22"/>
                <w:color w:val="auto"/>
              </w:rPr>
              <w:t>(1,024)</w:t>
            </w:r>
          </w:p>
        </w:tc>
        <w:tc>
          <w:tcPr>
            <w:tcW w:w="0" w:type="dxa"/>
            <w:vAlign w:val="bottom"/>
          </w:tcPr>
          <w:p>
            <w:pPr>
              <w:spacing w:after="0"/>
              <w:rPr>
                <w:sz w:val="1"/>
                <w:szCs w:val="1"/>
                <w:color w:val="auto"/>
              </w:rPr>
            </w:pPr>
          </w:p>
        </w:tc>
      </w:tr>
      <w:tr>
        <w:trPr>
          <w:trHeight w:val="98"/>
        </w:trPr>
        <w:tc>
          <w:tcPr>
            <w:tcW w:w="3360" w:type="dxa"/>
            <w:vAlign w:val="bottom"/>
            <w:vMerge w:val="restart"/>
          </w:tcPr>
          <w:p>
            <w:pPr>
              <w:spacing w:after="0"/>
              <w:rPr>
                <w:sz w:val="20"/>
                <w:szCs w:val="20"/>
                <w:color w:val="auto"/>
              </w:rPr>
            </w:pPr>
            <w:r>
              <w:rPr>
                <w:rFonts w:ascii="Arial" w:cs="Arial" w:eastAsia="Arial" w:hAnsi="Arial"/>
                <w:sz w:val="22"/>
                <w:szCs w:val="22"/>
                <w:color w:val="auto"/>
              </w:rPr>
              <w:t>INVESTING ACTIVITIES</w:t>
            </w:r>
          </w:p>
        </w:tc>
        <w:tc>
          <w:tcPr>
            <w:tcW w:w="7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66"/>
        </w:trPr>
        <w:tc>
          <w:tcPr>
            <w:tcW w:w="336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360" w:type="dxa"/>
            <w:vAlign w:val="bottom"/>
          </w:tcPr>
          <w:p>
            <w:pPr>
              <w:spacing w:after="0" w:line="243" w:lineRule="exact"/>
              <w:rPr>
                <w:sz w:val="20"/>
                <w:szCs w:val="20"/>
                <w:color w:val="auto"/>
              </w:rPr>
            </w:pPr>
            <w:r>
              <w:rPr>
                <w:rFonts w:ascii="Arial" w:cs="Arial" w:eastAsia="Arial" w:hAnsi="Arial"/>
                <w:sz w:val="22"/>
                <w:szCs w:val="22"/>
                <w:color w:val="auto"/>
              </w:rPr>
              <w:t>Net transactions with affiliates</w:t>
            </w:r>
          </w:p>
        </w:tc>
        <w:tc>
          <w:tcPr>
            <w:tcW w:w="700" w:type="dxa"/>
            <w:vAlign w:val="bottom"/>
          </w:tcPr>
          <w:p>
            <w:pPr>
              <w:jc w:val="right"/>
              <w:spacing w:after="0" w:line="243" w:lineRule="exact"/>
              <w:rPr>
                <w:sz w:val="20"/>
                <w:szCs w:val="20"/>
                <w:color w:val="auto"/>
              </w:rPr>
            </w:pPr>
            <w:r>
              <w:rPr>
                <w:rFonts w:ascii="Arial" w:cs="Arial" w:eastAsia="Arial" w:hAnsi="Arial"/>
                <w:sz w:val="22"/>
                <w:szCs w:val="22"/>
                <w:color w:val="auto"/>
              </w:rPr>
              <w:t>55</w:t>
            </w:r>
          </w:p>
        </w:tc>
        <w:tc>
          <w:tcPr>
            <w:tcW w:w="180" w:type="dxa"/>
            <w:vAlign w:val="bottom"/>
          </w:tcPr>
          <w:p>
            <w:pPr>
              <w:spacing w:after="0"/>
              <w:rPr>
                <w:sz w:val="21"/>
                <w:szCs w:val="21"/>
                <w:color w:val="auto"/>
              </w:rPr>
            </w:pPr>
          </w:p>
        </w:tc>
        <w:tc>
          <w:tcPr>
            <w:tcW w:w="880" w:type="dxa"/>
            <w:vAlign w:val="bottom"/>
            <w:gridSpan w:val="2"/>
          </w:tcPr>
          <w:p>
            <w:pPr>
              <w:jc w:val="right"/>
              <w:ind w:right="200"/>
              <w:spacing w:after="0" w:line="243" w:lineRule="exact"/>
              <w:rPr>
                <w:sz w:val="20"/>
                <w:szCs w:val="20"/>
                <w:color w:val="auto"/>
              </w:rPr>
            </w:pPr>
            <w:r>
              <w:rPr>
                <w:rFonts w:ascii="Arial" w:cs="Arial" w:eastAsia="Arial" w:hAnsi="Arial"/>
                <w:sz w:val="22"/>
                <w:szCs w:val="22"/>
                <w:color w:val="auto"/>
              </w:rPr>
              <w:t>591</w:t>
            </w:r>
          </w:p>
        </w:tc>
        <w:tc>
          <w:tcPr>
            <w:tcW w:w="880" w:type="dxa"/>
            <w:vAlign w:val="bottom"/>
            <w:gridSpan w:val="2"/>
          </w:tcPr>
          <w:p>
            <w:pPr>
              <w:jc w:val="right"/>
              <w:ind w:right="120"/>
              <w:spacing w:after="0" w:line="243" w:lineRule="exact"/>
              <w:rPr>
                <w:sz w:val="20"/>
                <w:szCs w:val="20"/>
                <w:color w:val="auto"/>
              </w:rPr>
            </w:pPr>
            <w:r>
              <w:rPr>
                <w:rFonts w:ascii="Arial" w:cs="Arial" w:eastAsia="Arial" w:hAnsi="Arial"/>
                <w:sz w:val="22"/>
                <w:szCs w:val="22"/>
                <w:color w:val="auto"/>
              </w:rPr>
              <w:t>(237)</w:t>
            </w:r>
          </w:p>
        </w:tc>
        <w:tc>
          <w:tcPr>
            <w:tcW w:w="740" w:type="dxa"/>
            <w:vAlign w:val="bottom"/>
          </w:tcPr>
          <w:p>
            <w:pPr>
              <w:jc w:val="right"/>
              <w:spacing w:after="0" w:line="243" w:lineRule="exact"/>
              <w:rPr>
                <w:sz w:val="20"/>
                <w:szCs w:val="20"/>
                <w:color w:val="auto"/>
              </w:rPr>
            </w:pPr>
            <w:r>
              <w:rPr>
                <w:rFonts w:ascii="Arial" w:cs="Arial" w:eastAsia="Arial" w:hAnsi="Arial"/>
                <w:sz w:val="22"/>
                <w:szCs w:val="22"/>
                <w:color w:val="auto"/>
              </w:rPr>
              <w:t>226</w:t>
            </w:r>
          </w:p>
        </w:tc>
        <w:tc>
          <w:tcPr>
            <w:tcW w:w="180" w:type="dxa"/>
            <w:vAlign w:val="bottom"/>
          </w:tcPr>
          <w:p>
            <w:pPr>
              <w:spacing w:after="0"/>
              <w:rPr>
                <w:sz w:val="21"/>
                <w:szCs w:val="21"/>
                <w:color w:val="auto"/>
              </w:rPr>
            </w:pPr>
          </w:p>
        </w:tc>
        <w:tc>
          <w:tcPr>
            <w:tcW w:w="1060" w:type="dxa"/>
            <w:vAlign w:val="bottom"/>
            <w:gridSpan w:val="2"/>
          </w:tcPr>
          <w:p>
            <w:pPr>
              <w:jc w:val="right"/>
              <w:ind w:right="120"/>
              <w:spacing w:after="0" w:line="243" w:lineRule="exact"/>
              <w:rPr>
                <w:sz w:val="20"/>
                <w:szCs w:val="20"/>
                <w:color w:val="auto"/>
              </w:rPr>
            </w:pPr>
            <w:r>
              <w:rPr>
                <w:rFonts w:ascii="Arial" w:cs="Arial" w:eastAsia="Arial" w:hAnsi="Arial"/>
                <w:sz w:val="22"/>
                <w:szCs w:val="22"/>
                <w:color w:val="auto"/>
              </w:rPr>
              <w:t>(635)</w:t>
            </w: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60" w:type="dxa"/>
            <w:vAlign w:val="bottom"/>
          </w:tcPr>
          <w:p>
            <w:pPr>
              <w:spacing w:after="0" w:line="243" w:lineRule="exact"/>
              <w:rPr>
                <w:sz w:val="20"/>
                <w:szCs w:val="20"/>
                <w:color w:val="auto"/>
              </w:rPr>
            </w:pPr>
            <w:r>
              <w:rPr>
                <w:rFonts w:ascii="Arial" w:cs="Arial" w:eastAsia="Arial" w:hAnsi="Arial"/>
                <w:sz w:val="22"/>
                <w:szCs w:val="22"/>
                <w:color w:val="auto"/>
              </w:rPr>
              <w:t>Acquisitions, net of cash acquired</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120"/>
              <w:spacing w:after="0" w:line="243" w:lineRule="exact"/>
              <w:rPr>
                <w:sz w:val="20"/>
                <w:szCs w:val="20"/>
                <w:color w:val="auto"/>
              </w:rPr>
            </w:pPr>
            <w:r>
              <w:rPr>
                <w:rFonts w:ascii="Arial" w:cs="Arial" w:eastAsia="Arial" w:hAnsi="Arial"/>
                <w:sz w:val="22"/>
                <w:szCs w:val="22"/>
                <w:color w:val="auto"/>
              </w:rPr>
              <w:t>(336)</w:t>
            </w:r>
          </w:p>
        </w:tc>
        <w:tc>
          <w:tcPr>
            <w:tcW w:w="980" w:type="dxa"/>
            <w:vAlign w:val="bottom"/>
          </w:tcPr>
          <w:p>
            <w:pPr>
              <w:spacing w:after="0"/>
              <w:rPr>
                <w:sz w:val="21"/>
                <w:szCs w:val="21"/>
                <w:color w:val="auto"/>
              </w:rPr>
            </w:pPr>
          </w:p>
        </w:tc>
        <w:tc>
          <w:tcPr>
            <w:tcW w:w="120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(336)</w:t>
            </w:r>
          </w:p>
        </w:tc>
        <w:tc>
          <w:tcPr>
            <w:tcW w:w="0" w:type="dxa"/>
            <w:vAlign w:val="bottom"/>
          </w:tcPr>
          <w:p>
            <w:pPr>
              <w:spacing w:after="0"/>
              <w:rPr>
                <w:sz w:val="1"/>
                <w:szCs w:val="1"/>
                <w:color w:val="auto"/>
              </w:rPr>
            </w:pPr>
          </w:p>
        </w:tc>
      </w:tr>
      <w:tr>
        <w:trPr>
          <w:trHeight w:val="243"/>
        </w:trPr>
        <w:tc>
          <w:tcPr>
            <w:tcW w:w="3360" w:type="dxa"/>
            <w:vAlign w:val="bottom"/>
          </w:tcPr>
          <w:p>
            <w:pPr>
              <w:spacing w:after="0" w:line="243" w:lineRule="exact"/>
              <w:rPr>
                <w:sz w:val="20"/>
                <w:szCs w:val="20"/>
                <w:color w:val="auto"/>
              </w:rPr>
            </w:pPr>
            <w:r>
              <w:rPr>
                <w:rFonts w:ascii="Arial" w:cs="Arial" w:eastAsia="Arial" w:hAnsi="Arial"/>
                <w:sz w:val="22"/>
                <w:szCs w:val="22"/>
                <w:color w:val="auto"/>
                <w:w w:val="96"/>
              </w:rPr>
              <w:t>Proceeds from sales (purchases) of</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60" w:type="dxa"/>
            <w:vAlign w:val="bottom"/>
          </w:tcPr>
          <w:p>
            <w:pPr>
              <w:spacing w:after="0" w:line="243" w:lineRule="exact"/>
              <w:rPr>
                <w:sz w:val="20"/>
                <w:szCs w:val="20"/>
                <w:color w:val="auto"/>
              </w:rPr>
            </w:pPr>
            <w:r>
              <w:rPr>
                <w:rFonts w:ascii="Arial" w:cs="Arial" w:eastAsia="Arial" w:hAnsi="Arial"/>
                <w:sz w:val="22"/>
                <w:szCs w:val="22"/>
                <w:color w:val="auto"/>
              </w:rPr>
              <w:t>short-term</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60" w:type="dxa"/>
            <w:vAlign w:val="bottom"/>
          </w:tcPr>
          <w:p>
            <w:pPr>
              <w:ind w:left="180"/>
              <w:spacing w:after="0" w:line="243" w:lineRule="exact"/>
              <w:rPr>
                <w:sz w:val="20"/>
                <w:szCs w:val="20"/>
                <w:color w:val="auto"/>
              </w:rPr>
            </w:pPr>
            <w:r>
              <w:rPr>
                <w:rFonts w:ascii="Arial" w:cs="Arial" w:eastAsia="Arial" w:hAnsi="Arial"/>
                <w:sz w:val="22"/>
                <w:szCs w:val="22"/>
                <w:color w:val="auto"/>
              </w:rPr>
              <w:t>investments, net</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120"/>
              <w:spacing w:after="0" w:line="243" w:lineRule="exact"/>
              <w:rPr>
                <w:sz w:val="20"/>
                <w:szCs w:val="20"/>
                <w:color w:val="auto"/>
              </w:rPr>
            </w:pPr>
            <w:r>
              <w:rPr>
                <w:rFonts w:ascii="Arial" w:cs="Arial" w:eastAsia="Arial" w:hAnsi="Arial"/>
                <w:sz w:val="22"/>
                <w:szCs w:val="22"/>
                <w:color w:val="auto"/>
              </w:rPr>
              <w:t>(15)</w:t>
            </w:r>
          </w:p>
        </w:tc>
        <w:tc>
          <w:tcPr>
            <w:tcW w:w="980" w:type="dxa"/>
            <w:vAlign w:val="bottom"/>
          </w:tcPr>
          <w:p>
            <w:pPr>
              <w:spacing w:after="0"/>
              <w:rPr>
                <w:sz w:val="21"/>
                <w:szCs w:val="21"/>
                <w:color w:val="auto"/>
              </w:rPr>
            </w:pPr>
          </w:p>
        </w:tc>
        <w:tc>
          <w:tcPr>
            <w:tcW w:w="120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(15)</w:t>
            </w:r>
          </w:p>
        </w:tc>
        <w:tc>
          <w:tcPr>
            <w:tcW w:w="0" w:type="dxa"/>
            <w:vAlign w:val="bottom"/>
          </w:tcPr>
          <w:p>
            <w:pPr>
              <w:spacing w:after="0"/>
              <w:rPr>
                <w:sz w:val="1"/>
                <w:szCs w:val="1"/>
                <w:color w:val="auto"/>
              </w:rPr>
            </w:pPr>
          </w:p>
        </w:tc>
      </w:tr>
      <w:tr>
        <w:trPr>
          <w:trHeight w:val="243"/>
        </w:trPr>
        <w:tc>
          <w:tcPr>
            <w:tcW w:w="3360" w:type="dxa"/>
            <w:vAlign w:val="bottom"/>
          </w:tcPr>
          <w:p>
            <w:pPr>
              <w:spacing w:after="0" w:line="243" w:lineRule="exact"/>
              <w:rPr>
                <w:sz w:val="20"/>
                <w:szCs w:val="20"/>
                <w:color w:val="auto"/>
              </w:rPr>
            </w:pPr>
            <w:r>
              <w:rPr>
                <w:rFonts w:ascii="Arial" w:cs="Arial" w:eastAsia="Arial" w:hAnsi="Arial"/>
                <w:sz w:val="22"/>
                <w:szCs w:val="22"/>
                <w:color w:val="auto"/>
                <w:w w:val="95"/>
              </w:rPr>
              <w:t>Proceeds from sales of investments</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spacing w:after="0" w:line="243" w:lineRule="exact"/>
              <w:rPr>
                <w:sz w:val="20"/>
                <w:szCs w:val="20"/>
                <w:color w:val="auto"/>
              </w:rPr>
            </w:pPr>
            <w:r>
              <w:rPr>
                <w:rFonts w:ascii="Arial" w:cs="Arial" w:eastAsia="Arial" w:hAnsi="Arial"/>
                <w:sz w:val="22"/>
                <w:szCs w:val="22"/>
                <w:color w:val="auto"/>
              </w:rPr>
              <w:t>51</w:t>
            </w: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0" w:type="dxa"/>
            <w:vAlign w:val="bottom"/>
            <w:gridSpan w:val="3"/>
          </w:tcPr>
          <w:p>
            <w:pPr>
              <w:jc w:val="right"/>
              <w:ind w:right="80"/>
              <w:spacing w:after="0" w:line="243" w:lineRule="exact"/>
              <w:rPr>
                <w:sz w:val="20"/>
                <w:szCs w:val="20"/>
                <w:color w:val="auto"/>
              </w:rPr>
            </w:pPr>
            <w:r>
              <w:rPr>
                <w:rFonts w:ascii="Arial" w:cs="Arial" w:eastAsia="Arial" w:hAnsi="Arial"/>
                <w:sz w:val="22"/>
                <w:szCs w:val="22"/>
                <w:color w:val="auto"/>
              </w:rPr>
              <w:t>51</w:t>
            </w:r>
          </w:p>
        </w:tc>
        <w:tc>
          <w:tcPr>
            <w:tcW w:w="0" w:type="dxa"/>
            <w:vAlign w:val="bottom"/>
          </w:tcPr>
          <w:p>
            <w:pPr>
              <w:spacing w:after="0"/>
              <w:rPr>
                <w:sz w:val="1"/>
                <w:szCs w:val="1"/>
                <w:color w:val="auto"/>
              </w:rPr>
            </w:pPr>
          </w:p>
        </w:tc>
      </w:tr>
      <w:tr>
        <w:trPr>
          <w:trHeight w:val="243"/>
        </w:trPr>
        <w:tc>
          <w:tcPr>
            <w:tcW w:w="3360" w:type="dxa"/>
            <w:vAlign w:val="bottom"/>
          </w:tcPr>
          <w:p>
            <w:pPr>
              <w:spacing w:after="0" w:line="243" w:lineRule="exact"/>
              <w:rPr>
                <w:sz w:val="20"/>
                <w:szCs w:val="20"/>
                <w:color w:val="auto"/>
              </w:rPr>
            </w:pPr>
            <w:r>
              <w:rPr>
                <w:rFonts w:ascii="Arial" w:cs="Arial" w:eastAsia="Arial" w:hAnsi="Arial"/>
                <w:sz w:val="22"/>
                <w:szCs w:val="22"/>
                <w:color w:val="auto"/>
              </w:rPr>
              <w:t>Purchases of investments</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120"/>
              <w:spacing w:after="0" w:line="243" w:lineRule="exact"/>
              <w:rPr>
                <w:sz w:val="20"/>
                <w:szCs w:val="20"/>
                <w:color w:val="auto"/>
              </w:rPr>
            </w:pPr>
            <w:r>
              <w:rPr>
                <w:rFonts w:ascii="Arial" w:cs="Arial" w:eastAsia="Arial" w:hAnsi="Arial"/>
                <w:sz w:val="22"/>
                <w:szCs w:val="22"/>
                <w:color w:val="auto"/>
              </w:rPr>
              <w:t>(106)</w:t>
            </w:r>
          </w:p>
        </w:tc>
        <w:tc>
          <w:tcPr>
            <w:tcW w:w="980" w:type="dxa"/>
            <w:vAlign w:val="bottom"/>
          </w:tcPr>
          <w:p>
            <w:pPr>
              <w:spacing w:after="0"/>
              <w:rPr>
                <w:sz w:val="21"/>
                <w:szCs w:val="21"/>
                <w:color w:val="auto"/>
              </w:rPr>
            </w:pPr>
          </w:p>
        </w:tc>
        <w:tc>
          <w:tcPr>
            <w:tcW w:w="120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(106)</w:t>
            </w:r>
          </w:p>
        </w:tc>
        <w:tc>
          <w:tcPr>
            <w:tcW w:w="0" w:type="dxa"/>
            <w:vAlign w:val="bottom"/>
          </w:tcPr>
          <w:p>
            <w:pPr>
              <w:spacing w:after="0"/>
              <w:rPr>
                <w:sz w:val="1"/>
                <w:szCs w:val="1"/>
                <w:color w:val="auto"/>
              </w:rPr>
            </w:pPr>
          </w:p>
        </w:tc>
      </w:tr>
      <w:tr>
        <w:trPr>
          <w:trHeight w:val="243"/>
        </w:trPr>
        <w:tc>
          <w:tcPr>
            <w:tcW w:w="3360" w:type="dxa"/>
            <w:vAlign w:val="bottom"/>
          </w:tcPr>
          <w:p>
            <w:pPr>
              <w:spacing w:after="0" w:line="243" w:lineRule="exact"/>
              <w:rPr>
                <w:sz w:val="20"/>
                <w:szCs w:val="20"/>
                <w:color w:val="auto"/>
              </w:rPr>
            </w:pPr>
            <w:r>
              <w:rPr>
                <w:rFonts w:ascii="Arial" w:cs="Arial" w:eastAsia="Arial" w:hAnsi="Arial"/>
                <w:sz w:val="22"/>
                <w:szCs w:val="22"/>
                <w:color w:val="auto"/>
              </w:rPr>
              <w:t>Capital expenditures</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120"/>
              <w:spacing w:after="0" w:line="243" w:lineRule="exact"/>
              <w:rPr>
                <w:sz w:val="20"/>
                <w:szCs w:val="20"/>
                <w:color w:val="auto"/>
              </w:rPr>
            </w:pPr>
            <w:r>
              <w:rPr>
                <w:rFonts w:ascii="Arial" w:cs="Arial" w:eastAsia="Arial" w:hAnsi="Arial"/>
                <w:sz w:val="22"/>
                <w:szCs w:val="22"/>
                <w:color w:val="auto"/>
              </w:rPr>
              <w:t>(1,732)</w:t>
            </w:r>
          </w:p>
        </w:tc>
        <w:tc>
          <w:tcPr>
            <w:tcW w:w="980" w:type="dxa"/>
            <w:vAlign w:val="bottom"/>
          </w:tcPr>
          <w:p>
            <w:pPr>
              <w:spacing w:after="0"/>
              <w:rPr>
                <w:sz w:val="21"/>
                <w:szCs w:val="21"/>
                <w:color w:val="auto"/>
              </w:rPr>
            </w:pPr>
          </w:p>
        </w:tc>
        <w:tc>
          <w:tcPr>
            <w:tcW w:w="120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(1,732)</w:t>
            </w:r>
          </w:p>
        </w:tc>
        <w:tc>
          <w:tcPr>
            <w:tcW w:w="0" w:type="dxa"/>
            <w:vAlign w:val="bottom"/>
          </w:tcPr>
          <w:p>
            <w:pPr>
              <w:spacing w:after="0"/>
              <w:rPr>
                <w:sz w:val="1"/>
                <w:szCs w:val="1"/>
                <w:color w:val="auto"/>
              </w:rPr>
            </w:pPr>
          </w:p>
        </w:tc>
      </w:tr>
      <w:tr>
        <w:trPr>
          <w:trHeight w:val="243"/>
        </w:trPr>
        <w:tc>
          <w:tcPr>
            <w:tcW w:w="3360" w:type="dxa"/>
            <w:vAlign w:val="bottom"/>
          </w:tcPr>
          <w:p>
            <w:pPr>
              <w:spacing w:after="0" w:line="243" w:lineRule="exact"/>
              <w:rPr>
                <w:sz w:val="20"/>
                <w:szCs w:val="20"/>
                <w:color w:val="auto"/>
              </w:rPr>
            </w:pPr>
            <w:r>
              <w:rPr>
                <w:rFonts w:ascii="Arial" w:cs="Arial" w:eastAsia="Arial" w:hAnsi="Arial"/>
                <w:sz w:val="22"/>
                <w:szCs w:val="22"/>
                <w:color w:val="auto"/>
              </w:rPr>
              <w:t>Additions to intangible and other</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60" w:type="dxa"/>
            <w:vAlign w:val="bottom"/>
          </w:tcPr>
          <w:p>
            <w:pPr>
              <w:spacing w:after="0" w:line="243" w:lineRule="exact"/>
              <w:rPr>
                <w:sz w:val="20"/>
                <w:szCs w:val="20"/>
                <w:color w:val="auto"/>
              </w:rPr>
            </w:pPr>
            <w:r>
              <w:rPr>
                <w:rFonts w:ascii="Arial" w:cs="Arial" w:eastAsia="Arial" w:hAnsi="Arial"/>
                <w:sz w:val="22"/>
                <w:szCs w:val="22"/>
                <w:color w:val="auto"/>
              </w:rPr>
              <w:t>noncurrent</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60" w:type="dxa"/>
            <w:vAlign w:val="bottom"/>
          </w:tcPr>
          <w:p>
            <w:pPr>
              <w:ind w:left="180"/>
              <w:spacing w:after="0" w:line="243" w:lineRule="exact"/>
              <w:rPr>
                <w:sz w:val="20"/>
                <w:szCs w:val="20"/>
                <w:color w:val="auto"/>
              </w:rPr>
            </w:pPr>
            <w:r>
              <w:rPr>
                <w:rFonts w:ascii="Arial" w:cs="Arial" w:eastAsia="Arial" w:hAnsi="Arial"/>
                <w:sz w:val="22"/>
                <w:szCs w:val="22"/>
                <w:color w:val="auto"/>
              </w:rPr>
              <w:t>assets</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120"/>
              <w:spacing w:after="0" w:line="243" w:lineRule="exact"/>
              <w:rPr>
                <w:sz w:val="20"/>
                <w:szCs w:val="20"/>
                <w:color w:val="auto"/>
              </w:rPr>
            </w:pPr>
            <w:r>
              <w:rPr>
                <w:rFonts w:ascii="Arial" w:cs="Arial" w:eastAsia="Arial" w:hAnsi="Arial"/>
                <w:sz w:val="22"/>
                <w:szCs w:val="22"/>
                <w:color w:val="auto"/>
              </w:rPr>
              <w:t>(453)</w:t>
            </w:r>
          </w:p>
        </w:tc>
        <w:tc>
          <w:tcPr>
            <w:tcW w:w="980" w:type="dxa"/>
            <w:vAlign w:val="bottom"/>
          </w:tcPr>
          <w:p>
            <w:pPr>
              <w:spacing w:after="0"/>
              <w:rPr>
                <w:sz w:val="21"/>
                <w:szCs w:val="21"/>
                <w:color w:val="auto"/>
              </w:rPr>
            </w:pPr>
          </w:p>
        </w:tc>
        <w:tc>
          <w:tcPr>
            <w:tcW w:w="120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(453)</w:t>
            </w:r>
          </w:p>
        </w:tc>
        <w:tc>
          <w:tcPr>
            <w:tcW w:w="0" w:type="dxa"/>
            <w:vAlign w:val="bottom"/>
          </w:tcPr>
          <w:p>
            <w:pPr>
              <w:spacing w:after="0"/>
              <w:rPr>
                <w:sz w:val="1"/>
                <w:szCs w:val="1"/>
                <w:color w:val="auto"/>
              </w:rPr>
            </w:pPr>
          </w:p>
        </w:tc>
      </w:tr>
      <w:tr>
        <w:trPr>
          <w:trHeight w:val="243"/>
        </w:trPr>
        <w:tc>
          <w:tcPr>
            <w:tcW w:w="3360" w:type="dxa"/>
            <w:vAlign w:val="bottom"/>
          </w:tcPr>
          <w:p>
            <w:pPr>
              <w:spacing w:after="0" w:line="243" w:lineRule="exact"/>
              <w:rPr>
                <w:sz w:val="20"/>
                <w:szCs w:val="20"/>
                <w:color w:val="auto"/>
              </w:rPr>
            </w:pPr>
            <w:r>
              <w:rPr>
                <w:rFonts w:ascii="Arial" w:cs="Arial" w:eastAsia="Arial" w:hAnsi="Arial"/>
                <w:sz w:val="22"/>
                <w:szCs w:val="22"/>
                <w:color w:val="auto"/>
              </w:rPr>
              <w:t>Proceeds from settlement of</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60" w:type="dxa"/>
            <w:vAlign w:val="bottom"/>
          </w:tcPr>
          <w:p>
            <w:pPr>
              <w:spacing w:after="0" w:line="243" w:lineRule="exact"/>
              <w:rPr>
                <w:sz w:val="20"/>
                <w:szCs w:val="20"/>
                <w:color w:val="auto"/>
              </w:rPr>
            </w:pPr>
            <w:r>
              <w:rPr>
                <w:rFonts w:ascii="Arial" w:cs="Arial" w:eastAsia="Arial" w:hAnsi="Arial"/>
                <w:sz w:val="22"/>
                <w:szCs w:val="22"/>
                <w:color w:val="auto"/>
              </w:rPr>
              <w:t>contract of</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3360" w:type="dxa"/>
            <w:vAlign w:val="bottom"/>
          </w:tcPr>
          <w:p>
            <w:pPr>
              <w:ind w:left="180"/>
              <w:spacing w:after="0"/>
              <w:rPr>
                <w:sz w:val="20"/>
                <w:szCs w:val="20"/>
                <w:color w:val="auto"/>
              </w:rPr>
            </w:pPr>
            <w:r>
              <w:rPr>
                <w:rFonts w:ascii="Arial" w:cs="Arial" w:eastAsia="Arial" w:hAnsi="Arial"/>
                <w:sz w:val="22"/>
                <w:szCs w:val="22"/>
                <w:color w:val="auto"/>
              </w:rPr>
              <w:t>acquired company</w:t>
            </w:r>
          </w:p>
        </w:tc>
        <w:tc>
          <w:tcPr>
            <w:tcW w:w="7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22"/>
                <w:szCs w:val="22"/>
                <w:color w:val="auto"/>
              </w:rPr>
              <w:t>26</w:t>
            </w:r>
          </w:p>
        </w:tc>
        <w:tc>
          <w:tcPr>
            <w:tcW w:w="2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0" w:type="dxa"/>
            <w:vAlign w:val="bottom"/>
            <w:gridSpan w:val="3"/>
          </w:tcPr>
          <w:p>
            <w:pPr>
              <w:jc w:val="right"/>
              <w:ind w:right="80"/>
              <w:spacing w:after="0"/>
              <w:rPr>
                <w:sz w:val="20"/>
                <w:szCs w:val="20"/>
                <w:color w:val="auto"/>
              </w:rPr>
            </w:pPr>
            <w:r>
              <w:rPr>
                <w:rFonts w:ascii="Arial" w:cs="Arial" w:eastAsia="Arial" w:hAnsi="Arial"/>
                <w:sz w:val="22"/>
                <w:szCs w:val="22"/>
                <w:color w:val="auto"/>
              </w:rPr>
              <w:t>26</w:t>
            </w:r>
          </w:p>
        </w:tc>
        <w:tc>
          <w:tcPr>
            <w:tcW w:w="0" w:type="dxa"/>
            <w:vAlign w:val="bottom"/>
          </w:tcPr>
          <w:p>
            <w:pPr>
              <w:spacing w:after="0"/>
              <w:rPr>
                <w:sz w:val="1"/>
                <w:szCs w:val="1"/>
                <w:color w:val="auto"/>
              </w:rPr>
            </w:pPr>
          </w:p>
        </w:tc>
      </w:tr>
      <w:tr>
        <w:trPr>
          <w:trHeight w:val="98"/>
        </w:trPr>
        <w:tc>
          <w:tcPr>
            <w:tcW w:w="3360" w:type="dxa"/>
            <w:vAlign w:val="bottom"/>
            <w:vMerge w:val="restart"/>
          </w:tcPr>
          <w:p>
            <w:pPr>
              <w:ind w:left="180"/>
              <w:spacing w:after="0"/>
              <w:rPr>
                <w:sz w:val="20"/>
                <w:szCs w:val="20"/>
                <w:color w:val="auto"/>
              </w:rPr>
            </w:pPr>
            <w:r>
              <w:rPr>
                <w:rFonts w:ascii="Arial" w:cs="Arial" w:eastAsia="Arial" w:hAnsi="Arial"/>
                <w:sz w:val="22"/>
                <w:szCs w:val="22"/>
                <w:color w:val="auto"/>
              </w:rPr>
              <w:t>Net cash (used in) provided by</w:t>
            </w:r>
          </w:p>
        </w:tc>
        <w:tc>
          <w:tcPr>
            <w:tcW w:w="7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3"/>
        </w:trPr>
        <w:tc>
          <w:tcPr>
            <w:tcW w:w="336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360" w:type="dxa"/>
            <w:vAlign w:val="bottom"/>
          </w:tcPr>
          <w:p>
            <w:pPr>
              <w:spacing w:after="0" w:line="243" w:lineRule="exact"/>
              <w:rPr>
                <w:sz w:val="20"/>
                <w:szCs w:val="20"/>
                <w:color w:val="auto"/>
              </w:rPr>
            </w:pPr>
            <w:r>
              <w:rPr>
                <w:rFonts w:ascii="Arial" w:cs="Arial" w:eastAsia="Arial" w:hAnsi="Arial"/>
                <w:sz w:val="22"/>
                <w:szCs w:val="22"/>
                <w:color w:val="auto"/>
              </w:rPr>
              <w:t>investing</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3360" w:type="dxa"/>
            <w:vAlign w:val="bottom"/>
          </w:tcPr>
          <w:p>
            <w:pPr>
              <w:ind w:left="280"/>
              <w:spacing w:after="0"/>
              <w:rPr>
                <w:sz w:val="20"/>
                <w:szCs w:val="20"/>
                <w:color w:val="auto"/>
              </w:rPr>
            </w:pPr>
            <w:r>
              <w:rPr>
                <w:rFonts w:ascii="Arial" w:cs="Arial" w:eastAsia="Arial" w:hAnsi="Arial"/>
                <w:sz w:val="22"/>
                <w:szCs w:val="22"/>
                <w:color w:val="auto"/>
              </w:rPr>
              <w:t>activities</w:t>
            </w:r>
          </w:p>
        </w:tc>
        <w:tc>
          <w:tcPr>
            <w:tcW w:w="700" w:type="dxa"/>
            <w:vAlign w:val="bottom"/>
          </w:tcPr>
          <w:p>
            <w:pPr>
              <w:jc w:val="right"/>
              <w:spacing w:after="0"/>
              <w:rPr>
                <w:sz w:val="20"/>
                <w:szCs w:val="20"/>
                <w:color w:val="auto"/>
              </w:rPr>
            </w:pPr>
            <w:r>
              <w:rPr>
                <w:rFonts w:ascii="Arial" w:cs="Arial" w:eastAsia="Arial" w:hAnsi="Arial"/>
                <w:sz w:val="22"/>
                <w:szCs w:val="22"/>
                <w:color w:val="auto"/>
              </w:rPr>
              <w:t>55</w:t>
            </w:r>
          </w:p>
        </w:tc>
        <w:tc>
          <w:tcPr>
            <w:tcW w:w="180" w:type="dxa"/>
            <w:vAlign w:val="bottom"/>
          </w:tcPr>
          <w:p>
            <w:pPr>
              <w:spacing w:after="0"/>
              <w:rPr>
                <w:sz w:val="23"/>
                <w:szCs w:val="23"/>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22"/>
                <w:szCs w:val="22"/>
                <w:color w:val="auto"/>
              </w:rPr>
              <w:t>591</w:t>
            </w:r>
          </w:p>
        </w:tc>
        <w:tc>
          <w:tcPr>
            <w:tcW w:w="880" w:type="dxa"/>
            <w:vAlign w:val="bottom"/>
            <w:gridSpan w:val="2"/>
          </w:tcPr>
          <w:p>
            <w:pPr>
              <w:jc w:val="right"/>
              <w:ind w:right="120"/>
              <w:spacing w:after="0"/>
              <w:rPr>
                <w:sz w:val="20"/>
                <w:szCs w:val="20"/>
                <w:color w:val="auto"/>
              </w:rPr>
            </w:pPr>
            <w:r>
              <w:rPr>
                <w:rFonts w:ascii="Arial" w:cs="Arial" w:eastAsia="Arial" w:hAnsi="Arial"/>
                <w:sz w:val="22"/>
                <w:szCs w:val="22"/>
                <w:color w:val="auto"/>
              </w:rPr>
              <w:t>(237)</w:t>
            </w:r>
          </w:p>
        </w:tc>
        <w:tc>
          <w:tcPr>
            <w:tcW w:w="740" w:type="dxa"/>
            <w:vAlign w:val="bottom"/>
          </w:tcPr>
          <w:p>
            <w:pPr>
              <w:jc w:val="right"/>
              <w:spacing w:after="0"/>
              <w:rPr>
                <w:sz w:val="20"/>
                <w:szCs w:val="20"/>
                <w:color w:val="auto"/>
              </w:rPr>
            </w:pPr>
            <w:r>
              <w:rPr>
                <w:rFonts w:ascii="Arial" w:cs="Arial" w:eastAsia="Arial" w:hAnsi="Arial"/>
                <w:sz w:val="22"/>
                <w:szCs w:val="22"/>
                <w:color w:val="auto"/>
              </w:rPr>
              <w:t>226</w:t>
            </w:r>
          </w:p>
        </w:tc>
        <w:tc>
          <w:tcPr>
            <w:tcW w:w="180" w:type="dxa"/>
            <w:vAlign w:val="bottom"/>
          </w:tcPr>
          <w:p>
            <w:pPr>
              <w:spacing w:after="0"/>
              <w:rPr>
                <w:sz w:val="23"/>
                <w:szCs w:val="23"/>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22"/>
                <w:szCs w:val="22"/>
                <w:color w:val="auto"/>
              </w:rPr>
              <w:t>(3,200)</w:t>
            </w:r>
          </w:p>
        </w:tc>
        <w:tc>
          <w:tcPr>
            <w:tcW w:w="980" w:type="dxa"/>
            <w:vAlign w:val="bottom"/>
          </w:tcPr>
          <w:p>
            <w:pPr>
              <w:spacing w:after="0"/>
              <w:rPr>
                <w:sz w:val="23"/>
                <w:szCs w:val="23"/>
                <w:color w:val="auto"/>
              </w:rPr>
            </w:pPr>
          </w:p>
        </w:tc>
        <w:tc>
          <w:tcPr>
            <w:tcW w:w="1200" w:type="dxa"/>
            <w:vAlign w:val="bottom"/>
            <w:gridSpan w:val="3"/>
          </w:tcPr>
          <w:p>
            <w:pPr>
              <w:jc w:val="right"/>
              <w:spacing w:after="0"/>
              <w:rPr>
                <w:sz w:val="20"/>
                <w:szCs w:val="20"/>
                <w:color w:val="auto"/>
              </w:rPr>
            </w:pPr>
            <w:r>
              <w:rPr>
                <w:rFonts w:ascii="Arial" w:cs="Arial" w:eastAsia="Arial" w:hAnsi="Arial"/>
                <w:sz w:val="22"/>
                <w:szCs w:val="22"/>
                <w:color w:val="auto"/>
              </w:rPr>
              <w:t>(2,565)</w:t>
            </w:r>
          </w:p>
        </w:tc>
        <w:tc>
          <w:tcPr>
            <w:tcW w:w="0" w:type="dxa"/>
            <w:vAlign w:val="bottom"/>
          </w:tcPr>
          <w:p>
            <w:pPr>
              <w:spacing w:after="0"/>
              <w:rPr>
                <w:sz w:val="1"/>
                <w:szCs w:val="1"/>
                <w:color w:val="auto"/>
              </w:rPr>
            </w:pPr>
          </w:p>
        </w:tc>
      </w:tr>
      <w:tr>
        <w:trPr>
          <w:trHeight w:val="98"/>
        </w:trPr>
        <w:tc>
          <w:tcPr>
            <w:tcW w:w="3360" w:type="dxa"/>
            <w:vAlign w:val="bottom"/>
            <w:vMerge w:val="restart"/>
          </w:tcPr>
          <w:p>
            <w:pPr>
              <w:spacing w:after="0"/>
              <w:rPr>
                <w:sz w:val="20"/>
                <w:szCs w:val="20"/>
                <w:color w:val="auto"/>
              </w:rPr>
            </w:pPr>
            <w:r>
              <w:rPr>
                <w:rFonts w:ascii="Arial" w:cs="Arial" w:eastAsia="Arial" w:hAnsi="Arial"/>
                <w:sz w:val="22"/>
                <w:szCs w:val="22"/>
                <w:color w:val="auto"/>
              </w:rPr>
              <w:t>DECREASE IN CASH AND</w:t>
            </w:r>
          </w:p>
        </w:tc>
        <w:tc>
          <w:tcPr>
            <w:tcW w:w="7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66"/>
        </w:trPr>
        <w:tc>
          <w:tcPr>
            <w:tcW w:w="336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360" w:type="dxa"/>
            <w:vAlign w:val="bottom"/>
          </w:tcPr>
          <w:p>
            <w:pPr>
              <w:spacing w:after="0" w:line="243" w:lineRule="exact"/>
              <w:rPr>
                <w:sz w:val="20"/>
                <w:szCs w:val="20"/>
                <w:color w:val="auto"/>
              </w:rPr>
            </w:pPr>
            <w:r>
              <w:rPr>
                <w:rFonts w:ascii="Arial" w:cs="Arial" w:eastAsia="Arial" w:hAnsi="Arial"/>
                <w:sz w:val="22"/>
                <w:szCs w:val="22"/>
                <w:color w:val="auto"/>
              </w:rPr>
              <w:t>CASH</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60" w:type="dxa"/>
            <w:vAlign w:val="bottom"/>
          </w:tcPr>
          <w:p>
            <w:pPr>
              <w:ind w:left="280"/>
              <w:spacing w:after="0" w:line="243" w:lineRule="exact"/>
              <w:rPr>
                <w:sz w:val="20"/>
                <w:szCs w:val="20"/>
                <w:color w:val="auto"/>
              </w:rPr>
            </w:pPr>
            <w:r>
              <w:rPr>
                <w:rFonts w:ascii="Arial" w:cs="Arial" w:eastAsia="Arial" w:hAnsi="Arial"/>
                <w:sz w:val="22"/>
                <w:szCs w:val="22"/>
                <w:color w:val="auto"/>
              </w:rPr>
              <w:t>EQUIVALENTS</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120"/>
              <w:spacing w:after="0" w:line="243" w:lineRule="exact"/>
              <w:rPr>
                <w:sz w:val="20"/>
                <w:szCs w:val="20"/>
                <w:color w:val="auto"/>
              </w:rPr>
            </w:pPr>
            <w:r>
              <w:rPr>
                <w:rFonts w:ascii="Arial" w:cs="Arial" w:eastAsia="Arial" w:hAnsi="Arial"/>
                <w:sz w:val="22"/>
                <w:szCs w:val="22"/>
                <w:color w:val="auto"/>
              </w:rPr>
              <w:t>(956)</w:t>
            </w:r>
          </w:p>
        </w:tc>
        <w:tc>
          <w:tcPr>
            <w:tcW w:w="980" w:type="dxa"/>
            <w:vAlign w:val="bottom"/>
          </w:tcPr>
          <w:p>
            <w:pPr>
              <w:spacing w:after="0"/>
              <w:rPr>
                <w:sz w:val="21"/>
                <w:szCs w:val="21"/>
                <w:color w:val="auto"/>
              </w:rPr>
            </w:pPr>
          </w:p>
        </w:tc>
        <w:tc>
          <w:tcPr>
            <w:tcW w:w="120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(956)</w:t>
            </w:r>
          </w:p>
        </w:tc>
        <w:tc>
          <w:tcPr>
            <w:tcW w:w="0" w:type="dxa"/>
            <w:vAlign w:val="bottom"/>
          </w:tcPr>
          <w:p>
            <w:pPr>
              <w:spacing w:after="0"/>
              <w:rPr>
                <w:sz w:val="1"/>
                <w:szCs w:val="1"/>
                <w:color w:val="auto"/>
              </w:rPr>
            </w:pPr>
          </w:p>
        </w:tc>
      </w:tr>
      <w:tr>
        <w:trPr>
          <w:trHeight w:val="243"/>
        </w:trPr>
        <w:tc>
          <w:tcPr>
            <w:tcW w:w="3360" w:type="dxa"/>
            <w:vAlign w:val="bottom"/>
          </w:tcPr>
          <w:p>
            <w:pPr>
              <w:spacing w:after="0" w:line="243" w:lineRule="exact"/>
              <w:rPr>
                <w:sz w:val="20"/>
                <w:szCs w:val="20"/>
                <w:color w:val="auto"/>
              </w:rPr>
            </w:pPr>
            <w:r>
              <w:rPr>
                <w:rFonts w:ascii="Arial" w:cs="Arial" w:eastAsia="Arial" w:hAnsi="Arial"/>
                <w:sz w:val="22"/>
                <w:szCs w:val="22"/>
                <w:color w:val="auto"/>
              </w:rPr>
              <w:t>CASH AND CASH</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60" w:type="dxa"/>
            <w:vAlign w:val="bottom"/>
          </w:tcPr>
          <w:p>
            <w:pPr>
              <w:spacing w:after="0" w:line="243" w:lineRule="exact"/>
              <w:rPr>
                <w:sz w:val="20"/>
                <w:szCs w:val="20"/>
                <w:color w:val="auto"/>
              </w:rPr>
            </w:pPr>
            <w:r>
              <w:rPr>
                <w:rFonts w:ascii="Arial" w:cs="Arial" w:eastAsia="Arial" w:hAnsi="Arial"/>
                <w:sz w:val="22"/>
                <w:szCs w:val="22"/>
                <w:color w:val="auto"/>
              </w:rPr>
              <w:t>EQUIVALENTS,</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3360" w:type="dxa"/>
            <w:vAlign w:val="bottom"/>
          </w:tcPr>
          <w:p>
            <w:pPr>
              <w:ind w:left="280"/>
              <w:spacing w:after="0"/>
              <w:rPr>
                <w:sz w:val="20"/>
                <w:szCs w:val="20"/>
                <w:color w:val="auto"/>
              </w:rPr>
            </w:pPr>
            <w:r>
              <w:rPr>
                <w:rFonts w:ascii="Arial" w:cs="Arial" w:eastAsia="Arial" w:hAnsi="Arial"/>
                <w:sz w:val="22"/>
                <w:szCs w:val="22"/>
                <w:color w:val="auto"/>
              </w:rPr>
              <w:t>beginning of period</w:t>
            </w:r>
          </w:p>
        </w:tc>
        <w:tc>
          <w:tcPr>
            <w:tcW w:w="7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22"/>
                <w:szCs w:val="22"/>
                <w:color w:val="auto"/>
              </w:rPr>
              <w:t>1,550</w:t>
            </w:r>
          </w:p>
        </w:tc>
        <w:tc>
          <w:tcPr>
            <w:tcW w:w="2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0" w:type="dxa"/>
            <w:vAlign w:val="bottom"/>
            <w:gridSpan w:val="3"/>
          </w:tcPr>
          <w:p>
            <w:pPr>
              <w:jc w:val="right"/>
              <w:ind w:right="80"/>
              <w:spacing w:after="0"/>
              <w:rPr>
                <w:sz w:val="20"/>
                <w:szCs w:val="20"/>
                <w:color w:val="auto"/>
              </w:rPr>
            </w:pPr>
            <w:r>
              <w:rPr>
                <w:rFonts w:ascii="Arial" w:cs="Arial" w:eastAsia="Arial" w:hAnsi="Arial"/>
                <w:sz w:val="22"/>
                <w:szCs w:val="22"/>
                <w:color w:val="auto"/>
              </w:rPr>
              <w:t>1,550</w:t>
            </w:r>
          </w:p>
        </w:tc>
        <w:tc>
          <w:tcPr>
            <w:tcW w:w="0" w:type="dxa"/>
            <w:vAlign w:val="bottom"/>
          </w:tcPr>
          <w:p>
            <w:pPr>
              <w:spacing w:after="0"/>
              <w:rPr>
                <w:sz w:val="1"/>
                <w:szCs w:val="1"/>
                <w:color w:val="auto"/>
              </w:rPr>
            </w:pPr>
          </w:p>
        </w:tc>
      </w:tr>
      <w:tr>
        <w:trPr>
          <w:trHeight w:val="98"/>
        </w:trPr>
        <w:tc>
          <w:tcPr>
            <w:tcW w:w="3360" w:type="dxa"/>
            <w:vAlign w:val="bottom"/>
            <w:vMerge w:val="restart"/>
          </w:tcPr>
          <w:p>
            <w:pPr>
              <w:spacing w:after="0"/>
              <w:rPr>
                <w:sz w:val="20"/>
                <w:szCs w:val="20"/>
                <w:color w:val="auto"/>
              </w:rPr>
            </w:pPr>
            <w:r>
              <w:rPr>
                <w:rFonts w:ascii="Arial" w:cs="Arial" w:eastAsia="Arial" w:hAnsi="Arial"/>
                <w:sz w:val="22"/>
                <w:szCs w:val="22"/>
                <w:color w:val="auto"/>
              </w:rPr>
              <w:t>CASH AND CASH</w:t>
            </w:r>
          </w:p>
        </w:tc>
        <w:tc>
          <w:tcPr>
            <w:tcW w:w="7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3"/>
        </w:trPr>
        <w:tc>
          <w:tcPr>
            <w:tcW w:w="336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360" w:type="dxa"/>
            <w:vAlign w:val="bottom"/>
          </w:tcPr>
          <w:p>
            <w:pPr>
              <w:spacing w:after="0" w:line="243" w:lineRule="exact"/>
              <w:rPr>
                <w:sz w:val="20"/>
                <w:szCs w:val="20"/>
                <w:color w:val="auto"/>
              </w:rPr>
            </w:pPr>
            <w:r>
              <w:rPr>
                <w:rFonts w:ascii="Arial" w:cs="Arial" w:eastAsia="Arial" w:hAnsi="Arial"/>
                <w:sz w:val="22"/>
                <w:szCs w:val="22"/>
                <w:color w:val="auto"/>
              </w:rPr>
              <w:t>EQUIVALENTS,</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3360" w:type="dxa"/>
            <w:vAlign w:val="bottom"/>
          </w:tcPr>
          <w:p>
            <w:pPr>
              <w:ind w:left="280"/>
              <w:spacing w:after="0"/>
              <w:rPr>
                <w:sz w:val="20"/>
                <w:szCs w:val="20"/>
                <w:color w:val="auto"/>
              </w:rPr>
            </w:pPr>
            <w:r>
              <w:rPr>
                <w:rFonts w:ascii="Arial" w:cs="Arial" w:eastAsia="Arial" w:hAnsi="Arial"/>
                <w:sz w:val="22"/>
                <w:szCs w:val="22"/>
                <w:color w:val="auto"/>
              </w:rPr>
              <w:t>end of period</w:t>
            </w:r>
          </w:p>
        </w:tc>
        <w:tc>
          <w:tcPr>
            <w:tcW w:w="700" w:type="dxa"/>
            <w:vAlign w:val="bottom"/>
          </w:tcPr>
          <w:p>
            <w:pPr>
              <w:jc w:val="right"/>
              <w:ind w:right="192"/>
              <w:spacing w:after="0"/>
              <w:rPr>
                <w:sz w:val="20"/>
                <w:szCs w:val="20"/>
                <w:color w:val="auto"/>
              </w:rPr>
            </w:pPr>
            <w:r>
              <w:rPr>
                <w:rFonts w:ascii="Arial" w:cs="Arial" w:eastAsia="Arial" w:hAnsi="Arial"/>
                <w:sz w:val="22"/>
                <w:szCs w:val="22"/>
                <w:color w:val="auto"/>
              </w:rPr>
              <w:t>$</w:t>
            </w:r>
          </w:p>
        </w:tc>
        <w:tc>
          <w:tcPr>
            <w:tcW w:w="180" w:type="dxa"/>
            <w:vAlign w:val="bottom"/>
          </w:tcPr>
          <w:p>
            <w:pPr>
              <w:spacing w:after="0"/>
              <w:rPr>
                <w:sz w:val="23"/>
                <w:szCs w:val="23"/>
                <w:color w:val="auto"/>
              </w:rPr>
            </w:pPr>
          </w:p>
        </w:tc>
        <w:tc>
          <w:tcPr>
            <w:tcW w:w="680" w:type="dxa"/>
            <w:vAlign w:val="bottom"/>
          </w:tcPr>
          <w:p>
            <w:pPr>
              <w:jc w:val="right"/>
              <w:ind w:right="172"/>
              <w:spacing w:after="0"/>
              <w:rPr>
                <w:sz w:val="20"/>
                <w:szCs w:val="20"/>
                <w:color w:val="auto"/>
              </w:rPr>
            </w:pPr>
            <w:r>
              <w:rPr>
                <w:rFonts w:ascii="Arial" w:cs="Arial" w:eastAsia="Arial" w:hAnsi="Arial"/>
                <w:sz w:val="22"/>
                <w:szCs w:val="22"/>
                <w:color w:val="auto"/>
              </w:rPr>
              <w:t>$</w:t>
            </w:r>
          </w:p>
        </w:tc>
        <w:tc>
          <w:tcPr>
            <w:tcW w:w="200" w:type="dxa"/>
            <w:vAlign w:val="bottom"/>
          </w:tcPr>
          <w:p>
            <w:pPr>
              <w:spacing w:after="0"/>
              <w:rPr>
                <w:sz w:val="23"/>
                <w:szCs w:val="23"/>
                <w:color w:val="auto"/>
              </w:rPr>
            </w:pPr>
          </w:p>
        </w:tc>
        <w:tc>
          <w:tcPr>
            <w:tcW w:w="680" w:type="dxa"/>
            <w:vAlign w:val="bottom"/>
          </w:tcPr>
          <w:p>
            <w:pPr>
              <w:jc w:val="right"/>
              <w:ind w:right="172"/>
              <w:spacing w:after="0"/>
              <w:rPr>
                <w:sz w:val="20"/>
                <w:szCs w:val="20"/>
                <w:color w:val="auto"/>
              </w:rPr>
            </w:pPr>
            <w:r>
              <w:rPr>
                <w:rFonts w:ascii="Arial" w:cs="Arial" w:eastAsia="Arial" w:hAnsi="Arial"/>
                <w:sz w:val="22"/>
                <w:szCs w:val="22"/>
                <w:color w:val="auto"/>
              </w:rPr>
              <w:t>$</w:t>
            </w:r>
          </w:p>
        </w:tc>
        <w:tc>
          <w:tcPr>
            <w:tcW w:w="200" w:type="dxa"/>
            <w:vAlign w:val="bottom"/>
          </w:tcPr>
          <w:p>
            <w:pPr>
              <w:spacing w:after="0"/>
              <w:rPr>
                <w:sz w:val="23"/>
                <w:szCs w:val="23"/>
                <w:color w:val="auto"/>
              </w:rPr>
            </w:pPr>
          </w:p>
        </w:tc>
        <w:tc>
          <w:tcPr>
            <w:tcW w:w="740" w:type="dxa"/>
            <w:vAlign w:val="bottom"/>
          </w:tcPr>
          <w:p>
            <w:pPr>
              <w:jc w:val="right"/>
              <w:ind w:right="212"/>
              <w:spacing w:after="0"/>
              <w:rPr>
                <w:sz w:val="20"/>
                <w:szCs w:val="20"/>
                <w:color w:val="auto"/>
              </w:rPr>
            </w:pPr>
            <w:r>
              <w:rPr>
                <w:rFonts w:ascii="Arial" w:cs="Arial" w:eastAsia="Arial" w:hAnsi="Arial"/>
                <w:sz w:val="22"/>
                <w:szCs w:val="22"/>
                <w:color w:val="auto"/>
              </w:rPr>
              <w:t>$</w:t>
            </w:r>
          </w:p>
        </w:tc>
        <w:tc>
          <w:tcPr>
            <w:tcW w:w="1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22"/>
                <w:szCs w:val="22"/>
                <w:color w:val="auto"/>
              </w:rPr>
              <w:t>$594</w:t>
            </w:r>
          </w:p>
        </w:tc>
        <w:tc>
          <w:tcPr>
            <w:tcW w:w="200" w:type="dxa"/>
            <w:vAlign w:val="bottom"/>
          </w:tcPr>
          <w:p>
            <w:pPr>
              <w:spacing w:after="0"/>
              <w:rPr>
                <w:sz w:val="23"/>
                <w:szCs w:val="23"/>
                <w:color w:val="auto"/>
              </w:rPr>
            </w:pPr>
          </w:p>
        </w:tc>
        <w:tc>
          <w:tcPr>
            <w:tcW w:w="980" w:type="dxa"/>
            <w:vAlign w:val="bottom"/>
          </w:tcPr>
          <w:p>
            <w:pPr>
              <w:jc w:val="right"/>
              <w:ind w:right="332"/>
              <w:spacing w:after="0"/>
              <w:rPr>
                <w:sz w:val="20"/>
                <w:szCs w:val="20"/>
                <w:color w:val="auto"/>
              </w:rPr>
            </w:pPr>
            <w:r>
              <w:rPr>
                <w:rFonts w:ascii="Arial" w:cs="Arial" w:eastAsia="Arial" w:hAnsi="Arial"/>
                <w:sz w:val="22"/>
                <w:szCs w:val="22"/>
                <w:color w:val="auto"/>
              </w:rPr>
              <w:t>$</w:t>
            </w:r>
          </w:p>
        </w:tc>
        <w:tc>
          <w:tcPr>
            <w:tcW w:w="1200" w:type="dxa"/>
            <w:vAlign w:val="bottom"/>
            <w:gridSpan w:val="3"/>
          </w:tcPr>
          <w:p>
            <w:pPr>
              <w:jc w:val="right"/>
              <w:ind w:right="80"/>
              <w:spacing w:after="0"/>
              <w:rPr>
                <w:sz w:val="20"/>
                <w:szCs w:val="20"/>
                <w:color w:val="auto"/>
              </w:rPr>
            </w:pPr>
            <w:r>
              <w:rPr>
                <w:rFonts w:ascii="Arial" w:cs="Arial" w:eastAsia="Arial" w:hAnsi="Arial"/>
                <w:sz w:val="22"/>
                <w:szCs w:val="22"/>
                <w:color w:val="auto"/>
              </w:rPr>
              <w:t>$594</w:t>
            </w:r>
          </w:p>
        </w:tc>
        <w:tc>
          <w:tcPr>
            <w:tcW w:w="0" w:type="dxa"/>
            <w:vAlign w:val="bottom"/>
          </w:tcPr>
          <w:p>
            <w:pPr>
              <w:spacing w:after="0"/>
              <w:rPr>
                <w:sz w:val="1"/>
                <w:szCs w:val="1"/>
                <w:color w:val="auto"/>
              </w:rPr>
            </w:pPr>
          </w:p>
        </w:tc>
      </w:tr>
      <w:tr>
        <w:trPr>
          <w:trHeight w:val="108"/>
        </w:trPr>
        <w:tc>
          <w:tcPr>
            <w:tcW w:w="336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2567305</wp:posOffset>
            </wp:positionH>
            <wp:positionV relativeFrom="paragraph">
              <wp:posOffset>-14605</wp:posOffset>
            </wp:positionV>
            <wp:extent cx="1270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2129790</wp:posOffset>
            </wp:positionH>
            <wp:positionV relativeFrom="paragraph">
              <wp:posOffset>-14605</wp:posOffset>
            </wp:positionV>
            <wp:extent cx="1270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3115945</wp:posOffset>
            </wp:positionH>
            <wp:positionV relativeFrom="paragraph">
              <wp:posOffset>-14605</wp:posOffset>
            </wp:positionV>
            <wp:extent cx="1270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2695575</wp:posOffset>
            </wp:positionH>
            <wp:positionV relativeFrom="paragraph">
              <wp:posOffset>-14605</wp:posOffset>
            </wp:positionV>
            <wp:extent cx="1270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3673475</wp:posOffset>
            </wp:positionH>
            <wp:positionV relativeFrom="paragraph">
              <wp:posOffset>-14605</wp:posOffset>
            </wp:positionV>
            <wp:extent cx="1270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3244850</wp:posOffset>
            </wp:positionH>
            <wp:positionV relativeFrom="paragraph">
              <wp:posOffset>-14605</wp:posOffset>
            </wp:positionV>
            <wp:extent cx="1270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-14605</wp:posOffset>
            </wp:positionV>
            <wp:extent cx="1270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-14605</wp:posOffset>
            </wp:positionV>
            <wp:extent cx="1270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-14605</wp:posOffset>
            </wp:positionV>
            <wp:extent cx="1270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4393565</wp:posOffset>
            </wp:positionH>
            <wp:positionV relativeFrom="paragraph">
              <wp:posOffset>-14605</wp:posOffset>
            </wp:positionV>
            <wp:extent cx="1270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-14605</wp:posOffset>
            </wp:positionV>
            <wp:extent cx="1270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-14605</wp:posOffset>
            </wp:positionV>
            <wp:extent cx="1270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-14605</wp:posOffset>
            </wp:positionV>
            <wp:extent cx="1270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-14605</wp:posOffset>
            </wp:positionV>
            <wp:extent cx="1270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0219"/>
          </w:cols>
          <w:pgMar w:left="240" w:top="108" w:right="1440" w:bottom="500" w:gutter="0" w:footer="0" w:header="0"/>
        </w:sectPr>
      </w:pPr>
    </w:p>
    <w:p>
      <w:pPr>
        <w:spacing w:after="0" w:line="299" w:lineRule="exact"/>
        <w:rPr>
          <w:sz w:val="20"/>
          <w:szCs w:val="20"/>
          <w:color w:val="auto"/>
        </w:rPr>
      </w:pPr>
    </w:p>
    <w:p>
      <w:pPr>
        <w:ind w:left="5600"/>
        <w:spacing w:after="0"/>
        <w:rPr>
          <w:sz w:val="20"/>
          <w:szCs w:val="20"/>
          <w:color w:val="auto"/>
        </w:rPr>
      </w:pPr>
      <w:r>
        <w:rPr>
          <w:rFonts w:ascii="Arial" w:cs="Arial" w:eastAsia="Arial" w:hAnsi="Arial"/>
          <w:sz w:val="19"/>
          <w:szCs w:val="19"/>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263765"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0219"/>
          </w:cols>
          <w:pgMar w:left="240" w:top="108" w:right="1440" w:bottom="500" w:gutter="0" w:footer="0" w:header="0"/>
          <w:type w:val="continuous"/>
        </w:sectPr>
      </w:pPr>
    </w:p>
    <w:bookmarkStart w:id="25" w:name="page26"/>
    <w:bookmarkEnd w:id="25"/>
    <w:p>
      <w:pPr>
        <w:spacing w:after="0" w:line="82" w:lineRule="exact"/>
        <w:rPr>
          <w:sz w:val="20"/>
          <w:szCs w:val="20"/>
          <w:color w:val="auto"/>
        </w:rPr>
      </w:pPr>
    </w:p>
    <w:p>
      <w:pPr>
        <w:jc w:val="center"/>
        <w:ind w:right="-1160"/>
        <w:spacing w:after="0"/>
        <w:rPr>
          <w:sz w:val="20"/>
          <w:szCs w:val="20"/>
          <w:color w:val="auto"/>
        </w:rPr>
      </w:pPr>
      <w:r>
        <w:rPr>
          <w:rFonts w:ascii="Arial" w:cs="Arial" w:eastAsia="Arial" w:hAnsi="Arial"/>
          <w:sz w:val="22"/>
          <w:szCs w:val="22"/>
          <w:color w:val="auto"/>
        </w:rPr>
        <w:t>COMCAST CORPORATION AND SUBSIDIARIES</w:t>
      </w:r>
    </w:p>
    <w:p>
      <w:pPr>
        <w:jc w:val="center"/>
        <w:ind w:right="-1160"/>
        <w:spacing w:after="0" w:line="238" w:lineRule="auto"/>
        <w:rPr>
          <w:sz w:val="20"/>
          <w:szCs w:val="20"/>
          <w:color w:val="auto"/>
        </w:rPr>
      </w:pPr>
      <w:r>
        <w:rPr>
          <w:rFonts w:ascii="Arial" w:cs="Arial" w:eastAsia="Arial" w:hAnsi="Arial"/>
          <w:sz w:val="22"/>
          <w:szCs w:val="22"/>
          <w:color w:val="auto"/>
        </w:rPr>
        <w:t>FORM 10-Q</w:t>
      </w:r>
    </w:p>
    <w:p>
      <w:pPr>
        <w:jc w:val="center"/>
        <w:ind w:right="-1160"/>
        <w:spacing w:after="0" w:line="231" w:lineRule="auto"/>
        <w:rPr>
          <w:sz w:val="20"/>
          <w:szCs w:val="20"/>
          <w:color w:val="auto"/>
        </w:rPr>
      </w:pPr>
      <w:r>
        <w:rPr>
          <w:rFonts w:ascii="Arial" w:cs="Arial" w:eastAsia="Arial" w:hAnsi="Arial"/>
          <w:sz w:val="22"/>
          <w:szCs w:val="22"/>
          <w:color w:val="auto"/>
        </w:rPr>
        <w:t>QUARTER ENDED JUNE 30, 2004</w:t>
      </w:r>
    </w:p>
    <w:p>
      <w:pPr>
        <w:jc w:val="center"/>
        <w:ind w:right="-1200"/>
        <w:spacing w:after="0" w:line="231" w:lineRule="auto"/>
        <w:rPr>
          <w:sz w:val="20"/>
          <w:szCs w:val="20"/>
          <w:color w:val="auto"/>
        </w:rPr>
      </w:pPr>
      <w:r>
        <w:rPr>
          <w:rFonts w:ascii="Arial" w:cs="Arial" w:eastAsia="Arial" w:hAnsi="Arial"/>
          <w:sz w:val="22"/>
          <w:szCs w:val="22"/>
          <w:color w:val="auto"/>
        </w:rPr>
        <w:t>NOTES TO CONDENSED CONSOLIDATED FINANCIAL STATEMENTS - CONCLUDED</w:t>
      </w:r>
    </w:p>
    <w:p>
      <w:pPr>
        <w:jc w:val="center"/>
        <w:ind w:right="-1200"/>
        <w:spacing w:after="0"/>
        <w:rPr>
          <w:sz w:val="20"/>
          <w:szCs w:val="20"/>
          <w:color w:val="auto"/>
        </w:rPr>
      </w:pPr>
      <w:r>
        <w:rPr>
          <w:rFonts w:ascii="Arial" w:cs="Arial" w:eastAsia="Arial" w:hAnsi="Arial"/>
          <w:sz w:val="22"/>
          <w:szCs w:val="22"/>
          <w:color w:val="auto"/>
        </w:rPr>
        <w:t>(Unaudited)</w:t>
      </w:r>
    </w:p>
    <w:p>
      <w:pPr>
        <w:spacing w:after="0" w:line="188"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Comcast Corporation</w:t>
      </w:r>
    </w:p>
    <w:p>
      <w:pPr>
        <w:jc w:val="center"/>
        <w:ind w:right="-60"/>
        <w:spacing w:after="0" w:line="238" w:lineRule="auto"/>
        <w:rPr>
          <w:sz w:val="20"/>
          <w:szCs w:val="20"/>
          <w:color w:val="auto"/>
        </w:rPr>
      </w:pPr>
      <w:r>
        <w:rPr>
          <w:rFonts w:ascii="Arial" w:cs="Arial" w:eastAsia="Arial" w:hAnsi="Arial"/>
          <w:sz w:val="22"/>
          <w:szCs w:val="22"/>
          <w:color w:val="auto"/>
        </w:rPr>
        <w:t>Condensed Consolidating Statement of Cash Flows</w:t>
      </w:r>
    </w:p>
    <w:p>
      <w:pPr>
        <w:jc w:val="center"/>
        <w:ind w:right="-60"/>
        <w:spacing w:after="0"/>
        <w:rPr>
          <w:sz w:val="20"/>
          <w:szCs w:val="20"/>
          <w:color w:val="auto"/>
        </w:rPr>
      </w:pPr>
      <w:r>
        <w:rPr>
          <w:rFonts w:ascii="Arial" w:cs="Arial" w:eastAsia="Arial" w:hAnsi="Arial"/>
          <w:sz w:val="22"/>
          <w:szCs w:val="22"/>
          <w:color w:val="auto"/>
        </w:rPr>
        <w:t>For the Six Months Ended June 30, 2003</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Elimination</w:t>
            </w: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8"/>
                <w:szCs w:val="18"/>
                <w:color w:val="auto"/>
                <w:w w:val="87"/>
              </w:rPr>
              <w:t>Combined</w:t>
            </w:r>
          </w:p>
        </w:tc>
        <w:tc>
          <w:tcPr>
            <w:tcW w:w="1060" w:type="dxa"/>
            <w:vAlign w:val="bottom"/>
            <w:gridSpan w:val="2"/>
          </w:tcPr>
          <w:p>
            <w:pPr>
              <w:jc w:val="center"/>
              <w:ind w:right="180"/>
              <w:spacing w:after="0"/>
              <w:rPr>
                <w:sz w:val="20"/>
                <w:szCs w:val="20"/>
                <w:color w:val="auto"/>
              </w:rPr>
            </w:pPr>
            <w:r>
              <w:rPr>
                <w:rFonts w:ascii="Arial" w:cs="Arial" w:eastAsia="Arial" w:hAnsi="Arial"/>
                <w:sz w:val="18"/>
                <w:szCs w:val="18"/>
                <w:color w:val="auto"/>
                <w:w w:val="92"/>
              </w:rPr>
              <w:t>Non-</w:t>
            </w: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color w:val="auto"/>
                <w:w w:val="86"/>
              </w:rPr>
              <w:t>and</w:t>
            </w:r>
          </w:p>
        </w:tc>
        <w:tc>
          <w:tcPr>
            <w:tcW w:w="1000" w:type="dxa"/>
            <w:vAlign w:val="bottom"/>
            <w:gridSpan w:val="2"/>
          </w:tcPr>
          <w:p>
            <w:pPr>
              <w:jc w:val="center"/>
              <w:ind w:right="80"/>
              <w:spacing w:after="0"/>
              <w:rPr>
                <w:sz w:val="20"/>
                <w:szCs w:val="20"/>
                <w:color w:val="auto"/>
              </w:rPr>
            </w:pPr>
            <w:r>
              <w:rPr>
                <w:rFonts w:ascii="Arial" w:cs="Arial" w:eastAsia="Arial" w:hAnsi="Arial"/>
                <w:sz w:val="18"/>
                <w:szCs w:val="18"/>
                <w:color w:val="auto"/>
                <w:w w:val="87"/>
              </w:rPr>
              <w:t>Consolidated</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w w:val="87"/>
              </w:rPr>
              <w:t>Comcast</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CCCL</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CCCH</w:t>
            </w:r>
          </w:p>
        </w:tc>
        <w:tc>
          <w:tcPr>
            <w:tcW w:w="920" w:type="dxa"/>
            <w:vAlign w:val="bottom"/>
            <w:gridSpan w:val="2"/>
          </w:tcPr>
          <w:p>
            <w:pPr>
              <w:jc w:val="center"/>
              <w:ind w:right="200"/>
              <w:spacing w:after="0"/>
              <w:rPr>
                <w:sz w:val="20"/>
                <w:szCs w:val="20"/>
                <w:color w:val="auto"/>
              </w:rPr>
            </w:pPr>
            <w:r>
              <w:rPr>
                <w:rFonts w:ascii="Arial" w:cs="Arial" w:eastAsia="Arial" w:hAnsi="Arial"/>
                <w:sz w:val="18"/>
                <w:szCs w:val="18"/>
                <w:color w:val="auto"/>
                <w:w w:val="94"/>
              </w:rPr>
              <w:t>CCHMO</w:t>
            </w:r>
          </w:p>
        </w:tc>
        <w:tc>
          <w:tcPr>
            <w:tcW w:w="1060" w:type="dxa"/>
            <w:vAlign w:val="bottom"/>
            <w:gridSpan w:val="2"/>
          </w:tcPr>
          <w:p>
            <w:pPr>
              <w:jc w:val="center"/>
              <w:ind w:right="180"/>
              <w:spacing w:after="0"/>
              <w:rPr>
                <w:sz w:val="20"/>
                <w:szCs w:val="20"/>
                <w:color w:val="auto"/>
              </w:rPr>
            </w:pPr>
            <w:r>
              <w:rPr>
                <w:rFonts w:ascii="Arial" w:cs="Arial" w:eastAsia="Arial" w:hAnsi="Arial"/>
                <w:sz w:val="18"/>
                <w:szCs w:val="18"/>
                <w:color w:val="auto"/>
                <w:w w:val="88"/>
              </w:rPr>
              <w:t>Guarantor</w:t>
            </w: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Consolidation</w:t>
            </w:r>
          </w:p>
        </w:tc>
        <w:tc>
          <w:tcPr>
            <w:tcW w:w="100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Comcast</w:t>
            </w:r>
          </w:p>
        </w:tc>
        <w:tc>
          <w:tcPr>
            <w:tcW w:w="0" w:type="dxa"/>
            <w:vAlign w:val="bottom"/>
          </w:tcPr>
          <w:p>
            <w:pPr>
              <w:spacing w:after="0"/>
              <w:rPr>
                <w:sz w:val="1"/>
                <w:szCs w:val="1"/>
                <w:color w:val="auto"/>
              </w:rPr>
            </w:pPr>
          </w:p>
        </w:tc>
      </w:tr>
      <w:tr>
        <w:trPr>
          <w:trHeight w:val="222"/>
        </w:trPr>
        <w:tc>
          <w:tcPr>
            <w:tcW w:w="3340" w:type="dxa"/>
            <w:vAlign w:val="bottom"/>
          </w:tcPr>
          <w:p>
            <w:pPr>
              <w:spacing w:after="0"/>
              <w:rPr>
                <w:sz w:val="19"/>
                <w:szCs w:val="19"/>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Parent</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Parent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Parent</w:t>
            </w:r>
          </w:p>
        </w:tc>
        <w:tc>
          <w:tcPr>
            <w:tcW w:w="920" w:type="dxa"/>
            <w:vAlign w:val="bottom"/>
            <w:gridSpan w:val="2"/>
          </w:tcPr>
          <w:p>
            <w:pPr>
              <w:jc w:val="center"/>
              <w:ind w:right="200"/>
              <w:spacing w:after="0"/>
              <w:rPr>
                <w:sz w:val="20"/>
                <w:szCs w:val="20"/>
                <w:color w:val="auto"/>
              </w:rPr>
            </w:pPr>
            <w:r>
              <w:rPr>
                <w:rFonts w:ascii="Arial" w:cs="Arial" w:eastAsia="Arial" w:hAnsi="Arial"/>
                <w:sz w:val="18"/>
                <w:szCs w:val="18"/>
                <w:color w:val="auto"/>
                <w:w w:val="83"/>
              </w:rPr>
              <w:t>Parents</w:t>
            </w:r>
          </w:p>
        </w:tc>
        <w:tc>
          <w:tcPr>
            <w:tcW w:w="1060" w:type="dxa"/>
            <w:vAlign w:val="bottom"/>
            <w:gridSpan w:val="2"/>
          </w:tcPr>
          <w:p>
            <w:pPr>
              <w:jc w:val="center"/>
              <w:ind w:right="200"/>
              <w:spacing w:after="0"/>
              <w:rPr>
                <w:sz w:val="20"/>
                <w:szCs w:val="20"/>
                <w:color w:val="auto"/>
              </w:rPr>
            </w:pPr>
            <w:r>
              <w:rPr>
                <w:rFonts w:ascii="Arial" w:cs="Arial" w:eastAsia="Arial" w:hAnsi="Arial"/>
                <w:sz w:val="18"/>
                <w:szCs w:val="18"/>
                <w:color w:val="auto"/>
                <w:w w:val="87"/>
              </w:rPr>
              <w:t>Subsidiaries</w:t>
            </w: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Adjustments</w:t>
            </w:r>
          </w:p>
        </w:tc>
        <w:tc>
          <w:tcPr>
            <w:tcW w:w="100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Corporation</w:t>
            </w:r>
          </w:p>
        </w:tc>
        <w:tc>
          <w:tcPr>
            <w:tcW w:w="0" w:type="dxa"/>
            <w:vAlign w:val="bottom"/>
          </w:tcPr>
          <w:p>
            <w:pPr>
              <w:spacing w:after="0"/>
              <w:rPr>
                <w:sz w:val="1"/>
                <w:szCs w:val="1"/>
                <w:color w:val="auto"/>
              </w:rPr>
            </w:pPr>
          </w:p>
        </w:tc>
      </w:tr>
      <w:tr>
        <w:trPr>
          <w:trHeight w:val="110"/>
        </w:trPr>
        <w:tc>
          <w:tcPr>
            <w:tcW w:w="3340" w:type="dxa"/>
            <w:vAlign w:val="bottom"/>
            <w:vMerge w:val="restart"/>
          </w:tcPr>
          <w:p>
            <w:pPr>
              <w:spacing w:after="0"/>
              <w:rPr>
                <w:sz w:val="20"/>
                <w:szCs w:val="20"/>
                <w:color w:val="auto"/>
              </w:rPr>
            </w:pPr>
            <w:r>
              <w:rPr>
                <w:rFonts w:ascii="Arial" w:cs="Arial" w:eastAsia="Arial" w:hAnsi="Arial"/>
                <w:sz w:val="22"/>
                <w:szCs w:val="22"/>
                <w:color w:val="auto"/>
              </w:rPr>
              <w:t>OPERATING ACTIVITIES</w:t>
            </w:r>
          </w:p>
        </w:tc>
        <w:tc>
          <w:tcPr>
            <w:tcW w:w="7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3"/>
        </w:trPr>
        <w:tc>
          <w:tcPr>
            <w:tcW w:w="334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Arial" w:cs="Arial" w:eastAsia="Arial" w:hAnsi="Arial"/>
                <w:sz w:val="22"/>
                <w:szCs w:val="22"/>
                <w:color w:val="auto"/>
              </w:rPr>
              <w:t>Net income (loss)</w:t>
            </w:r>
          </w:p>
        </w:tc>
        <w:tc>
          <w:tcPr>
            <w:tcW w:w="880" w:type="dxa"/>
            <w:vAlign w:val="bottom"/>
            <w:gridSpan w:val="2"/>
          </w:tcPr>
          <w:p>
            <w:pPr>
              <w:jc w:val="right"/>
              <w:ind w:right="120"/>
              <w:spacing w:after="0" w:line="243" w:lineRule="exact"/>
              <w:rPr>
                <w:sz w:val="20"/>
                <w:szCs w:val="20"/>
                <w:color w:val="auto"/>
              </w:rPr>
            </w:pPr>
            <w:r>
              <w:rPr>
                <w:rFonts w:ascii="Arial" w:cs="Arial" w:eastAsia="Arial" w:hAnsi="Arial"/>
                <w:sz w:val="22"/>
                <w:szCs w:val="22"/>
                <w:color w:val="auto"/>
              </w:rPr>
              <w:t>($319)</w:t>
            </w:r>
          </w:p>
        </w:tc>
        <w:tc>
          <w:tcPr>
            <w:tcW w:w="700" w:type="dxa"/>
            <w:vAlign w:val="bottom"/>
          </w:tcPr>
          <w:p>
            <w:pPr>
              <w:jc w:val="right"/>
              <w:spacing w:after="0" w:line="243" w:lineRule="exact"/>
              <w:rPr>
                <w:sz w:val="20"/>
                <w:szCs w:val="20"/>
                <w:color w:val="auto"/>
              </w:rPr>
            </w:pPr>
            <w:r>
              <w:rPr>
                <w:rFonts w:ascii="Arial" w:cs="Arial" w:eastAsia="Arial" w:hAnsi="Arial"/>
                <w:sz w:val="22"/>
                <w:szCs w:val="22"/>
                <w:color w:val="auto"/>
              </w:rPr>
              <w:t>$323</w:t>
            </w:r>
          </w:p>
        </w:tc>
        <w:tc>
          <w:tcPr>
            <w:tcW w:w="180" w:type="dxa"/>
            <w:vAlign w:val="bottom"/>
          </w:tcPr>
          <w:p>
            <w:pPr>
              <w:spacing w:after="0"/>
              <w:rPr>
                <w:sz w:val="21"/>
                <w:szCs w:val="21"/>
                <w:color w:val="auto"/>
              </w:rPr>
            </w:pPr>
          </w:p>
        </w:tc>
        <w:tc>
          <w:tcPr>
            <w:tcW w:w="900" w:type="dxa"/>
            <w:vAlign w:val="bottom"/>
            <w:gridSpan w:val="2"/>
          </w:tcPr>
          <w:p>
            <w:pPr>
              <w:jc w:val="right"/>
              <w:ind w:right="120"/>
              <w:spacing w:after="0" w:line="243" w:lineRule="exact"/>
              <w:rPr>
                <w:sz w:val="20"/>
                <w:szCs w:val="20"/>
                <w:color w:val="auto"/>
              </w:rPr>
            </w:pPr>
            <w:r>
              <w:rPr>
                <w:rFonts w:ascii="Arial" w:cs="Arial" w:eastAsia="Arial" w:hAnsi="Arial"/>
                <w:sz w:val="22"/>
                <w:szCs w:val="22"/>
                <w:color w:val="auto"/>
              </w:rPr>
              <w:t>($541)</w:t>
            </w:r>
          </w:p>
        </w:tc>
        <w:tc>
          <w:tcPr>
            <w:tcW w:w="920" w:type="dxa"/>
            <w:vAlign w:val="bottom"/>
            <w:gridSpan w:val="2"/>
          </w:tcPr>
          <w:p>
            <w:pPr>
              <w:jc w:val="right"/>
              <w:ind w:right="120"/>
              <w:spacing w:after="0" w:line="243" w:lineRule="exact"/>
              <w:rPr>
                <w:sz w:val="20"/>
                <w:szCs w:val="20"/>
                <w:color w:val="auto"/>
              </w:rPr>
            </w:pPr>
            <w:r>
              <w:rPr>
                <w:rFonts w:ascii="Arial" w:cs="Arial" w:eastAsia="Arial" w:hAnsi="Arial"/>
                <w:sz w:val="22"/>
                <w:szCs w:val="22"/>
                <w:color w:val="auto"/>
              </w:rPr>
              <w:t>($407)</w:t>
            </w:r>
          </w:p>
        </w:tc>
        <w:tc>
          <w:tcPr>
            <w:tcW w:w="860" w:type="dxa"/>
            <w:vAlign w:val="bottom"/>
          </w:tcPr>
          <w:p>
            <w:pPr>
              <w:jc w:val="right"/>
              <w:spacing w:after="0" w:line="243" w:lineRule="exact"/>
              <w:rPr>
                <w:sz w:val="20"/>
                <w:szCs w:val="20"/>
                <w:color w:val="auto"/>
              </w:rPr>
            </w:pPr>
            <w:r>
              <w:rPr>
                <w:rFonts w:ascii="Arial" w:cs="Arial" w:eastAsia="Arial" w:hAnsi="Arial"/>
                <w:sz w:val="22"/>
                <w:szCs w:val="22"/>
                <w:color w:val="auto"/>
              </w:rPr>
              <w:t>$450</w:t>
            </w:r>
          </w:p>
        </w:tc>
        <w:tc>
          <w:tcPr>
            <w:tcW w:w="200" w:type="dxa"/>
            <w:vAlign w:val="bottom"/>
          </w:tcPr>
          <w:p>
            <w:pPr>
              <w:spacing w:after="0"/>
              <w:rPr>
                <w:sz w:val="21"/>
                <w:szCs w:val="21"/>
                <w:color w:val="auto"/>
              </w:rPr>
            </w:pPr>
          </w:p>
        </w:tc>
        <w:tc>
          <w:tcPr>
            <w:tcW w:w="980" w:type="dxa"/>
            <w:vAlign w:val="bottom"/>
          </w:tcPr>
          <w:p>
            <w:pPr>
              <w:jc w:val="right"/>
              <w:spacing w:after="0" w:line="243" w:lineRule="exact"/>
              <w:rPr>
                <w:sz w:val="20"/>
                <w:szCs w:val="20"/>
                <w:color w:val="auto"/>
              </w:rPr>
            </w:pPr>
            <w:r>
              <w:rPr>
                <w:rFonts w:ascii="Arial" w:cs="Arial" w:eastAsia="Arial" w:hAnsi="Arial"/>
                <w:sz w:val="22"/>
                <w:szCs w:val="22"/>
                <w:color w:val="auto"/>
              </w:rPr>
              <w:t>$175</w:t>
            </w:r>
          </w:p>
        </w:tc>
        <w:tc>
          <w:tcPr>
            <w:tcW w:w="200" w:type="dxa"/>
            <w:vAlign w:val="bottom"/>
          </w:tcPr>
          <w:p>
            <w:pPr>
              <w:spacing w:after="0"/>
              <w:rPr>
                <w:sz w:val="21"/>
                <w:szCs w:val="21"/>
                <w:color w:val="auto"/>
              </w:rPr>
            </w:pPr>
          </w:p>
        </w:tc>
        <w:tc>
          <w:tcPr>
            <w:tcW w:w="100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($319)</w:t>
            </w: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Arial" w:cs="Arial" w:eastAsia="Arial" w:hAnsi="Arial"/>
                <w:sz w:val="22"/>
                <w:szCs w:val="22"/>
                <w:color w:val="auto"/>
              </w:rPr>
              <w:t>Income from discontinued</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3340" w:type="dxa"/>
            <w:vAlign w:val="bottom"/>
          </w:tcPr>
          <w:p>
            <w:pPr>
              <w:spacing w:after="0"/>
              <w:rPr>
                <w:sz w:val="20"/>
                <w:szCs w:val="20"/>
                <w:color w:val="auto"/>
              </w:rPr>
            </w:pPr>
            <w:r>
              <w:rPr>
                <w:rFonts w:ascii="Arial" w:cs="Arial" w:eastAsia="Arial" w:hAnsi="Arial"/>
                <w:sz w:val="22"/>
                <w:szCs w:val="22"/>
                <w:color w:val="auto"/>
              </w:rPr>
              <w:t>operations</w:t>
            </w:r>
          </w:p>
        </w:tc>
        <w:tc>
          <w:tcPr>
            <w:tcW w:w="7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22"/>
                <w:szCs w:val="22"/>
                <w:color w:val="auto"/>
              </w:rPr>
              <w:t>(129)</w:t>
            </w:r>
          </w:p>
        </w:tc>
        <w:tc>
          <w:tcPr>
            <w:tcW w:w="9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gridSpan w:val="2"/>
          </w:tcPr>
          <w:p>
            <w:pPr>
              <w:jc w:val="right"/>
              <w:spacing w:after="0"/>
              <w:rPr>
                <w:sz w:val="20"/>
                <w:szCs w:val="20"/>
                <w:color w:val="auto"/>
              </w:rPr>
            </w:pPr>
            <w:r>
              <w:rPr>
                <w:rFonts w:ascii="Arial" w:cs="Arial" w:eastAsia="Arial" w:hAnsi="Arial"/>
                <w:sz w:val="22"/>
                <w:szCs w:val="22"/>
                <w:color w:val="auto"/>
              </w:rPr>
              <w:t>(129)</w:t>
            </w:r>
          </w:p>
        </w:tc>
        <w:tc>
          <w:tcPr>
            <w:tcW w:w="0" w:type="dxa"/>
            <w:vAlign w:val="bottom"/>
          </w:tcPr>
          <w:p>
            <w:pPr>
              <w:spacing w:after="0"/>
              <w:rPr>
                <w:sz w:val="1"/>
                <w:szCs w:val="1"/>
                <w:color w:val="auto"/>
              </w:rPr>
            </w:pPr>
          </w:p>
        </w:tc>
      </w:tr>
      <w:tr>
        <w:trPr>
          <w:trHeight w:val="98"/>
        </w:trPr>
        <w:tc>
          <w:tcPr>
            <w:tcW w:w="3340" w:type="dxa"/>
            <w:vAlign w:val="bottom"/>
            <w:vMerge w:val="restart"/>
          </w:tcPr>
          <w:p>
            <w:pPr>
              <w:spacing w:after="0"/>
              <w:rPr>
                <w:sz w:val="20"/>
                <w:szCs w:val="20"/>
                <w:color w:val="auto"/>
              </w:rPr>
            </w:pPr>
            <w:r>
              <w:rPr>
                <w:rFonts w:ascii="Arial" w:cs="Arial" w:eastAsia="Arial" w:hAnsi="Arial"/>
                <w:sz w:val="22"/>
                <w:szCs w:val="22"/>
                <w:color w:val="auto"/>
              </w:rPr>
              <w:t>Income (loss) from continuing</w:t>
            </w:r>
          </w:p>
        </w:tc>
        <w:tc>
          <w:tcPr>
            <w:tcW w:w="7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3"/>
        </w:trPr>
        <w:tc>
          <w:tcPr>
            <w:tcW w:w="334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3340" w:type="dxa"/>
            <w:vAlign w:val="bottom"/>
          </w:tcPr>
          <w:p>
            <w:pPr>
              <w:spacing w:after="0"/>
              <w:rPr>
                <w:sz w:val="20"/>
                <w:szCs w:val="20"/>
                <w:color w:val="auto"/>
              </w:rPr>
            </w:pPr>
            <w:r>
              <w:rPr>
                <w:rFonts w:ascii="Arial" w:cs="Arial" w:eastAsia="Arial" w:hAnsi="Arial"/>
                <w:sz w:val="22"/>
                <w:szCs w:val="22"/>
                <w:color w:val="auto"/>
              </w:rPr>
              <w:t>operations</w:t>
            </w:r>
          </w:p>
        </w:tc>
        <w:tc>
          <w:tcPr>
            <w:tcW w:w="880" w:type="dxa"/>
            <w:vAlign w:val="bottom"/>
            <w:gridSpan w:val="2"/>
          </w:tcPr>
          <w:p>
            <w:pPr>
              <w:jc w:val="right"/>
              <w:ind w:right="120"/>
              <w:spacing w:after="0"/>
              <w:rPr>
                <w:sz w:val="20"/>
                <w:szCs w:val="20"/>
                <w:color w:val="auto"/>
              </w:rPr>
            </w:pPr>
            <w:r>
              <w:rPr>
                <w:rFonts w:ascii="Arial" w:cs="Arial" w:eastAsia="Arial" w:hAnsi="Arial"/>
                <w:sz w:val="22"/>
                <w:szCs w:val="22"/>
                <w:color w:val="auto"/>
              </w:rPr>
              <w:t>(319)</w:t>
            </w:r>
          </w:p>
        </w:tc>
        <w:tc>
          <w:tcPr>
            <w:tcW w:w="700" w:type="dxa"/>
            <w:vAlign w:val="bottom"/>
          </w:tcPr>
          <w:p>
            <w:pPr>
              <w:jc w:val="right"/>
              <w:spacing w:after="0"/>
              <w:rPr>
                <w:sz w:val="20"/>
                <w:szCs w:val="20"/>
                <w:color w:val="auto"/>
              </w:rPr>
            </w:pPr>
            <w:r>
              <w:rPr>
                <w:rFonts w:ascii="Arial" w:cs="Arial" w:eastAsia="Arial" w:hAnsi="Arial"/>
                <w:sz w:val="22"/>
                <w:szCs w:val="22"/>
                <w:color w:val="auto"/>
              </w:rPr>
              <w:t>323</w:t>
            </w:r>
          </w:p>
        </w:tc>
        <w:tc>
          <w:tcPr>
            <w:tcW w:w="180" w:type="dxa"/>
            <w:vAlign w:val="bottom"/>
          </w:tcPr>
          <w:p>
            <w:pPr>
              <w:spacing w:after="0"/>
              <w:rPr>
                <w:sz w:val="23"/>
                <w:szCs w:val="23"/>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22"/>
                <w:szCs w:val="22"/>
                <w:color w:val="auto"/>
              </w:rPr>
              <w:t>(541)</w:t>
            </w:r>
          </w:p>
        </w:tc>
        <w:tc>
          <w:tcPr>
            <w:tcW w:w="920" w:type="dxa"/>
            <w:vAlign w:val="bottom"/>
            <w:gridSpan w:val="2"/>
          </w:tcPr>
          <w:p>
            <w:pPr>
              <w:jc w:val="right"/>
              <w:ind w:right="120"/>
              <w:spacing w:after="0"/>
              <w:rPr>
                <w:sz w:val="20"/>
                <w:szCs w:val="20"/>
                <w:color w:val="auto"/>
              </w:rPr>
            </w:pPr>
            <w:r>
              <w:rPr>
                <w:rFonts w:ascii="Arial" w:cs="Arial" w:eastAsia="Arial" w:hAnsi="Arial"/>
                <w:sz w:val="22"/>
                <w:szCs w:val="22"/>
                <w:color w:val="auto"/>
              </w:rPr>
              <w:t>(407)</w:t>
            </w:r>
          </w:p>
        </w:tc>
        <w:tc>
          <w:tcPr>
            <w:tcW w:w="860" w:type="dxa"/>
            <w:vAlign w:val="bottom"/>
          </w:tcPr>
          <w:p>
            <w:pPr>
              <w:jc w:val="right"/>
              <w:spacing w:after="0"/>
              <w:rPr>
                <w:sz w:val="20"/>
                <w:szCs w:val="20"/>
                <w:color w:val="auto"/>
              </w:rPr>
            </w:pPr>
            <w:r>
              <w:rPr>
                <w:rFonts w:ascii="Arial" w:cs="Arial" w:eastAsia="Arial" w:hAnsi="Arial"/>
                <w:sz w:val="22"/>
                <w:szCs w:val="22"/>
                <w:color w:val="auto"/>
              </w:rPr>
              <w:t>321</w:t>
            </w:r>
          </w:p>
        </w:tc>
        <w:tc>
          <w:tcPr>
            <w:tcW w:w="2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22"/>
                <w:szCs w:val="22"/>
                <w:color w:val="auto"/>
              </w:rPr>
              <w:t>175</w:t>
            </w:r>
          </w:p>
        </w:tc>
        <w:tc>
          <w:tcPr>
            <w:tcW w:w="200" w:type="dxa"/>
            <w:vAlign w:val="bottom"/>
          </w:tcPr>
          <w:p>
            <w:pPr>
              <w:spacing w:after="0"/>
              <w:rPr>
                <w:sz w:val="23"/>
                <w:szCs w:val="23"/>
                <w:color w:val="auto"/>
              </w:rPr>
            </w:pPr>
          </w:p>
        </w:tc>
        <w:tc>
          <w:tcPr>
            <w:tcW w:w="1000" w:type="dxa"/>
            <w:vAlign w:val="bottom"/>
            <w:gridSpan w:val="2"/>
          </w:tcPr>
          <w:p>
            <w:pPr>
              <w:jc w:val="right"/>
              <w:spacing w:after="0"/>
              <w:rPr>
                <w:sz w:val="20"/>
                <w:szCs w:val="20"/>
                <w:color w:val="auto"/>
              </w:rPr>
            </w:pPr>
            <w:r>
              <w:rPr>
                <w:rFonts w:ascii="Arial" w:cs="Arial" w:eastAsia="Arial" w:hAnsi="Arial"/>
                <w:sz w:val="22"/>
                <w:szCs w:val="22"/>
                <w:color w:val="auto"/>
              </w:rPr>
              <w:t>(448)</w:t>
            </w:r>
          </w:p>
        </w:tc>
        <w:tc>
          <w:tcPr>
            <w:tcW w:w="0" w:type="dxa"/>
            <w:vAlign w:val="bottom"/>
          </w:tcPr>
          <w:p>
            <w:pPr>
              <w:spacing w:after="0"/>
              <w:rPr>
                <w:sz w:val="1"/>
                <w:szCs w:val="1"/>
                <w:color w:val="auto"/>
              </w:rPr>
            </w:pPr>
          </w:p>
        </w:tc>
      </w:tr>
      <w:tr>
        <w:trPr>
          <w:trHeight w:val="455"/>
        </w:trPr>
        <w:tc>
          <w:tcPr>
            <w:tcW w:w="3340" w:type="dxa"/>
            <w:vAlign w:val="bottom"/>
          </w:tcPr>
          <w:p>
            <w:pPr>
              <w:spacing w:after="0"/>
              <w:rPr>
                <w:sz w:val="20"/>
                <w:szCs w:val="20"/>
                <w:color w:val="auto"/>
              </w:rPr>
            </w:pPr>
            <w:r>
              <w:rPr>
                <w:rFonts w:ascii="Arial" w:cs="Arial" w:eastAsia="Arial" w:hAnsi="Arial"/>
                <w:sz w:val="22"/>
                <w:szCs w:val="22"/>
                <w:color w:val="auto"/>
              </w:rPr>
              <w:t>Adjustments to reconcile net</w:t>
            </w: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Arial" w:cs="Arial" w:eastAsia="Arial" w:hAnsi="Arial"/>
                <w:sz w:val="22"/>
                <w:szCs w:val="22"/>
                <w:color w:val="auto"/>
              </w:rPr>
              <w:t>income (loss)</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Arial" w:cs="Arial" w:eastAsia="Arial" w:hAnsi="Arial"/>
                <w:sz w:val="22"/>
                <w:szCs w:val="22"/>
                <w:color w:val="auto"/>
              </w:rPr>
              <w:t>from continuing operations to net</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Arial" w:cs="Arial" w:eastAsia="Arial" w:hAnsi="Arial"/>
                <w:sz w:val="22"/>
                <w:szCs w:val="22"/>
                <w:color w:val="auto"/>
              </w:rPr>
              <w:t>cash</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Arial" w:cs="Arial" w:eastAsia="Arial" w:hAnsi="Arial"/>
                <w:sz w:val="22"/>
                <w:szCs w:val="22"/>
                <w:color w:val="auto"/>
              </w:rPr>
              <w:t>provided by (used in) operating</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Arial" w:cs="Arial" w:eastAsia="Arial" w:hAnsi="Arial"/>
                <w:sz w:val="22"/>
                <w:szCs w:val="22"/>
                <w:color w:val="auto"/>
              </w:rPr>
              <w:t>activities from continuing</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Arial" w:cs="Arial" w:eastAsia="Arial" w:hAnsi="Arial"/>
                <w:sz w:val="22"/>
                <w:szCs w:val="22"/>
                <w:color w:val="auto"/>
              </w:rPr>
              <w:t>operations:</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180"/>
              <w:spacing w:after="0" w:line="243" w:lineRule="exact"/>
              <w:rPr>
                <w:sz w:val="20"/>
                <w:szCs w:val="20"/>
                <w:color w:val="auto"/>
              </w:rPr>
            </w:pPr>
            <w:r>
              <w:rPr>
                <w:rFonts w:ascii="Arial" w:cs="Arial" w:eastAsia="Arial" w:hAnsi="Arial"/>
                <w:sz w:val="22"/>
                <w:szCs w:val="22"/>
                <w:color w:val="auto"/>
              </w:rPr>
              <w:t>Depreciation</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spacing w:after="0" w:line="243" w:lineRule="exact"/>
              <w:rPr>
                <w:sz w:val="20"/>
                <w:szCs w:val="20"/>
                <w:color w:val="auto"/>
              </w:rPr>
            </w:pPr>
            <w:r>
              <w:rPr>
                <w:rFonts w:ascii="Arial" w:cs="Arial" w:eastAsia="Arial" w:hAnsi="Arial"/>
                <w:sz w:val="22"/>
                <w:szCs w:val="22"/>
                <w:color w:val="auto"/>
              </w:rPr>
              <w:t>1,596</w:t>
            </w: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gridSpan w:val="2"/>
          </w:tcPr>
          <w:p>
            <w:pPr>
              <w:jc w:val="right"/>
              <w:ind w:right="80"/>
              <w:spacing w:after="0" w:line="243" w:lineRule="exact"/>
              <w:rPr>
                <w:sz w:val="20"/>
                <w:szCs w:val="20"/>
                <w:color w:val="auto"/>
              </w:rPr>
            </w:pPr>
            <w:r>
              <w:rPr>
                <w:rFonts w:ascii="Arial" w:cs="Arial" w:eastAsia="Arial" w:hAnsi="Arial"/>
                <w:sz w:val="22"/>
                <w:szCs w:val="22"/>
                <w:color w:val="auto"/>
              </w:rPr>
              <w:t>1,596</w:t>
            </w:r>
          </w:p>
        </w:tc>
        <w:tc>
          <w:tcPr>
            <w:tcW w:w="0" w:type="dxa"/>
            <w:vAlign w:val="bottom"/>
          </w:tcPr>
          <w:p>
            <w:pPr>
              <w:spacing w:after="0"/>
              <w:rPr>
                <w:sz w:val="1"/>
                <w:szCs w:val="1"/>
                <w:color w:val="auto"/>
              </w:rPr>
            </w:pPr>
          </w:p>
        </w:tc>
      </w:tr>
      <w:tr>
        <w:trPr>
          <w:trHeight w:val="243"/>
        </w:trPr>
        <w:tc>
          <w:tcPr>
            <w:tcW w:w="3340" w:type="dxa"/>
            <w:vAlign w:val="bottom"/>
          </w:tcPr>
          <w:p>
            <w:pPr>
              <w:ind w:left="160"/>
              <w:spacing w:after="0" w:line="243" w:lineRule="exact"/>
              <w:rPr>
                <w:sz w:val="20"/>
                <w:szCs w:val="20"/>
                <w:color w:val="auto"/>
              </w:rPr>
            </w:pPr>
            <w:r>
              <w:rPr>
                <w:rFonts w:ascii="Arial" w:cs="Arial" w:eastAsia="Arial" w:hAnsi="Arial"/>
                <w:sz w:val="22"/>
                <w:szCs w:val="22"/>
                <w:color w:val="auto"/>
              </w:rPr>
              <w:t>Amortization</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spacing w:after="0" w:line="243" w:lineRule="exact"/>
              <w:rPr>
                <w:sz w:val="20"/>
                <w:szCs w:val="20"/>
                <w:color w:val="auto"/>
              </w:rPr>
            </w:pPr>
            <w:r>
              <w:rPr>
                <w:rFonts w:ascii="Arial" w:cs="Arial" w:eastAsia="Arial" w:hAnsi="Arial"/>
                <w:sz w:val="22"/>
                <w:szCs w:val="22"/>
                <w:color w:val="auto"/>
              </w:rPr>
              <w:t>725</w:t>
            </w: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gridSpan w:val="2"/>
          </w:tcPr>
          <w:p>
            <w:pPr>
              <w:jc w:val="right"/>
              <w:ind w:right="80"/>
              <w:spacing w:after="0" w:line="243" w:lineRule="exact"/>
              <w:rPr>
                <w:sz w:val="20"/>
                <w:szCs w:val="20"/>
                <w:color w:val="auto"/>
              </w:rPr>
            </w:pPr>
            <w:r>
              <w:rPr>
                <w:rFonts w:ascii="Arial" w:cs="Arial" w:eastAsia="Arial" w:hAnsi="Arial"/>
                <w:sz w:val="22"/>
                <w:szCs w:val="22"/>
                <w:color w:val="auto"/>
              </w:rPr>
              <w:t>725</w:t>
            </w:r>
          </w:p>
        </w:tc>
        <w:tc>
          <w:tcPr>
            <w:tcW w:w="0" w:type="dxa"/>
            <w:vAlign w:val="bottom"/>
          </w:tcPr>
          <w:p>
            <w:pPr>
              <w:spacing w:after="0"/>
              <w:rPr>
                <w:sz w:val="1"/>
                <w:szCs w:val="1"/>
                <w:color w:val="auto"/>
              </w:rPr>
            </w:pPr>
          </w:p>
        </w:tc>
      </w:tr>
      <w:tr>
        <w:trPr>
          <w:trHeight w:val="243"/>
        </w:trPr>
        <w:tc>
          <w:tcPr>
            <w:tcW w:w="3340" w:type="dxa"/>
            <w:vAlign w:val="bottom"/>
          </w:tcPr>
          <w:p>
            <w:pPr>
              <w:ind w:left="180"/>
              <w:spacing w:after="0" w:line="243" w:lineRule="exact"/>
              <w:rPr>
                <w:sz w:val="20"/>
                <w:szCs w:val="20"/>
                <w:color w:val="auto"/>
              </w:rPr>
            </w:pPr>
            <w:r>
              <w:rPr>
                <w:rFonts w:ascii="Arial" w:cs="Arial" w:eastAsia="Arial" w:hAnsi="Arial"/>
                <w:sz w:val="22"/>
                <w:szCs w:val="22"/>
                <w:color w:val="auto"/>
              </w:rPr>
              <w:t>Non-cash interest (income)</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Arial" w:cs="Arial" w:eastAsia="Arial" w:hAnsi="Arial"/>
                <w:sz w:val="22"/>
                <w:szCs w:val="22"/>
                <w:color w:val="auto"/>
              </w:rPr>
              <w:t>expense, net</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gridSpan w:val="2"/>
          </w:tcPr>
          <w:p>
            <w:pPr>
              <w:jc w:val="right"/>
              <w:ind w:right="200"/>
              <w:spacing w:after="0" w:line="243" w:lineRule="exact"/>
              <w:rPr>
                <w:sz w:val="20"/>
                <w:szCs w:val="20"/>
                <w:color w:val="auto"/>
              </w:rPr>
            </w:pPr>
            <w:r>
              <w:rPr>
                <w:rFonts w:ascii="Arial" w:cs="Arial" w:eastAsia="Arial" w:hAnsi="Arial"/>
                <w:sz w:val="22"/>
                <w:szCs w:val="22"/>
                <w:color w:val="auto"/>
              </w:rPr>
              <w:t>3</w:t>
            </w:r>
          </w:p>
        </w:tc>
        <w:tc>
          <w:tcPr>
            <w:tcW w:w="920" w:type="dxa"/>
            <w:vAlign w:val="bottom"/>
            <w:gridSpan w:val="2"/>
          </w:tcPr>
          <w:p>
            <w:pPr>
              <w:jc w:val="right"/>
              <w:ind w:right="120"/>
              <w:spacing w:after="0" w:line="243" w:lineRule="exact"/>
              <w:rPr>
                <w:sz w:val="20"/>
                <w:szCs w:val="20"/>
                <w:color w:val="auto"/>
              </w:rPr>
            </w:pPr>
            <w:r>
              <w:rPr>
                <w:rFonts w:ascii="Arial" w:cs="Arial" w:eastAsia="Arial" w:hAnsi="Arial"/>
                <w:sz w:val="22"/>
                <w:szCs w:val="22"/>
                <w:color w:val="auto"/>
              </w:rPr>
              <w:t>(88)</w:t>
            </w:r>
          </w:p>
        </w:tc>
        <w:tc>
          <w:tcPr>
            <w:tcW w:w="860" w:type="dxa"/>
            <w:vAlign w:val="bottom"/>
          </w:tcPr>
          <w:p>
            <w:pPr>
              <w:jc w:val="right"/>
              <w:spacing w:after="0" w:line="243" w:lineRule="exact"/>
              <w:rPr>
                <w:sz w:val="20"/>
                <w:szCs w:val="20"/>
                <w:color w:val="auto"/>
              </w:rPr>
            </w:pPr>
            <w:r>
              <w:rPr>
                <w:rFonts w:ascii="Arial" w:cs="Arial" w:eastAsia="Arial" w:hAnsi="Arial"/>
                <w:sz w:val="22"/>
                <w:szCs w:val="22"/>
                <w:color w:val="auto"/>
              </w:rPr>
              <w:t>24</w:t>
            </w: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(61)</w:t>
            </w:r>
          </w:p>
        </w:tc>
        <w:tc>
          <w:tcPr>
            <w:tcW w:w="0" w:type="dxa"/>
            <w:vAlign w:val="bottom"/>
          </w:tcPr>
          <w:p>
            <w:pPr>
              <w:spacing w:after="0"/>
              <w:rPr>
                <w:sz w:val="1"/>
                <w:szCs w:val="1"/>
                <w:color w:val="auto"/>
              </w:rPr>
            </w:pPr>
          </w:p>
        </w:tc>
      </w:tr>
      <w:tr>
        <w:trPr>
          <w:trHeight w:val="243"/>
        </w:trPr>
        <w:tc>
          <w:tcPr>
            <w:tcW w:w="3340" w:type="dxa"/>
            <w:vAlign w:val="bottom"/>
          </w:tcPr>
          <w:p>
            <w:pPr>
              <w:ind w:left="180"/>
              <w:spacing w:after="0" w:line="243" w:lineRule="exact"/>
              <w:rPr>
                <w:sz w:val="20"/>
                <w:szCs w:val="20"/>
                <w:color w:val="auto"/>
              </w:rPr>
            </w:pPr>
            <w:r>
              <w:rPr>
                <w:rFonts w:ascii="Arial" w:cs="Arial" w:eastAsia="Arial" w:hAnsi="Arial"/>
                <w:sz w:val="22"/>
                <w:szCs w:val="22"/>
                <w:color w:val="auto"/>
              </w:rPr>
              <w:t>Equity in net (income) losses of</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340"/>
              <w:spacing w:after="0" w:line="243" w:lineRule="exact"/>
              <w:rPr>
                <w:sz w:val="20"/>
                <w:szCs w:val="20"/>
                <w:color w:val="auto"/>
              </w:rPr>
            </w:pPr>
            <w:r>
              <w:rPr>
                <w:rFonts w:ascii="Arial" w:cs="Arial" w:eastAsia="Arial" w:hAnsi="Arial"/>
                <w:sz w:val="22"/>
                <w:szCs w:val="22"/>
                <w:color w:val="auto"/>
              </w:rPr>
              <w:t>affiliates</w:t>
            </w:r>
          </w:p>
        </w:tc>
        <w:tc>
          <w:tcPr>
            <w:tcW w:w="880" w:type="dxa"/>
            <w:vAlign w:val="bottom"/>
            <w:gridSpan w:val="2"/>
          </w:tcPr>
          <w:p>
            <w:pPr>
              <w:jc w:val="right"/>
              <w:ind w:right="180"/>
              <w:spacing w:after="0" w:line="243" w:lineRule="exact"/>
              <w:rPr>
                <w:sz w:val="20"/>
                <w:szCs w:val="20"/>
                <w:color w:val="auto"/>
              </w:rPr>
            </w:pPr>
            <w:r>
              <w:rPr>
                <w:rFonts w:ascii="Arial" w:cs="Arial" w:eastAsia="Arial" w:hAnsi="Arial"/>
                <w:sz w:val="22"/>
                <w:szCs w:val="22"/>
                <w:color w:val="auto"/>
              </w:rPr>
              <w:t>310</w:t>
            </w:r>
          </w:p>
        </w:tc>
        <w:tc>
          <w:tcPr>
            <w:tcW w:w="880" w:type="dxa"/>
            <w:vAlign w:val="bottom"/>
            <w:gridSpan w:val="2"/>
          </w:tcPr>
          <w:p>
            <w:pPr>
              <w:jc w:val="right"/>
              <w:ind w:right="120"/>
              <w:spacing w:after="0" w:line="243" w:lineRule="exact"/>
              <w:rPr>
                <w:sz w:val="20"/>
                <w:szCs w:val="20"/>
                <w:color w:val="auto"/>
              </w:rPr>
            </w:pPr>
            <w:r>
              <w:rPr>
                <w:rFonts w:ascii="Arial" w:cs="Arial" w:eastAsia="Arial" w:hAnsi="Arial"/>
                <w:sz w:val="22"/>
                <w:szCs w:val="22"/>
                <w:color w:val="auto"/>
              </w:rPr>
              <w:t>(501)</w:t>
            </w:r>
          </w:p>
        </w:tc>
        <w:tc>
          <w:tcPr>
            <w:tcW w:w="900" w:type="dxa"/>
            <w:vAlign w:val="bottom"/>
            <w:gridSpan w:val="2"/>
          </w:tcPr>
          <w:p>
            <w:pPr>
              <w:jc w:val="right"/>
              <w:ind w:right="200"/>
              <w:spacing w:after="0" w:line="243" w:lineRule="exact"/>
              <w:rPr>
                <w:sz w:val="20"/>
                <w:szCs w:val="20"/>
                <w:color w:val="auto"/>
              </w:rPr>
            </w:pPr>
            <w:r>
              <w:rPr>
                <w:rFonts w:ascii="Arial" w:cs="Arial" w:eastAsia="Arial" w:hAnsi="Arial"/>
                <w:sz w:val="22"/>
                <w:szCs w:val="22"/>
                <w:color w:val="auto"/>
              </w:rPr>
              <w:t>407</w:t>
            </w:r>
          </w:p>
        </w:tc>
        <w:tc>
          <w:tcPr>
            <w:tcW w:w="740" w:type="dxa"/>
            <w:vAlign w:val="bottom"/>
          </w:tcPr>
          <w:p>
            <w:pPr>
              <w:jc w:val="right"/>
              <w:spacing w:after="0" w:line="243" w:lineRule="exact"/>
              <w:rPr>
                <w:sz w:val="20"/>
                <w:szCs w:val="20"/>
                <w:color w:val="auto"/>
              </w:rPr>
            </w:pPr>
            <w:r>
              <w:rPr>
                <w:rFonts w:ascii="Arial" w:cs="Arial" w:eastAsia="Arial" w:hAnsi="Arial"/>
                <w:sz w:val="22"/>
                <w:szCs w:val="22"/>
                <w:color w:val="auto"/>
              </w:rPr>
              <w:t>282</w:t>
            </w:r>
          </w:p>
        </w:tc>
        <w:tc>
          <w:tcPr>
            <w:tcW w:w="180" w:type="dxa"/>
            <w:vAlign w:val="bottom"/>
          </w:tcPr>
          <w:p>
            <w:pPr>
              <w:spacing w:after="0"/>
              <w:rPr>
                <w:sz w:val="21"/>
                <w:szCs w:val="21"/>
                <w:color w:val="auto"/>
              </w:rPr>
            </w:pPr>
          </w:p>
        </w:tc>
        <w:tc>
          <w:tcPr>
            <w:tcW w:w="1060" w:type="dxa"/>
            <w:vAlign w:val="bottom"/>
            <w:gridSpan w:val="2"/>
          </w:tcPr>
          <w:p>
            <w:pPr>
              <w:jc w:val="right"/>
              <w:ind w:right="120"/>
              <w:spacing w:after="0" w:line="243" w:lineRule="exact"/>
              <w:rPr>
                <w:sz w:val="20"/>
                <w:szCs w:val="20"/>
                <w:color w:val="auto"/>
              </w:rPr>
            </w:pPr>
            <w:r>
              <w:rPr>
                <w:rFonts w:ascii="Arial" w:cs="Arial" w:eastAsia="Arial" w:hAnsi="Arial"/>
                <w:sz w:val="22"/>
                <w:szCs w:val="22"/>
                <w:color w:val="auto"/>
              </w:rPr>
              <w:t>(307)</w:t>
            </w:r>
          </w:p>
        </w:tc>
        <w:tc>
          <w:tcPr>
            <w:tcW w:w="1180" w:type="dxa"/>
            <w:vAlign w:val="bottom"/>
            <w:gridSpan w:val="2"/>
          </w:tcPr>
          <w:p>
            <w:pPr>
              <w:jc w:val="right"/>
              <w:ind w:right="120"/>
              <w:spacing w:after="0" w:line="243" w:lineRule="exact"/>
              <w:rPr>
                <w:sz w:val="20"/>
                <w:szCs w:val="20"/>
                <w:color w:val="auto"/>
              </w:rPr>
            </w:pPr>
            <w:r>
              <w:rPr>
                <w:rFonts w:ascii="Arial" w:cs="Arial" w:eastAsia="Arial" w:hAnsi="Arial"/>
                <w:sz w:val="22"/>
                <w:szCs w:val="22"/>
                <w:color w:val="auto"/>
              </w:rPr>
              <w:t>(175)</w:t>
            </w:r>
          </w:p>
        </w:tc>
        <w:tc>
          <w:tcPr>
            <w:tcW w:w="1000" w:type="dxa"/>
            <w:vAlign w:val="bottom"/>
            <w:gridSpan w:val="2"/>
          </w:tcPr>
          <w:p>
            <w:pPr>
              <w:jc w:val="right"/>
              <w:ind w:right="80"/>
              <w:spacing w:after="0" w:line="243" w:lineRule="exact"/>
              <w:rPr>
                <w:sz w:val="20"/>
                <w:szCs w:val="20"/>
                <w:color w:val="auto"/>
              </w:rPr>
            </w:pPr>
            <w:r>
              <w:rPr>
                <w:rFonts w:ascii="Arial" w:cs="Arial" w:eastAsia="Arial" w:hAnsi="Arial"/>
                <w:sz w:val="22"/>
                <w:szCs w:val="22"/>
                <w:color w:val="auto"/>
              </w:rPr>
              <w:t>16</w:t>
            </w:r>
          </w:p>
        </w:tc>
        <w:tc>
          <w:tcPr>
            <w:tcW w:w="0" w:type="dxa"/>
            <w:vAlign w:val="bottom"/>
          </w:tcPr>
          <w:p>
            <w:pPr>
              <w:spacing w:after="0"/>
              <w:rPr>
                <w:sz w:val="1"/>
                <w:szCs w:val="1"/>
                <w:color w:val="auto"/>
              </w:rPr>
            </w:pPr>
          </w:p>
        </w:tc>
      </w:tr>
      <w:tr>
        <w:trPr>
          <w:trHeight w:val="243"/>
        </w:trPr>
        <w:tc>
          <w:tcPr>
            <w:tcW w:w="3340" w:type="dxa"/>
            <w:vAlign w:val="bottom"/>
          </w:tcPr>
          <w:p>
            <w:pPr>
              <w:ind w:left="180"/>
              <w:spacing w:after="0" w:line="243" w:lineRule="exact"/>
              <w:rPr>
                <w:sz w:val="20"/>
                <w:szCs w:val="20"/>
                <w:color w:val="auto"/>
              </w:rPr>
            </w:pPr>
            <w:r>
              <w:rPr>
                <w:rFonts w:ascii="Arial" w:cs="Arial" w:eastAsia="Arial" w:hAnsi="Arial"/>
                <w:sz w:val="22"/>
                <w:szCs w:val="22"/>
                <w:color w:val="auto"/>
                <w:w w:val="92"/>
              </w:rPr>
              <w:t>Losses (gains) on investments and</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Arial" w:cs="Arial" w:eastAsia="Arial" w:hAnsi="Arial"/>
                <w:sz w:val="22"/>
                <w:szCs w:val="22"/>
                <w:color w:val="auto"/>
              </w:rPr>
              <w:t>other</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280"/>
              <w:spacing w:after="0" w:line="243" w:lineRule="exact"/>
              <w:rPr>
                <w:sz w:val="20"/>
                <w:szCs w:val="20"/>
                <w:color w:val="auto"/>
              </w:rPr>
            </w:pPr>
            <w:r>
              <w:rPr>
                <w:rFonts w:ascii="Arial" w:cs="Arial" w:eastAsia="Arial" w:hAnsi="Arial"/>
                <w:sz w:val="22"/>
                <w:szCs w:val="22"/>
                <w:color w:val="auto"/>
              </w:rPr>
              <w:t>(income) expense, net</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spacing w:after="0" w:line="243" w:lineRule="exact"/>
              <w:rPr>
                <w:sz w:val="20"/>
                <w:szCs w:val="20"/>
                <w:color w:val="auto"/>
              </w:rPr>
            </w:pPr>
            <w:r>
              <w:rPr>
                <w:rFonts w:ascii="Arial" w:cs="Arial" w:eastAsia="Arial" w:hAnsi="Arial"/>
                <w:sz w:val="22"/>
                <w:szCs w:val="22"/>
                <w:color w:val="auto"/>
              </w:rPr>
              <w:t>257</w:t>
            </w: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gridSpan w:val="2"/>
          </w:tcPr>
          <w:p>
            <w:pPr>
              <w:jc w:val="right"/>
              <w:ind w:right="80"/>
              <w:spacing w:after="0" w:line="243" w:lineRule="exact"/>
              <w:rPr>
                <w:sz w:val="20"/>
                <w:szCs w:val="20"/>
                <w:color w:val="auto"/>
              </w:rPr>
            </w:pPr>
            <w:r>
              <w:rPr>
                <w:rFonts w:ascii="Arial" w:cs="Arial" w:eastAsia="Arial" w:hAnsi="Arial"/>
                <w:sz w:val="22"/>
                <w:szCs w:val="22"/>
                <w:color w:val="auto"/>
              </w:rPr>
              <w:t>257</w:t>
            </w:r>
          </w:p>
        </w:tc>
        <w:tc>
          <w:tcPr>
            <w:tcW w:w="0" w:type="dxa"/>
            <w:vAlign w:val="bottom"/>
          </w:tcPr>
          <w:p>
            <w:pPr>
              <w:spacing w:after="0"/>
              <w:rPr>
                <w:sz w:val="1"/>
                <w:szCs w:val="1"/>
                <w:color w:val="auto"/>
              </w:rPr>
            </w:pPr>
          </w:p>
        </w:tc>
      </w:tr>
      <w:tr>
        <w:trPr>
          <w:trHeight w:val="243"/>
        </w:trPr>
        <w:tc>
          <w:tcPr>
            <w:tcW w:w="3340" w:type="dxa"/>
            <w:vAlign w:val="bottom"/>
          </w:tcPr>
          <w:p>
            <w:pPr>
              <w:ind w:left="180"/>
              <w:spacing w:after="0" w:line="243" w:lineRule="exact"/>
              <w:rPr>
                <w:sz w:val="20"/>
                <w:szCs w:val="20"/>
                <w:color w:val="auto"/>
              </w:rPr>
            </w:pPr>
            <w:r>
              <w:rPr>
                <w:rFonts w:ascii="Arial" w:cs="Arial" w:eastAsia="Arial" w:hAnsi="Arial"/>
                <w:sz w:val="22"/>
                <w:szCs w:val="22"/>
                <w:color w:val="auto"/>
              </w:rPr>
              <w:t>Minority interest</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spacing w:after="0" w:line="243" w:lineRule="exact"/>
              <w:rPr>
                <w:sz w:val="20"/>
                <w:szCs w:val="20"/>
                <w:color w:val="auto"/>
              </w:rPr>
            </w:pPr>
            <w:r>
              <w:rPr>
                <w:rFonts w:ascii="Arial" w:cs="Arial" w:eastAsia="Arial" w:hAnsi="Arial"/>
                <w:sz w:val="22"/>
                <w:szCs w:val="22"/>
                <w:color w:val="auto"/>
              </w:rPr>
              <w:t>20</w:t>
            </w: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gridSpan w:val="2"/>
          </w:tcPr>
          <w:p>
            <w:pPr>
              <w:jc w:val="right"/>
              <w:ind w:right="80"/>
              <w:spacing w:after="0" w:line="243" w:lineRule="exact"/>
              <w:rPr>
                <w:sz w:val="20"/>
                <w:szCs w:val="20"/>
                <w:color w:val="auto"/>
              </w:rPr>
            </w:pPr>
            <w:r>
              <w:rPr>
                <w:rFonts w:ascii="Arial" w:cs="Arial" w:eastAsia="Arial" w:hAnsi="Arial"/>
                <w:sz w:val="22"/>
                <w:szCs w:val="22"/>
                <w:color w:val="auto"/>
              </w:rPr>
              <w:t>20</w:t>
            </w:r>
          </w:p>
        </w:tc>
        <w:tc>
          <w:tcPr>
            <w:tcW w:w="0" w:type="dxa"/>
            <w:vAlign w:val="bottom"/>
          </w:tcPr>
          <w:p>
            <w:pPr>
              <w:spacing w:after="0"/>
              <w:rPr>
                <w:sz w:val="1"/>
                <w:szCs w:val="1"/>
                <w:color w:val="auto"/>
              </w:rPr>
            </w:pPr>
          </w:p>
        </w:tc>
      </w:tr>
      <w:tr>
        <w:trPr>
          <w:trHeight w:val="243"/>
        </w:trPr>
        <w:tc>
          <w:tcPr>
            <w:tcW w:w="3340" w:type="dxa"/>
            <w:vAlign w:val="bottom"/>
          </w:tcPr>
          <w:p>
            <w:pPr>
              <w:ind w:left="180"/>
              <w:spacing w:after="0" w:line="243" w:lineRule="exact"/>
              <w:rPr>
                <w:sz w:val="20"/>
                <w:szCs w:val="20"/>
                <w:color w:val="auto"/>
              </w:rPr>
            </w:pPr>
            <w:r>
              <w:rPr>
                <w:rFonts w:ascii="Arial" w:cs="Arial" w:eastAsia="Arial" w:hAnsi="Arial"/>
                <w:sz w:val="22"/>
                <w:szCs w:val="22"/>
                <w:color w:val="auto"/>
              </w:rPr>
              <w:t>Deferred income taxes</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120"/>
              <w:spacing w:after="0" w:line="243" w:lineRule="exact"/>
              <w:rPr>
                <w:sz w:val="20"/>
                <w:szCs w:val="20"/>
                <w:color w:val="auto"/>
              </w:rPr>
            </w:pPr>
            <w:r>
              <w:rPr>
                <w:rFonts w:ascii="Arial" w:cs="Arial" w:eastAsia="Arial" w:hAnsi="Arial"/>
                <w:sz w:val="22"/>
                <w:szCs w:val="22"/>
                <w:color w:val="auto"/>
              </w:rPr>
              <w:t>(226)</w:t>
            </w: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(226)</w:t>
            </w:r>
          </w:p>
        </w:tc>
        <w:tc>
          <w:tcPr>
            <w:tcW w:w="0" w:type="dxa"/>
            <w:vAlign w:val="bottom"/>
          </w:tcPr>
          <w:p>
            <w:pPr>
              <w:spacing w:after="0"/>
              <w:rPr>
                <w:sz w:val="1"/>
                <w:szCs w:val="1"/>
                <w:color w:val="auto"/>
              </w:rPr>
            </w:pPr>
          </w:p>
        </w:tc>
      </w:tr>
      <w:tr>
        <w:trPr>
          <w:trHeight w:val="243"/>
        </w:trPr>
        <w:tc>
          <w:tcPr>
            <w:tcW w:w="3340" w:type="dxa"/>
            <w:vAlign w:val="bottom"/>
          </w:tcPr>
          <w:p>
            <w:pPr>
              <w:ind w:left="180"/>
              <w:spacing w:after="0" w:line="243" w:lineRule="exact"/>
              <w:rPr>
                <w:sz w:val="20"/>
                <w:szCs w:val="20"/>
                <w:color w:val="auto"/>
              </w:rPr>
            </w:pPr>
            <w:r>
              <w:rPr>
                <w:rFonts w:ascii="Arial" w:cs="Arial" w:eastAsia="Arial" w:hAnsi="Arial"/>
                <w:sz w:val="22"/>
                <w:szCs w:val="22"/>
                <w:color w:val="auto"/>
              </w:rPr>
              <w:t>Proceeds from sales of trading</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Arial" w:cs="Arial" w:eastAsia="Arial" w:hAnsi="Arial"/>
                <w:sz w:val="22"/>
                <w:szCs w:val="22"/>
                <w:color w:val="auto"/>
              </w:rPr>
              <w:t>securities</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spacing w:after="0" w:line="243" w:lineRule="exact"/>
              <w:rPr>
                <w:sz w:val="20"/>
                <w:szCs w:val="20"/>
                <w:color w:val="auto"/>
              </w:rPr>
            </w:pPr>
            <w:r>
              <w:rPr>
                <w:rFonts w:ascii="Arial" w:cs="Arial" w:eastAsia="Arial" w:hAnsi="Arial"/>
                <w:sz w:val="22"/>
                <w:szCs w:val="22"/>
                <w:color w:val="auto"/>
              </w:rPr>
              <w:t>85</w:t>
            </w: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gridSpan w:val="2"/>
          </w:tcPr>
          <w:p>
            <w:pPr>
              <w:jc w:val="right"/>
              <w:ind w:right="80"/>
              <w:spacing w:after="0" w:line="243" w:lineRule="exact"/>
              <w:rPr>
                <w:sz w:val="20"/>
                <w:szCs w:val="20"/>
                <w:color w:val="auto"/>
              </w:rPr>
            </w:pPr>
            <w:r>
              <w:rPr>
                <w:rFonts w:ascii="Arial" w:cs="Arial" w:eastAsia="Arial" w:hAnsi="Arial"/>
                <w:sz w:val="22"/>
                <w:szCs w:val="22"/>
                <w:color w:val="auto"/>
              </w:rPr>
              <w:t>85</w:t>
            </w:r>
          </w:p>
        </w:tc>
        <w:tc>
          <w:tcPr>
            <w:tcW w:w="0" w:type="dxa"/>
            <w:vAlign w:val="bottom"/>
          </w:tcPr>
          <w:p>
            <w:pPr>
              <w:spacing w:after="0"/>
              <w:rPr>
                <w:sz w:val="1"/>
                <w:szCs w:val="1"/>
                <w:color w:val="auto"/>
              </w:rPr>
            </w:pPr>
          </w:p>
        </w:tc>
      </w:tr>
      <w:tr>
        <w:trPr>
          <w:trHeight w:val="243"/>
        </w:trPr>
        <w:tc>
          <w:tcPr>
            <w:tcW w:w="3340" w:type="dxa"/>
            <w:vAlign w:val="bottom"/>
          </w:tcPr>
          <w:p>
            <w:pPr>
              <w:ind w:left="180"/>
              <w:spacing w:after="0" w:line="243" w:lineRule="exact"/>
              <w:rPr>
                <w:sz w:val="20"/>
                <w:szCs w:val="20"/>
                <w:color w:val="auto"/>
              </w:rPr>
            </w:pPr>
            <w:r>
              <w:rPr>
                <w:rFonts w:ascii="Arial" w:cs="Arial" w:eastAsia="Arial" w:hAnsi="Arial"/>
                <w:sz w:val="22"/>
                <w:szCs w:val="22"/>
                <w:color w:val="auto"/>
                <w:w w:val="97"/>
              </w:rPr>
              <w:t>Changes in operating assets and</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220"/>
              <w:spacing w:after="0" w:line="243" w:lineRule="exact"/>
              <w:rPr>
                <w:sz w:val="20"/>
                <w:szCs w:val="20"/>
                <w:color w:val="auto"/>
              </w:rPr>
            </w:pPr>
            <w:r>
              <w:rPr>
                <w:rFonts w:ascii="Arial" w:cs="Arial" w:eastAsia="Arial" w:hAnsi="Arial"/>
                <w:sz w:val="22"/>
                <w:szCs w:val="22"/>
                <w:color w:val="auto"/>
              </w:rPr>
              <w:t>liabilities, net of effects of</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220"/>
              <w:spacing w:after="0" w:line="243" w:lineRule="exact"/>
              <w:rPr>
                <w:sz w:val="20"/>
                <w:szCs w:val="20"/>
                <w:color w:val="auto"/>
              </w:rPr>
            </w:pPr>
            <w:r>
              <w:rPr>
                <w:rFonts w:ascii="Arial" w:cs="Arial" w:eastAsia="Arial" w:hAnsi="Arial"/>
                <w:sz w:val="22"/>
                <w:szCs w:val="22"/>
                <w:color w:val="auto"/>
              </w:rPr>
              <w:t>acquisitions and divestitures:</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280"/>
              <w:spacing w:after="0" w:line="243" w:lineRule="exact"/>
              <w:rPr>
                <w:sz w:val="20"/>
                <w:szCs w:val="20"/>
                <w:color w:val="auto"/>
              </w:rPr>
            </w:pPr>
            <w:r>
              <w:rPr>
                <w:rFonts w:ascii="Arial" w:cs="Arial" w:eastAsia="Arial" w:hAnsi="Arial"/>
                <w:sz w:val="22"/>
                <w:szCs w:val="22"/>
                <w:color w:val="auto"/>
                <w:w w:val="99"/>
              </w:rPr>
              <w:t>Change in accounts receivable,</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Arial" w:cs="Arial" w:eastAsia="Arial" w:hAnsi="Arial"/>
                <w:sz w:val="22"/>
                <w:szCs w:val="22"/>
                <w:color w:val="auto"/>
              </w:rPr>
              <w:t>net</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120"/>
              <w:spacing w:after="0" w:line="243" w:lineRule="exact"/>
              <w:rPr>
                <w:sz w:val="20"/>
                <w:szCs w:val="20"/>
                <w:color w:val="auto"/>
              </w:rPr>
            </w:pPr>
            <w:r>
              <w:rPr>
                <w:rFonts w:ascii="Arial" w:cs="Arial" w:eastAsia="Arial" w:hAnsi="Arial"/>
                <w:sz w:val="22"/>
                <w:szCs w:val="22"/>
                <w:color w:val="auto"/>
              </w:rPr>
              <w:t>(6)</w:t>
            </w: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(6)</w:t>
            </w:r>
          </w:p>
        </w:tc>
        <w:tc>
          <w:tcPr>
            <w:tcW w:w="0" w:type="dxa"/>
            <w:vAlign w:val="bottom"/>
          </w:tcPr>
          <w:p>
            <w:pPr>
              <w:spacing w:after="0"/>
              <w:rPr>
                <w:sz w:val="1"/>
                <w:szCs w:val="1"/>
                <w:color w:val="auto"/>
              </w:rPr>
            </w:pPr>
          </w:p>
        </w:tc>
      </w:tr>
      <w:tr>
        <w:trPr>
          <w:trHeight w:val="243"/>
        </w:trPr>
        <w:tc>
          <w:tcPr>
            <w:tcW w:w="3340" w:type="dxa"/>
            <w:vAlign w:val="bottom"/>
          </w:tcPr>
          <w:p>
            <w:pPr>
              <w:ind w:left="280"/>
              <w:spacing w:after="0" w:line="243" w:lineRule="exact"/>
              <w:rPr>
                <w:sz w:val="20"/>
                <w:szCs w:val="20"/>
                <w:color w:val="auto"/>
              </w:rPr>
            </w:pPr>
            <w:r>
              <w:rPr>
                <w:rFonts w:ascii="Arial" w:cs="Arial" w:eastAsia="Arial" w:hAnsi="Arial"/>
                <w:sz w:val="22"/>
                <w:szCs w:val="22"/>
                <w:color w:val="auto"/>
              </w:rPr>
              <w:t>Change in accounts payable</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120"/>
              <w:spacing w:after="0" w:line="243" w:lineRule="exact"/>
              <w:rPr>
                <w:sz w:val="20"/>
                <w:szCs w:val="20"/>
                <w:color w:val="auto"/>
              </w:rPr>
            </w:pPr>
            <w:r>
              <w:rPr>
                <w:rFonts w:ascii="Arial" w:cs="Arial" w:eastAsia="Arial" w:hAnsi="Arial"/>
                <w:sz w:val="22"/>
                <w:szCs w:val="22"/>
                <w:color w:val="auto"/>
              </w:rPr>
              <w:t>(183)</w:t>
            </w: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(183)</w:t>
            </w:r>
          </w:p>
        </w:tc>
        <w:tc>
          <w:tcPr>
            <w:tcW w:w="0" w:type="dxa"/>
            <w:vAlign w:val="bottom"/>
          </w:tcPr>
          <w:p>
            <w:pPr>
              <w:spacing w:after="0"/>
              <w:rPr>
                <w:sz w:val="1"/>
                <w:szCs w:val="1"/>
                <w:color w:val="auto"/>
              </w:rPr>
            </w:pPr>
          </w:p>
        </w:tc>
      </w:tr>
      <w:tr>
        <w:trPr>
          <w:trHeight w:val="243"/>
        </w:trPr>
        <w:tc>
          <w:tcPr>
            <w:tcW w:w="3340" w:type="dxa"/>
            <w:vAlign w:val="bottom"/>
          </w:tcPr>
          <w:p>
            <w:pPr>
              <w:ind w:left="280"/>
              <w:spacing w:after="0" w:line="243" w:lineRule="exact"/>
              <w:rPr>
                <w:sz w:val="20"/>
                <w:szCs w:val="20"/>
                <w:color w:val="auto"/>
              </w:rPr>
            </w:pPr>
            <w:r>
              <w:rPr>
                <w:rFonts w:ascii="Arial" w:cs="Arial" w:eastAsia="Arial" w:hAnsi="Arial"/>
                <w:sz w:val="22"/>
                <w:szCs w:val="22"/>
                <w:color w:val="auto"/>
                <w:w w:val="93"/>
              </w:rPr>
              <w:t>Change in other operating assets</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Arial" w:cs="Arial" w:eastAsia="Arial" w:hAnsi="Arial"/>
                <w:sz w:val="22"/>
                <w:szCs w:val="22"/>
                <w:color w:val="auto"/>
              </w:rPr>
              <w:t>and</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3340" w:type="dxa"/>
            <w:vAlign w:val="bottom"/>
          </w:tcPr>
          <w:p>
            <w:pPr>
              <w:ind w:left="380"/>
              <w:spacing w:after="0"/>
              <w:rPr>
                <w:sz w:val="20"/>
                <w:szCs w:val="20"/>
                <w:color w:val="auto"/>
              </w:rPr>
            </w:pPr>
            <w:r>
              <w:rPr>
                <w:rFonts w:ascii="Arial" w:cs="Arial" w:eastAsia="Arial" w:hAnsi="Arial"/>
                <w:sz w:val="22"/>
                <w:szCs w:val="22"/>
                <w:color w:val="auto"/>
              </w:rPr>
              <w:t>liabilities</w:t>
            </w:r>
          </w:p>
        </w:tc>
        <w:tc>
          <w:tcPr>
            <w:tcW w:w="880" w:type="dxa"/>
            <w:vAlign w:val="bottom"/>
            <w:gridSpan w:val="2"/>
          </w:tcPr>
          <w:p>
            <w:pPr>
              <w:jc w:val="right"/>
              <w:ind w:right="180"/>
              <w:spacing w:after="0"/>
              <w:rPr>
                <w:sz w:val="20"/>
                <w:szCs w:val="20"/>
                <w:color w:val="auto"/>
              </w:rPr>
            </w:pPr>
            <w:r>
              <w:rPr>
                <w:rFonts w:ascii="Arial" w:cs="Arial" w:eastAsia="Arial" w:hAnsi="Arial"/>
                <w:sz w:val="22"/>
                <w:szCs w:val="22"/>
                <w:color w:val="auto"/>
              </w:rPr>
              <w:t>62</w:t>
            </w:r>
          </w:p>
        </w:tc>
        <w:tc>
          <w:tcPr>
            <w:tcW w:w="880" w:type="dxa"/>
            <w:vAlign w:val="bottom"/>
            <w:gridSpan w:val="2"/>
          </w:tcPr>
          <w:p>
            <w:pPr>
              <w:jc w:val="right"/>
              <w:ind w:right="120"/>
              <w:spacing w:after="0"/>
              <w:rPr>
                <w:sz w:val="20"/>
                <w:szCs w:val="20"/>
                <w:color w:val="auto"/>
              </w:rPr>
            </w:pPr>
            <w:r>
              <w:rPr>
                <w:rFonts w:ascii="Arial" w:cs="Arial" w:eastAsia="Arial" w:hAnsi="Arial"/>
                <w:sz w:val="22"/>
                <w:szCs w:val="22"/>
                <w:color w:val="auto"/>
              </w:rPr>
              <w:t>(8)</w:t>
            </w:r>
          </w:p>
        </w:tc>
        <w:tc>
          <w:tcPr>
            <w:tcW w:w="900" w:type="dxa"/>
            <w:vAlign w:val="bottom"/>
            <w:gridSpan w:val="2"/>
          </w:tcPr>
          <w:p>
            <w:pPr>
              <w:jc w:val="right"/>
              <w:ind w:right="200"/>
              <w:spacing w:after="0"/>
              <w:rPr>
                <w:sz w:val="20"/>
                <w:szCs w:val="20"/>
                <w:color w:val="auto"/>
              </w:rPr>
            </w:pPr>
            <w:r>
              <w:rPr>
                <w:rFonts w:ascii="Arial" w:cs="Arial" w:eastAsia="Arial" w:hAnsi="Arial"/>
                <w:sz w:val="22"/>
                <w:szCs w:val="22"/>
                <w:color w:val="auto"/>
              </w:rPr>
              <w:t>29</w:t>
            </w:r>
          </w:p>
        </w:tc>
        <w:tc>
          <w:tcPr>
            <w:tcW w:w="920" w:type="dxa"/>
            <w:vAlign w:val="bottom"/>
            <w:gridSpan w:val="2"/>
          </w:tcPr>
          <w:p>
            <w:pPr>
              <w:jc w:val="right"/>
              <w:ind w:right="120"/>
              <w:spacing w:after="0"/>
              <w:rPr>
                <w:sz w:val="20"/>
                <w:szCs w:val="20"/>
                <w:color w:val="auto"/>
              </w:rPr>
            </w:pPr>
            <w:r>
              <w:rPr>
                <w:rFonts w:ascii="Arial" w:cs="Arial" w:eastAsia="Arial" w:hAnsi="Arial"/>
                <w:sz w:val="22"/>
                <w:szCs w:val="22"/>
                <w:color w:val="auto"/>
              </w:rPr>
              <w:t>(160)</w:t>
            </w:r>
          </w:p>
        </w:tc>
        <w:tc>
          <w:tcPr>
            <w:tcW w:w="860" w:type="dxa"/>
            <w:vAlign w:val="bottom"/>
          </w:tcPr>
          <w:p>
            <w:pPr>
              <w:jc w:val="right"/>
              <w:spacing w:after="0"/>
              <w:rPr>
                <w:sz w:val="20"/>
                <w:szCs w:val="20"/>
                <w:color w:val="auto"/>
              </w:rPr>
            </w:pPr>
            <w:r>
              <w:rPr>
                <w:rFonts w:ascii="Arial" w:cs="Arial" w:eastAsia="Arial" w:hAnsi="Arial"/>
                <w:sz w:val="22"/>
                <w:szCs w:val="22"/>
                <w:color w:val="auto"/>
              </w:rPr>
              <w:t>13</w:t>
            </w:r>
          </w:p>
        </w:tc>
        <w:tc>
          <w:tcPr>
            <w:tcW w:w="2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gridSpan w:val="2"/>
          </w:tcPr>
          <w:p>
            <w:pPr>
              <w:jc w:val="right"/>
              <w:spacing w:after="0"/>
              <w:rPr>
                <w:sz w:val="20"/>
                <w:szCs w:val="20"/>
                <w:color w:val="auto"/>
              </w:rPr>
            </w:pPr>
            <w:r>
              <w:rPr>
                <w:rFonts w:ascii="Arial" w:cs="Arial" w:eastAsia="Arial" w:hAnsi="Arial"/>
                <w:sz w:val="22"/>
                <w:szCs w:val="22"/>
                <w:color w:val="auto"/>
              </w:rPr>
              <w:t>(64)</w:t>
            </w:r>
          </w:p>
        </w:tc>
        <w:tc>
          <w:tcPr>
            <w:tcW w:w="0" w:type="dxa"/>
            <w:vAlign w:val="bottom"/>
          </w:tcPr>
          <w:p>
            <w:pPr>
              <w:spacing w:after="0"/>
              <w:rPr>
                <w:sz w:val="1"/>
                <w:szCs w:val="1"/>
                <w:color w:val="auto"/>
              </w:rPr>
            </w:pPr>
          </w:p>
        </w:tc>
      </w:tr>
      <w:tr>
        <w:trPr>
          <w:trHeight w:val="98"/>
        </w:trPr>
        <w:tc>
          <w:tcPr>
            <w:tcW w:w="3340" w:type="dxa"/>
            <w:vAlign w:val="bottom"/>
            <w:vMerge w:val="restart"/>
          </w:tcPr>
          <w:p>
            <w:pPr>
              <w:ind w:left="280"/>
              <w:spacing w:after="0"/>
              <w:rPr>
                <w:sz w:val="20"/>
                <w:szCs w:val="20"/>
                <w:color w:val="auto"/>
              </w:rPr>
            </w:pPr>
            <w:r>
              <w:rPr>
                <w:rFonts w:ascii="Arial" w:cs="Arial" w:eastAsia="Arial" w:hAnsi="Arial"/>
                <w:sz w:val="22"/>
                <w:szCs w:val="22"/>
                <w:color w:val="auto"/>
              </w:rPr>
              <w:t>Net cash provided by (used in)</w:t>
            </w:r>
          </w:p>
        </w:tc>
        <w:tc>
          <w:tcPr>
            <w:tcW w:w="7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3"/>
        </w:trPr>
        <w:tc>
          <w:tcPr>
            <w:tcW w:w="334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Arial" w:cs="Arial" w:eastAsia="Arial" w:hAnsi="Arial"/>
                <w:sz w:val="22"/>
                <w:szCs w:val="22"/>
                <w:color w:val="auto"/>
              </w:rPr>
              <w:t>operating</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380"/>
              <w:spacing w:after="0" w:line="243" w:lineRule="exact"/>
              <w:rPr>
                <w:sz w:val="20"/>
                <w:szCs w:val="20"/>
                <w:color w:val="auto"/>
              </w:rPr>
            </w:pPr>
            <w:r>
              <w:rPr>
                <w:rFonts w:ascii="Arial" w:cs="Arial" w:eastAsia="Arial" w:hAnsi="Arial"/>
                <w:sz w:val="22"/>
                <w:szCs w:val="22"/>
                <w:color w:val="auto"/>
              </w:rPr>
              <w:t>activities from continuing</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3340" w:type="dxa"/>
            <w:vAlign w:val="bottom"/>
          </w:tcPr>
          <w:p>
            <w:pPr>
              <w:spacing w:after="0"/>
              <w:rPr>
                <w:sz w:val="20"/>
                <w:szCs w:val="20"/>
                <w:color w:val="auto"/>
              </w:rPr>
            </w:pPr>
            <w:r>
              <w:rPr>
                <w:rFonts w:ascii="Arial" w:cs="Arial" w:eastAsia="Arial" w:hAnsi="Arial"/>
                <w:sz w:val="22"/>
                <w:szCs w:val="22"/>
                <w:color w:val="auto"/>
              </w:rPr>
              <w:t>operations .</w:t>
            </w:r>
          </w:p>
        </w:tc>
        <w:tc>
          <w:tcPr>
            <w:tcW w:w="880" w:type="dxa"/>
            <w:vAlign w:val="bottom"/>
            <w:gridSpan w:val="2"/>
          </w:tcPr>
          <w:p>
            <w:pPr>
              <w:jc w:val="right"/>
              <w:ind w:right="180"/>
              <w:spacing w:after="0"/>
              <w:rPr>
                <w:sz w:val="20"/>
                <w:szCs w:val="20"/>
                <w:color w:val="auto"/>
              </w:rPr>
            </w:pPr>
            <w:r>
              <w:rPr>
                <w:rFonts w:ascii="Arial" w:cs="Arial" w:eastAsia="Arial" w:hAnsi="Arial"/>
                <w:sz w:val="22"/>
                <w:szCs w:val="22"/>
                <w:color w:val="auto"/>
              </w:rPr>
              <w:t>53</w:t>
            </w:r>
          </w:p>
        </w:tc>
        <w:tc>
          <w:tcPr>
            <w:tcW w:w="880" w:type="dxa"/>
            <w:vAlign w:val="bottom"/>
            <w:gridSpan w:val="2"/>
          </w:tcPr>
          <w:p>
            <w:pPr>
              <w:jc w:val="right"/>
              <w:ind w:right="120"/>
              <w:spacing w:after="0"/>
              <w:rPr>
                <w:sz w:val="20"/>
                <w:szCs w:val="20"/>
                <w:color w:val="auto"/>
              </w:rPr>
            </w:pPr>
            <w:r>
              <w:rPr>
                <w:rFonts w:ascii="Arial" w:cs="Arial" w:eastAsia="Arial" w:hAnsi="Arial"/>
                <w:sz w:val="22"/>
                <w:szCs w:val="22"/>
                <w:color w:val="auto"/>
              </w:rPr>
              <w:t>(186)</w:t>
            </w:r>
          </w:p>
        </w:tc>
        <w:tc>
          <w:tcPr>
            <w:tcW w:w="900" w:type="dxa"/>
            <w:vAlign w:val="bottom"/>
            <w:gridSpan w:val="2"/>
          </w:tcPr>
          <w:p>
            <w:pPr>
              <w:jc w:val="right"/>
              <w:ind w:right="120"/>
              <w:spacing w:after="0"/>
              <w:rPr>
                <w:sz w:val="20"/>
                <w:szCs w:val="20"/>
                <w:color w:val="auto"/>
              </w:rPr>
            </w:pPr>
            <w:r>
              <w:rPr>
                <w:rFonts w:ascii="Arial" w:cs="Arial" w:eastAsia="Arial" w:hAnsi="Arial"/>
                <w:sz w:val="22"/>
                <w:szCs w:val="22"/>
                <w:color w:val="auto"/>
              </w:rPr>
              <w:t>(102)</w:t>
            </w:r>
          </w:p>
        </w:tc>
        <w:tc>
          <w:tcPr>
            <w:tcW w:w="920" w:type="dxa"/>
            <w:vAlign w:val="bottom"/>
            <w:gridSpan w:val="2"/>
          </w:tcPr>
          <w:p>
            <w:pPr>
              <w:jc w:val="right"/>
              <w:ind w:right="120"/>
              <w:spacing w:after="0"/>
              <w:rPr>
                <w:sz w:val="20"/>
                <w:szCs w:val="20"/>
                <w:color w:val="auto"/>
              </w:rPr>
            </w:pPr>
            <w:r>
              <w:rPr>
                <w:rFonts w:ascii="Arial" w:cs="Arial" w:eastAsia="Arial" w:hAnsi="Arial"/>
                <w:sz w:val="22"/>
                <w:szCs w:val="22"/>
                <w:color w:val="auto"/>
              </w:rPr>
              <w:t>(373)</w:t>
            </w:r>
          </w:p>
        </w:tc>
        <w:tc>
          <w:tcPr>
            <w:tcW w:w="860" w:type="dxa"/>
            <w:vAlign w:val="bottom"/>
          </w:tcPr>
          <w:p>
            <w:pPr>
              <w:jc w:val="right"/>
              <w:spacing w:after="0"/>
              <w:rPr>
                <w:sz w:val="20"/>
                <w:szCs w:val="20"/>
                <w:color w:val="auto"/>
              </w:rPr>
            </w:pPr>
            <w:r>
              <w:rPr>
                <w:rFonts w:ascii="Arial" w:cs="Arial" w:eastAsia="Arial" w:hAnsi="Arial"/>
                <w:sz w:val="22"/>
                <w:szCs w:val="22"/>
                <w:color w:val="auto"/>
              </w:rPr>
              <w:t>2,319</w:t>
            </w:r>
          </w:p>
        </w:tc>
        <w:tc>
          <w:tcPr>
            <w:tcW w:w="2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22"/>
                <w:szCs w:val="22"/>
                <w:color w:val="auto"/>
              </w:rPr>
              <w:t>1,711</w:t>
            </w:r>
          </w:p>
        </w:tc>
        <w:tc>
          <w:tcPr>
            <w:tcW w:w="0" w:type="dxa"/>
            <w:vAlign w:val="bottom"/>
          </w:tcPr>
          <w:p>
            <w:pPr>
              <w:spacing w:after="0"/>
              <w:rPr>
                <w:sz w:val="1"/>
                <w:szCs w:val="1"/>
                <w:color w:val="auto"/>
              </w:rPr>
            </w:pPr>
          </w:p>
        </w:tc>
      </w:tr>
      <w:tr>
        <w:trPr>
          <w:trHeight w:val="98"/>
        </w:trPr>
        <w:tc>
          <w:tcPr>
            <w:tcW w:w="3340" w:type="dxa"/>
            <w:vAlign w:val="bottom"/>
            <w:vMerge w:val="restart"/>
          </w:tcPr>
          <w:p>
            <w:pPr>
              <w:spacing w:after="0"/>
              <w:rPr>
                <w:sz w:val="20"/>
                <w:szCs w:val="20"/>
                <w:color w:val="auto"/>
              </w:rPr>
            </w:pPr>
            <w:r>
              <w:rPr>
                <w:rFonts w:ascii="Arial" w:cs="Arial" w:eastAsia="Arial" w:hAnsi="Arial"/>
                <w:sz w:val="22"/>
                <w:szCs w:val="22"/>
                <w:color w:val="auto"/>
              </w:rPr>
              <w:t>FINANCING ACTIVITIES</w:t>
            </w:r>
          </w:p>
        </w:tc>
        <w:tc>
          <w:tcPr>
            <w:tcW w:w="7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66"/>
        </w:trPr>
        <w:tc>
          <w:tcPr>
            <w:tcW w:w="334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180"/>
              <w:spacing w:after="0" w:line="243" w:lineRule="exact"/>
              <w:rPr>
                <w:sz w:val="20"/>
                <w:szCs w:val="20"/>
                <w:color w:val="auto"/>
              </w:rPr>
            </w:pPr>
            <w:r>
              <w:rPr>
                <w:rFonts w:ascii="Arial" w:cs="Arial" w:eastAsia="Arial" w:hAnsi="Arial"/>
                <w:sz w:val="22"/>
                <w:szCs w:val="22"/>
                <w:color w:val="auto"/>
              </w:rPr>
              <w:t>Proceeds from borrowings</w:t>
            </w:r>
          </w:p>
        </w:tc>
        <w:tc>
          <w:tcPr>
            <w:tcW w:w="880" w:type="dxa"/>
            <w:vAlign w:val="bottom"/>
            <w:gridSpan w:val="2"/>
          </w:tcPr>
          <w:p>
            <w:pPr>
              <w:jc w:val="right"/>
              <w:ind w:right="180"/>
              <w:spacing w:after="0" w:line="243" w:lineRule="exact"/>
              <w:rPr>
                <w:sz w:val="20"/>
                <w:szCs w:val="20"/>
                <w:color w:val="auto"/>
              </w:rPr>
            </w:pPr>
            <w:r>
              <w:rPr>
                <w:rFonts w:ascii="Arial" w:cs="Arial" w:eastAsia="Arial" w:hAnsi="Arial"/>
                <w:sz w:val="22"/>
                <w:szCs w:val="22"/>
                <w:color w:val="auto"/>
              </w:rPr>
              <w:t>8,138</w:t>
            </w:r>
          </w:p>
        </w:tc>
        <w:tc>
          <w:tcPr>
            <w:tcW w:w="700" w:type="dxa"/>
            <w:vAlign w:val="bottom"/>
          </w:tcPr>
          <w:p>
            <w:pPr>
              <w:jc w:val="right"/>
              <w:spacing w:after="0" w:line="243" w:lineRule="exact"/>
              <w:rPr>
                <w:sz w:val="20"/>
                <w:szCs w:val="20"/>
                <w:color w:val="auto"/>
              </w:rPr>
            </w:pPr>
            <w:r>
              <w:rPr>
                <w:rFonts w:ascii="Arial" w:cs="Arial" w:eastAsia="Arial" w:hAnsi="Arial"/>
                <w:sz w:val="22"/>
                <w:szCs w:val="22"/>
                <w:color w:val="auto"/>
              </w:rPr>
              <w:t>600</w:t>
            </w: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spacing w:after="0" w:line="243" w:lineRule="exact"/>
              <w:rPr>
                <w:sz w:val="20"/>
                <w:szCs w:val="20"/>
                <w:color w:val="auto"/>
              </w:rPr>
            </w:pPr>
            <w:r>
              <w:rPr>
                <w:rFonts w:ascii="Arial" w:cs="Arial" w:eastAsia="Arial" w:hAnsi="Arial"/>
                <w:sz w:val="22"/>
                <w:szCs w:val="22"/>
                <w:color w:val="auto"/>
              </w:rPr>
              <w:t>110</w:t>
            </w: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gridSpan w:val="2"/>
          </w:tcPr>
          <w:p>
            <w:pPr>
              <w:jc w:val="right"/>
              <w:ind w:right="80"/>
              <w:spacing w:after="0" w:line="243" w:lineRule="exact"/>
              <w:rPr>
                <w:sz w:val="20"/>
                <w:szCs w:val="20"/>
                <w:color w:val="auto"/>
              </w:rPr>
            </w:pPr>
            <w:r>
              <w:rPr>
                <w:rFonts w:ascii="Arial" w:cs="Arial" w:eastAsia="Arial" w:hAnsi="Arial"/>
                <w:sz w:val="22"/>
                <w:szCs w:val="22"/>
                <w:color w:val="auto"/>
              </w:rPr>
              <w:t>8,848</w:t>
            </w:r>
          </w:p>
        </w:tc>
        <w:tc>
          <w:tcPr>
            <w:tcW w:w="0" w:type="dxa"/>
            <w:vAlign w:val="bottom"/>
          </w:tcPr>
          <w:p>
            <w:pPr>
              <w:spacing w:after="0"/>
              <w:rPr>
                <w:sz w:val="1"/>
                <w:szCs w:val="1"/>
                <w:color w:val="auto"/>
              </w:rPr>
            </w:pPr>
          </w:p>
        </w:tc>
      </w:tr>
      <w:tr>
        <w:trPr>
          <w:trHeight w:val="243"/>
        </w:trPr>
        <w:tc>
          <w:tcPr>
            <w:tcW w:w="3340" w:type="dxa"/>
            <w:vAlign w:val="bottom"/>
          </w:tcPr>
          <w:p>
            <w:pPr>
              <w:ind w:left="180"/>
              <w:spacing w:after="0" w:line="243" w:lineRule="exact"/>
              <w:rPr>
                <w:sz w:val="20"/>
                <w:szCs w:val="20"/>
                <w:color w:val="auto"/>
              </w:rPr>
            </w:pPr>
            <w:r>
              <w:rPr>
                <w:rFonts w:ascii="Arial" w:cs="Arial" w:eastAsia="Arial" w:hAnsi="Arial"/>
                <w:sz w:val="22"/>
                <w:szCs w:val="22"/>
                <w:color w:val="auto"/>
              </w:rPr>
              <w:t>Retirements and repayments of</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Arial" w:cs="Arial" w:eastAsia="Arial" w:hAnsi="Arial"/>
                <w:sz w:val="22"/>
                <w:szCs w:val="22"/>
                <w:color w:val="auto"/>
              </w:rPr>
              <w:t>debt</w:t>
            </w:r>
          </w:p>
        </w:tc>
        <w:tc>
          <w:tcPr>
            <w:tcW w:w="880" w:type="dxa"/>
            <w:vAlign w:val="bottom"/>
            <w:gridSpan w:val="2"/>
          </w:tcPr>
          <w:p>
            <w:pPr>
              <w:jc w:val="right"/>
              <w:ind w:right="120"/>
              <w:spacing w:after="0" w:line="243" w:lineRule="exact"/>
              <w:rPr>
                <w:sz w:val="20"/>
                <w:szCs w:val="20"/>
                <w:color w:val="auto"/>
              </w:rPr>
            </w:pPr>
            <w:r>
              <w:rPr>
                <w:rFonts w:ascii="Arial" w:cs="Arial" w:eastAsia="Arial" w:hAnsi="Arial"/>
                <w:sz w:val="22"/>
                <w:szCs w:val="22"/>
                <w:color w:val="auto"/>
              </w:rPr>
              <w:t>(2,050)</w:t>
            </w:r>
          </w:p>
        </w:tc>
        <w:tc>
          <w:tcPr>
            <w:tcW w:w="880" w:type="dxa"/>
            <w:vAlign w:val="bottom"/>
            <w:gridSpan w:val="2"/>
          </w:tcPr>
          <w:p>
            <w:pPr>
              <w:jc w:val="right"/>
              <w:ind w:right="120"/>
              <w:spacing w:after="0" w:line="243" w:lineRule="exact"/>
              <w:rPr>
                <w:sz w:val="20"/>
                <w:szCs w:val="20"/>
                <w:color w:val="auto"/>
              </w:rPr>
            </w:pPr>
            <w:r>
              <w:rPr>
                <w:rFonts w:ascii="Arial" w:cs="Arial" w:eastAsia="Arial" w:hAnsi="Arial"/>
                <w:sz w:val="22"/>
                <w:szCs w:val="22"/>
                <w:color w:val="auto"/>
              </w:rPr>
              <w:t>(1,554)</w:t>
            </w:r>
          </w:p>
        </w:tc>
        <w:tc>
          <w:tcPr>
            <w:tcW w:w="900" w:type="dxa"/>
            <w:vAlign w:val="bottom"/>
            <w:gridSpan w:val="2"/>
          </w:tcPr>
          <w:p>
            <w:pPr>
              <w:jc w:val="right"/>
              <w:ind w:right="120"/>
              <w:spacing w:after="0" w:line="243" w:lineRule="exact"/>
              <w:rPr>
                <w:sz w:val="20"/>
                <w:szCs w:val="20"/>
                <w:color w:val="auto"/>
              </w:rPr>
            </w:pPr>
            <w:r>
              <w:rPr>
                <w:rFonts w:ascii="Arial" w:cs="Arial" w:eastAsia="Arial" w:hAnsi="Arial"/>
                <w:sz w:val="22"/>
                <w:szCs w:val="22"/>
                <w:color w:val="auto"/>
              </w:rPr>
              <w:t>(6,250)</w:t>
            </w:r>
          </w:p>
        </w:tc>
        <w:tc>
          <w:tcPr>
            <w:tcW w:w="920" w:type="dxa"/>
            <w:vAlign w:val="bottom"/>
            <w:gridSpan w:val="2"/>
          </w:tcPr>
          <w:p>
            <w:pPr>
              <w:jc w:val="right"/>
              <w:ind w:right="120"/>
              <w:spacing w:after="0" w:line="243" w:lineRule="exact"/>
              <w:rPr>
                <w:sz w:val="20"/>
                <w:szCs w:val="20"/>
                <w:color w:val="auto"/>
              </w:rPr>
            </w:pPr>
            <w:r>
              <w:rPr>
                <w:rFonts w:ascii="Arial" w:cs="Arial" w:eastAsia="Arial" w:hAnsi="Arial"/>
                <w:sz w:val="22"/>
                <w:szCs w:val="22"/>
                <w:color w:val="auto"/>
              </w:rPr>
              <w:t>(1,764)</w:t>
            </w:r>
          </w:p>
        </w:tc>
        <w:tc>
          <w:tcPr>
            <w:tcW w:w="860" w:type="dxa"/>
            <w:vAlign w:val="bottom"/>
          </w:tcPr>
          <w:p>
            <w:pPr>
              <w:jc w:val="right"/>
              <w:spacing w:after="0" w:line="243" w:lineRule="exact"/>
              <w:rPr>
                <w:sz w:val="20"/>
                <w:szCs w:val="20"/>
                <w:color w:val="auto"/>
              </w:rPr>
            </w:pPr>
            <w:r>
              <w:rPr>
                <w:rFonts w:ascii="Arial" w:cs="Arial" w:eastAsia="Arial" w:hAnsi="Arial"/>
                <w:sz w:val="22"/>
                <w:szCs w:val="22"/>
                <w:color w:val="auto"/>
              </w:rPr>
              <w:t>75</w:t>
            </w: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(11,543)</w:t>
            </w:r>
          </w:p>
        </w:tc>
        <w:tc>
          <w:tcPr>
            <w:tcW w:w="0" w:type="dxa"/>
            <w:vAlign w:val="bottom"/>
          </w:tcPr>
          <w:p>
            <w:pPr>
              <w:spacing w:after="0"/>
              <w:rPr>
                <w:sz w:val="1"/>
                <w:szCs w:val="1"/>
                <w:color w:val="auto"/>
              </w:rPr>
            </w:pPr>
          </w:p>
        </w:tc>
      </w:tr>
      <w:tr>
        <w:trPr>
          <w:trHeight w:val="275"/>
        </w:trPr>
        <w:tc>
          <w:tcPr>
            <w:tcW w:w="3340" w:type="dxa"/>
            <w:vAlign w:val="bottom"/>
          </w:tcPr>
          <w:p>
            <w:pPr>
              <w:ind w:left="180"/>
              <w:spacing w:after="0"/>
              <w:rPr>
                <w:sz w:val="20"/>
                <w:szCs w:val="20"/>
                <w:color w:val="auto"/>
              </w:rPr>
            </w:pPr>
            <w:r>
              <w:rPr>
                <w:rFonts w:ascii="Arial" w:cs="Arial" w:eastAsia="Arial" w:hAnsi="Arial"/>
                <w:sz w:val="22"/>
                <w:szCs w:val="22"/>
                <w:color w:val="auto"/>
              </w:rPr>
              <w:t>Other</w:t>
            </w:r>
          </w:p>
        </w:tc>
        <w:tc>
          <w:tcPr>
            <w:tcW w:w="7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22"/>
                <w:szCs w:val="22"/>
                <w:color w:val="auto"/>
              </w:rPr>
              <w:t>(3)</w:t>
            </w:r>
          </w:p>
        </w:tc>
        <w:tc>
          <w:tcPr>
            <w:tcW w:w="9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gridSpan w:val="2"/>
          </w:tcPr>
          <w:p>
            <w:pPr>
              <w:jc w:val="right"/>
              <w:spacing w:after="0"/>
              <w:rPr>
                <w:sz w:val="20"/>
                <w:szCs w:val="20"/>
                <w:color w:val="auto"/>
              </w:rPr>
            </w:pPr>
            <w:r>
              <w:rPr>
                <w:rFonts w:ascii="Arial" w:cs="Arial" w:eastAsia="Arial" w:hAnsi="Arial"/>
                <w:sz w:val="22"/>
                <w:szCs w:val="22"/>
                <w:color w:val="auto"/>
              </w:rPr>
              <w:t>(3)</w:t>
            </w:r>
          </w:p>
        </w:tc>
        <w:tc>
          <w:tcPr>
            <w:tcW w:w="0" w:type="dxa"/>
            <w:vAlign w:val="bottom"/>
          </w:tcPr>
          <w:p>
            <w:pPr>
              <w:spacing w:after="0"/>
              <w:rPr>
                <w:sz w:val="1"/>
                <w:szCs w:val="1"/>
                <w:color w:val="auto"/>
              </w:rPr>
            </w:pPr>
          </w:p>
        </w:tc>
      </w:tr>
      <w:tr>
        <w:trPr>
          <w:trHeight w:val="98"/>
        </w:trPr>
        <w:tc>
          <w:tcPr>
            <w:tcW w:w="3340" w:type="dxa"/>
            <w:vAlign w:val="bottom"/>
            <w:vMerge w:val="restart"/>
          </w:tcPr>
          <w:p>
            <w:pPr>
              <w:ind w:left="280"/>
              <w:spacing w:after="0"/>
              <w:rPr>
                <w:sz w:val="20"/>
                <w:szCs w:val="20"/>
                <w:color w:val="auto"/>
              </w:rPr>
            </w:pPr>
            <w:r>
              <w:rPr>
                <w:rFonts w:ascii="Arial" w:cs="Arial" w:eastAsia="Arial" w:hAnsi="Arial"/>
                <w:sz w:val="22"/>
                <w:szCs w:val="22"/>
                <w:color w:val="auto"/>
              </w:rPr>
              <w:t>Net cash provided by (used in)</w:t>
            </w:r>
          </w:p>
        </w:tc>
        <w:tc>
          <w:tcPr>
            <w:tcW w:w="7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3"/>
        </w:trPr>
        <w:tc>
          <w:tcPr>
            <w:tcW w:w="334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380"/>
              <w:spacing w:after="0" w:line="243" w:lineRule="exact"/>
              <w:rPr>
                <w:sz w:val="20"/>
                <w:szCs w:val="20"/>
                <w:color w:val="auto"/>
              </w:rPr>
            </w:pPr>
            <w:r>
              <w:rPr>
                <w:rFonts w:ascii="Arial" w:cs="Arial" w:eastAsia="Arial" w:hAnsi="Arial"/>
                <w:sz w:val="22"/>
                <w:szCs w:val="22"/>
                <w:color w:val="auto"/>
              </w:rPr>
              <w:t>financing activities from</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Arial" w:cs="Arial" w:eastAsia="Arial" w:hAnsi="Arial"/>
                <w:sz w:val="22"/>
                <w:szCs w:val="22"/>
                <w:color w:val="auto"/>
              </w:rPr>
              <w:t>continuing</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3340" w:type="dxa"/>
            <w:vAlign w:val="bottom"/>
          </w:tcPr>
          <w:p>
            <w:pPr>
              <w:ind w:left="380"/>
              <w:spacing w:after="0"/>
              <w:rPr>
                <w:sz w:val="20"/>
                <w:szCs w:val="20"/>
                <w:color w:val="auto"/>
              </w:rPr>
            </w:pPr>
            <w:r>
              <w:rPr>
                <w:rFonts w:ascii="Arial" w:cs="Arial" w:eastAsia="Arial" w:hAnsi="Arial"/>
                <w:sz w:val="22"/>
                <w:szCs w:val="22"/>
                <w:color w:val="auto"/>
              </w:rPr>
              <w:t>operations</w:t>
            </w:r>
          </w:p>
        </w:tc>
        <w:tc>
          <w:tcPr>
            <w:tcW w:w="880" w:type="dxa"/>
            <w:vAlign w:val="bottom"/>
            <w:gridSpan w:val="2"/>
          </w:tcPr>
          <w:p>
            <w:pPr>
              <w:jc w:val="right"/>
              <w:ind w:right="180"/>
              <w:spacing w:after="0"/>
              <w:rPr>
                <w:sz w:val="20"/>
                <w:szCs w:val="20"/>
                <w:color w:val="auto"/>
              </w:rPr>
            </w:pPr>
            <w:r>
              <w:rPr>
                <w:rFonts w:ascii="Arial" w:cs="Arial" w:eastAsia="Arial" w:hAnsi="Arial"/>
                <w:sz w:val="22"/>
                <w:szCs w:val="22"/>
                <w:color w:val="auto"/>
              </w:rPr>
              <w:t>6,088</w:t>
            </w:r>
          </w:p>
        </w:tc>
        <w:tc>
          <w:tcPr>
            <w:tcW w:w="880" w:type="dxa"/>
            <w:vAlign w:val="bottom"/>
            <w:gridSpan w:val="2"/>
          </w:tcPr>
          <w:p>
            <w:pPr>
              <w:jc w:val="right"/>
              <w:ind w:right="120"/>
              <w:spacing w:after="0"/>
              <w:rPr>
                <w:sz w:val="20"/>
                <w:szCs w:val="20"/>
                <w:color w:val="auto"/>
              </w:rPr>
            </w:pPr>
            <w:r>
              <w:rPr>
                <w:rFonts w:ascii="Arial" w:cs="Arial" w:eastAsia="Arial" w:hAnsi="Arial"/>
                <w:sz w:val="22"/>
                <w:szCs w:val="22"/>
                <w:color w:val="auto"/>
              </w:rPr>
              <w:t>(954)</w:t>
            </w:r>
          </w:p>
        </w:tc>
        <w:tc>
          <w:tcPr>
            <w:tcW w:w="900" w:type="dxa"/>
            <w:vAlign w:val="bottom"/>
            <w:gridSpan w:val="2"/>
          </w:tcPr>
          <w:p>
            <w:pPr>
              <w:jc w:val="right"/>
              <w:ind w:right="120"/>
              <w:spacing w:after="0"/>
              <w:rPr>
                <w:sz w:val="20"/>
                <w:szCs w:val="20"/>
                <w:color w:val="auto"/>
              </w:rPr>
            </w:pPr>
            <w:r>
              <w:rPr>
                <w:rFonts w:ascii="Arial" w:cs="Arial" w:eastAsia="Arial" w:hAnsi="Arial"/>
                <w:sz w:val="22"/>
                <w:szCs w:val="22"/>
                <w:color w:val="auto"/>
              </w:rPr>
              <w:t>(6,250)</w:t>
            </w:r>
          </w:p>
        </w:tc>
        <w:tc>
          <w:tcPr>
            <w:tcW w:w="920" w:type="dxa"/>
            <w:vAlign w:val="bottom"/>
            <w:gridSpan w:val="2"/>
          </w:tcPr>
          <w:p>
            <w:pPr>
              <w:jc w:val="right"/>
              <w:ind w:right="120"/>
              <w:spacing w:after="0"/>
              <w:rPr>
                <w:sz w:val="20"/>
                <w:szCs w:val="20"/>
                <w:color w:val="auto"/>
              </w:rPr>
            </w:pPr>
            <w:r>
              <w:rPr>
                <w:rFonts w:ascii="Arial" w:cs="Arial" w:eastAsia="Arial" w:hAnsi="Arial"/>
                <w:sz w:val="22"/>
                <w:szCs w:val="22"/>
                <w:color w:val="auto"/>
              </w:rPr>
              <w:t>(1,764)</w:t>
            </w:r>
          </w:p>
        </w:tc>
        <w:tc>
          <w:tcPr>
            <w:tcW w:w="860" w:type="dxa"/>
            <w:vAlign w:val="bottom"/>
          </w:tcPr>
          <w:p>
            <w:pPr>
              <w:jc w:val="right"/>
              <w:spacing w:after="0"/>
              <w:rPr>
                <w:sz w:val="20"/>
                <w:szCs w:val="20"/>
                <w:color w:val="auto"/>
              </w:rPr>
            </w:pPr>
            <w:r>
              <w:rPr>
                <w:rFonts w:ascii="Arial" w:cs="Arial" w:eastAsia="Arial" w:hAnsi="Arial"/>
                <w:sz w:val="22"/>
                <w:szCs w:val="22"/>
                <w:color w:val="auto"/>
              </w:rPr>
              <w:t>182</w:t>
            </w:r>
          </w:p>
        </w:tc>
        <w:tc>
          <w:tcPr>
            <w:tcW w:w="2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gridSpan w:val="2"/>
          </w:tcPr>
          <w:p>
            <w:pPr>
              <w:jc w:val="right"/>
              <w:spacing w:after="0"/>
              <w:rPr>
                <w:sz w:val="20"/>
                <w:szCs w:val="20"/>
                <w:color w:val="auto"/>
              </w:rPr>
            </w:pPr>
            <w:r>
              <w:rPr>
                <w:rFonts w:ascii="Arial" w:cs="Arial" w:eastAsia="Arial" w:hAnsi="Arial"/>
                <w:sz w:val="22"/>
                <w:szCs w:val="22"/>
                <w:color w:val="auto"/>
              </w:rPr>
              <w:t>(2,698)</w:t>
            </w:r>
          </w:p>
        </w:tc>
        <w:tc>
          <w:tcPr>
            <w:tcW w:w="0" w:type="dxa"/>
            <w:vAlign w:val="bottom"/>
          </w:tcPr>
          <w:p>
            <w:pPr>
              <w:spacing w:after="0"/>
              <w:rPr>
                <w:sz w:val="1"/>
                <w:szCs w:val="1"/>
                <w:color w:val="auto"/>
              </w:rPr>
            </w:pPr>
          </w:p>
        </w:tc>
      </w:tr>
    </w:tbl>
    <w:p>
      <w:pPr>
        <w:sectPr>
          <w:pgSz w:w="11900" w:h="16921" w:orient="portrait"/>
          <w:cols w:equalWidth="0" w:num="1">
            <w:col w:w="10219"/>
          </w:cols>
          <w:pgMar w:left="240" w:top="118" w:right="1440" w:bottom="0" w:gutter="0" w:footer="0" w:header="0"/>
        </w:sectPr>
      </w:pPr>
    </w:p>
    <w:bookmarkStart w:id="26" w:name="page27"/>
    <w:bookmarkEnd w:id="2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2266950</wp:posOffset>
            </wp:positionH>
            <wp:positionV relativeFrom="page">
              <wp:posOffset>88900</wp:posOffset>
            </wp:positionV>
            <wp:extent cx="428815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4288155"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53"/>
        </w:trPr>
        <w:tc>
          <w:tcPr>
            <w:tcW w:w="3340" w:type="dxa"/>
            <w:vAlign w:val="bottom"/>
          </w:tcPr>
          <w:p>
            <w:pPr>
              <w:spacing w:after="0"/>
              <w:rPr>
                <w:sz w:val="20"/>
                <w:szCs w:val="20"/>
                <w:color w:val="auto"/>
              </w:rPr>
            </w:pPr>
            <w:r>
              <w:rPr>
                <w:rFonts w:ascii="Arial" w:cs="Arial" w:eastAsia="Arial" w:hAnsi="Arial"/>
                <w:sz w:val="22"/>
                <w:szCs w:val="22"/>
                <w:color w:val="auto"/>
              </w:rPr>
              <w:t>INVESTING ACTIVITIES</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Arial" w:cs="Arial" w:eastAsia="Arial" w:hAnsi="Arial"/>
                <w:sz w:val="22"/>
                <w:szCs w:val="22"/>
                <w:color w:val="auto"/>
              </w:rPr>
              <w:t>Net transactions with affiliates</w:t>
            </w:r>
          </w:p>
        </w:tc>
        <w:tc>
          <w:tcPr>
            <w:tcW w:w="880" w:type="dxa"/>
            <w:vAlign w:val="bottom"/>
            <w:gridSpan w:val="2"/>
          </w:tcPr>
          <w:p>
            <w:pPr>
              <w:jc w:val="right"/>
              <w:ind w:right="120"/>
              <w:spacing w:after="0" w:line="243" w:lineRule="exact"/>
              <w:rPr>
                <w:sz w:val="20"/>
                <w:szCs w:val="20"/>
                <w:color w:val="auto"/>
              </w:rPr>
            </w:pPr>
            <w:r>
              <w:rPr>
                <w:rFonts w:ascii="Arial" w:cs="Arial" w:eastAsia="Arial" w:hAnsi="Arial"/>
                <w:sz w:val="22"/>
                <w:szCs w:val="22"/>
                <w:color w:val="auto"/>
              </w:rPr>
              <w:t>(6,141)</w:t>
            </w:r>
          </w:p>
        </w:tc>
        <w:tc>
          <w:tcPr>
            <w:tcW w:w="700" w:type="dxa"/>
            <w:vAlign w:val="bottom"/>
          </w:tcPr>
          <w:p>
            <w:pPr>
              <w:jc w:val="right"/>
              <w:spacing w:after="0" w:line="243" w:lineRule="exact"/>
              <w:rPr>
                <w:sz w:val="20"/>
                <w:szCs w:val="20"/>
                <w:color w:val="auto"/>
              </w:rPr>
            </w:pPr>
            <w:r>
              <w:rPr>
                <w:rFonts w:ascii="Arial" w:cs="Arial" w:eastAsia="Arial" w:hAnsi="Arial"/>
                <w:sz w:val="22"/>
                <w:szCs w:val="22"/>
                <w:color w:val="auto"/>
              </w:rPr>
              <w:t>1,140</w:t>
            </w:r>
          </w:p>
        </w:tc>
        <w:tc>
          <w:tcPr>
            <w:tcW w:w="1080" w:type="dxa"/>
            <w:vAlign w:val="bottom"/>
            <w:gridSpan w:val="3"/>
          </w:tcPr>
          <w:p>
            <w:pPr>
              <w:jc w:val="right"/>
              <w:ind w:right="200"/>
              <w:spacing w:after="0" w:line="243" w:lineRule="exact"/>
              <w:rPr>
                <w:sz w:val="20"/>
                <w:szCs w:val="20"/>
                <w:color w:val="auto"/>
              </w:rPr>
            </w:pPr>
            <w:r>
              <w:rPr>
                <w:rFonts w:ascii="Arial" w:cs="Arial" w:eastAsia="Arial" w:hAnsi="Arial"/>
                <w:sz w:val="22"/>
                <w:szCs w:val="22"/>
                <w:color w:val="auto"/>
              </w:rPr>
              <w:t>6,352</w:t>
            </w:r>
          </w:p>
        </w:tc>
        <w:tc>
          <w:tcPr>
            <w:tcW w:w="740" w:type="dxa"/>
            <w:vAlign w:val="bottom"/>
          </w:tcPr>
          <w:p>
            <w:pPr>
              <w:jc w:val="right"/>
              <w:spacing w:after="0" w:line="243" w:lineRule="exact"/>
              <w:rPr>
                <w:sz w:val="20"/>
                <w:szCs w:val="20"/>
                <w:color w:val="auto"/>
              </w:rPr>
            </w:pPr>
            <w:r>
              <w:rPr>
                <w:rFonts w:ascii="Arial" w:cs="Arial" w:eastAsia="Arial" w:hAnsi="Arial"/>
                <w:sz w:val="22"/>
                <w:szCs w:val="22"/>
                <w:color w:val="auto"/>
              </w:rPr>
              <w:t>2,137</w:t>
            </w:r>
          </w:p>
        </w:tc>
        <w:tc>
          <w:tcPr>
            <w:tcW w:w="1240" w:type="dxa"/>
            <w:vAlign w:val="bottom"/>
            <w:gridSpan w:val="3"/>
          </w:tcPr>
          <w:p>
            <w:pPr>
              <w:jc w:val="right"/>
              <w:ind w:right="120"/>
              <w:spacing w:after="0" w:line="243" w:lineRule="exact"/>
              <w:rPr>
                <w:sz w:val="20"/>
                <w:szCs w:val="20"/>
                <w:color w:val="auto"/>
              </w:rPr>
            </w:pPr>
            <w:r>
              <w:rPr>
                <w:rFonts w:ascii="Arial" w:cs="Arial" w:eastAsia="Arial" w:hAnsi="Arial"/>
                <w:sz w:val="22"/>
                <w:szCs w:val="22"/>
                <w:color w:val="auto"/>
              </w:rPr>
              <w:t>(3,488)</w:t>
            </w: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Arial" w:cs="Arial" w:eastAsia="Arial" w:hAnsi="Arial"/>
                <w:sz w:val="22"/>
                <w:szCs w:val="22"/>
                <w:color w:val="auto"/>
              </w:rPr>
              <w:t>Acquisitions, net of cash acquired</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40" w:type="dxa"/>
            <w:vAlign w:val="bottom"/>
            <w:gridSpan w:val="3"/>
          </w:tcPr>
          <w:p>
            <w:pPr>
              <w:jc w:val="right"/>
              <w:ind w:right="120"/>
              <w:spacing w:after="0" w:line="243" w:lineRule="exact"/>
              <w:rPr>
                <w:sz w:val="20"/>
                <w:szCs w:val="20"/>
                <w:color w:val="auto"/>
              </w:rPr>
            </w:pPr>
            <w:r>
              <w:rPr>
                <w:rFonts w:ascii="Arial" w:cs="Arial" w:eastAsia="Arial" w:hAnsi="Arial"/>
                <w:sz w:val="22"/>
                <w:szCs w:val="22"/>
                <w:color w:val="auto"/>
              </w:rPr>
              <w:t>(22)</w:t>
            </w:r>
          </w:p>
        </w:tc>
        <w:tc>
          <w:tcPr>
            <w:tcW w:w="980" w:type="dxa"/>
            <w:vAlign w:val="bottom"/>
          </w:tcPr>
          <w:p>
            <w:pPr>
              <w:spacing w:after="0"/>
              <w:rPr>
                <w:sz w:val="21"/>
                <w:szCs w:val="21"/>
                <w:color w:val="auto"/>
              </w:rPr>
            </w:pPr>
          </w:p>
        </w:tc>
        <w:tc>
          <w:tcPr>
            <w:tcW w:w="120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(22)</w:t>
            </w: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Arial" w:cs="Arial" w:eastAsia="Arial" w:hAnsi="Arial"/>
                <w:sz w:val="22"/>
                <w:szCs w:val="22"/>
                <w:color w:val="auto"/>
                <w:w w:val="95"/>
              </w:rPr>
              <w:t>Proceeds from sales (purchases) of</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Arial" w:cs="Arial" w:eastAsia="Arial" w:hAnsi="Arial"/>
                <w:sz w:val="22"/>
                <w:szCs w:val="22"/>
                <w:color w:val="auto"/>
              </w:rPr>
              <w:t>short-term</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180"/>
              <w:spacing w:after="0" w:line="243" w:lineRule="exact"/>
              <w:rPr>
                <w:sz w:val="20"/>
                <w:szCs w:val="20"/>
                <w:color w:val="auto"/>
              </w:rPr>
            </w:pPr>
            <w:r>
              <w:rPr>
                <w:rFonts w:ascii="Arial" w:cs="Arial" w:eastAsia="Arial" w:hAnsi="Arial"/>
                <w:sz w:val="22"/>
                <w:szCs w:val="22"/>
                <w:color w:val="auto"/>
              </w:rPr>
              <w:t>investments, net</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40" w:type="dxa"/>
            <w:vAlign w:val="bottom"/>
            <w:gridSpan w:val="3"/>
          </w:tcPr>
          <w:p>
            <w:pPr>
              <w:jc w:val="right"/>
              <w:ind w:right="120"/>
              <w:spacing w:after="0" w:line="243" w:lineRule="exact"/>
              <w:rPr>
                <w:sz w:val="20"/>
                <w:szCs w:val="20"/>
                <w:color w:val="auto"/>
              </w:rPr>
            </w:pPr>
            <w:r>
              <w:rPr>
                <w:rFonts w:ascii="Arial" w:cs="Arial" w:eastAsia="Arial" w:hAnsi="Arial"/>
                <w:sz w:val="22"/>
                <w:szCs w:val="22"/>
                <w:color w:val="auto"/>
              </w:rPr>
              <w:t>(20)</w:t>
            </w:r>
          </w:p>
        </w:tc>
        <w:tc>
          <w:tcPr>
            <w:tcW w:w="980" w:type="dxa"/>
            <w:vAlign w:val="bottom"/>
          </w:tcPr>
          <w:p>
            <w:pPr>
              <w:spacing w:after="0"/>
              <w:rPr>
                <w:sz w:val="21"/>
                <w:szCs w:val="21"/>
                <w:color w:val="auto"/>
              </w:rPr>
            </w:pPr>
          </w:p>
        </w:tc>
        <w:tc>
          <w:tcPr>
            <w:tcW w:w="120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(20)</w:t>
            </w: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Arial" w:cs="Arial" w:eastAsia="Arial" w:hAnsi="Arial"/>
                <w:sz w:val="22"/>
                <w:szCs w:val="22"/>
                <w:color w:val="auto"/>
              </w:rPr>
              <w:t>Proceeds from sales, settlements</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Arial" w:cs="Arial" w:eastAsia="Arial" w:hAnsi="Arial"/>
                <w:sz w:val="22"/>
                <w:szCs w:val="22"/>
                <w:color w:val="auto"/>
              </w:rPr>
              <w:t>and</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180"/>
              <w:spacing w:after="0" w:line="243" w:lineRule="exact"/>
              <w:rPr>
                <w:sz w:val="20"/>
                <w:szCs w:val="20"/>
                <w:color w:val="auto"/>
              </w:rPr>
            </w:pPr>
            <w:r>
              <w:rPr>
                <w:rFonts w:ascii="Arial" w:cs="Arial" w:eastAsia="Arial" w:hAnsi="Arial"/>
                <w:sz w:val="22"/>
                <w:szCs w:val="22"/>
                <w:color w:val="auto"/>
              </w:rPr>
              <w:t>restructuring of investments and</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180"/>
              <w:spacing w:after="0" w:line="243" w:lineRule="exact"/>
              <w:rPr>
                <w:sz w:val="20"/>
                <w:szCs w:val="20"/>
                <w:color w:val="auto"/>
              </w:rPr>
            </w:pPr>
            <w:r>
              <w:rPr>
                <w:rFonts w:ascii="Arial" w:cs="Arial" w:eastAsia="Arial" w:hAnsi="Arial"/>
                <w:sz w:val="22"/>
                <w:szCs w:val="22"/>
                <w:color w:val="auto"/>
              </w:rPr>
              <w:t>assets held for sale</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4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3,592</w:t>
            </w: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0" w:type="dxa"/>
            <w:vAlign w:val="bottom"/>
            <w:gridSpan w:val="3"/>
          </w:tcPr>
          <w:p>
            <w:pPr>
              <w:jc w:val="right"/>
              <w:ind w:right="80"/>
              <w:spacing w:after="0" w:line="243" w:lineRule="exact"/>
              <w:rPr>
                <w:sz w:val="20"/>
                <w:szCs w:val="20"/>
                <w:color w:val="auto"/>
              </w:rPr>
            </w:pPr>
            <w:r>
              <w:rPr>
                <w:rFonts w:ascii="Arial" w:cs="Arial" w:eastAsia="Arial" w:hAnsi="Arial"/>
                <w:sz w:val="22"/>
                <w:szCs w:val="22"/>
                <w:color w:val="auto"/>
              </w:rPr>
              <w:t>3,592</w:t>
            </w: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Arial" w:cs="Arial" w:eastAsia="Arial" w:hAnsi="Arial"/>
                <w:sz w:val="22"/>
                <w:szCs w:val="22"/>
                <w:color w:val="auto"/>
              </w:rPr>
              <w:t>Purchases of investments</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40" w:type="dxa"/>
            <w:vAlign w:val="bottom"/>
            <w:gridSpan w:val="3"/>
          </w:tcPr>
          <w:p>
            <w:pPr>
              <w:jc w:val="right"/>
              <w:ind w:right="120"/>
              <w:spacing w:after="0" w:line="243" w:lineRule="exact"/>
              <w:rPr>
                <w:sz w:val="20"/>
                <w:szCs w:val="20"/>
                <w:color w:val="auto"/>
              </w:rPr>
            </w:pPr>
            <w:r>
              <w:rPr>
                <w:rFonts w:ascii="Arial" w:cs="Arial" w:eastAsia="Arial" w:hAnsi="Arial"/>
                <w:sz w:val="22"/>
                <w:szCs w:val="22"/>
                <w:color w:val="auto"/>
              </w:rPr>
              <w:t>(130)</w:t>
            </w:r>
          </w:p>
        </w:tc>
        <w:tc>
          <w:tcPr>
            <w:tcW w:w="980" w:type="dxa"/>
            <w:vAlign w:val="bottom"/>
          </w:tcPr>
          <w:p>
            <w:pPr>
              <w:spacing w:after="0"/>
              <w:rPr>
                <w:sz w:val="21"/>
                <w:szCs w:val="21"/>
                <w:color w:val="auto"/>
              </w:rPr>
            </w:pPr>
          </w:p>
        </w:tc>
        <w:tc>
          <w:tcPr>
            <w:tcW w:w="120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(130)</w:t>
            </w: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Arial" w:cs="Arial" w:eastAsia="Arial" w:hAnsi="Arial"/>
                <w:sz w:val="22"/>
                <w:szCs w:val="22"/>
                <w:color w:val="auto"/>
              </w:rPr>
              <w:t>Capital expenditures</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40" w:type="dxa"/>
            <w:vAlign w:val="bottom"/>
            <w:gridSpan w:val="3"/>
          </w:tcPr>
          <w:p>
            <w:pPr>
              <w:jc w:val="right"/>
              <w:ind w:right="120"/>
              <w:spacing w:after="0" w:line="243" w:lineRule="exact"/>
              <w:rPr>
                <w:sz w:val="20"/>
                <w:szCs w:val="20"/>
                <w:color w:val="auto"/>
              </w:rPr>
            </w:pPr>
            <w:r>
              <w:rPr>
                <w:rFonts w:ascii="Arial" w:cs="Arial" w:eastAsia="Arial" w:hAnsi="Arial"/>
                <w:sz w:val="22"/>
                <w:szCs w:val="22"/>
                <w:color w:val="auto"/>
              </w:rPr>
              <w:t>(2,012)</w:t>
            </w:r>
          </w:p>
        </w:tc>
        <w:tc>
          <w:tcPr>
            <w:tcW w:w="980" w:type="dxa"/>
            <w:vAlign w:val="bottom"/>
          </w:tcPr>
          <w:p>
            <w:pPr>
              <w:spacing w:after="0"/>
              <w:rPr>
                <w:sz w:val="21"/>
                <w:szCs w:val="21"/>
                <w:color w:val="auto"/>
              </w:rPr>
            </w:pPr>
          </w:p>
        </w:tc>
        <w:tc>
          <w:tcPr>
            <w:tcW w:w="120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(2,012)</w:t>
            </w: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Arial" w:cs="Arial" w:eastAsia="Arial" w:hAnsi="Arial"/>
                <w:sz w:val="22"/>
                <w:szCs w:val="22"/>
                <w:color w:val="auto"/>
              </w:rPr>
              <w:t>Additions to intangible and other</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Arial" w:cs="Arial" w:eastAsia="Arial" w:hAnsi="Arial"/>
                <w:sz w:val="22"/>
                <w:szCs w:val="22"/>
                <w:color w:val="auto"/>
              </w:rPr>
              <w:t>noncurrent</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3340" w:type="dxa"/>
            <w:vAlign w:val="bottom"/>
          </w:tcPr>
          <w:p>
            <w:pPr>
              <w:ind w:left="180"/>
              <w:spacing w:after="0"/>
              <w:rPr>
                <w:sz w:val="20"/>
                <w:szCs w:val="20"/>
                <w:color w:val="auto"/>
              </w:rPr>
            </w:pPr>
            <w:r>
              <w:rPr>
                <w:rFonts w:ascii="Arial" w:cs="Arial" w:eastAsia="Arial" w:hAnsi="Arial"/>
                <w:sz w:val="22"/>
                <w:szCs w:val="22"/>
                <w:color w:val="auto"/>
              </w:rPr>
              <w:t>assets</w:t>
            </w:r>
          </w:p>
        </w:tc>
        <w:tc>
          <w:tcPr>
            <w:tcW w:w="7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40" w:type="dxa"/>
            <w:vAlign w:val="bottom"/>
            <w:gridSpan w:val="3"/>
          </w:tcPr>
          <w:p>
            <w:pPr>
              <w:jc w:val="right"/>
              <w:ind w:right="120"/>
              <w:spacing w:after="0"/>
              <w:rPr>
                <w:sz w:val="20"/>
                <w:szCs w:val="20"/>
                <w:color w:val="auto"/>
              </w:rPr>
            </w:pPr>
            <w:r>
              <w:rPr>
                <w:rFonts w:ascii="Arial" w:cs="Arial" w:eastAsia="Arial" w:hAnsi="Arial"/>
                <w:sz w:val="22"/>
                <w:szCs w:val="22"/>
                <w:color w:val="auto"/>
              </w:rPr>
              <w:t>(110)</w:t>
            </w:r>
          </w:p>
        </w:tc>
        <w:tc>
          <w:tcPr>
            <w:tcW w:w="980" w:type="dxa"/>
            <w:vAlign w:val="bottom"/>
          </w:tcPr>
          <w:p>
            <w:pPr>
              <w:spacing w:after="0"/>
              <w:rPr>
                <w:sz w:val="23"/>
                <w:szCs w:val="23"/>
                <w:color w:val="auto"/>
              </w:rPr>
            </w:pPr>
          </w:p>
        </w:tc>
        <w:tc>
          <w:tcPr>
            <w:tcW w:w="1200" w:type="dxa"/>
            <w:vAlign w:val="bottom"/>
            <w:gridSpan w:val="3"/>
          </w:tcPr>
          <w:p>
            <w:pPr>
              <w:jc w:val="right"/>
              <w:spacing w:after="0"/>
              <w:rPr>
                <w:sz w:val="20"/>
                <w:szCs w:val="20"/>
                <w:color w:val="auto"/>
              </w:rPr>
            </w:pPr>
            <w:r>
              <w:rPr>
                <w:rFonts w:ascii="Arial" w:cs="Arial" w:eastAsia="Arial" w:hAnsi="Arial"/>
                <w:sz w:val="22"/>
                <w:szCs w:val="22"/>
                <w:color w:val="auto"/>
              </w:rPr>
              <w:t>(110)</w:t>
            </w:r>
          </w:p>
        </w:tc>
        <w:tc>
          <w:tcPr>
            <w:tcW w:w="0" w:type="dxa"/>
            <w:vAlign w:val="bottom"/>
          </w:tcPr>
          <w:p>
            <w:pPr>
              <w:spacing w:after="0"/>
              <w:rPr>
                <w:sz w:val="1"/>
                <w:szCs w:val="1"/>
                <w:color w:val="auto"/>
              </w:rPr>
            </w:pPr>
          </w:p>
        </w:tc>
      </w:tr>
      <w:tr>
        <w:trPr>
          <w:trHeight w:val="98"/>
        </w:trPr>
        <w:tc>
          <w:tcPr>
            <w:tcW w:w="3340" w:type="dxa"/>
            <w:vAlign w:val="bottom"/>
            <w:vMerge w:val="restart"/>
          </w:tcPr>
          <w:p>
            <w:pPr>
              <w:ind w:left="180"/>
              <w:spacing w:after="0"/>
              <w:rPr>
                <w:sz w:val="20"/>
                <w:szCs w:val="20"/>
                <w:color w:val="auto"/>
              </w:rPr>
            </w:pPr>
            <w:r>
              <w:rPr>
                <w:rFonts w:ascii="Arial" w:cs="Arial" w:eastAsia="Arial" w:hAnsi="Arial"/>
                <w:sz w:val="22"/>
                <w:szCs w:val="22"/>
                <w:color w:val="auto"/>
              </w:rPr>
              <w:t>Net cash (used in) provided by</w:t>
            </w:r>
          </w:p>
        </w:tc>
        <w:tc>
          <w:tcPr>
            <w:tcW w:w="7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3"/>
        </w:trPr>
        <w:tc>
          <w:tcPr>
            <w:tcW w:w="334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Arial" w:cs="Arial" w:eastAsia="Arial" w:hAnsi="Arial"/>
                <w:sz w:val="22"/>
                <w:szCs w:val="22"/>
                <w:color w:val="auto"/>
              </w:rPr>
              <w:t>investing</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280"/>
              <w:spacing w:after="0" w:line="243" w:lineRule="exact"/>
              <w:rPr>
                <w:sz w:val="20"/>
                <w:szCs w:val="20"/>
                <w:color w:val="auto"/>
              </w:rPr>
            </w:pPr>
            <w:r>
              <w:rPr>
                <w:rFonts w:ascii="Arial" w:cs="Arial" w:eastAsia="Arial" w:hAnsi="Arial"/>
                <w:sz w:val="22"/>
                <w:szCs w:val="22"/>
                <w:color w:val="auto"/>
              </w:rPr>
              <w:t>activities from continuing</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3340" w:type="dxa"/>
            <w:vAlign w:val="bottom"/>
          </w:tcPr>
          <w:p>
            <w:pPr>
              <w:spacing w:after="0"/>
              <w:rPr>
                <w:sz w:val="20"/>
                <w:szCs w:val="20"/>
                <w:color w:val="auto"/>
              </w:rPr>
            </w:pPr>
            <w:r>
              <w:rPr>
                <w:rFonts w:ascii="Arial" w:cs="Arial" w:eastAsia="Arial" w:hAnsi="Arial"/>
                <w:sz w:val="22"/>
                <w:szCs w:val="22"/>
                <w:color w:val="auto"/>
              </w:rPr>
              <w:t>operations</w:t>
            </w:r>
          </w:p>
        </w:tc>
        <w:tc>
          <w:tcPr>
            <w:tcW w:w="880" w:type="dxa"/>
            <w:vAlign w:val="bottom"/>
            <w:gridSpan w:val="2"/>
          </w:tcPr>
          <w:p>
            <w:pPr>
              <w:jc w:val="right"/>
              <w:ind w:right="120"/>
              <w:spacing w:after="0"/>
              <w:rPr>
                <w:sz w:val="20"/>
                <w:szCs w:val="20"/>
                <w:color w:val="auto"/>
              </w:rPr>
            </w:pPr>
            <w:r>
              <w:rPr>
                <w:rFonts w:ascii="Arial" w:cs="Arial" w:eastAsia="Arial" w:hAnsi="Arial"/>
                <w:sz w:val="22"/>
                <w:szCs w:val="22"/>
                <w:color w:val="auto"/>
              </w:rPr>
              <w:t>(6,141)</w:t>
            </w:r>
          </w:p>
        </w:tc>
        <w:tc>
          <w:tcPr>
            <w:tcW w:w="700" w:type="dxa"/>
            <w:vAlign w:val="bottom"/>
          </w:tcPr>
          <w:p>
            <w:pPr>
              <w:jc w:val="right"/>
              <w:spacing w:after="0"/>
              <w:rPr>
                <w:sz w:val="20"/>
                <w:szCs w:val="20"/>
                <w:color w:val="auto"/>
              </w:rPr>
            </w:pPr>
            <w:r>
              <w:rPr>
                <w:rFonts w:ascii="Arial" w:cs="Arial" w:eastAsia="Arial" w:hAnsi="Arial"/>
                <w:sz w:val="22"/>
                <w:szCs w:val="22"/>
                <w:color w:val="auto"/>
              </w:rPr>
              <w:t>1,140</w:t>
            </w:r>
          </w:p>
        </w:tc>
        <w:tc>
          <w:tcPr>
            <w:tcW w:w="1080" w:type="dxa"/>
            <w:vAlign w:val="bottom"/>
            <w:gridSpan w:val="3"/>
          </w:tcPr>
          <w:p>
            <w:pPr>
              <w:jc w:val="right"/>
              <w:ind w:right="200"/>
              <w:spacing w:after="0"/>
              <w:rPr>
                <w:sz w:val="20"/>
                <w:szCs w:val="20"/>
                <w:color w:val="auto"/>
              </w:rPr>
            </w:pPr>
            <w:r>
              <w:rPr>
                <w:rFonts w:ascii="Arial" w:cs="Arial" w:eastAsia="Arial" w:hAnsi="Arial"/>
                <w:sz w:val="22"/>
                <w:szCs w:val="22"/>
                <w:color w:val="auto"/>
              </w:rPr>
              <w:t>6,352</w:t>
            </w:r>
          </w:p>
        </w:tc>
        <w:tc>
          <w:tcPr>
            <w:tcW w:w="740" w:type="dxa"/>
            <w:vAlign w:val="bottom"/>
          </w:tcPr>
          <w:p>
            <w:pPr>
              <w:jc w:val="right"/>
              <w:spacing w:after="0"/>
              <w:rPr>
                <w:sz w:val="20"/>
                <w:szCs w:val="20"/>
                <w:color w:val="auto"/>
              </w:rPr>
            </w:pPr>
            <w:r>
              <w:rPr>
                <w:rFonts w:ascii="Arial" w:cs="Arial" w:eastAsia="Arial" w:hAnsi="Arial"/>
                <w:sz w:val="22"/>
                <w:szCs w:val="22"/>
                <w:color w:val="auto"/>
              </w:rPr>
              <w:t>2,137</w:t>
            </w:r>
          </w:p>
        </w:tc>
        <w:tc>
          <w:tcPr>
            <w:tcW w:w="1240" w:type="dxa"/>
            <w:vAlign w:val="bottom"/>
            <w:gridSpan w:val="3"/>
          </w:tcPr>
          <w:p>
            <w:pPr>
              <w:jc w:val="right"/>
              <w:ind w:right="120"/>
              <w:spacing w:after="0"/>
              <w:rPr>
                <w:sz w:val="20"/>
                <w:szCs w:val="20"/>
                <w:color w:val="auto"/>
              </w:rPr>
            </w:pPr>
            <w:r>
              <w:rPr>
                <w:rFonts w:ascii="Arial" w:cs="Arial" w:eastAsia="Arial" w:hAnsi="Arial"/>
                <w:sz w:val="22"/>
                <w:szCs w:val="22"/>
                <w:color w:val="auto"/>
              </w:rPr>
              <w:t>(2,190)</w:t>
            </w:r>
          </w:p>
        </w:tc>
        <w:tc>
          <w:tcPr>
            <w:tcW w:w="980" w:type="dxa"/>
            <w:vAlign w:val="bottom"/>
          </w:tcPr>
          <w:p>
            <w:pPr>
              <w:spacing w:after="0"/>
              <w:rPr>
                <w:sz w:val="23"/>
                <w:szCs w:val="23"/>
                <w:color w:val="auto"/>
              </w:rPr>
            </w:pPr>
          </w:p>
        </w:tc>
        <w:tc>
          <w:tcPr>
            <w:tcW w:w="1200" w:type="dxa"/>
            <w:vAlign w:val="bottom"/>
            <w:gridSpan w:val="3"/>
          </w:tcPr>
          <w:p>
            <w:pPr>
              <w:jc w:val="right"/>
              <w:ind w:right="80"/>
              <w:spacing w:after="0"/>
              <w:rPr>
                <w:sz w:val="20"/>
                <w:szCs w:val="20"/>
                <w:color w:val="auto"/>
              </w:rPr>
            </w:pPr>
            <w:r>
              <w:rPr>
                <w:rFonts w:ascii="Arial" w:cs="Arial" w:eastAsia="Arial" w:hAnsi="Arial"/>
                <w:sz w:val="22"/>
                <w:szCs w:val="22"/>
                <w:color w:val="auto"/>
              </w:rPr>
              <w:t>1,298</w:t>
            </w:r>
          </w:p>
        </w:tc>
        <w:tc>
          <w:tcPr>
            <w:tcW w:w="0" w:type="dxa"/>
            <w:vAlign w:val="bottom"/>
          </w:tcPr>
          <w:p>
            <w:pPr>
              <w:spacing w:after="0"/>
              <w:rPr>
                <w:sz w:val="1"/>
                <w:szCs w:val="1"/>
                <w:color w:val="auto"/>
              </w:rPr>
            </w:pPr>
          </w:p>
        </w:tc>
      </w:tr>
      <w:tr>
        <w:trPr>
          <w:trHeight w:val="98"/>
        </w:trPr>
        <w:tc>
          <w:tcPr>
            <w:tcW w:w="3340" w:type="dxa"/>
            <w:vAlign w:val="bottom"/>
            <w:vMerge w:val="restart"/>
          </w:tcPr>
          <w:p>
            <w:pPr>
              <w:spacing w:after="0"/>
              <w:rPr>
                <w:sz w:val="20"/>
                <w:szCs w:val="20"/>
                <w:color w:val="auto"/>
              </w:rPr>
            </w:pPr>
            <w:r>
              <w:rPr>
                <w:rFonts w:ascii="Arial" w:cs="Arial" w:eastAsia="Arial" w:hAnsi="Arial"/>
                <w:sz w:val="22"/>
                <w:szCs w:val="22"/>
                <w:color w:val="auto"/>
              </w:rPr>
              <w:t>INCREASE IN CASH AND CASH</w:t>
            </w:r>
          </w:p>
        </w:tc>
        <w:tc>
          <w:tcPr>
            <w:tcW w:w="7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66"/>
        </w:trPr>
        <w:tc>
          <w:tcPr>
            <w:tcW w:w="334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220"/>
              <w:spacing w:after="0" w:line="243" w:lineRule="exact"/>
              <w:rPr>
                <w:sz w:val="20"/>
                <w:szCs w:val="20"/>
                <w:color w:val="auto"/>
              </w:rPr>
            </w:pPr>
            <w:r>
              <w:rPr>
                <w:rFonts w:ascii="Arial" w:cs="Arial" w:eastAsia="Arial" w:hAnsi="Arial"/>
                <w:sz w:val="22"/>
                <w:szCs w:val="22"/>
                <w:color w:val="auto"/>
              </w:rPr>
              <w:t>EQUIVALENTS</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4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311</w:t>
            </w: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0" w:type="dxa"/>
            <w:vAlign w:val="bottom"/>
            <w:gridSpan w:val="3"/>
          </w:tcPr>
          <w:p>
            <w:pPr>
              <w:jc w:val="right"/>
              <w:ind w:right="80"/>
              <w:spacing w:after="0" w:line="243" w:lineRule="exact"/>
              <w:rPr>
                <w:sz w:val="20"/>
                <w:szCs w:val="20"/>
                <w:color w:val="auto"/>
              </w:rPr>
            </w:pPr>
            <w:r>
              <w:rPr>
                <w:rFonts w:ascii="Arial" w:cs="Arial" w:eastAsia="Arial" w:hAnsi="Arial"/>
                <w:sz w:val="22"/>
                <w:szCs w:val="22"/>
                <w:color w:val="auto"/>
              </w:rPr>
              <w:t>311</w:t>
            </w: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Arial" w:cs="Arial" w:eastAsia="Arial" w:hAnsi="Arial"/>
                <w:sz w:val="22"/>
                <w:szCs w:val="22"/>
                <w:color w:val="auto"/>
              </w:rPr>
              <w:t>CASH AND CASH</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Arial" w:cs="Arial" w:eastAsia="Arial" w:hAnsi="Arial"/>
                <w:sz w:val="22"/>
                <w:szCs w:val="22"/>
                <w:color w:val="auto"/>
              </w:rPr>
              <w:t>EQUIVALENTS,</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3340" w:type="dxa"/>
            <w:vAlign w:val="bottom"/>
          </w:tcPr>
          <w:p>
            <w:pPr>
              <w:ind w:left="220"/>
              <w:spacing w:after="0"/>
              <w:rPr>
                <w:sz w:val="20"/>
                <w:szCs w:val="20"/>
                <w:color w:val="auto"/>
              </w:rPr>
            </w:pPr>
            <w:r>
              <w:rPr>
                <w:rFonts w:ascii="Arial" w:cs="Arial" w:eastAsia="Arial" w:hAnsi="Arial"/>
                <w:sz w:val="22"/>
                <w:szCs w:val="22"/>
                <w:color w:val="auto"/>
              </w:rPr>
              <w:t>beginning of period</w:t>
            </w:r>
          </w:p>
        </w:tc>
        <w:tc>
          <w:tcPr>
            <w:tcW w:w="7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40" w:type="dxa"/>
            <w:vAlign w:val="bottom"/>
            <w:gridSpan w:val="2"/>
          </w:tcPr>
          <w:p>
            <w:pPr>
              <w:jc w:val="right"/>
              <w:spacing w:after="0"/>
              <w:rPr>
                <w:sz w:val="20"/>
                <w:szCs w:val="20"/>
                <w:color w:val="auto"/>
              </w:rPr>
            </w:pPr>
            <w:r>
              <w:rPr>
                <w:rFonts w:ascii="Arial" w:cs="Arial" w:eastAsia="Arial" w:hAnsi="Arial"/>
                <w:sz w:val="22"/>
                <w:szCs w:val="22"/>
                <w:color w:val="auto"/>
              </w:rPr>
              <w:t>505</w:t>
            </w:r>
          </w:p>
        </w:tc>
        <w:tc>
          <w:tcPr>
            <w:tcW w:w="2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0" w:type="dxa"/>
            <w:vAlign w:val="bottom"/>
            <w:gridSpan w:val="3"/>
          </w:tcPr>
          <w:p>
            <w:pPr>
              <w:jc w:val="right"/>
              <w:ind w:right="80"/>
              <w:spacing w:after="0"/>
              <w:rPr>
                <w:sz w:val="20"/>
                <w:szCs w:val="20"/>
                <w:color w:val="auto"/>
              </w:rPr>
            </w:pPr>
            <w:r>
              <w:rPr>
                <w:rFonts w:ascii="Arial" w:cs="Arial" w:eastAsia="Arial" w:hAnsi="Arial"/>
                <w:sz w:val="22"/>
                <w:szCs w:val="22"/>
                <w:color w:val="auto"/>
              </w:rPr>
              <w:t>505</w:t>
            </w:r>
          </w:p>
        </w:tc>
        <w:tc>
          <w:tcPr>
            <w:tcW w:w="0" w:type="dxa"/>
            <w:vAlign w:val="bottom"/>
          </w:tcPr>
          <w:p>
            <w:pPr>
              <w:spacing w:after="0"/>
              <w:rPr>
                <w:sz w:val="1"/>
                <w:szCs w:val="1"/>
                <w:color w:val="auto"/>
              </w:rPr>
            </w:pPr>
          </w:p>
        </w:tc>
      </w:tr>
      <w:tr>
        <w:trPr>
          <w:trHeight w:val="98"/>
        </w:trPr>
        <w:tc>
          <w:tcPr>
            <w:tcW w:w="3340" w:type="dxa"/>
            <w:vAlign w:val="bottom"/>
            <w:vMerge w:val="restart"/>
          </w:tcPr>
          <w:p>
            <w:pPr>
              <w:spacing w:after="0"/>
              <w:rPr>
                <w:sz w:val="20"/>
                <w:szCs w:val="20"/>
                <w:color w:val="auto"/>
              </w:rPr>
            </w:pPr>
            <w:r>
              <w:rPr>
                <w:rFonts w:ascii="Arial" w:cs="Arial" w:eastAsia="Arial" w:hAnsi="Arial"/>
                <w:sz w:val="22"/>
                <w:szCs w:val="22"/>
                <w:color w:val="auto"/>
              </w:rPr>
              <w:t>CASH AND CASH</w:t>
            </w:r>
          </w:p>
        </w:tc>
        <w:tc>
          <w:tcPr>
            <w:tcW w:w="7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66"/>
        </w:trPr>
        <w:tc>
          <w:tcPr>
            <w:tcW w:w="334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Arial" w:cs="Arial" w:eastAsia="Arial" w:hAnsi="Arial"/>
                <w:sz w:val="22"/>
                <w:szCs w:val="22"/>
                <w:color w:val="auto"/>
              </w:rPr>
              <w:t>EQUIVALENTS,</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3340" w:type="dxa"/>
            <w:vAlign w:val="bottom"/>
          </w:tcPr>
          <w:p>
            <w:pPr>
              <w:ind w:left="220"/>
              <w:spacing w:after="0"/>
              <w:rPr>
                <w:sz w:val="20"/>
                <w:szCs w:val="20"/>
                <w:color w:val="auto"/>
              </w:rPr>
            </w:pPr>
            <w:r>
              <w:rPr>
                <w:rFonts w:ascii="Arial" w:cs="Arial" w:eastAsia="Arial" w:hAnsi="Arial"/>
                <w:sz w:val="22"/>
                <w:szCs w:val="22"/>
                <w:color w:val="auto"/>
              </w:rPr>
              <w:t>end of period</w:t>
            </w:r>
          </w:p>
        </w:tc>
        <w:tc>
          <w:tcPr>
            <w:tcW w:w="700" w:type="dxa"/>
            <w:vAlign w:val="bottom"/>
          </w:tcPr>
          <w:p>
            <w:pPr>
              <w:jc w:val="right"/>
              <w:ind w:right="192"/>
              <w:spacing w:after="0"/>
              <w:rPr>
                <w:sz w:val="20"/>
                <w:szCs w:val="20"/>
                <w:color w:val="auto"/>
              </w:rPr>
            </w:pPr>
            <w:r>
              <w:rPr>
                <w:rFonts w:ascii="Arial" w:cs="Arial" w:eastAsia="Arial" w:hAnsi="Arial"/>
                <w:sz w:val="22"/>
                <w:szCs w:val="22"/>
                <w:color w:val="auto"/>
              </w:rPr>
              <w:t>$</w:t>
            </w:r>
          </w:p>
        </w:tc>
        <w:tc>
          <w:tcPr>
            <w:tcW w:w="180" w:type="dxa"/>
            <w:vAlign w:val="bottom"/>
          </w:tcPr>
          <w:p>
            <w:pPr>
              <w:spacing w:after="0"/>
              <w:rPr>
                <w:sz w:val="23"/>
                <w:szCs w:val="23"/>
                <w:color w:val="auto"/>
              </w:rPr>
            </w:pPr>
          </w:p>
        </w:tc>
        <w:tc>
          <w:tcPr>
            <w:tcW w:w="700" w:type="dxa"/>
            <w:vAlign w:val="bottom"/>
          </w:tcPr>
          <w:p>
            <w:pPr>
              <w:jc w:val="right"/>
              <w:ind w:right="192"/>
              <w:spacing w:after="0"/>
              <w:rPr>
                <w:sz w:val="20"/>
                <w:szCs w:val="20"/>
                <w:color w:val="auto"/>
              </w:rPr>
            </w:pPr>
            <w:r>
              <w:rPr>
                <w:rFonts w:ascii="Arial" w:cs="Arial" w:eastAsia="Arial" w:hAnsi="Arial"/>
                <w:sz w:val="22"/>
                <w:szCs w:val="22"/>
                <w:color w:val="auto"/>
              </w:rPr>
              <w:t>$</w:t>
            </w:r>
          </w:p>
        </w:tc>
        <w:tc>
          <w:tcPr>
            <w:tcW w:w="880" w:type="dxa"/>
            <w:vAlign w:val="bottom"/>
            <w:gridSpan w:val="2"/>
          </w:tcPr>
          <w:p>
            <w:pPr>
              <w:jc w:val="right"/>
              <w:ind w:right="300"/>
              <w:spacing w:after="0"/>
              <w:rPr>
                <w:sz w:val="20"/>
                <w:szCs w:val="20"/>
                <w:color w:val="auto"/>
              </w:rPr>
            </w:pPr>
            <w:r>
              <w:rPr>
                <w:rFonts w:ascii="Arial" w:cs="Arial" w:eastAsia="Arial" w:hAnsi="Arial"/>
                <w:sz w:val="22"/>
                <w:szCs w:val="22"/>
                <w:color w:val="auto"/>
              </w:rPr>
              <w:t>$</w:t>
            </w:r>
          </w:p>
        </w:tc>
        <w:tc>
          <w:tcPr>
            <w:tcW w:w="200" w:type="dxa"/>
            <w:vAlign w:val="bottom"/>
          </w:tcPr>
          <w:p>
            <w:pPr>
              <w:spacing w:after="0"/>
              <w:rPr>
                <w:sz w:val="23"/>
                <w:szCs w:val="23"/>
                <w:color w:val="auto"/>
              </w:rPr>
            </w:pPr>
          </w:p>
        </w:tc>
        <w:tc>
          <w:tcPr>
            <w:tcW w:w="740" w:type="dxa"/>
            <w:vAlign w:val="bottom"/>
          </w:tcPr>
          <w:p>
            <w:pPr>
              <w:jc w:val="right"/>
              <w:ind w:right="212"/>
              <w:spacing w:after="0"/>
              <w:rPr>
                <w:sz w:val="20"/>
                <w:szCs w:val="20"/>
                <w:color w:val="auto"/>
              </w:rPr>
            </w:pPr>
            <w:r>
              <w:rPr>
                <w:rFonts w:ascii="Arial" w:cs="Arial" w:eastAsia="Arial" w:hAnsi="Arial"/>
                <w:sz w:val="22"/>
                <w:szCs w:val="22"/>
                <w:color w:val="auto"/>
              </w:rPr>
              <w:t>$</w:t>
            </w:r>
          </w:p>
        </w:tc>
        <w:tc>
          <w:tcPr>
            <w:tcW w:w="1040" w:type="dxa"/>
            <w:vAlign w:val="bottom"/>
            <w:gridSpan w:val="2"/>
          </w:tcPr>
          <w:p>
            <w:pPr>
              <w:jc w:val="right"/>
              <w:spacing w:after="0"/>
              <w:rPr>
                <w:sz w:val="20"/>
                <w:szCs w:val="20"/>
                <w:color w:val="auto"/>
              </w:rPr>
            </w:pPr>
            <w:r>
              <w:rPr>
                <w:rFonts w:ascii="Arial" w:cs="Arial" w:eastAsia="Arial" w:hAnsi="Arial"/>
                <w:sz w:val="22"/>
                <w:szCs w:val="22"/>
                <w:color w:val="auto"/>
              </w:rPr>
              <w:t>$816</w:t>
            </w:r>
          </w:p>
        </w:tc>
        <w:tc>
          <w:tcPr>
            <w:tcW w:w="200" w:type="dxa"/>
            <w:vAlign w:val="bottom"/>
          </w:tcPr>
          <w:p>
            <w:pPr>
              <w:spacing w:after="0"/>
              <w:rPr>
                <w:sz w:val="23"/>
                <w:szCs w:val="23"/>
                <w:color w:val="auto"/>
              </w:rPr>
            </w:pPr>
          </w:p>
        </w:tc>
        <w:tc>
          <w:tcPr>
            <w:tcW w:w="980" w:type="dxa"/>
            <w:vAlign w:val="bottom"/>
          </w:tcPr>
          <w:p>
            <w:pPr>
              <w:jc w:val="right"/>
              <w:ind w:right="332"/>
              <w:spacing w:after="0"/>
              <w:rPr>
                <w:sz w:val="20"/>
                <w:szCs w:val="20"/>
                <w:color w:val="auto"/>
              </w:rPr>
            </w:pPr>
            <w:r>
              <w:rPr>
                <w:rFonts w:ascii="Arial" w:cs="Arial" w:eastAsia="Arial" w:hAnsi="Arial"/>
                <w:sz w:val="22"/>
                <w:szCs w:val="22"/>
                <w:color w:val="auto"/>
              </w:rPr>
              <w:t>$</w:t>
            </w:r>
          </w:p>
        </w:tc>
        <w:tc>
          <w:tcPr>
            <w:tcW w:w="1200" w:type="dxa"/>
            <w:vAlign w:val="bottom"/>
            <w:gridSpan w:val="3"/>
          </w:tcPr>
          <w:p>
            <w:pPr>
              <w:jc w:val="right"/>
              <w:ind w:right="80"/>
              <w:spacing w:after="0"/>
              <w:rPr>
                <w:sz w:val="20"/>
                <w:szCs w:val="20"/>
                <w:color w:val="auto"/>
              </w:rPr>
            </w:pPr>
            <w:r>
              <w:rPr>
                <w:rFonts w:ascii="Arial" w:cs="Arial" w:eastAsia="Arial" w:hAnsi="Arial"/>
                <w:sz w:val="22"/>
                <w:szCs w:val="22"/>
                <w:color w:val="auto"/>
              </w:rPr>
              <w:t>$816</w:t>
            </w:r>
          </w:p>
        </w:tc>
        <w:tc>
          <w:tcPr>
            <w:tcW w:w="0" w:type="dxa"/>
            <w:vAlign w:val="bottom"/>
          </w:tcPr>
          <w:p>
            <w:pPr>
              <w:spacing w:after="0"/>
              <w:rPr>
                <w:sz w:val="1"/>
                <w:szCs w:val="1"/>
                <w:color w:val="auto"/>
              </w:rPr>
            </w:pPr>
          </w:p>
        </w:tc>
      </w:tr>
      <w:tr>
        <w:trPr>
          <w:trHeight w:val="108"/>
        </w:trPr>
        <w:tc>
          <w:tcPr>
            <w:tcW w:w="334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74"/>
        </w:trPr>
        <w:tc>
          <w:tcPr>
            <w:tcW w:w="3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80" w:type="dxa"/>
            <w:vAlign w:val="bottom"/>
            <w:gridSpan w:val="3"/>
          </w:tcPr>
          <w:p>
            <w:pPr>
              <w:jc w:val="right"/>
              <w:ind w:right="180"/>
              <w:spacing w:after="0"/>
              <w:rPr>
                <w:sz w:val="20"/>
                <w:szCs w:val="20"/>
                <w:color w:val="auto"/>
              </w:rPr>
            </w:pPr>
            <w:r>
              <w:rPr>
                <w:rFonts w:ascii="Arial" w:cs="Arial" w:eastAsia="Arial" w:hAnsi="Arial"/>
                <w:sz w:val="22"/>
                <w:szCs w:val="22"/>
                <w:color w:val="auto"/>
              </w:rPr>
              <w:t>27</w:t>
            </w: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2550160</wp:posOffset>
            </wp:positionH>
            <wp:positionV relativeFrom="paragraph">
              <wp:posOffset>-378460</wp:posOffset>
            </wp:positionV>
            <wp:extent cx="1270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2112645</wp:posOffset>
            </wp:positionH>
            <wp:positionV relativeFrom="paragraph">
              <wp:posOffset>-378460</wp:posOffset>
            </wp:positionV>
            <wp:extent cx="1270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3107690</wp:posOffset>
            </wp:positionH>
            <wp:positionV relativeFrom="paragraph">
              <wp:posOffset>-378460</wp:posOffset>
            </wp:positionV>
            <wp:extent cx="1270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2678430</wp:posOffset>
            </wp:positionH>
            <wp:positionV relativeFrom="paragraph">
              <wp:posOffset>-378460</wp:posOffset>
            </wp:positionV>
            <wp:extent cx="1270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3673475</wp:posOffset>
            </wp:positionH>
            <wp:positionV relativeFrom="paragraph">
              <wp:posOffset>-378460</wp:posOffset>
            </wp:positionV>
            <wp:extent cx="1270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3235960</wp:posOffset>
            </wp:positionH>
            <wp:positionV relativeFrom="paragraph">
              <wp:posOffset>-378460</wp:posOffset>
            </wp:positionV>
            <wp:extent cx="1270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-378460</wp:posOffset>
            </wp:positionV>
            <wp:extent cx="1270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-378460</wp:posOffset>
            </wp:positionV>
            <wp:extent cx="1270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-378460</wp:posOffset>
            </wp:positionV>
            <wp:extent cx="1270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4393565</wp:posOffset>
            </wp:positionH>
            <wp:positionV relativeFrom="paragraph">
              <wp:posOffset>-378460</wp:posOffset>
            </wp:positionV>
            <wp:extent cx="1270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-378460</wp:posOffset>
            </wp:positionV>
            <wp:extent cx="1270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-378460</wp:posOffset>
            </wp:positionV>
            <wp:extent cx="1270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-378460</wp:posOffset>
            </wp:positionV>
            <wp:extent cx="1270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-378460</wp:posOffset>
            </wp:positionV>
            <wp:extent cx="1270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130810</wp:posOffset>
            </wp:positionV>
            <wp:extent cx="7263765"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94"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COMCAST CORPORATION AND SUBSIDIARIES</w:t>
      </w:r>
    </w:p>
    <w:p>
      <w:pPr>
        <w:jc w:val="center"/>
        <w:ind w:right="20"/>
        <w:spacing w:after="0" w:line="238" w:lineRule="auto"/>
        <w:rPr>
          <w:sz w:val="20"/>
          <w:szCs w:val="20"/>
          <w:color w:val="auto"/>
        </w:rPr>
      </w:pPr>
      <w:r>
        <w:rPr>
          <w:rFonts w:ascii="Arial" w:cs="Arial" w:eastAsia="Arial" w:hAnsi="Arial"/>
          <w:sz w:val="22"/>
          <w:szCs w:val="22"/>
          <w:color w:val="auto"/>
        </w:rPr>
        <w:t>FORM 10-Q</w:t>
      </w:r>
    </w:p>
    <w:p>
      <w:pPr>
        <w:jc w:val="center"/>
        <w:ind w:right="-19"/>
        <w:spacing w:after="0"/>
        <w:rPr>
          <w:sz w:val="20"/>
          <w:szCs w:val="20"/>
          <w:color w:val="auto"/>
        </w:rPr>
      </w:pPr>
      <w:r>
        <w:rPr>
          <w:rFonts w:ascii="Arial" w:cs="Arial" w:eastAsia="Arial" w:hAnsi="Arial"/>
          <w:sz w:val="22"/>
          <w:szCs w:val="22"/>
          <w:color w:val="auto"/>
        </w:rPr>
        <w:t>QUARTER ENDED JUNE 30, 2004</w:t>
      </w:r>
    </w:p>
    <w:p>
      <w:pPr>
        <w:spacing w:after="0" w:line="188" w:lineRule="exact"/>
        <w:rPr>
          <w:sz w:val="20"/>
          <w:szCs w:val="20"/>
          <w:color w:val="auto"/>
        </w:rPr>
      </w:pPr>
    </w:p>
    <w:p>
      <w:pPr>
        <w:ind w:left="920" w:right="1180" w:hanging="917"/>
        <w:spacing w:after="0" w:line="251" w:lineRule="auto"/>
        <w:tabs>
          <w:tab w:leader="none" w:pos="900" w:val="left"/>
        </w:tabs>
        <w:rPr>
          <w:sz w:val="20"/>
          <w:szCs w:val="20"/>
          <w:color w:val="auto"/>
        </w:rPr>
      </w:pPr>
      <w:r>
        <w:rPr>
          <w:rFonts w:ascii="Arial" w:cs="Arial" w:eastAsia="Arial" w:hAnsi="Arial"/>
          <w:sz w:val="22"/>
          <w:szCs w:val="22"/>
          <w:color w:val="auto"/>
        </w:rPr>
        <w:t>ITEM 2.</w:t>
        <w:tab/>
        <w:t>MANAGEMENT'S DISCUSSION AND ANALYSIS OF FINANCIAL CONDITION AND RESULTS OF OPERATIONS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Overview</w:t>
      </w:r>
    </w:p>
    <w:p>
      <w:pPr>
        <w:spacing w:after="0" w:line="212" w:lineRule="exact"/>
        <w:rPr>
          <w:sz w:val="20"/>
          <w:szCs w:val="20"/>
          <w:color w:val="auto"/>
        </w:rPr>
      </w:pPr>
    </w:p>
    <w:p>
      <w:pPr>
        <w:ind w:right="80" w:firstLine="428"/>
        <w:spacing w:after="0" w:line="234" w:lineRule="auto"/>
        <w:rPr>
          <w:sz w:val="20"/>
          <w:szCs w:val="20"/>
          <w:color w:val="auto"/>
        </w:rPr>
      </w:pPr>
      <w:r>
        <w:rPr>
          <w:rFonts w:ascii="Arial" w:cs="Arial" w:eastAsia="Arial" w:hAnsi="Arial"/>
          <w:sz w:val="22"/>
          <w:szCs w:val="22"/>
          <w:color w:val="auto"/>
        </w:rPr>
        <w:t>We are principally involved in the management and operation of broadband communications networks (our cable segment) and in the management of programming content over cable and satellite television networks (our content segment). During the six months ended June 30, 2004, we received over 95% of our revenue from our cable segment, primarily through monthly subscriptions to our video, high-speed Internet and phone services, as well as from advertising. Subscribers typically pay us monthly, based on rates and related charges that vary according to their chosen level of service and the type of equipment they use. Revenue from our content segment is derived from the sale of advertising time and affiliation agreements with cable and satellite television companies.</w:t>
      </w:r>
    </w:p>
    <w:p>
      <w:pPr>
        <w:spacing w:after="0" w:line="191" w:lineRule="exact"/>
        <w:rPr>
          <w:sz w:val="20"/>
          <w:szCs w:val="20"/>
          <w:color w:val="auto"/>
        </w:rPr>
      </w:pPr>
    </w:p>
    <w:p>
      <w:pPr>
        <w:ind w:left="440"/>
        <w:spacing w:after="0"/>
        <w:rPr>
          <w:sz w:val="20"/>
          <w:szCs w:val="20"/>
          <w:color w:val="auto"/>
        </w:rPr>
      </w:pPr>
      <w:r>
        <w:rPr>
          <w:rFonts w:ascii="Arial" w:cs="Arial" w:eastAsia="Arial" w:hAnsi="Arial"/>
          <w:sz w:val="22"/>
          <w:szCs w:val="22"/>
          <w:color w:val="auto"/>
        </w:rPr>
        <w:t>Highlights for the six months ended June 30, 2004 included the following:</w:t>
      </w:r>
    </w:p>
    <w:p>
      <w:pPr>
        <w:spacing w:after="0" w:line="206" w:lineRule="exact"/>
        <w:rPr>
          <w:sz w:val="20"/>
          <w:szCs w:val="20"/>
          <w:color w:val="auto"/>
        </w:rPr>
      </w:pPr>
    </w:p>
    <w:p>
      <w:pPr>
        <w:ind w:left="700" w:right="260" w:hanging="416"/>
        <w:spacing w:after="0" w:line="239" w:lineRule="auto"/>
        <w:tabs>
          <w:tab w:leader="none" w:pos="700" w:val="left"/>
        </w:tabs>
        <w:numPr>
          <w:ilvl w:val="0"/>
          <w:numId w:val="14"/>
        </w:numPr>
        <w:rPr>
          <w:rFonts w:ascii="Arial" w:cs="Arial" w:eastAsia="Arial" w:hAnsi="Arial"/>
          <w:sz w:val="22"/>
          <w:szCs w:val="22"/>
          <w:color w:val="auto"/>
        </w:rPr>
      </w:pPr>
      <w:r>
        <w:rPr>
          <w:rFonts w:ascii="Arial" w:cs="Arial" w:eastAsia="Arial" w:hAnsi="Arial"/>
          <w:sz w:val="22"/>
          <w:szCs w:val="22"/>
          <w:color w:val="auto"/>
        </w:rPr>
        <w:t>Revenue growth of 10.1% in our cable segment compared to the same period in 2003, driven by continued growth in our new services, such as digital cable and high-speed Internet;</w:t>
      </w:r>
    </w:p>
    <w:p>
      <w:pPr>
        <w:ind w:left="700" w:hanging="416"/>
        <w:spacing w:after="0" w:line="267" w:lineRule="auto"/>
        <w:tabs>
          <w:tab w:leader="none" w:pos="700" w:val="left"/>
        </w:tabs>
        <w:numPr>
          <w:ilvl w:val="0"/>
          <w:numId w:val="14"/>
        </w:numPr>
        <w:rPr>
          <w:rFonts w:ascii="Arial" w:cs="Arial" w:eastAsia="Arial" w:hAnsi="Arial"/>
          <w:sz w:val="19"/>
          <w:szCs w:val="19"/>
          <w:color w:val="auto"/>
        </w:rPr>
      </w:pPr>
      <w:r>
        <w:rPr>
          <w:rFonts w:ascii="Arial" w:cs="Arial" w:eastAsia="Arial" w:hAnsi="Arial"/>
          <w:sz w:val="19"/>
          <w:szCs w:val="19"/>
          <w:color w:val="auto"/>
        </w:rPr>
        <w:t>Operating income before depreciation and amortization growth of 20.6% in our cable segment compared to the same period in 2003, resulting from our revenue growth and efficiencies achieved through integration of the Broadband operations;</w:t>
      </w:r>
    </w:p>
    <w:p>
      <w:pPr>
        <w:ind w:left="700" w:right="360" w:hanging="416"/>
        <w:spacing w:after="0" w:line="230" w:lineRule="auto"/>
        <w:tabs>
          <w:tab w:leader="none" w:pos="700" w:val="left"/>
        </w:tabs>
        <w:numPr>
          <w:ilvl w:val="0"/>
          <w:numId w:val="14"/>
        </w:numPr>
        <w:rPr>
          <w:rFonts w:ascii="Arial" w:cs="Arial" w:eastAsia="Arial" w:hAnsi="Arial"/>
          <w:sz w:val="22"/>
          <w:szCs w:val="22"/>
          <w:color w:val="auto"/>
        </w:rPr>
      </w:pPr>
      <w:r>
        <w:rPr>
          <w:rFonts w:ascii="Arial" w:cs="Arial" w:eastAsia="Arial" w:hAnsi="Arial"/>
          <w:sz w:val="22"/>
          <w:szCs w:val="22"/>
          <w:color w:val="auto"/>
        </w:rPr>
        <w:t>Refinancing three of our previously existing revolving credit facilities with a new $4.5 billion, five-year revolving bank credit facility; and</w:t>
      </w:r>
    </w:p>
    <w:p>
      <w:pPr>
        <w:spacing w:after="0" w:line="1" w:lineRule="exact"/>
        <w:rPr>
          <w:rFonts w:ascii="Arial" w:cs="Arial" w:eastAsia="Arial" w:hAnsi="Arial"/>
          <w:sz w:val="22"/>
          <w:szCs w:val="22"/>
          <w:color w:val="auto"/>
        </w:rPr>
      </w:pPr>
    </w:p>
    <w:p>
      <w:pPr>
        <w:ind w:left="700" w:right="220" w:hanging="416"/>
        <w:spacing w:after="0" w:line="237" w:lineRule="auto"/>
        <w:tabs>
          <w:tab w:leader="none" w:pos="700" w:val="left"/>
        </w:tabs>
        <w:numPr>
          <w:ilvl w:val="0"/>
          <w:numId w:val="14"/>
        </w:numPr>
        <w:rPr>
          <w:rFonts w:ascii="Arial" w:cs="Arial" w:eastAsia="Arial" w:hAnsi="Arial"/>
          <w:sz w:val="22"/>
          <w:szCs w:val="22"/>
          <w:color w:val="auto"/>
        </w:rPr>
      </w:pPr>
      <w:r>
        <w:rPr>
          <w:rFonts w:ascii="Arial" w:cs="Arial" w:eastAsia="Arial" w:hAnsi="Arial"/>
          <w:sz w:val="22"/>
          <w:szCs w:val="22"/>
          <w:color w:val="auto"/>
        </w:rPr>
        <w:t>Repurchases of approximately 18.5 million shares of our Class A Special common stock for aggregate consideration on a trade date basis of $523 million pursuant to our Board authorized repurchase program.</w:t>
      </w:r>
    </w:p>
    <w:p>
      <w:pPr>
        <w:sectPr>
          <w:pgSz w:w="11900" w:h="16838" w:orient="portrait"/>
          <w:cols w:equalWidth="0" w:num="1">
            <w:col w:w="11400"/>
          </w:cols>
          <w:pgMar w:left="240" w:top="473" w:right="259" w:bottom="201" w:gutter="0" w:footer="0" w:header="0"/>
        </w:sectPr>
      </w:pPr>
    </w:p>
    <w:bookmarkStart w:id="27" w:name="page28"/>
    <w:bookmarkEnd w:id="27"/>
    <w:p>
      <w:pPr>
        <w:spacing w:after="0" w:line="15" w:lineRule="exact"/>
        <w:rPr>
          <w:sz w:val="20"/>
          <w:szCs w:val="20"/>
          <w:color w:val="auto"/>
        </w:rPr>
      </w:pPr>
    </w:p>
    <w:p>
      <w:pPr>
        <w:ind w:right="200" w:firstLine="428"/>
        <w:spacing w:after="0" w:line="251" w:lineRule="auto"/>
        <w:rPr>
          <w:sz w:val="20"/>
          <w:szCs w:val="20"/>
          <w:color w:val="auto"/>
        </w:rPr>
      </w:pPr>
      <w:r>
        <w:rPr>
          <w:rFonts w:ascii="Arial" w:cs="Arial" w:eastAsia="Arial" w:hAnsi="Arial"/>
          <w:sz w:val="22"/>
          <w:szCs w:val="22"/>
          <w:color w:val="auto"/>
        </w:rPr>
        <w:t>The following provides the details of these highlights and insights into our financial statements, including discussions of our results of operations and our liquidity and capital resources.</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Business Developments</w:t>
      </w:r>
    </w:p>
    <w:p>
      <w:pPr>
        <w:spacing w:after="0" w:line="212" w:lineRule="exact"/>
        <w:rPr>
          <w:sz w:val="20"/>
          <w:szCs w:val="20"/>
          <w:color w:val="auto"/>
        </w:rPr>
      </w:pPr>
    </w:p>
    <w:p>
      <w:pPr>
        <w:ind w:firstLine="432"/>
        <w:spacing w:after="0" w:line="234" w:lineRule="auto"/>
        <w:rPr>
          <w:sz w:val="20"/>
          <w:szCs w:val="20"/>
          <w:color w:val="auto"/>
        </w:rPr>
      </w:pPr>
      <w:r>
        <w:rPr>
          <w:rFonts w:ascii="Arial" w:cs="Arial" w:eastAsia="Arial" w:hAnsi="Arial"/>
          <w:sz w:val="22"/>
          <w:szCs w:val="22"/>
          <w:color w:val="auto"/>
        </w:rPr>
        <w:t>On July 28, 2004, we and Liberty Media Corporation (“Liberty”) completed our previously announced agreement in which Liberty redeemed 120.3 million shares of its Series A common stock we held in exchange for 100% of the stock of a Liberty subsidiary that held Liberty’s 10% ownership interest in E! Entertainment Television, Inc., its 100% ownership interest in International Channel Networks, all of Liberty’s rights, benefits and obligations under a TCI Music contribution agreement, and approximately $545 million of cash (the “Liberty transaction”). The Liberty transaction also resolved all litigation pending between us and Liberty regarding the TCI Music contribution agreement, which we assumed as part of our acquisition of Broadband in November 2002.</w:t>
      </w:r>
    </w:p>
    <w:p>
      <w:pPr>
        <w:spacing w:after="0" w:line="191" w:lineRule="exact"/>
        <w:rPr>
          <w:sz w:val="20"/>
          <w:szCs w:val="20"/>
          <w:color w:val="auto"/>
        </w:rPr>
      </w:pPr>
    </w:p>
    <w:p>
      <w:pPr>
        <w:ind w:left="440"/>
        <w:spacing w:after="0"/>
        <w:rPr>
          <w:rFonts w:ascii="Arial" w:cs="Arial" w:eastAsia="Arial" w:hAnsi="Arial"/>
          <w:sz w:val="19"/>
          <w:szCs w:val="19"/>
          <w:color w:val="auto"/>
        </w:rPr>
      </w:pPr>
      <w:r>
        <w:rPr>
          <w:rFonts w:ascii="Arial" w:cs="Arial" w:eastAsia="Arial" w:hAnsi="Arial"/>
          <w:sz w:val="19"/>
          <w:szCs w:val="19"/>
          <w:color w:val="auto"/>
        </w:rPr>
        <w:t xml:space="preserve">Refer to </w:t>
      </w:r>
      <w:hyperlink w:anchor="page7">
        <w:r>
          <w:rPr>
            <w:rFonts w:ascii="Arial" w:cs="Arial" w:eastAsia="Arial" w:hAnsi="Arial"/>
            <w:sz w:val="19"/>
            <w:szCs w:val="19"/>
            <w:u w:val="single" w:color="auto"/>
            <w:color w:val="0000EE"/>
          </w:rPr>
          <w:t>Note 4</w:t>
        </w:r>
        <w:r>
          <w:rPr>
            <w:rFonts w:ascii="Arial" w:cs="Arial" w:eastAsia="Arial" w:hAnsi="Arial"/>
            <w:sz w:val="19"/>
            <w:szCs w:val="19"/>
            <w:u w:val="single" w:color="auto"/>
            <w:color w:val="auto"/>
          </w:rPr>
          <w:t xml:space="preserve"> </w:t>
        </w:r>
      </w:hyperlink>
      <w:r>
        <w:rPr>
          <w:rFonts w:ascii="Arial" w:cs="Arial" w:eastAsia="Arial" w:hAnsi="Arial"/>
          <w:sz w:val="19"/>
          <w:szCs w:val="19"/>
          <w:color w:val="auto"/>
        </w:rPr>
        <w:t>to our financial statements included in Item 1 for a discussion of our acquisitions and other significant events.</w:t>
      </w:r>
    </w:p>
    <w:p>
      <w:pPr>
        <w:spacing w:after="0" w:line="2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Results of Continuing Operations</w:t>
      </w:r>
    </w:p>
    <w:p>
      <w:pPr>
        <w:spacing w:after="0" w:line="212" w:lineRule="exact"/>
        <w:rPr>
          <w:sz w:val="20"/>
          <w:szCs w:val="20"/>
          <w:color w:val="auto"/>
        </w:rPr>
      </w:pPr>
    </w:p>
    <w:p>
      <w:pPr>
        <w:ind w:left="440"/>
        <w:spacing w:after="0"/>
        <w:rPr>
          <w:sz w:val="20"/>
          <w:szCs w:val="20"/>
          <w:color w:val="auto"/>
        </w:rPr>
      </w:pPr>
      <w:r>
        <w:rPr>
          <w:rFonts w:ascii="Arial" w:cs="Arial" w:eastAsia="Arial" w:hAnsi="Arial"/>
          <w:sz w:val="22"/>
          <w:szCs w:val="22"/>
          <w:b w:val="1"/>
          <w:bCs w:val="1"/>
          <w:i w:val="1"/>
          <w:iCs w:val="1"/>
          <w:color w:val="auto"/>
        </w:rPr>
        <w:t>Revenues</w:t>
      </w:r>
    </w:p>
    <w:p>
      <w:pPr>
        <w:spacing w:after="0" w:line="206" w:lineRule="exact"/>
        <w:rPr>
          <w:sz w:val="20"/>
          <w:szCs w:val="20"/>
          <w:color w:val="auto"/>
        </w:rPr>
      </w:pPr>
    </w:p>
    <w:p>
      <w:pPr>
        <w:ind w:right="180" w:firstLine="432"/>
        <w:spacing w:after="0" w:line="235" w:lineRule="auto"/>
        <w:rPr>
          <w:sz w:val="20"/>
          <w:szCs w:val="20"/>
          <w:color w:val="auto"/>
        </w:rPr>
      </w:pPr>
      <w:r>
        <w:rPr>
          <w:rFonts w:ascii="Arial" w:cs="Arial" w:eastAsia="Arial" w:hAnsi="Arial"/>
          <w:sz w:val="22"/>
          <w:szCs w:val="22"/>
          <w:color w:val="auto"/>
        </w:rPr>
        <w:t>Consolidated revenues for the three and six month interim periods in 2004 increased $472 million and $914 million, respectively, from the same periods in 2003. Of these increases, $459 million and $874 million relate to our cable segment, which is discussed separately below. The remaining increases are primarily the result of our content segment, which achieved combined revenue growth of 25.3% and 23.4%, respectively, during the three and six month interim periods in 2004 compared to the same periods in 2003. These increases in our content segment were the result of increases in distribution revenue and advertising revenue.</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22"/>
          <w:szCs w:val="22"/>
          <w:b w:val="1"/>
          <w:bCs w:val="1"/>
          <w:i w:val="1"/>
          <w:iCs w:val="1"/>
          <w:color w:val="auto"/>
        </w:rPr>
        <w:t>Operating, selling, general and administrative expenses</w:t>
      </w:r>
    </w:p>
    <w:p>
      <w:pPr>
        <w:spacing w:after="0" w:line="206" w:lineRule="exact"/>
        <w:rPr>
          <w:sz w:val="20"/>
          <w:szCs w:val="20"/>
          <w:color w:val="auto"/>
        </w:rPr>
      </w:pPr>
    </w:p>
    <w:p>
      <w:pPr>
        <w:ind w:right="260" w:firstLine="432"/>
        <w:spacing w:after="0" w:line="258" w:lineRule="auto"/>
        <w:rPr>
          <w:sz w:val="20"/>
          <w:szCs w:val="20"/>
          <w:color w:val="auto"/>
        </w:rPr>
      </w:pPr>
      <w:r>
        <w:rPr>
          <w:rFonts w:ascii="Arial" w:cs="Arial" w:eastAsia="Arial" w:hAnsi="Arial"/>
          <w:sz w:val="21"/>
          <w:szCs w:val="21"/>
          <w:color w:val="auto"/>
        </w:rPr>
        <w:t>Consolidated operating, selling, general and administrative expenses for the three and six month interim periods in 2004 increased $132 million and $269 million, respectively, from the same periods in 2003. Of these increases, $136 million and $253 million, respectively, relate to our cable segment, which is discussed separately below.</w:t>
      </w:r>
    </w:p>
    <w:p>
      <w:pPr>
        <w:spacing w:after="0" w:line="167" w:lineRule="exact"/>
        <w:rPr>
          <w:sz w:val="20"/>
          <w:szCs w:val="20"/>
          <w:color w:val="auto"/>
        </w:rPr>
      </w:pPr>
    </w:p>
    <w:p>
      <w:pPr>
        <w:ind w:left="440"/>
        <w:spacing w:after="0"/>
        <w:rPr>
          <w:sz w:val="20"/>
          <w:szCs w:val="20"/>
          <w:color w:val="auto"/>
        </w:rPr>
      </w:pPr>
      <w:r>
        <w:rPr>
          <w:rFonts w:ascii="Arial" w:cs="Arial" w:eastAsia="Arial" w:hAnsi="Arial"/>
          <w:sz w:val="22"/>
          <w:szCs w:val="22"/>
          <w:b w:val="1"/>
          <w:bCs w:val="1"/>
          <w:i w:val="1"/>
          <w:iCs w:val="1"/>
          <w:color w:val="auto"/>
        </w:rPr>
        <w:t>Depreciation</w:t>
      </w:r>
    </w:p>
    <w:p>
      <w:pPr>
        <w:spacing w:after="0" w:line="206"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9"/>
          <w:szCs w:val="19"/>
          <w:color w:val="auto"/>
        </w:rPr>
        <w:t>Depreciation expense decreased $3 million and increased $15 million, respectively, for the three and six month interim periods in 2004 compared to the same periods in 2003. The slight changes for the interim periods are primarily related to our cable segment and are principally due to the higher level of disposals associated with our cable network upgrade program in 2003.</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63765"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COMCAST CORPORATION AND SUBSIDIARIES</w:t>
      </w:r>
    </w:p>
    <w:p>
      <w:pPr>
        <w:jc w:val="center"/>
        <w:ind w:right="20"/>
        <w:spacing w:after="0" w:line="238" w:lineRule="auto"/>
        <w:rPr>
          <w:sz w:val="20"/>
          <w:szCs w:val="20"/>
          <w:color w:val="auto"/>
        </w:rPr>
      </w:pPr>
      <w:r>
        <w:rPr>
          <w:rFonts w:ascii="Arial" w:cs="Arial" w:eastAsia="Arial" w:hAnsi="Arial"/>
          <w:sz w:val="22"/>
          <w:szCs w:val="22"/>
          <w:color w:val="auto"/>
        </w:rPr>
        <w:t>FORM 10-Q</w:t>
      </w:r>
    </w:p>
    <w:p>
      <w:pPr>
        <w:jc w:val="center"/>
        <w:ind w:right="-19"/>
        <w:spacing w:after="0"/>
        <w:rPr>
          <w:sz w:val="20"/>
          <w:szCs w:val="20"/>
          <w:color w:val="auto"/>
        </w:rPr>
      </w:pPr>
      <w:r>
        <w:rPr>
          <w:rFonts w:ascii="Arial" w:cs="Arial" w:eastAsia="Arial" w:hAnsi="Arial"/>
          <w:sz w:val="22"/>
          <w:szCs w:val="22"/>
          <w:color w:val="auto"/>
        </w:rPr>
        <w:t>QUARTER ENDED JUNE 30, 2004</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22"/>
          <w:szCs w:val="22"/>
          <w:b w:val="1"/>
          <w:bCs w:val="1"/>
          <w:i w:val="1"/>
          <w:iCs w:val="1"/>
          <w:color w:val="auto"/>
        </w:rPr>
        <w:t>Amortization</w:t>
      </w:r>
    </w:p>
    <w:p>
      <w:pPr>
        <w:spacing w:after="0" w:line="206" w:lineRule="exact"/>
        <w:rPr>
          <w:sz w:val="20"/>
          <w:szCs w:val="20"/>
          <w:color w:val="auto"/>
        </w:rPr>
      </w:pPr>
    </w:p>
    <w:p>
      <w:pPr>
        <w:ind w:right="100" w:firstLine="420"/>
        <w:spacing w:after="0" w:line="236" w:lineRule="auto"/>
        <w:rPr>
          <w:sz w:val="20"/>
          <w:szCs w:val="20"/>
          <w:color w:val="auto"/>
        </w:rPr>
      </w:pPr>
      <w:r>
        <w:rPr>
          <w:rFonts w:ascii="Arial" w:cs="Arial" w:eastAsia="Arial" w:hAnsi="Arial"/>
          <w:sz w:val="22"/>
          <w:szCs w:val="22"/>
          <w:color w:val="auto"/>
        </w:rPr>
        <w:t>Amortization expense decreased $84 million and $162 million, respectively, for the three and six month interim periods in 2004 compared to the same periods in 2003. These decreases are primarily related to our cable segment and are principally due to decreases in the amortization of our franchise related customer relationship intangible assets. In the fourth quarter of 2003, we reduced the value of these intangible assets as a result of obtaining updated valuation reports, which resulted in lower amortization expense.</w:t>
      </w:r>
    </w:p>
    <w:p>
      <w:pPr>
        <w:spacing w:after="0" w:line="188" w:lineRule="exact"/>
        <w:rPr>
          <w:sz w:val="20"/>
          <w:szCs w:val="20"/>
          <w:color w:val="auto"/>
        </w:rPr>
      </w:pPr>
    </w:p>
    <w:p>
      <w:pPr>
        <w:ind w:left="4800"/>
        <w:spacing w:after="0"/>
        <w:rPr>
          <w:sz w:val="20"/>
          <w:szCs w:val="20"/>
          <w:color w:val="auto"/>
        </w:rPr>
      </w:pPr>
      <w:r>
        <w:rPr>
          <w:rFonts w:ascii="Arial" w:cs="Arial" w:eastAsia="Arial" w:hAnsi="Arial"/>
          <w:sz w:val="22"/>
          <w:szCs w:val="22"/>
          <w:color w:val="auto"/>
        </w:rPr>
        <w:t>_________________</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Cable Segment Operating Results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The following table presents our cable segment operating results (dollars in millions):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560" w:type="dxa"/>
            <w:vAlign w:val="bottom"/>
          </w:tcPr>
          <w:p>
            <w:pPr>
              <w:spacing w:after="0"/>
              <w:rPr>
                <w:sz w:val="21"/>
                <w:szCs w:val="21"/>
                <w:color w:val="auto"/>
              </w:rPr>
            </w:pPr>
          </w:p>
        </w:tc>
        <w:tc>
          <w:tcPr>
            <w:tcW w:w="1640" w:type="dxa"/>
            <w:vAlign w:val="bottom"/>
            <w:gridSpan w:val="4"/>
          </w:tcPr>
          <w:p>
            <w:pPr>
              <w:jc w:val="center"/>
              <w:ind w:right="140"/>
              <w:spacing w:after="0"/>
              <w:rPr>
                <w:sz w:val="20"/>
                <w:szCs w:val="20"/>
                <w:color w:val="auto"/>
              </w:rPr>
            </w:pPr>
            <w:r>
              <w:rPr>
                <w:rFonts w:ascii="Arial" w:cs="Arial" w:eastAsia="Arial" w:hAnsi="Arial"/>
                <w:sz w:val="22"/>
                <w:szCs w:val="22"/>
                <w:color w:val="auto"/>
                <w:w w:val="89"/>
              </w:rPr>
              <w:t>Three Months</w:t>
            </w: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243"/>
        </w:trPr>
        <w:tc>
          <w:tcPr>
            <w:tcW w:w="6560" w:type="dxa"/>
            <w:vAlign w:val="bottom"/>
          </w:tcPr>
          <w:p>
            <w:pPr>
              <w:spacing w:after="0"/>
              <w:rPr>
                <w:sz w:val="21"/>
                <w:szCs w:val="21"/>
                <w:color w:val="auto"/>
              </w:rPr>
            </w:pPr>
          </w:p>
        </w:tc>
        <w:tc>
          <w:tcPr>
            <w:tcW w:w="1640" w:type="dxa"/>
            <w:vAlign w:val="bottom"/>
            <w:gridSpan w:val="4"/>
          </w:tcPr>
          <w:p>
            <w:pPr>
              <w:jc w:val="center"/>
              <w:ind w:right="140"/>
              <w:spacing w:after="0" w:line="243" w:lineRule="exact"/>
              <w:rPr>
                <w:sz w:val="20"/>
                <w:szCs w:val="20"/>
                <w:color w:val="auto"/>
              </w:rPr>
            </w:pPr>
            <w:r>
              <w:rPr>
                <w:rFonts w:ascii="Arial" w:cs="Arial" w:eastAsia="Arial" w:hAnsi="Arial"/>
                <w:sz w:val="22"/>
                <w:szCs w:val="22"/>
                <w:color w:val="auto"/>
                <w:w w:val="84"/>
              </w:rPr>
              <w:t>Ended</w:t>
            </w: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243"/>
        </w:trPr>
        <w:tc>
          <w:tcPr>
            <w:tcW w:w="6560" w:type="dxa"/>
            <w:vAlign w:val="bottom"/>
          </w:tcPr>
          <w:p>
            <w:pPr>
              <w:spacing w:after="0"/>
              <w:rPr>
                <w:sz w:val="21"/>
                <w:szCs w:val="21"/>
                <w:color w:val="auto"/>
              </w:rPr>
            </w:pPr>
          </w:p>
        </w:tc>
        <w:tc>
          <w:tcPr>
            <w:tcW w:w="1640" w:type="dxa"/>
            <w:vAlign w:val="bottom"/>
            <w:gridSpan w:val="4"/>
          </w:tcPr>
          <w:p>
            <w:pPr>
              <w:jc w:val="center"/>
              <w:ind w:right="160"/>
              <w:spacing w:after="0" w:line="243" w:lineRule="exact"/>
              <w:rPr>
                <w:sz w:val="20"/>
                <w:szCs w:val="20"/>
                <w:color w:val="auto"/>
              </w:rPr>
            </w:pPr>
            <w:r>
              <w:rPr>
                <w:rFonts w:ascii="Arial" w:cs="Arial" w:eastAsia="Arial" w:hAnsi="Arial"/>
                <w:sz w:val="22"/>
                <w:szCs w:val="22"/>
                <w:color w:val="auto"/>
                <w:w w:val="85"/>
              </w:rPr>
              <w:t>June 30,</w:t>
            </w:r>
          </w:p>
        </w:tc>
        <w:tc>
          <w:tcPr>
            <w:tcW w:w="2040" w:type="dxa"/>
            <w:vAlign w:val="bottom"/>
            <w:gridSpan w:val="5"/>
          </w:tcPr>
          <w:p>
            <w:pPr>
              <w:jc w:val="right"/>
              <w:ind w:right="180"/>
              <w:spacing w:after="0" w:line="243" w:lineRule="exact"/>
              <w:rPr>
                <w:sz w:val="20"/>
                <w:szCs w:val="20"/>
                <w:color w:val="auto"/>
              </w:rPr>
            </w:pPr>
            <w:r>
              <w:rPr>
                <w:rFonts w:ascii="Arial" w:cs="Arial" w:eastAsia="Arial" w:hAnsi="Arial"/>
                <w:sz w:val="22"/>
                <w:szCs w:val="22"/>
                <w:color w:val="auto"/>
                <w:w w:val="92"/>
              </w:rPr>
              <w:t>Increase/(Decrease)</w:t>
            </w:r>
          </w:p>
        </w:tc>
      </w:tr>
      <w:tr>
        <w:trPr>
          <w:trHeight w:val="275"/>
        </w:trPr>
        <w:tc>
          <w:tcPr>
            <w:tcW w:w="656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22"/>
                <w:szCs w:val="22"/>
                <w:color w:val="auto"/>
              </w:rPr>
              <w:t>2004</w:t>
            </w:r>
          </w:p>
        </w:tc>
        <w:tc>
          <w:tcPr>
            <w:tcW w:w="900" w:type="dxa"/>
            <w:vAlign w:val="bottom"/>
            <w:gridSpan w:val="2"/>
          </w:tcPr>
          <w:p>
            <w:pPr>
              <w:jc w:val="right"/>
              <w:ind w:right="100"/>
              <w:spacing w:after="0"/>
              <w:rPr>
                <w:sz w:val="20"/>
                <w:szCs w:val="20"/>
                <w:color w:val="auto"/>
              </w:rPr>
            </w:pPr>
            <w:r>
              <w:rPr>
                <w:rFonts w:ascii="Arial" w:cs="Arial" w:eastAsia="Arial" w:hAnsi="Arial"/>
                <w:sz w:val="22"/>
                <w:szCs w:val="22"/>
                <w:color w:val="auto"/>
              </w:rPr>
              <w:t>2003</w:t>
            </w:r>
          </w:p>
        </w:tc>
        <w:tc>
          <w:tcPr>
            <w:tcW w:w="140" w:type="dxa"/>
            <w:vAlign w:val="bottom"/>
          </w:tcPr>
          <w:p>
            <w:pPr>
              <w:spacing w:after="0"/>
              <w:rPr>
                <w:sz w:val="23"/>
                <w:szCs w:val="23"/>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22"/>
                <w:szCs w:val="22"/>
                <w:color w:val="auto"/>
              </w:rPr>
              <w:t>$</w:t>
            </w:r>
          </w:p>
        </w:tc>
        <w:tc>
          <w:tcPr>
            <w:tcW w:w="520" w:type="dxa"/>
            <w:vAlign w:val="bottom"/>
          </w:tcPr>
          <w:p>
            <w:pPr>
              <w:spacing w:after="0"/>
              <w:rPr>
                <w:sz w:val="23"/>
                <w:szCs w:val="23"/>
                <w:color w:val="auto"/>
              </w:rPr>
            </w:pPr>
          </w:p>
        </w:tc>
        <w:tc>
          <w:tcPr>
            <w:tcW w:w="520" w:type="dxa"/>
            <w:vAlign w:val="bottom"/>
          </w:tcPr>
          <w:p>
            <w:pPr>
              <w:jc w:val="right"/>
              <w:ind w:right="52"/>
              <w:spacing w:after="0"/>
              <w:rPr>
                <w:sz w:val="20"/>
                <w:szCs w:val="20"/>
                <w:color w:val="auto"/>
              </w:rPr>
            </w:pPr>
            <w:r>
              <w:rPr>
                <w:rFonts w:ascii="Arial" w:cs="Arial" w:eastAsia="Arial" w:hAnsi="Arial"/>
                <w:sz w:val="22"/>
                <w:szCs w:val="22"/>
                <w:color w:val="auto"/>
              </w:rPr>
              <w:t>%</w:t>
            </w:r>
          </w:p>
        </w:tc>
        <w:tc>
          <w:tcPr>
            <w:tcW w:w="180" w:type="dxa"/>
            <w:vAlign w:val="bottom"/>
          </w:tcPr>
          <w:p>
            <w:pPr>
              <w:spacing w:after="0"/>
              <w:rPr>
                <w:sz w:val="23"/>
                <w:szCs w:val="23"/>
                <w:color w:val="auto"/>
              </w:rPr>
            </w:pPr>
          </w:p>
        </w:tc>
      </w:tr>
      <w:tr>
        <w:trPr>
          <w:trHeight w:val="98"/>
        </w:trPr>
        <w:tc>
          <w:tcPr>
            <w:tcW w:w="656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r>
      <w:tr>
        <w:trPr>
          <w:trHeight w:val="323"/>
        </w:trPr>
        <w:tc>
          <w:tcPr>
            <w:tcW w:w="6560" w:type="dxa"/>
            <w:vAlign w:val="bottom"/>
          </w:tcPr>
          <w:p>
            <w:pPr>
              <w:spacing w:after="0"/>
              <w:rPr>
                <w:sz w:val="20"/>
                <w:szCs w:val="20"/>
                <w:color w:val="auto"/>
              </w:rPr>
            </w:pPr>
            <w:r>
              <w:rPr>
                <w:rFonts w:ascii="Arial" w:cs="Arial" w:eastAsia="Arial" w:hAnsi="Arial"/>
                <w:sz w:val="22"/>
                <w:szCs w:val="22"/>
                <w:color w:val="auto"/>
              </w:rPr>
              <w:t>Video</w:t>
            </w:r>
          </w:p>
        </w:tc>
        <w:tc>
          <w:tcPr>
            <w:tcW w:w="600" w:type="dxa"/>
            <w:vAlign w:val="bottom"/>
          </w:tcPr>
          <w:p>
            <w:pPr>
              <w:jc w:val="right"/>
              <w:spacing w:after="0"/>
              <w:rPr>
                <w:sz w:val="20"/>
                <w:szCs w:val="20"/>
                <w:color w:val="auto"/>
              </w:rPr>
            </w:pPr>
            <w:r>
              <w:rPr>
                <w:rFonts w:ascii="Arial" w:cs="Arial" w:eastAsia="Arial" w:hAnsi="Arial"/>
                <w:sz w:val="22"/>
                <w:szCs w:val="22"/>
                <w:color w:val="auto"/>
                <w:w w:val="86"/>
              </w:rPr>
              <w:t>$3,247</w:t>
            </w:r>
          </w:p>
        </w:tc>
        <w:tc>
          <w:tcPr>
            <w:tcW w:w="1040" w:type="dxa"/>
            <w:vAlign w:val="bottom"/>
            <w:gridSpan w:val="3"/>
          </w:tcPr>
          <w:p>
            <w:pPr>
              <w:jc w:val="right"/>
              <w:ind w:right="140"/>
              <w:spacing w:after="0"/>
              <w:rPr>
                <w:sz w:val="20"/>
                <w:szCs w:val="20"/>
                <w:color w:val="auto"/>
              </w:rPr>
            </w:pPr>
            <w:r>
              <w:rPr>
                <w:rFonts w:ascii="Arial" w:cs="Arial" w:eastAsia="Arial" w:hAnsi="Arial"/>
                <w:sz w:val="22"/>
                <w:szCs w:val="22"/>
                <w:color w:val="auto"/>
              </w:rPr>
              <w:t>$3,037</w:t>
            </w:r>
          </w:p>
        </w:tc>
        <w:tc>
          <w:tcPr>
            <w:tcW w:w="820" w:type="dxa"/>
            <w:vAlign w:val="bottom"/>
            <w:gridSpan w:val="2"/>
          </w:tcPr>
          <w:p>
            <w:pPr>
              <w:jc w:val="right"/>
              <w:spacing w:after="0"/>
              <w:rPr>
                <w:sz w:val="20"/>
                <w:szCs w:val="20"/>
                <w:color w:val="auto"/>
              </w:rPr>
            </w:pPr>
            <w:r>
              <w:rPr>
                <w:rFonts w:ascii="Arial" w:cs="Arial" w:eastAsia="Arial" w:hAnsi="Arial"/>
                <w:sz w:val="22"/>
                <w:szCs w:val="22"/>
                <w:color w:val="auto"/>
              </w:rPr>
              <w:t>$210</w:t>
            </w:r>
          </w:p>
        </w:tc>
        <w:tc>
          <w:tcPr>
            <w:tcW w:w="520" w:type="dxa"/>
            <w:vAlign w:val="bottom"/>
          </w:tcPr>
          <w:p>
            <w:pPr>
              <w:spacing w:after="0"/>
              <w:rPr>
                <w:sz w:val="24"/>
                <w:szCs w:val="24"/>
                <w:color w:val="auto"/>
              </w:rPr>
            </w:pPr>
          </w:p>
        </w:tc>
        <w:tc>
          <w:tcPr>
            <w:tcW w:w="700" w:type="dxa"/>
            <w:vAlign w:val="bottom"/>
            <w:gridSpan w:val="2"/>
          </w:tcPr>
          <w:p>
            <w:pPr>
              <w:jc w:val="right"/>
              <w:spacing w:after="0"/>
              <w:rPr>
                <w:sz w:val="20"/>
                <w:szCs w:val="20"/>
                <w:color w:val="auto"/>
              </w:rPr>
            </w:pPr>
            <w:r>
              <w:rPr>
                <w:rFonts w:ascii="Arial" w:cs="Arial" w:eastAsia="Arial" w:hAnsi="Arial"/>
                <w:sz w:val="22"/>
                <w:szCs w:val="22"/>
                <w:color w:val="auto"/>
              </w:rPr>
              <w:t>6.9%</w:t>
            </w:r>
          </w:p>
        </w:tc>
      </w:tr>
      <w:tr>
        <w:trPr>
          <w:trHeight w:val="243"/>
        </w:trPr>
        <w:tc>
          <w:tcPr>
            <w:tcW w:w="6560" w:type="dxa"/>
            <w:vAlign w:val="bottom"/>
          </w:tcPr>
          <w:p>
            <w:pPr>
              <w:spacing w:after="0" w:line="243" w:lineRule="exact"/>
              <w:rPr>
                <w:sz w:val="20"/>
                <w:szCs w:val="20"/>
                <w:color w:val="auto"/>
              </w:rPr>
            </w:pPr>
            <w:r>
              <w:rPr>
                <w:rFonts w:ascii="Arial" w:cs="Arial" w:eastAsia="Arial" w:hAnsi="Arial"/>
                <w:sz w:val="22"/>
                <w:szCs w:val="22"/>
                <w:color w:val="auto"/>
              </w:rPr>
              <w:t>High-speed Internet</w:t>
            </w:r>
          </w:p>
        </w:tc>
        <w:tc>
          <w:tcPr>
            <w:tcW w:w="600" w:type="dxa"/>
            <w:vAlign w:val="bottom"/>
          </w:tcPr>
          <w:p>
            <w:pPr>
              <w:jc w:val="right"/>
              <w:spacing w:after="0" w:line="243" w:lineRule="exact"/>
              <w:rPr>
                <w:sz w:val="20"/>
                <w:szCs w:val="20"/>
                <w:color w:val="auto"/>
              </w:rPr>
            </w:pPr>
            <w:r>
              <w:rPr>
                <w:rFonts w:ascii="Arial" w:cs="Arial" w:eastAsia="Arial" w:hAnsi="Arial"/>
                <w:sz w:val="22"/>
                <w:szCs w:val="22"/>
                <w:color w:val="auto"/>
              </w:rPr>
              <w:t>763</w:t>
            </w:r>
          </w:p>
        </w:tc>
        <w:tc>
          <w:tcPr>
            <w:tcW w:w="1040" w:type="dxa"/>
            <w:vAlign w:val="bottom"/>
            <w:gridSpan w:val="3"/>
          </w:tcPr>
          <w:p>
            <w:pPr>
              <w:jc w:val="right"/>
              <w:ind w:right="140"/>
              <w:spacing w:after="0" w:line="243" w:lineRule="exact"/>
              <w:rPr>
                <w:sz w:val="20"/>
                <w:szCs w:val="20"/>
                <w:color w:val="auto"/>
              </w:rPr>
            </w:pPr>
            <w:r>
              <w:rPr>
                <w:rFonts w:ascii="Arial" w:cs="Arial" w:eastAsia="Arial" w:hAnsi="Arial"/>
                <w:sz w:val="22"/>
                <w:szCs w:val="22"/>
                <w:color w:val="auto"/>
              </w:rPr>
              <w:t>548</w:t>
            </w:r>
          </w:p>
        </w:tc>
        <w:tc>
          <w:tcPr>
            <w:tcW w:w="82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215</w:t>
            </w:r>
          </w:p>
        </w:tc>
        <w:tc>
          <w:tcPr>
            <w:tcW w:w="520" w:type="dxa"/>
            <w:vAlign w:val="bottom"/>
          </w:tcPr>
          <w:p>
            <w:pPr>
              <w:spacing w:after="0"/>
              <w:rPr>
                <w:sz w:val="21"/>
                <w:szCs w:val="21"/>
                <w:color w:val="auto"/>
              </w:rPr>
            </w:pPr>
          </w:p>
        </w:tc>
        <w:tc>
          <w:tcPr>
            <w:tcW w:w="520" w:type="dxa"/>
            <w:vAlign w:val="bottom"/>
          </w:tcPr>
          <w:p>
            <w:pPr>
              <w:jc w:val="right"/>
              <w:spacing w:after="0" w:line="243" w:lineRule="exact"/>
              <w:rPr>
                <w:sz w:val="20"/>
                <w:szCs w:val="20"/>
                <w:color w:val="auto"/>
              </w:rPr>
            </w:pPr>
            <w:r>
              <w:rPr>
                <w:rFonts w:ascii="Arial" w:cs="Arial" w:eastAsia="Arial" w:hAnsi="Arial"/>
                <w:sz w:val="22"/>
                <w:szCs w:val="22"/>
                <w:color w:val="auto"/>
              </w:rPr>
              <w:t>39.2</w:t>
            </w:r>
          </w:p>
        </w:tc>
        <w:tc>
          <w:tcPr>
            <w:tcW w:w="180" w:type="dxa"/>
            <w:vAlign w:val="bottom"/>
          </w:tcPr>
          <w:p>
            <w:pPr>
              <w:spacing w:after="0"/>
              <w:rPr>
                <w:sz w:val="21"/>
                <w:szCs w:val="21"/>
                <w:color w:val="auto"/>
              </w:rPr>
            </w:pPr>
          </w:p>
        </w:tc>
      </w:tr>
      <w:tr>
        <w:trPr>
          <w:trHeight w:val="243"/>
        </w:trPr>
        <w:tc>
          <w:tcPr>
            <w:tcW w:w="6560" w:type="dxa"/>
            <w:vAlign w:val="bottom"/>
          </w:tcPr>
          <w:p>
            <w:pPr>
              <w:spacing w:after="0" w:line="243" w:lineRule="exact"/>
              <w:rPr>
                <w:sz w:val="20"/>
                <w:szCs w:val="20"/>
                <w:color w:val="auto"/>
              </w:rPr>
            </w:pPr>
            <w:r>
              <w:rPr>
                <w:rFonts w:ascii="Arial" w:cs="Arial" w:eastAsia="Arial" w:hAnsi="Arial"/>
                <w:sz w:val="22"/>
                <w:szCs w:val="22"/>
                <w:color w:val="auto"/>
              </w:rPr>
              <w:t>Phone</w:t>
            </w:r>
          </w:p>
        </w:tc>
        <w:tc>
          <w:tcPr>
            <w:tcW w:w="600" w:type="dxa"/>
            <w:vAlign w:val="bottom"/>
          </w:tcPr>
          <w:p>
            <w:pPr>
              <w:jc w:val="right"/>
              <w:spacing w:after="0" w:line="243" w:lineRule="exact"/>
              <w:rPr>
                <w:sz w:val="20"/>
                <w:szCs w:val="20"/>
                <w:color w:val="auto"/>
              </w:rPr>
            </w:pPr>
            <w:r>
              <w:rPr>
                <w:rFonts w:ascii="Arial" w:cs="Arial" w:eastAsia="Arial" w:hAnsi="Arial"/>
                <w:sz w:val="22"/>
                <w:szCs w:val="22"/>
                <w:color w:val="auto"/>
              </w:rPr>
              <w:t>177</w:t>
            </w:r>
          </w:p>
        </w:tc>
        <w:tc>
          <w:tcPr>
            <w:tcW w:w="1040" w:type="dxa"/>
            <w:vAlign w:val="bottom"/>
            <w:gridSpan w:val="3"/>
          </w:tcPr>
          <w:p>
            <w:pPr>
              <w:jc w:val="right"/>
              <w:ind w:right="140"/>
              <w:spacing w:after="0" w:line="243" w:lineRule="exact"/>
              <w:rPr>
                <w:sz w:val="20"/>
                <w:szCs w:val="20"/>
                <w:color w:val="auto"/>
              </w:rPr>
            </w:pPr>
            <w:r>
              <w:rPr>
                <w:rFonts w:ascii="Arial" w:cs="Arial" w:eastAsia="Arial" w:hAnsi="Arial"/>
                <w:sz w:val="22"/>
                <w:szCs w:val="22"/>
                <w:color w:val="auto"/>
              </w:rPr>
              <w:t>205</w:t>
            </w:r>
          </w:p>
        </w:tc>
        <w:tc>
          <w:tcPr>
            <w:tcW w:w="1340" w:type="dxa"/>
            <w:vAlign w:val="bottom"/>
            <w:gridSpan w:val="3"/>
          </w:tcPr>
          <w:p>
            <w:pPr>
              <w:jc w:val="right"/>
              <w:ind w:right="460"/>
              <w:spacing w:after="0" w:line="243" w:lineRule="exact"/>
              <w:rPr>
                <w:sz w:val="20"/>
                <w:szCs w:val="20"/>
                <w:color w:val="auto"/>
              </w:rPr>
            </w:pPr>
            <w:r>
              <w:rPr>
                <w:rFonts w:ascii="Arial" w:cs="Arial" w:eastAsia="Arial" w:hAnsi="Arial"/>
                <w:sz w:val="22"/>
                <w:szCs w:val="22"/>
                <w:color w:val="auto"/>
              </w:rPr>
              <w:t>(28)</w:t>
            </w:r>
          </w:p>
        </w:tc>
        <w:tc>
          <w:tcPr>
            <w:tcW w:w="70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(13.7)</w:t>
            </w:r>
          </w:p>
        </w:tc>
      </w:tr>
      <w:tr>
        <w:trPr>
          <w:trHeight w:val="243"/>
        </w:trPr>
        <w:tc>
          <w:tcPr>
            <w:tcW w:w="6560" w:type="dxa"/>
            <w:vAlign w:val="bottom"/>
          </w:tcPr>
          <w:p>
            <w:pPr>
              <w:spacing w:after="0" w:line="243" w:lineRule="exact"/>
              <w:rPr>
                <w:sz w:val="20"/>
                <w:szCs w:val="20"/>
                <w:color w:val="auto"/>
              </w:rPr>
            </w:pPr>
            <w:r>
              <w:rPr>
                <w:rFonts w:ascii="Arial" w:cs="Arial" w:eastAsia="Arial" w:hAnsi="Arial"/>
                <w:sz w:val="22"/>
                <w:szCs w:val="22"/>
                <w:color w:val="auto"/>
              </w:rPr>
              <w:t>Advertising sales</w:t>
            </w:r>
          </w:p>
        </w:tc>
        <w:tc>
          <w:tcPr>
            <w:tcW w:w="600" w:type="dxa"/>
            <w:vAlign w:val="bottom"/>
          </w:tcPr>
          <w:p>
            <w:pPr>
              <w:jc w:val="right"/>
              <w:spacing w:after="0" w:line="243" w:lineRule="exact"/>
              <w:rPr>
                <w:sz w:val="20"/>
                <w:szCs w:val="20"/>
                <w:color w:val="auto"/>
              </w:rPr>
            </w:pPr>
            <w:r>
              <w:rPr>
                <w:rFonts w:ascii="Arial" w:cs="Arial" w:eastAsia="Arial" w:hAnsi="Arial"/>
                <w:sz w:val="22"/>
                <w:szCs w:val="22"/>
                <w:color w:val="auto"/>
              </w:rPr>
              <w:t>330</w:t>
            </w:r>
          </w:p>
        </w:tc>
        <w:tc>
          <w:tcPr>
            <w:tcW w:w="1040" w:type="dxa"/>
            <w:vAlign w:val="bottom"/>
            <w:gridSpan w:val="3"/>
          </w:tcPr>
          <w:p>
            <w:pPr>
              <w:jc w:val="right"/>
              <w:ind w:right="140"/>
              <w:spacing w:after="0" w:line="243" w:lineRule="exact"/>
              <w:rPr>
                <w:sz w:val="20"/>
                <w:szCs w:val="20"/>
                <w:color w:val="auto"/>
              </w:rPr>
            </w:pPr>
            <w:r>
              <w:rPr>
                <w:rFonts w:ascii="Arial" w:cs="Arial" w:eastAsia="Arial" w:hAnsi="Arial"/>
                <w:sz w:val="22"/>
                <w:szCs w:val="22"/>
                <w:color w:val="auto"/>
              </w:rPr>
              <w:t>285</w:t>
            </w:r>
          </w:p>
        </w:tc>
        <w:tc>
          <w:tcPr>
            <w:tcW w:w="82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45</w:t>
            </w:r>
          </w:p>
        </w:tc>
        <w:tc>
          <w:tcPr>
            <w:tcW w:w="520" w:type="dxa"/>
            <w:vAlign w:val="bottom"/>
          </w:tcPr>
          <w:p>
            <w:pPr>
              <w:spacing w:after="0"/>
              <w:rPr>
                <w:sz w:val="21"/>
                <w:szCs w:val="21"/>
                <w:color w:val="auto"/>
              </w:rPr>
            </w:pPr>
          </w:p>
        </w:tc>
        <w:tc>
          <w:tcPr>
            <w:tcW w:w="520" w:type="dxa"/>
            <w:vAlign w:val="bottom"/>
          </w:tcPr>
          <w:p>
            <w:pPr>
              <w:jc w:val="right"/>
              <w:spacing w:after="0" w:line="243" w:lineRule="exact"/>
              <w:rPr>
                <w:sz w:val="20"/>
                <w:szCs w:val="20"/>
                <w:color w:val="auto"/>
              </w:rPr>
            </w:pPr>
            <w:r>
              <w:rPr>
                <w:rFonts w:ascii="Arial" w:cs="Arial" w:eastAsia="Arial" w:hAnsi="Arial"/>
                <w:sz w:val="22"/>
                <w:szCs w:val="22"/>
                <w:color w:val="auto"/>
              </w:rPr>
              <w:t>15.8</w:t>
            </w:r>
          </w:p>
        </w:tc>
        <w:tc>
          <w:tcPr>
            <w:tcW w:w="180" w:type="dxa"/>
            <w:vAlign w:val="bottom"/>
          </w:tcPr>
          <w:p>
            <w:pPr>
              <w:spacing w:after="0"/>
              <w:rPr>
                <w:sz w:val="21"/>
                <w:szCs w:val="21"/>
                <w:color w:val="auto"/>
              </w:rPr>
            </w:pPr>
          </w:p>
        </w:tc>
      </w:tr>
      <w:tr>
        <w:trPr>
          <w:trHeight w:val="243"/>
        </w:trPr>
        <w:tc>
          <w:tcPr>
            <w:tcW w:w="6560" w:type="dxa"/>
            <w:vAlign w:val="bottom"/>
          </w:tcPr>
          <w:p>
            <w:pPr>
              <w:spacing w:after="0" w:line="243" w:lineRule="exact"/>
              <w:rPr>
                <w:sz w:val="20"/>
                <w:szCs w:val="20"/>
                <w:color w:val="auto"/>
              </w:rPr>
            </w:pPr>
            <w:r>
              <w:rPr>
                <w:rFonts w:ascii="Arial" w:cs="Arial" w:eastAsia="Arial" w:hAnsi="Arial"/>
                <w:sz w:val="22"/>
                <w:szCs w:val="22"/>
                <w:color w:val="auto"/>
              </w:rPr>
              <w:t>Other</w:t>
            </w:r>
          </w:p>
        </w:tc>
        <w:tc>
          <w:tcPr>
            <w:tcW w:w="600" w:type="dxa"/>
            <w:vAlign w:val="bottom"/>
          </w:tcPr>
          <w:p>
            <w:pPr>
              <w:jc w:val="right"/>
              <w:spacing w:after="0" w:line="243" w:lineRule="exact"/>
              <w:rPr>
                <w:sz w:val="20"/>
                <w:szCs w:val="20"/>
                <w:color w:val="auto"/>
              </w:rPr>
            </w:pPr>
            <w:r>
              <w:rPr>
                <w:rFonts w:ascii="Arial" w:cs="Arial" w:eastAsia="Arial" w:hAnsi="Arial"/>
                <w:sz w:val="22"/>
                <w:szCs w:val="22"/>
                <w:color w:val="auto"/>
              </w:rPr>
              <w:t>158</w:t>
            </w:r>
          </w:p>
        </w:tc>
        <w:tc>
          <w:tcPr>
            <w:tcW w:w="1040" w:type="dxa"/>
            <w:vAlign w:val="bottom"/>
            <w:gridSpan w:val="3"/>
          </w:tcPr>
          <w:p>
            <w:pPr>
              <w:jc w:val="right"/>
              <w:ind w:right="140"/>
              <w:spacing w:after="0" w:line="243" w:lineRule="exact"/>
              <w:rPr>
                <w:sz w:val="20"/>
                <w:szCs w:val="20"/>
                <w:color w:val="auto"/>
              </w:rPr>
            </w:pPr>
            <w:r>
              <w:rPr>
                <w:rFonts w:ascii="Arial" w:cs="Arial" w:eastAsia="Arial" w:hAnsi="Arial"/>
                <w:sz w:val="22"/>
                <w:szCs w:val="22"/>
                <w:color w:val="auto"/>
              </w:rPr>
              <w:t>153</w:t>
            </w:r>
          </w:p>
        </w:tc>
        <w:tc>
          <w:tcPr>
            <w:tcW w:w="82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5</w:t>
            </w:r>
          </w:p>
        </w:tc>
        <w:tc>
          <w:tcPr>
            <w:tcW w:w="520" w:type="dxa"/>
            <w:vAlign w:val="bottom"/>
          </w:tcPr>
          <w:p>
            <w:pPr>
              <w:spacing w:after="0"/>
              <w:rPr>
                <w:sz w:val="21"/>
                <w:szCs w:val="21"/>
                <w:color w:val="auto"/>
              </w:rPr>
            </w:pPr>
          </w:p>
        </w:tc>
        <w:tc>
          <w:tcPr>
            <w:tcW w:w="520" w:type="dxa"/>
            <w:vAlign w:val="bottom"/>
          </w:tcPr>
          <w:p>
            <w:pPr>
              <w:jc w:val="right"/>
              <w:spacing w:after="0" w:line="243" w:lineRule="exact"/>
              <w:rPr>
                <w:sz w:val="20"/>
                <w:szCs w:val="20"/>
                <w:color w:val="auto"/>
              </w:rPr>
            </w:pPr>
            <w:r>
              <w:rPr>
                <w:rFonts w:ascii="Arial" w:cs="Arial" w:eastAsia="Arial" w:hAnsi="Arial"/>
                <w:sz w:val="22"/>
                <w:szCs w:val="22"/>
                <w:color w:val="auto"/>
              </w:rPr>
              <w:t>3.3</w:t>
            </w:r>
          </w:p>
        </w:tc>
        <w:tc>
          <w:tcPr>
            <w:tcW w:w="180" w:type="dxa"/>
            <w:vAlign w:val="bottom"/>
          </w:tcPr>
          <w:p>
            <w:pPr>
              <w:spacing w:after="0"/>
              <w:rPr>
                <w:sz w:val="21"/>
                <w:szCs w:val="21"/>
                <w:color w:val="auto"/>
              </w:rPr>
            </w:pPr>
          </w:p>
        </w:tc>
      </w:tr>
      <w:tr>
        <w:trPr>
          <w:trHeight w:val="275"/>
        </w:trPr>
        <w:tc>
          <w:tcPr>
            <w:tcW w:w="6560" w:type="dxa"/>
            <w:vAlign w:val="bottom"/>
          </w:tcPr>
          <w:p>
            <w:pPr>
              <w:spacing w:after="0"/>
              <w:rPr>
                <w:sz w:val="20"/>
                <w:szCs w:val="20"/>
                <w:color w:val="auto"/>
              </w:rPr>
            </w:pPr>
            <w:r>
              <w:rPr>
                <w:rFonts w:ascii="Arial" w:cs="Arial" w:eastAsia="Arial" w:hAnsi="Arial"/>
                <w:sz w:val="22"/>
                <w:szCs w:val="22"/>
                <w:color w:val="auto"/>
              </w:rPr>
              <w:t>Franchise fees</w:t>
            </w:r>
          </w:p>
        </w:tc>
        <w:tc>
          <w:tcPr>
            <w:tcW w:w="600" w:type="dxa"/>
            <w:vAlign w:val="bottom"/>
          </w:tcPr>
          <w:p>
            <w:pPr>
              <w:jc w:val="right"/>
              <w:spacing w:after="0"/>
              <w:rPr>
                <w:sz w:val="20"/>
                <w:szCs w:val="20"/>
                <w:color w:val="auto"/>
              </w:rPr>
            </w:pPr>
            <w:r>
              <w:rPr>
                <w:rFonts w:ascii="Arial" w:cs="Arial" w:eastAsia="Arial" w:hAnsi="Arial"/>
                <w:sz w:val="22"/>
                <w:szCs w:val="22"/>
                <w:color w:val="auto"/>
              </w:rPr>
              <w:t>163</w:t>
            </w:r>
          </w:p>
        </w:tc>
        <w:tc>
          <w:tcPr>
            <w:tcW w:w="1040" w:type="dxa"/>
            <w:vAlign w:val="bottom"/>
            <w:gridSpan w:val="3"/>
          </w:tcPr>
          <w:p>
            <w:pPr>
              <w:jc w:val="right"/>
              <w:ind w:right="140"/>
              <w:spacing w:after="0"/>
              <w:rPr>
                <w:sz w:val="20"/>
                <w:szCs w:val="20"/>
                <w:color w:val="auto"/>
              </w:rPr>
            </w:pPr>
            <w:r>
              <w:rPr>
                <w:rFonts w:ascii="Arial" w:cs="Arial" w:eastAsia="Arial" w:hAnsi="Arial"/>
                <w:sz w:val="22"/>
                <w:szCs w:val="22"/>
                <w:color w:val="auto"/>
              </w:rPr>
              <w:t>151</w:t>
            </w:r>
          </w:p>
        </w:tc>
        <w:tc>
          <w:tcPr>
            <w:tcW w:w="820" w:type="dxa"/>
            <w:vAlign w:val="bottom"/>
            <w:gridSpan w:val="2"/>
          </w:tcPr>
          <w:p>
            <w:pPr>
              <w:jc w:val="right"/>
              <w:spacing w:after="0"/>
              <w:rPr>
                <w:sz w:val="20"/>
                <w:szCs w:val="20"/>
                <w:color w:val="auto"/>
              </w:rPr>
            </w:pPr>
            <w:r>
              <w:rPr>
                <w:rFonts w:ascii="Arial" w:cs="Arial" w:eastAsia="Arial" w:hAnsi="Arial"/>
                <w:sz w:val="22"/>
                <w:szCs w:val="22"/>
                <w:color w:val="auto"/>
              </w:rPr>
              <w:t>12</w:t>
            </w:r>
          </w:p>
        </w:tc>
        <w:tc>
          <w:tcPr>
            <w:tcW w:w="52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22"/>
                <w:szCs w:val="22"/>
                <w:color w:val="auto"/>
              </w:rPr>
              <w:t>7.9</w:t>
            </w:r>
          </w:p>
        </w:tc>
        <w:tc>
          <w:tcPr>
            <w:tcW w:w="180" w:type="dxa"/>
            <w:vAlign w:val="bottom"/>
          </w:tcPr>
          <w:p>
            <w:pPr>
              <w:spacing w:after="0"/>
              <w:rPr>
                <w:sz w:val="23"/>
                <w:szCs w:val="23"/>
                <w:color w:val="auto"/>
              </w:rPr>
            </w:pPr>
          </w:p>
        </w:tc>
      </w:tr>
    </w:tbl>
    <w:p>
      <w:pPr>
        <w:sectPr>
          <w:pgSz w:w="11900" w:h="16853" w:orient="portrait"/>
          <w:cols w:equalWidth="0" w:num="1">
            <w:col w:w="11400"/>
          </w:cols>
          <w:pgMar w:left="240" w:top="118" w:right="259" w:bottom="0" w:gutter="0" w:footer="0" w:header="0"/>
        </w:sectPr>
      </w:pPr>
    </w:p>
    <w:bookmarkStart w:id="28" w:name="page29"/>
    <w:bookmarkEnd w:id="2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4316730</wp:posOffset>
            </wp:positionH>
            <wp:positionV relativeFrom="page">
              <wp:posOffset>88900</wp:posOffset>
            </wp:positionV>
            <wp:extent cx="2229485"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222948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53"/>
        </w:trPr>
        <w:tc>
          <w:tcPr>
            <w:tcW w:w="6560" w:type="dxa"/>
            <w:vAlign w:val="bottom"/>
          </w:tcPr>
          <w:p>
            <w:pPr>
              <w:ind w:left="280"/>
              <w:spacing w:after="0"/>
              <w:rPr>
                <w:sz w:val="20"/>
                <w:szCs w:val="20"/>
                <w:color w:val="auto"/>
              </w:rPr>
            </w:pPr>
            <w:r>
              <w:rPr>
                <w:rFonts w:ascii="Arial" w:cs="Arial" w:eastAsia="Arial" w:hAnsi="Arial"/>
                <w:sz w:val="22"/>
                <w:szCs w:val="22"/>
                <w:color w:val="auto"/>
              </w:rPr>
              <w:t>Revenues</w:t>
            </w:r>
          </w:p>
        </w:tc>
        <w:tc>
          <w:tcPr>
            <w:tcW w:w="600" w:type="dxa"/>
            <w:vAlign w:val="bottom"/>
          </w:tcPr>
          <w:p>
            <w:pPr>
              <w:jc w:val="right"/>
              <w:spacing w:after="0"/>
              <w:rPr>
                <w:sz w:val="20"/>
                <w:szCs w:val="20"/>
                <w:color w:val="auto"/>
              </w:rPr>
            </w:pPr>
            <w:r>
              <w:rPr>
                <w:rFonts w:ascii="Arial" w:cs="Arial" w:eastAsia="Arial" w:hAnsi="Arial"/>
                <w:sz w:val="22"/>
                <w:szCs w:val="22"/>
                <w:color w:val="auto"/>
              </w:rPr>
              <w:t>4,838</w:t>
            </w:r>
          </w:p>
        </w:tc>
        <w:tc>
          <w:tcPr>
            <w:tcW w:w="1200" w:type="dxa"/>
            <w:vAlign w:val="bottom"/>
            <w:gridSpan w:val="3"/>
          </w:tcPr>
          <w:p>
            <w:pPr>
              <w:jc w:val="right"/>
              <w:ind w:right="300"/>
              <w:spacing w:after="0"/>
              <w:rPr>
                <w:sz w:val="20"/>
                <w:szCs w:val="20"/>
                <w:color w:val="auto"/>
              </w:rPr>
            </w:pPr>
            <w:r>
              <w:rPr>
                <w:rFonts w:ascii="Arial" w:cs="Arial" w:eastAsia="Arial" w:hAnsi="Arial"/>
                <w:sz w:val="22"/>
                <w:szCs w:val="22"/>
                <w:color w:val="auto"/>
              </w:rPr>
              <w:t>4,379</w:t>
            </w:r>
          </w:p>
        </w:tc>
        <w:tc>
          <w:tcPr>
            <w:tcW w:w="660" w:type="dxa"/>
            <w:vAlign w:val="bottom"/>
          </w:tcPr>
          <w:p>
            <w:pPr>
              <w:jc w:val="right"/>
              <w:spacing w:after="0"/>
              <w:rPr>
                <w:sz w:val="20"/>
                <w:szCs w:val="20"/>
                <w:color w:val="auto"/>
              </w:rPr>
            </w:pPr>
            <w:r>
              <w:rPr>
                <w:rFonts w:ascii="Arial" w:cs="Arial" w:eastAsia="Arial" w:hAnsi="Arial"/>
                <w:sz w:val="22"/>
                <w:szCs w:val="22"/>
                <w:color w:val="auto"/>
              </w:rPr>
              <w:t>459</w:t>
            </w:r>
          </w:p>
        </w:tc>
        <w:tc>
          <w:tcPr>
            <w:tcW w:w="1040" w:type="dxa"/>
            <w:vAlign w:val="bottom"/>
            <w:gridSpan w:val="2"/>
          </w:tcPr>
          <w:p>
            <w:pPr>
              <w:jc w:val="right"/>
              <w:spacing w:after="0"/>
              <w:rPr>
                <w:sz w:val="20"/>
                <w:szCs w:val="20"/>
                <w:color w:val="auto"/>
              </w:rPr>
            </w:pPr>
            <w:r>
              <w:rPr>
                <w:rFonts w:ascii="Arial" w:cs="Arial" w:eastAsia="Arial" w:hAnsi="Arial"/>
                <w:sz w:val="22"/>
                <w:szCs w:val="22"/>
                <w:color w:val="auto"/>
              </w:rPr>
              <w:t>10.5</w:t>
            </w:r>
          </w:p>
        </w:tc>
        <w:tc>
          <w:tcPr>
            <w:tcW w:w="180" w:type="dxa"/>
            <w:vAlign w:val="bottom"/>
          </w:tcPr>
          <w:p>
            <w:pPr>
              <w:spacing w:after="0"/>
              <w:rPr>
                <w:sz w:val="21"/>
                <w:szCs w:val="21"/>
                <w:color w:val="auto"/>
              </w:rPr>
            </w:pPr>
          </w:p>
        </w:tc>
      </w:tr>
      <w:tr>
        <w:trPr>
          <w:trHeight w:val="275"/>
        </w:trPr>
        <w:tc>
          <w:tcPr>
            <w:tcW w:w="6560" w:type="dxa"/>
            <w:vAlign w:val="bottom"/>
          </w:tcPr>
          <w:p>
            <w:pPr>
              <w:spacing w:after="0"/>
              <w:rPr>
                <w:sz w:val="20"/>
                <w:szCs w:val="20"/>
                <w:color w:val="auto"/>
              </w:rPr>
            </w:pPr>
            <w:r>
              <w:rPr>
                <w:rFonts w:ascii="Arial" w:cs="Arial" w:eastAsia="Arial" w:hAnsi="Arial"/>
                <w:sz w:val="22"/>
                <w:szCs w:val="22"/>
                <w:color w:val="auto"/>
              </w:rPr>
              <w:t>Operating, selling, general and administrative expenses</w:t>
            </w:r>
          </w:p>
        </w:tc>
        <w:tc>
          <w:tcPr>
            <w:tcW w:w="600" w:type="dxa"/>
            <w:vAlign w:val="bottom"/>
          </w:tcPr>
          <w:p>
            <w:pPr>
              <w:jc w:val="right"/>
              <w:spacing w:after="0"/>
              <w:rPr>
                <w:sz w:val="20"/>
                <w:szCs w:val="20"/>
                <w:color w:val="auto"/>
              </w:rPr>
            </w:pPr>
            <w:r>
              <w:rPr>
                <w:rFonts w:ascii="Arial" w:cs="Arial" w:eastAsia="Arial" w:hAnsi="Arial"/>
                <w:sz w:val="22"/>
                <w:szCs w:val="22"/>
                <w:color w:val="auto"/>
              </w:rPr>
              <w:t>2,918</w:t>
            </w:r>
          </w:p>
        </w:tc>
        <w:tc>
          <w:tcPr>
            <w:tcW w:w="1200" w:type="dxa"/>
            <w:vAlign w:val="bottom"/>
            <w:gridSpan w:val="3"/>
          </w:tcPr>
          <w:p>
            <w:pPr>
              <w:jc w:val="right"/>
              <w:ind w:right="300"/>
              <w:spacing w:after="0"/>
              <w:rPr>
                <w:sz w:val="20"/>
                <w:szCs w:val="20"/>
                <w:color w:val="auto"/>
              </w:rPr>
            </w:pPr>
            <w:r>
              <w:rPr>
                <w:rFonts w:ascii="Arial" w:cs="Arial" w:eastAsia="Arial" w:hAnsi="Arial"/>
                <w:sz w:val="22"/>
                <w:szCs w:val="22"/>
                <w:color w:val="auto"/>
              </w:rPr>
              <w:t>2,782</w:t>
            </w:r>
          </w:p>
        </w:tc>
        <w:tc>
          <w:tcPr>
            <w:tcW w:w="660" w:type="dxa"/>
            <w:vAlign w:val="bottom"/>
          </w:tcPr>
          <w:p>
            <w:pPr>
              <w:jc w:val="right"/>
              <w:spacing w:after="0"/>
              <w:rPr>
                <w:sz w:val="20"/>
                <w:szCs w:val="20"/>
                <w:color w:val="auto"/>
              </w:rPr>
            </w:pPr>
            <w:r>
              <w:rPr>
                <w:rFonts w:ascii="Arial" w:cs="Arial" w:eastAsia="Arial" w:hAnsi="Arial"/>
                <w:sz w:val="22"/>
                <w:szCs w:val="22"/>
                <w:color w:val="auto"/>
              </w:rPr>
              <w:t>136</w:t>
            </w:r>
          </w:p>
        </w:tc>
        <w:tc>
          <w:tcPr>
            <w:tcW w:w="1040" w:type="dxa"/>
            <w:vAlign w:val="bottom"/>
            <w:gridSpan w:val="2"/>
          </w:tcPr>
          <w:p>
            <w:pPr>
              <w:jc w:val="right"/>
              <w:spacing w:after="0"/>
              <w:rPr>
                <w:sz w:val="20"/>
                <w:szCs w:val="20"/>
                <w:color w:val="auto"/>
              </w:rPr>
            </w:pPr>
            <w:r>
              <w:rPr>
                <w:rFonts w:ascii="Arial" w:cs="Arial" w:eastAsia="Arial" w:hAnsi="Arial"/>
                <w:sz w:val="22"/>
                <w:szCs w:val="22"/>
                <w:color w:val="auto"/>
              </w:rPr>
              <w:t>4.9</w:t>
            </w:r>
          </w:p>
        </w:tc>
        <w:tc>
          <w:tcPr>
            <w:tcW w:w="180" w:type="dxa"/>
            <w:vAlign w:val="bottom"/>
          </w:tcPr>
          <w:p>
            <w:pPr>
              <w:spacing w:after="0"/>
              <w:rPr>
                <w:sz w:val="23"/>
                <w:szCs w:val="23"/>
                <w:color w:val="auto"/>
              </w:rPr>
            </w:pPr>
          </w:p>
        </w:tc>
      </w:tr>
      <w:tr>
        <w:trPr>
          <w:trHeight w:val="98"/>
        </w:trPr>
        <w:tc>
          <w:tcPr>
            <w:tcW w:w="656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r>
      <w:tr>
        <w:trPr>
          <w:trHeight w:val="355"/>
        </w:trPr>
        <w:tc>
          <w:tcPr>
            <w:tcW w:w="6560" w:type="dxa"/>
            <w:vAlign w:val="bottom"/>
          </w:tcPr>
          <w:p>
            <w:pPr>
              <w:spacing w:after="0"/>
              <w:rPr>
                <w:sz w:val="20"/>
                <w:szCs w:val="20"/>
                <w:color w:val="auto"/>
              </w:rPr>
            </w:pPr>
            <w:r>
              <w:rPr>
                <w:rFonts w:ascii="Arial" w:cs="Arial" w:eastAsia="Arial" w:hAnsi="Arial"/>
                <w:sz w:val="22"/>
                <w:szCs w:val="22"/>
                <w:color w:val="auto"/>
              </w:rPr>
              <w:t>Operating income before depreciation and amortization (a)</w:t>
            </w:r>
          </w:p>
        </w:tc>
        <w:tc>
          <w:tcPr>
            <w:tcW w:w="600" w:type="dxa"/>
            <w:vAlign w:val="bottom"/>
          </w:tcPr>
          <w:p>
            <w:pPr>
              <w:jc w:val="right"/>
              <w:spacing w:after="0"/>
              <w:rPr>
                <w:sz w:val="20"/>
                <w:szCs w:val="20"/>
                <w:color w:val="auto"/>
              </w:rPr>
            </w:pPr>
            <w:r>
              <w:rPr>
                <w:rFonts w:ascii="Arial" w:cs="Arial" w:eastAsia="Arial" w:hAnsi="Arial"/>
                <w:sz w:val="22"/>
                <w:szCs w:val="22"/>
                <w:color w:val="auto"/>
                <w:w w:val="86"/>
              </w:rPr>
              <w:t>$1,920</w:t>
            </w:r>
          </w:p>
        </w:tc>
        <w:tc>
          <w:tcPr>
            <w:tcW w:w="1200" w:type="dxa"/>
            <w:vAlign w:val="bottom"/>
            <w:gridSpan w:val="3"/>
          </w:tcPr>
          <w:p>
            <w:pPr>
              <w:jc w:val="right"/>
              <w:ind w:right="300"/>
              <w:spacing w:after="0"/>
              <w:rPr>
                <w:sz w:val="20"/>
                <w:szCs w:val="20"/>
                <w:color w:val="auto"/>
              </w:rPr>
            </w:pPr>
            <w:r>
              <w:rPr>
                <w:rFonts w:ascii="Arial" w:cs="Arial" w:eastAsia="Arial" w:hAnsi="Arial"/>
                <w:sz w:val="22"/>
                <w:szCs w:val="22"/>
                <w:color w:val="auto"/>
              </w:rPr>
              <w:t>$1,597</w:t>
            </w:r>
          </w:p>
        </w:tc>
        <w:tc>
          <w:tcPr>
            <w:tcW w:w="660" w:type="dxa"/>
            <w:vAlign w:val="bottom"/>
          </w:tcPr>
          <w:p>
            <w:pPr>
              <w:jc w:val="right"/>
              <w:spacing w:after="0"/>
              <w:rPr>
                <w:sz w:val="20"/>
                <w:szCs w:val="20"/>
                <w:color w:val="auto"/>
              </w:rPr>
            </w:pPr>
            <w:r>
              <w:rPr>
                <w:rFonts w:ascii="Arial" w:cs="Arial" w:eastAsia="Arial" w:hAnsi="Arial"/>
                <w:sz w:val="22"/>
                <w:szCs w:val="22"/>
                <w:color w:val="auto"/>
              </w:rPr>
              <w:t>$323</w:t>
            </w:r>
          </w:p>
        </w:tc>
        <w:tc>
          <w:tcPr>
            <w:tcW w:w="1220" w:type="dxa"/>
            <w:vAlign w:val="bottom"/>
            <w:gridSpan w:val="3"/>
          </w:tcPr>
          <w:p>
            <w:pPr>
              <w:jc w:val="right"/>
              <w:spacing w:after="0"/>
              <w:rPr>
                <w:sz w:val="20"/>
                <w:szCs w:val="20"/>
                <w:color w:val="auto"/>
              </w:rPr>
            </w:pPr>
            <w:r>
              <w:rPr>
                <w:rFonts w:ascii="Arial" w:cs="Arial" w:eastAsia="Arial" w:hAnsi="Arial"/>
                <w:sz w:val="22"/>
                <w:szCs w:val="22"/>
                <w:color w:val="auto"/>
              </w:rPr>
              <w:t>20.2%</w:t>
            </w:r>
          </w:p>
        </w:tc>
      </w:tr>
      <w:tr>
        <w:trPr>
          <w:trHeight w:val="108"/>
        </w:trPr>
        <w:tc>
          <w:tcPr>
            <w:tcW w:w="656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4539615</wp:posOffset>
            </wp:positionH>
            <wp:positionV relativeFrom="paragraph">
              <wp:posOffset>-14605</wp:posOffset>
            </wp:positionV>
            <wp:extent cx="1270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-14605</wp:posOffset>
            </wp:positionV>
            <wp:extent cx="1270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-14605</wp:posOffset>
            </wp:positionV>
            <wp:extent cx="1270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-14605</wp:posOffset>
            </wp:positionV>
            <wp:extent cx="1270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-14605</wp:posOffset>
            </wp:positionV>
            <wp:extent cx="1270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-14605</wp:posOffset>
            </wp:positionV>
            <wp:extent cx="1270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-14605</wp:posOffset>
            </wp:positionV>
            <wp:extent cx="1270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-14605</wp:posOffset>
            </wp:positionV>
            <wp:extent cx="1270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560" w:type="dxa"/>
            <w:vAlign w:val="bottom"/>
          </w:tcPr>
          <w:p>
            <w:pPr>
              <w:spacing w:after="0"/>
              <w:rPr>
                <w:sz w:val="21"/>
                <w:szCs w:val="21"/>
                <w:color w:val="auto"/>
              </w:rPr>
            </w:pPr>
          </w:p>
        </w:tc>
        <w:tc>
          <w:tcPr>
            <w:tcW w:w="1640" w:type="dxa"/>
            <w:vAlign w:val="bottom"/>
            <w:gridSpan w:val="4"/>
          </w:tcPr>
          <w:p>
            <w:pPr>
              <w:jc w:val="center"/>
              <w:ind w:right="160"/>
              <w:spacing w:after="0"/>
              <w:rPr>
                <w:sz w:val="20"/>
                <w:szCs w:val="20"/>
                <w:color w:val="auto"/>
              </w:rPr>
            </w:pPr>
            <w:r>
              <w:rPr>
                <w:rFonts w:ascii="Arial" w:cs="Arial" w:eastAsia="Arial" w:hAnsi="Arial"/>
                <w:sz w:val="22"/>
                <w:szCs w:val="22"/>
                <w:color w:val="auto"/>
                <w:w w:val="91"/>
              </w:rPr>
              <w:t>Six Months</w:t>
            </w: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243"/>
        </w:trPr>
        <w:tc>
          <w:tcPr>
            <w:tcW w:w="6560" w:type="dxa"/>
            <w:vAlign w:val="bottom"/>
          </w:tcPr>
          <w:p>
            <w:pPr>
              <w:spacing w:after="0"/>
              <w:rPr>
                <w:sz w:val="21"/>
                <w:szCs w:val="21"/>
                <w:color w:val="auto"/>
              </w:rPr>
            </w:pPr>
          </w:p>
        </w:tc>
        <w:tc>
          <w:tcPr>
            <w:tcW w:w="1640" w:type="dxa"/>
            <w:vAlign w:val="bottom"/>
            <w:gridSpan w:val="4"/>
          </w:tcPr>
          <w:p>
            <w:pPr>
              <w:jc w:val="center"/>
              <w:ind w:right="140"/>
              <w:spacing w:after="0" w:line="243" w:lineRule="exact"/>
              <w:rPr>
                <w:sz w:val="20"/>
                <w:szCs w:val="20"/>
                <w:color w:val="auto"/>
              </w:rPr>
            </w:pPr>
            <w:r>
              <w:rPr>
                <w:rFonts w:ascii="Arial" w:cs="Arial" w:eastAsia="Arial" w:hAnsi="Arial"/>
                <w:sz w:val="22"/>
                <w:szCs w:val="22"/>
                <w:color w:val="auto"/>
                <w:w w:val="84"/>
              </w:rPr>
              <w:t>Ended</w:t>
            </w: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243"/>
        </w:trPr>
        <w:tc>
          <w:tcPr>
            <w:tcW w:w="6560" w:type="dxa"/>
            <w:vAlign w:val="bottom"/>
          </w:tcPr>
          <w:p>
            <w:pPr>
              <w:spacing w:after="0"/>
              <w:rPr>
                <w:sz w:val="21"/>
                <w:szCs w:val="21"/>
                <w:color w:val="auto"/>
              </w:rPr>
            </w:pPr>
          </w:p>
        </w:tc>
        <w:tc>
          <w:tcPr>
            <w:tcW w:w="1640" w:type="dxa"/>
            <w:vAlign w:val="bottom"/>
            <w:gridSpan w:val="4"/>
          </w:tcPr>
          <w:p>
            <w:pPr>
              <w:jc w:val="center"/>
              <w:ind w:right="160"/>
              <w:spacing w:after="0" w:line="243" w:lineRule="exact"/>
              <w:rPr>
                <w:sz w:val="20"/>
                <w:szCs w:val="20"/>
                <w:color w:val="auto"/>
              </w:rPr>
            </w:pPr>
            <w:r>
              <w:rPr>
                <w:rFonts w:ascii="Arial" w:cs="Arial" w:eastAsia="Arial" w:hAnsi="Arial"/>
                <w:sz w:val="22"/>
                <w:szCs w:val="22"/>
                <w:color w:val="auto"/>
                <w:w w:val="85"/>
              </w:rPr>
              <w:t>June 30,</w:t>
            </w:r>
          </w:p>
        </w:tc>
        <w:tc>
          <w:tcPr>
            <w:tcW w:w="2040" w:type="dxa"/>
            <w:vAlign w:val="bottom"/>
            <w:gridSpan w:val="5"/>
          </w:tcPr>
          <w:p>
            <w:pPr>
              <w:jc w:val="right"/>
              <w:ind w:right="180"/>
              <w:spacing w:after="0" w:line="243" w:lineRule="exact"/>
              <w:rPr>
                <w:sz w:val="20"/>
                <w:szCs w:val="20"/>
                <w:color w:val="auto"/>
              </w:rPr>
            </w:pPr>
            <w:r>
              <w:rPr>
                <w:rFonts w:ascii="Arial" w:cs="Arial" w:eastAsia="Arial" w:hAnsi="Arial"/>
                <w:sz w:val="22"/>
                <w:szCs w:val="22"/>
                <w:color w:val="auto"/>
                <w:w w:val="92"/>
              </w:rPr>
              <w:t>Increase/(Decrease)</w:t>
            </w:r>
          </w:p>
        </w:tc>
      </w:tr>
      <w:tr>
        <w:trPr>
          <w:trHeight w:val="275"/>
        </w:trPr>
        <w:tc>
          <w:tcPr>
            <w:tcW w:w="656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22"/>
                <w:szCs w:val="22"/>
                <w:color w:val="auto"/>
              </w:rPr>
              <w:t>2004</w:t>
            </w:r>
          </w:p>
        </w:tc>
        <w:tc>
          <w:tcPr>
            <w:tcW w:w="900" w:type="dxa"/>
            <w:vAlign w:val="bottom"/>
            <w:gridSpan w:val="2"/>
          </w:tcPr>
          <w:p>
            <w:pPr>
              <w:jc w:val="right"/>
              <w:ind w:right="100"/>
              <w:spacing w:after="0"/>
              <w:rPr>
                <w:sz w:val="20"/>
                <w:szCs w:val="20"/>
                <w:color w:val="auto"/>
              </w:rPr>
            </w:pPr>
            <w:r>
              <w:rPr>
                <w:rFonts w:ascii="Arial" w:cs="Arial" w:eastAsia="Arial" w:hAnsi="Arial"/>
                <w:sz w:val="22"/>
                <w:szCs w:val="22"/>
                <w:color w:val="auto"/>
              </w:rPr>
              <w:t>2003</w:t>
            </w:r>
          </w:p>
        </w:tc>
        <w:tc>
          <w:tcPr>
            <w:tcW w:w="140" w:type="dxa"/>
            <w:vAlign w:val="bottom"/>
          </w:tcPr>
          <w:p>
            <w:pPr>
              <w:spacing w:after="0"/>
              <w:rPr>
                <w:sz w:val="23"/>
                <w:szCs w:val="23"/>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22"/>
                <w:szCs w:val="22"/>
                <w:color w:val="auto"/>
              </w:rPr>
              <w:t>$</w:t>
            </w:r>
          </w:p>
        </w:tc>
        <w:tc>
          <w:tcPr>
            <w:tcW w:w="520" w:type="dxa"/>
            <w:vAlign w:val="bottom"/>
          </w:tcPr>
          <w:p>
            <w:pPr>
              <w:spacing w:after="0"/>
              <w:rPr>
                <w:sz w:val="23"/>
                <w:szCs w:val="23"/>
                <w:color w:val="auto"/>
              </w:rPr>
            </w:pPr>
          </w:p>
        </w:tc>
        <w:tc>
          <w:tcPr>
            <w:tcW w:w="520" w:type="dxa"/>
            <w:vAlign w:val="bottom"/>
          </w:tcPr>
          <w:p>
            <w:pPr>
              <w:jc w:val="right"/>
              <w:ind w:right="52"/>
              <w:spacing w:after="0"/>
              <w:rPr>
                <w:sz w:val="20"/>
                <w:szCs w:val="20"/>
                <w:color w:val="auto"/>
              </w:rPr>
            </w:pPr>
            <w:r>
              <w:rPr>
                <w:rFonts w:ascii="Arial" w:cs="Arial" w:eastAsia="Arial" w:hAnsi="Arial"/>
                <w:sz w:val="22"/>
                <w:szCs w:val="22"/>
                <w:color w:val="auto"/>
              </w:rPr>
              <w:t>%</w:t>
            </w:r>
          </w:p>
        </w:tc>
        <w:tc>
          <w:tcPr>
            <w:tcW w:w="180" w:type="dxa"/>
            <w:vAlign w:val="bottom"/>
          </w:tcPr>
          <w:p>
            <w:pPr>
              <w:spacing w:after="0"/>
              <w:rPr>
                <w:sz w:val="23"/>
                <w:szCs w:val="23"/>
                <w:color w:val="auto"/>
              </w:rPr>
            </w:pPr>
          </w:p>
        </w:tc>
      </w:tr>
      <w:tr>
        <w:trPr>
          <w:trHeight w:val="98"/>
        </w:trPr>
        <w:tc>
          <w:tcPr>
            <w:tcW w:w="656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r>
      <w:tr>
        <w:trPr>
          <w:trHeight w:val="323"/>
        </w:trPr>
        <w:tc>
          <w:tcPr>
            <w:tcW w:w="6560" w:type="dxa"/>
            <w:vAlign w:val="bottom"/>
          </w:tcPr>
          <w:p>
            <w:pPr>
              <w:spacing w:after="0"/>
              <w:rPr>
                <w:sz w:val="20"/>
                <w:szCs w:val="20"/>
                <w:color w:val="auto"/>
              </w:rPr>
            </w:pPr>
            <w:r>
              <w:rPr>
                <w:rFonts w:ascii="Arial" w:cs="Arial" w:eastAsia="Arial" w:hAnsi="Arial"/>
                <w:sz w:val="22"/>
                <w:szCs w:val="22"/>
                <w:color w:val="auto"/>
              </w:rPr>
              <w:t>Video</w:t>
            </w:r>
          </w:p>
        </w:tc>
        <w:tc>
          <w:tcPr>
            <w:tcW w:w="600" w:type="dxa"/>
            <w:vAlign w:val="bottom"/>
          </w:tcPr>
          <w:p>
            <w:pPr>
              <w:jc w:val="right"/>
              <w:spacing w:after="0"/>
              <w:rPr>
                <w:sz w:val="20"/>
                <w:szCs w:val="20"/>
                <w:color w:val="auto"/>
              </w:rPr>
            </w:pPr>
            <w:r>
              <w:rPr>
                <w:rFonts w:ascii="Arial" w:cs="Arial" w:eastAsia="Arial" w:hAnsi="Arial"/>
                <w:sz w:val="22"/>
                <w:szCs w:val="22"/>
                <w:color w:val="auto"/>
                <w:w w:val="86"/>
              </w:rPr>
              <w:t>$6,428</w:t>
            </w:r>
          </w:p>
        </w:tc>
        <w:tc>
          <w:tcPr>
            <w:tcW w:w="1040" w:type="dxa"/>
            <w:vAlign w:val="bottom"/>
            <w:gridSpan w:val="3"/>
          </w:tcPr>
          <w:p>
            <w:pPr>
              <w:jc w:val="right"/>
              <w:ind w:right="140"/>
              <w:spacing w:after="0"/>
              <w:rPr>
                <w:sz w:val="20"/>
                <w:szCs w:val="20"/>
                <w:color w:val="auto"/>
              </w:rPr>
            </w:pPr>
            <w:r>
              <w:rPr>
                <w:rFonts w:ascii="Arial" w:cs="Arial" w:eastAsia="Arial" w:hAnsi="Arial"/>
                <w:sz w:val="22"/>
                <w:szCs w:val="22"/>
                <w:color w:val="auto"/>
              </w:rPr>
              <w:t>$6,018</w:t>
            </w:r>
          </w:p>
        </w:tc>
        <w:tc>
          <w:tcPr>
            <w:tcW w:w="820" w:type="dxa"/>
            <w:vAlign w:val="bottom"/>
            <w:gridSpan w:val="2"/>
          </w:tcPr>
          <w:p>
            <w:pPr>
              <w:jc w:val="right"/>
              <w:spacing w:after="0"/>
              <w:rPr>
                <w:sz w:val="20"/>
                <w:szCs w:val="20"/>
                <w:color w:val="auto"/>
              </w:rPr>
            </w:pPr>
            <w:r>
              <w:rPr>
                <w:rFonts w:ascii="Arial" w:cs="Arial" w:eastAsia="Arial" w:hAnsi="Arial"/>
                <w:sz w:val="22"/>
                <w:szCs w:val="22"/>
                <w:color w:val="auto"/>
              </w:rPr>
              <w:t>$410</w:t>
            </w:r>
          </w:p>
        </w:tc>
        <w:tc>
          <w:tcPr>
            <w:tcW w:w="520" w:type="dxa"/>
            <w:vAlign w:val="bottom"/>
          </w:tcPr>
          <w:p>
            <w:pPr>
              <w:spacing w:after="0"/>
              <w:rPr>
                <w:sz w:val="24"/>
                <w:szCs w:val="24"/>
                <w:color w:val="auto"/>
              </w:rPr>
            </w:pPr>
          </w:p>
        </w:tc>
        <w:tc>
          <w:tcPr>
            <w:tcW w:w="700" w:type="dxa"/>
            <w:vAlign w:val="bottom"/>
            <w:gridSpan w:val="2"/>
          </w:tcPr>
          <w:p>
            <w:pPr>
              <w:jc w:val="right"/>
              <w:spacing w:after="0"/>
              <w:rPr>
                <w:sz w:val="20"/>
                <w:szCs w:val="20"/>
                <w:color w:val="auto"/>
              </w:rPr>
            </w:pPr>
            <w:r>
              <w:rPr>
                <w:rFonts w:ascii="Arial" w:cs="Arial" w:eastAsia="Arial" w:hAnsi="Arial"/>
                <w:sz w:val="22"/>
                <w:szCs w:val="22"/>
                <w:color w:val="auto"/>
              </w:rPr>
              <w:t>6.8%</w:t>
            </w:r>
          </w:p>
        </w:tc>
      </w:tr>
      <w:tr>
        <w:trPr>
          <w:trHeight w:val="243"/>
        </w:trPr>
        <w:tc>
          <w:tcPr>
            <w:tcW w:w="6560" w:type="dxa"/>
            <w:vAlign w:val="bottom"/>
          </w:tcPr>
          <w:p>
            <w:pPr>
              <w:spacing w:after="0" w:line="243" w:lineRule="exact"/>
              <w:rPr>
                <w:sz w:val="20"/>
                <w:szCs w:val="20"/>
                <w:color w:val="auto"/>
              </w:rPr>
            </w:pPr>
            <w:r>
              <w:rPr>
                <w:rFonts w:ascii="Arial" w:cs="Arial" w:eastAsia="Arial" w:hAnsi="Arial"/>
                <w:sz w:val="22"/>
                <w:szCs w:val="22"/>
                <w:color w:val="auto"/>
              </w:rPr>
              <w:t>High-speed Internet</w:t>
            </w:r>
          </w:p>
        </w:tc>
        <w:tc>
          <w:tcPr>
            <w:tcW w:w="600" w:type="dxa"/>
            <w:vAlign w:val="bottom"/>
          </w:tcPr>
          <w:p>
            <w:pPr>
              <w:jc w:val="right"/>
              <w:spacing w:after="0" w:line="243" w:lineRule="exact"/>
              <w:rPr>
                <w:sz w:val="20"/>
                <w:szCs w:val="20"/>
                <w:color w:val="auto"/>
              </w:rPr>
            </w:pPr>
            <w:r>
              <w:rPr>
                <w:rFonts w:ascii="Arial" w:cs="Arial" w:eastAsia="Arial" w:hAnsi="Arial"/>
                <w:sz w:val="22"/>
                <w:szCs w:val="22"/>
                <w:color w:val="auto"/>
              </w:rPr>
              <w:t>1,461</w:t>
            </w:r>
          </w:p>
        </w:tc>
        <w:tc>
          <w:tcPr>
            <w:tcW w:w="1040" w:type="dxa"/>
            <w:vAlign w:val="bottom"/>
            <w:gridSpan w:val="3"/>
          </w:tcPr>
          <w:p>
            <w:pPr>
              <w:jc w:val="right"/>
              <w:ind w:right="140"/>
              <w:spacing w:after="0" w:line="243" w:lineRule="exact"/>
              <w:rPr>
                <w:sz w:val="20"/>
                <w:szCs w:val="20"/>
                <w:color w:val="auto"/>
              </w:rPr>
            </w:pPr>
            <w:r>
              <w:rPr>
                <w:rFonts w:ascii="Arial" w:cs="Arial" w:eastAsia="Arial" w:hAnsi="Arial"/>
                <w:sz w:val="22"/>
                <w:szCs w:val="22"/>
                <w:color w:val="auto"/>
              </w:rPr>
              <w:t>1,040</w:t>
            </w:r>
          </w:p>
        </w:tc>
        <w:tc>
          <w:tcPr>
            <w:tcW w:w="82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421</w:t>
            </w:r>
          </w:p>
        </w:tc>
        <w:tc>
          <w:tcPr>
            <w:tcW w:w="520" w:type="dxa"/>
            <w:vAlign w:val="bottom"/>
          </w:tcPr>
          <w:p>
            <w:pPr>
              <w:spacing w:after="0"/>
              <w:rPr>
                <w:sz w:val="21"/>
                <w:szCs w:val="21"/>
                <w:color w:val="auto"/>
              </w:rPr>
            </w:pPr>
          </w:p>
        </w:tc>
        <w:tc>
          <w:tcPr>
            <w:tcW w:w="520" w:type="dxa"/>
            <w:vAlign w:val="bottom"/>
          </w:tcPr>
          <w:p>
            <w:pPr>
              <w:jc w:val="right"/>
              <w:spacing w:after="0" w:line="243" w:lineRule="exact"/>
              <w:rPr>
                <w:sz w:val="20"/>
                <w:szCs w:val="20"/>
                <w:color w:val="auto"/>
              </w:rPr>
            </w:pPr>
            <w:r>
              <w:rPr>
                <w:rFonts w:ascii="Arial" w:cs="Arial" w:eastAsia="Arial" w:hAnsi="Arial"/>
                <w:sz w:val="22"/>
                <w:szCs w:val="22"/>
                <w:color w:val="auto"/>
              </w:rPr>
              <w:t>40.5</w:t>
            </w:r>
          </w:p>
        </w:tc>
        <w:tc>
          <w:tcPr>
            <w:tcW w:w="180" w:type="dxa"/>
            <w:vAlign w:val="bottom"/>
          </w:tcPr>
          <w:p>
            <w:pPr>
              <w:spacing w:after="0"/>
              <w:rPr>
                <w:sz w:val="21"/>
                <w:szCs w:val="21"/>
                <w:color w:val="auto"/>
              </w:rPr>
            </w:pPr>
          </w:p>
        </w:tc>
      </w:tr>
      <w:tr>
        <w:trPr>
          <w:trHeight w:val="243"/>
        </w:trPr>
        <w:tc>
          <w:tcPr>
            <w:tcW w:w="6560" w:type="dxa"/>
            <w:vAlign w:val="bottom"/>
          </w:tcPr>
          <w:p>
            <w:pPr>
              <w:spacing w:after="0" w:line="243" w:lineRule="exact"/>
              <w:rPr>
                <w:sz w:val="20"/>
                <w:szCs w:val="20"/>
                <w:color w:val="auto"/>
              </w:rPr>
            </w:pPr>
            <w:r>
              <w:rPr>
                <w:rFonts w:ascii="Arial" w:cs="Arial" w:eastAsia="Arial" w:hAnsi="Arial"/>
                <w:sz w:val="22"/>
                <w:szCs w:val="22"/>
                <w:color w:val="auto"/>
              </w:rPr>
              <w:t>Phone</w:t>
            </w:r>
          </w:p>
        </w:tc>
        <w:tc>
          <w:tcPr>
            <w:tcW w:w="600" w:type="dxa"/>
            <w:vAlign w:val="bottom"/>
          </w:tcPr>
          <w:p>
            <w:pPr>
              <w:jc w:val="right"/>
              <w:spacing w:after="0" w:line="243" w:lineRule="exact"/>
              <w:rPr>
                <w:sz w:val="20"/>
                <w:szCs w:val="20"/>
                <w:color w:val="auto"/>
              </w:rPr>
            </w:pPr>
            <w:r>
              <w:rPr>
                <w:rFonts w:ascii="Arial" w:cs="Arial" w:eastAsia="Arial" w:hAnsi="Arial"/>
                <w:sz w:val="22"/>
                <w:szCs w:val="22"/>
                <w:color w:val="auto"/>
              </w:rPr>
              <w:t>355</w:t>
            </w:r>
          </w:p>
        </w:tc>
        <w:tc>
          <w:tcPr>
            <w:tcW w:w="1040" w:type="dxa"/>
            <w:vAlign w:val="bottom"/>
            <w:gridSpan w:val="3"/>
          </w:tcPr>
          <w:p>
            <w:pPr>
              <w:jc w:val="right"/>
              <w:ind w:right="140"/>
              <w:spacing w:after="0" w:line="243" w:lineRule="exact"/>
              <w:rPr>
                <w:sz w:val="20"/>
                <w:szCs w:val="20"/>
                <w:color w:val="auto"/>
              </w:rPr>
            </w:pPr>
            <w:r>
              <w:rPr>
                <w:rFonts w:ascii="Arial" w:cs="Arial" w:eastAsia="Arial" w:hAnsi="Arial"/>
                <w:sz w:val="22"/>
                <w:szCs w:val="22"/>
                <w:color w:val="auto"/>
              </w:rPr>
              <w:t>430</w:t>
            </w:r>
          </w:p>
        </w:tc>
        <w:tc>
          <w:tcPr>
            <w:tcW w:w="1340" w:type="dxa"/>
            <w:vAlign w:val="bottom"/>
            <w:gridSpan w:val="3"/>
          </w:tcPr>
          <w:p>
            <w:pPr>
              <w:jc w:val="right"/>
              <w:ind w:right="460"/>
              <w:spacing w:after="0" w:line="243" w:lineRule="exact"/>
              <w:rPr>
                <w:sz w:val="20"/>
                <w:szCs w:val="20"/>
                <w:color w:val="auto"/>
              </w:rPr>
            </w:pPr>
            <w:r>
              <w:rPr>
                <w:rFonts w:ascii="Arial" w:cs="Arial" w:eastAsia="Arial" w:hAnsi="Arial"/>
                <w:sz w:val="22"/>
                <w:szCs w:val="22"/>
                <w:color w:val="auto"/>
              </w:rPr>
              <w:t>(75)</w:t>
            </w:r>
          </w:p>
        </w:tc>
        <w:tc>
          <w:tcPr>
            <w:tcW w:w="70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(17.4)</w:t>
            </w:r>
          </w:p>
        </w:tc>
      </w:tr>
      <w:tr>
        <w:trPr>
          <w:trHeight w:val="243"/>
        </w:trPr>
        <w:tc>
          <w:tcPr>
            <w:tcW w:w="6560" w:type="dxa"/>
            <w:vAlign w:val="bottom"/>
          </w:tcPr>
          <w:p>
            <w:pPr>
              <w:spacing w:after="0" w:line="243" w:lineRule="exact"/>
              <w:rPr>
                <w:sz w:val="20"/>
                <w:szCs w:val="20"/>
                <w:color w:val="auto"/>
              </w:rPr>
            </w:pPr>
            <w:r>
              <w:rPr>
                <w:rFonts w:ascii="Arial" w:cs="Arial" w:eastAsia="Arial" w:hAnsi="Arial"/>
                <w:sz w:val="22"/>
                <w:szCs w:val="22"/>
                <w:color w:val="auto"/>
              </w:rPr>
              <w:t>Advertising sales</w:t>
            </w:r>
          </w:p>
        </w:tc>
        <w:tc>
          <w:tcPr>
            <w:tcW w:w="600" w:type="dxa"/>
            <w:vAlign w:val="bottom"/>
          </w:tcPr>
          <w:p>
            <w:pPr>
              <w:jc w:val="right"/>
              <w:spacing w:after="0" w:line="243" w:lineRule="exact"/>
              <w:rPr>
                <w:sz w:val="20"/>
                <w:szCs w:val="20"/>
                <w:color w:val="auto"/>
              </w:rPr>
            </w:pPr>
            <w:r>
              <w:rPr>
                <w:rFonts w:ascii="Arial" w:cs="Arial" w:eastAsia="Arial" w:hAnsi="Arial"/>
                <w:sz w:val="22"/>
                <w:szCs w:val="22"/>
                <w:color w:val="auto"/>
              </w:rPr>
              <w:t>599</w:t>
            </w:r>
          </w:p>
        </w:tc>
        <w:tc>
          <w:tcPr>
            <w:tcW w:w="1040" w:type="dxa"/>
            <w:vAlign w:val="bottom"/>
            <w:gridSpan w:val="3"/>
          </w:tcPr>
          <w:p>
            <w:pPr>
              <w:jc w:val="right"/>
              <w:ind w:right="140"/>
              <w:spacing w:after="0" w:line="243" w:lineRule="exact"/>
              <w:rPr>
                <w:sz w:val="20"/>
                <w:szCs w:val="20"/>
                <w:color w:val="auto"/>
              </w:rPr>
            </w:pPr>
            <w:r>
              <w:rPr>
                <w:rFonts w:ascii="Arial" w:cs="Arial" w:eastAsia="Arial" w:hAnsi="Arial"/>
                <w:sz w:val="22"/>
                <w:szCs w:val="22"/>
                <w:color w:val="auto"/>
              </w:rPr>
              <w:t>521</w:t>
            </w:r>
          </w:p>
        </w:tc>
        <w:tc>
          <w:tcPr>
            <w:tcW w:w="82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78</w:t>
            </w:r>
          </w:p>
        </w:tc>
        <w:tc>
          <w:tcPr>
            <w:tcW w:w="520" w:type="dxa"/>
            <w:vAlign w:val="bottom"/>
          </w:tcPr>
          <w:p>
            <w:pPr>
              <w:spacing w:after="0"/>
              <w:rPr>
                <w:sz w:val="21"/>
                <w:szCs w:val="21"/>
                <w:color w:val="auto"/>
              </w:rPr>
            </w:pPr>
          </w:p>
        </w:tc>
        <w:tc>
          <w:tcPr>
            <w:tcW w:w="520" w:type="dxa"/>
            <w:vAlign w:val="bottom"/>
          </w:tcPr>
          <w:p>
            <w:pPr>
              <w:jc w:val="right"/>
              <w:spacing w:after="0" w:line="243" w:lineRule="exact"/>
              <w:rPr>
                <w:sz w:val="20"/>
                <w:szCs w:val="20"/>
                <w:color w:val="auto"/>
              </w:rPr>
            </w:pPr>
            <w:r>
              <w:rPr>
                <w:rFonts w:ascii="Arial" w:cs="Arial" w:eastAsia="Arial" w:hAnsi="Arial"/>
                <w:sz w:val="22"/>
                <w:szCs w:val="22"/>
                <w:color w:val="auto"/>
              </w:rPr>
              <w:t>15.0</w:t>
            </w:r>
          </w:p>
        </w:tc>
        <w:tc>
          <w:tcPr>
            <w:tcW w:w="180" w:type="dxa"/>
            <w:vAlign w:val="bottom"/>
          </w:tcPr>
          <w:p>
            <w:pPr>
              <w:spacing w:after="0"/>
              <w:rPr>
                <w:sz w:val="21"/>
                <w:szCs w:val="21"/>
                <w:color w:val="auto"/>
              </w:rPr>
            </w:pPr>
          </w:p>
        </w:tc>
      </w:tr>
      <w:tr>
        <w:trPr>
          <w:trHeight w:val="243"/>
        </w:trPr>
        <w:tc>
          <w:tcPr>
            <w:tcW w:w="6560" w:type="dxa"/>
            <w:vAlign w:val="bottom"/>
          </w:tcPr>
          <w:p>
            <w:pPr>
              <w:spacing w:after="0" w:line="243" w:lineRule="exact"/>
              <w:rPr>
                <w:sz w:val="20"/>
                <w:szCs w:val="20"/>
                <w:color w:val="auto"/>
              </w:rPr>
            </w:pPr>
            <w:r>
              <w:rPr>
                <w:rFonts w:ascii="Arial" w:cs="Arial" w:eastAsia="Arial" w:hAnsi="Arial"/>
                <w:sz w:val="22"/>
                <w:szCs w:val="22"/>
                <w:color w:val="auto"/>
              </w:rPr>
              <w:t>Other</w:t>
            </w:r>
          </w:p>
        </w:tc>
        <w:tc>
          <w:tcPr>
            <w:tcW w:w="600" w:type="dxa"/>
            <w:vAlign w:val="bottom"/>
          </w:tcPr>
          <w:p>
            <w:pPr>
              <w:jc w:val="right"/>
              <w:spacing w:after="0" w:line="243" w:lineRule="exact"/>
              <w:rPr>
                <w:sz w:val="20"/>
                <w:szCs w:val="20"/>
                <w:color w:val="auto"/>
              </w:rPr>
            </w:pPr>
            <w:r>
              <w:rPr>
                <w:rFonts w:ascii="Arial" w:cs="Arial" w:eastAsia="Arial" w:hAnsi="Arial"/>
                <w:sz w:val="22"/>
                <w:szCs w:val="22"/>
                <w:color w:val="auto"/>
              </w:rPr>
              <w:t>320</w:t>
            </w:r>
          </w:p>
        </w:tc>
        <w:tc>
          <w:tcPr>
            <w:tcW w:w="1040" w:type="dxa"/>
            <w:vAlign w:val="bottom"/>
            <w:gridSpan w:val="3"/>
          </w:tcPr>
          <w:p>
            <w:pPr>
              <w:jc w:val="right"/>
              <w:ind w:right="140"/>
              <w:spacing w:after="0" w:line="243" w:lineRule="exact"/>
              <w:rPr>
                <w:sz w:val="20"/>
                <w:szCs w:val="20"/>
                <w:color w:val="auto"/>
              </w:rPr>
            </w:pPr>
            <w:r>
              <w:rPr>
                <w:rFonts w:ascii="Arial" w:cs="Arial" w:eastAsia="Arial" w:hAnsi="Arial"/>
                <w:sz w:val="22"/>
                <w:szCs w:val="22"/>
                <w:color w:val="auto"/>
              </w:rPr>
              <w:t>300</w:t>
            </w:r>
          </w:p>
        </w:tc>
        <w:tc>
          <w:tcPr>
            <w:tcW w:w="82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20</w:t>
            </w:r>
          </w:p>
        </w:tc>
        <w:tc>
          <w:tcPr>
            <w:tcW w:w="520" w:type="dxa"/>
            <w:vAlign w:val="bottom"/>
          </w:tcPr>
          <w:p>
            <w:pPr>
              <w:spacing w:after="0"/>
              <w:rPr>
                <w:sz w:val="21"/>
                <w:szCs w:val="21"/>
                <w:color w:val="auto"/>
              </w:rPr>
            </w:pPr>
          </w:p>
        </w:tc>
        <w:tc>
          <w:tcPr>
            <w:tcW w:w="520" w:type="dxa"/>
            <w:vAlign w:val="bottom"/>
          </w:tcPr>
          <w:p>
            <w:pPr>
              <w:jc w:val="right"/>
              <w:spacing w:after="0" w:line="243" w:lineRule="exact"/>
              <w:rPr>
                <w:sz w:val="20"/>
                <w:szCs w:val="20"/>
                <w:color w:val="auto"/>
              </w:rPr>
            </w:pPr>
            <w:r>
              <w:rPr>
                <w:rFonts w:ascii="Arial" w:cs="Arial" w:eastAsia="Arial" w:hAnsi="Arial"/>
                <w:sz w:val="22"/>
                <w:szCs w:val="22"/>
                <w:color w:val="auto"/>
              </w:rPr>
              <w:t>6.7</w:t>
            </w:r>
          </w:p>
        </w:tc>
        <w:tc>
          <w:tcPr>
            <w:tcW w:w="180" w:type="dxa"/>
            <w:vAlign w:val="bottom"/>
          </w:tcPr>
          <w:p>
            <w:pPr>
              <w:spacing w:after="0"/>
              <w:rPr>
                <w:sz w:val="21"/>
                <w:szCs w:val="21"/>
                <w:color w:val="auto"/>
              </w:rPr>
            </w:pPr>
          </w:p>
        </w:tc>
      </w:tr>
      <w:tr>
        <w:trPr>
          <w:trHeight w:val="275"/>
        </w:trPr>
        <w:tc>
          <w:tcPr>
            <w:tcW w:w="6560" w:type="dxa"/>
            <w:vAlign w:val="bottom"/>
          </w:tcPr>
          <w:p>
            <w:pPr>
              <w:spacing w:after="0"/>
              <w:rPr>
                <w:sz w:val="20"/>
                <w:szCs w:val="20"/>
                <w:color w:val="auto"/>
              </w:rPr>
            </w:pPr>
            <w:r>
              <w:rPr>
                <w:rFonts w:ascii="Arial" w:cs="Arial" w:eastAsia="Arial" w:hAnsi="Arial"/>
                <w:sz w:val="22"/>
                <w:szCs w:val="22"/>
                <w:color w:val="auto"/>
              </w:rPr>
              <w:t>Franchise fees</w:t>
            </w:r>
          </w:p>
        </w:tc>
        <w:tc>
          <w:tcPr>
            <w:tcW w:w="600" w:type="dxa"/>
            <w:vAlign w:val="bottom"/>
          </w:tcPr>
          <w:p>
            <w:pPr>
              <w:jc w:val="right"/>
              <w:spacing w:after="0"/>
              <w:rPr>
                <w:sz w:val="20"/>
                <w:szCs w:val="20"/>
                <w:color w:val="auto"/>
              </w:rPr>
            </w:pPr>
            <w:r>
              <w:rPr>
                <w:rFonts w:ascii="Arial" w:cs="Arial" w:eastAsia="Arial" w:hAnsi="Arial"/>
                <w:sz w:val="22"/>
                <w:szCs w:val="22"/>
                <w:color w:val="auto"/>
              </w:rPr>
              <w:t>322</w:t>
            </w:r>
          </w:p>
        </w:tc>
        <w:tc>
          <w:tcPr>
            <w:tcW w:w="1040" w:type="dxa"/>
            <w:vAlign w:val="bottom"/>
            <w:gridSpan w:val="3"/>
          </w:tcPr>
          <w:p>
            <w:pPr>
              <w:jc w:val="right"/>
              <w:ind w:right="140"/>
              <w:spacing w:after="0"/>
              <w:rPr>
                <w:sz w:val="20"/>
                <w:szCs w:val="20"/>
                <w:color w:val="auto"/>
              </w:rPr>
            </w:pPr>
            <w:r>
              <w:rPr>
                <w:rFonts w:ascii="Arial" w:cs="Arial" w:eastAsia="Arial" w:hAnsi="Arial"/>
                <w:sz w:val="22"/>
                <w:szCs w:val="22"/>
                <w:color w:val="auto"/>
              </w:rPr>
              <w:t>302</w:t>
            </w:r>
          </w:p>
        </w:tc>
        <w:tc>
          <w:tcPr>
            <w:tcW w:w="820" w:type="dxa"/>
            <w:vAlign w:val="bottom"/>
            <w:gridSpan w:val="2"/>
          </w:tcPr>
          <w:p>
            <w:pPr>
              <w:jc w:val="right"/>
              <w:spacing w:after="0"/>
              <w:rPr>
                <w:sz w:val="20"/>
                <w:szCs w:val="20"/>
                <w:color w:val="auto"/>
              </w:rPr>
            </w:pPr>
            <w:r>
              <w:rPr>
                <w:rFonts w:ascii="Arial" w:cs="Arial" w:eastAsia="Arial" w:hAnsi="Arial"/>
                <w:sz w:val="22"/>
                <w:szCs w:val="22"/>
                <w:color w:val="auto"/>
              </w:rPr>
              <w:t>20</w:t>
            </w:r>
          </w:p>
        </w:tc>
        <w:tc>
          <w:tcPr>
            <w:tcW w:w="52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22"/>
                <w:szCs w:val="22"/>
                <w:color w:val="auto"/>
              </w:rPr>
              <w:t>6.7</w:t>
            </w:r>
          </w:p>
        </w:tc>
        <w:tc>
          <w:tcPr>
            <w:tcW w:w="180" w:type="dxa"/>
            <w:vAlign w:val="bottom"/>
          </w:tcPr>
          <w:p>
            <w:pPr>
              <w:spacing w:after="0"/>
              <w:rPr>
                <w:sz w:val="23"/>
                <w:szCs w:val="23"/>
                <w:color w:val="auto"/>
              </w:rPr>
            </w:pPr>
          </w:p>
        </w:tc>
      </w:tr>
      <w:tr>
        <w:trPr>
          <w:trHeight w:val="98"/>
        </w:trPr>
        <w:tc>
          <w:tcPr>
            <w:tcW w:w="656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r>
      <w:tr>
        <w:trPr>
          <w:trHeight w:val="323"/>
        </w:trPr>
        <w:tc>
          <w:tcPr>
            <w:tcW w:w="6560" w:type="dxa"/>
            <w:vAlign w:val="bottom"/>
          </w:tcPr>
          <w:p>
            <w:pPr>
              <w:ind w:left="280"/>
              <w:spacing w:after="0"/>
              <w:rPr>
                <w:sz w:val="20"/>
                <w:szCs w:val="20"/>
                <w:color w:val="auto"/>
              </w:rPr>
            </w:pPr>
            <w:r>
              <w:rPr>
                <w:rFonts w:ascii="Arial" w:cs="Arial" w:eastAsia="Arial" w:hAnsi="Arial"/>
                <w:sz w:val="22"/>
                <w:szCs w:val="22"/>
                <w:color w:val="auto"/>
              </w:rPr>
              <w:t>Revenues</w:t>
            </w:r>
          </w:p>
        </w:tc>
        <w:tc>
          <w:tcPr>
            <w:tcW w:w="600" w:type="dxa"/>
            <w:vAlign w:val="bottom"/>
          </w:tcPr>
          <w:p>
            <w:pPr>
              <w:jc w:val="right"/>
              <w:spacing w:after="0"/>
              <w:rPr>
                <w:sz w:val="20"/>
                <w:szCs w:val="20"/>
                <w:color w:val="auto"/>
              </w:rPr>
            </w:pPr>
            <w:r>
              <w:rPr>
                <w:rFonts w:ascii="Arial" w:cs="Arial" w:eastAsia="Arial" w:hAnsi="Arial"/>
                <w:sz w:val="22"/>
                <w:szCs w:val="22"/>
                <w:color w:val="auto"/>
              </w:rPr>
              <w:t>9,485</w:t>
            </w:r>
          </w:p>
        </w:tc>
        <w:tc>
          <w:tcPr>
            <w:tcW w:w="1040" w:type="dxa"/>
            <w:vAlign w:val="bottom"/>
            <w:gridSpan w:val="3"/>
          </w:tcPr>
          <w:p>
            <w:pPr>
              <w:jc w:val="right"/>
              <w:ind w:right="140"/>
              <w:spacing w:after="0"/>
              <w:rPr>
                <w:sz w:val="20"/>
                <w:szCs w:val="20"/>
                <w:color w:val="auto"/>
              </w:rPr>
            </w:pPr>
            <w:r>
              <w:rPr>
                <w:rFonts w:ascii="Arial" w:cs="Arial" w:eastAsia="Arial" w:hAnsi="Arial"/>
                <w:sz w:val="22"/>
                <w:szCs w:val="22"/>
                <w:color w:val="auto"/>
              </w:rPr>
              <w:t>8,611</w:t>
            </w:r>
          </w:p>
        </w:tc>
        <w:tc>
          <w:tcPr>
            <w:tcW w:w="820" w:type="dxa"/>
            <w:vAlign w:val="bottom"/>
            <w:gridSpan w:val="2"/>
          </w:tcPr>
          <w:p>
            <w:pPr>
              <w:jc w:val="right"/>
              <w:spacing w:after="0"/>
              <w:rPr>
                <w:sz w:val="20"/>
                <w:szCs w:val="20"/>
                <w:color w:val="auto"/>
              </w:rPr>
            </w:pPr>
            <w:r>
              <w:rPr>
                <w:rFonts w:ascii="Arial" w:cs="Arial" w:eastAsia="Arial" w:hAnsi="Arial"/>
                <w:sz w:val="22"/>
                <w:szCs w:val="22"/>
                <w:color w:val="auto"/>
              </w:rPr>
              <w:t>874</w:t>
            </w:r>
          </w:p>
        </w:tc>
        <w:tc>
          <w:tcPr>
            <w:tcW w:w="52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22"/>
                <w:szCs w:val="22"/>
                <w:color w:val="auto"/>
              </w:rPr>
              <w:t>10.1</w:t>
            </w:r>
          </w:p>
        </w:tc>
        <w:tc>
          <w:tcPr>
            <w:tcW w:w="180" w:type="dxa"/>
            <w:vAlign w:val="bottom"/>
          </w:tcPr>
          <w:p>
            <w:pPr>
              <w:spacing w:after="0"/>
              <w:rPr>
                <w:sz w:val="24"/>
                <w:szCs w:val="24"/>
                <w:color w:val="auto"/>
              </w:rPr>
            </w:pPr>
          </w:p>
        </w:tc>
      </w:tr>
      <w:tr>
        <w:trPr>
          <w:trHeight w:val="275"/>
        </w:trPr>
        <w:tc>
          <w:tcPr>
            <w:tcW w:w="6560" w:type="dxa"/>
            <w:vAlign w:val="bottom"/>
          </w:tcPr>
          <w:p>
            <w:pPr>
              <w:spacing w:after="0"/>
              <w:rPr>
                <w:sz w:val="20"/>
                <w:szCs w:val="20"/>
                <w:color w:val="auto"/>
              </w:rPr>
            </w:pPr>
            <w:r>
              <w:rPr>
                <w:rFonts w:ascii="Arial" w:cs="Arial" w:eastAsia="Arial" w:hAnsi="Arial"/>
                <w:sz w:val="22"/>
                <w:szCs w:val="22"/>
                <w:color w:val="auto"/>
              </w:rPr>
              <w:t>Operating, selling, general and administrative expenses</w:t>
            </w:r>
          </w:p>
        </w:tc>
        <w:tc>
          <w:tcPr>
            <w:tcW w:w="600" w:type="dxa"/>
            <w:vAlign w:val="bottom"/>
          </w:tcPr>
          <w:p>
            <w:pPr>
              <w:jc w:val="right"/>
              <w:spacing w:after="0"/>
              <w:rPr>
                <w:sz w:val="20"/>
                <w:szCs w:val="20"/>
                <w:color w:val="auto"/>
              </w:rPr>
            </w:pPr>
            <w:r>
              <w:rPr>
                <w:rFonts w:ascii="Arial" w:cs="Arial" w:eastAsia="Arial" w:hAnsi="Arial"/>
                <w:sz w:val="22"/>
                <w:szCs w:val="22"/>
                <w:color w:val="auto"/>
              </w:rPr>
              <w:t>5,846</w:t>
            </w:r>
          </w:p>
        </w:tc>
        <w:tc>
          <w:tcPr>
            <w:tcW w:w="1040" w:type="dxa"/>
            <w:vAlign w:val="bottom"/>
            <w:gridSpan w:val="3"/>
          </w:tcPr>
          <w:p>
            <w:pPr>
              <w:jc w:val="right"/>
              <w:ind w:right="140"/>
              <w:spacing w:after="0"/>
              <w:rPr>
                <w:sz w:val="20"/>
                <w:szCs w:val="20"/>
                <w:color w:val="auto"/>
              </w:rPr>
            </w:pPr>
            <w:r>
              <w:rPr>
                <w:rFonts w:ascii="Arial" w:cs="Arial" w:eastAsia="Arial" w:hAnsi="Arial"/>
                <w:sz w:val="22"/>
                <w:szCs w:val="22"/>
                <w:color w:val="auto"/>
              </w:rPr>
              <w:t>5,593</w:t>
            </w:r>
          </w:p>
        </w:tc>
        <w:tc>
          <w:tcPr>
            <w:tcW w:w="820" w:type="dxa"/>
            <w:vAlign w:val="bottom"/>
            <w:gridSpan w:val="2"/>
          </w:tcPr>
          <w:p>
            <w:pPr>
              <w:jc w:val="right"/>
              <w:spacing w:after="0"/>
              <w:rPr>
                <w:sz w:val="20"/>
                <w:szCs w:val="20"/>
                <w:color w:val="auto"/>
              </w:rPr>
            </w:pPr>
            <w:r>
              <w:rPr>
                <w:rFonts w:ascii="Arial" w:cs="Arial" w:eastAsia="Arial" w:hAnsi="Arial"/>
                <w:sz w:val="22"/>
                <w:szCs w:val="22"/>
                <w:color w:val="auto"/>
              </w:rPr>
              <w:t>253</w:t>
            </w:r>
          </w:p>
        </w:tc>
        <w:tc>
          <w:tcPr>
            <w:tcW w:w="52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22"/>
                <w:szCs w:val="22"/>
                <w:color w:val="auto"/>
              </w:rPr>
              <w:t>4.5</w:t>
            </w:r>
          </w:p>
        </w:tc>
        <w:tc>
          <w:tcPr>
            <w:tcW w:w="180" w:type="dxa"/>
            <w:vAlign w:val="bottom"/>
          </w:tcPr>
          <w:p>
            <w:pPr>
              <w:spacing w:after="0"/>
              <w:rPr>
                <w:sz w:val="23"/>
                <w:szCs w:val="23"/>
                <w:color w:val="auto"/>
              </w:rPr>
            </w:pPr>
          </w:p>
        </w:tc>
      </w:tr>
      <w:tr>
        <w:trPr>
          <w:trHeight w:val="98"/>
        </w:trPr>
        <w:tc>
          <w:tcPr>
            <w:tcW w:w="656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r>
      <w:tr>
        <w:trPr>
          <w:trHeight w:val="355"/>
        </w:trPr>
        <w:tc>
          <w:tcPr>
            <w:tcW w:w="6560" w:type="dxa"/>
            <w:vAlign w:val="bottom"/>
          </w:tcPr>
          <w:p>
            <w:pPr>
              <w:spacing w:after="0"/>
              <w:rPr>
                <w:sz w:val="20"/>
                <w:szCs w:val="20"/>
                <w:color w:val="auto"/>
              </w:rPr>
            </w:pPr>
            <w:r>
              <w:rPr>
                <w:rFonts w:ascii="Arial" w:cs="Arial" w:eastAsia="Arial" w:hAnsi="Arial"/>
                <w:sz w:val="22"/>
                <w:szCs w:val="22"/>
                <w:color w:val="auto"/>
              </w:rPr>
              <w:t>Operating income before depreciation and amortization (a)</w:t>
            </w:r>
          </w:p>
        </w:tc>
        <w:tc>
          <w:tcPr>
            <w:tcW w:w="600" w:type="dxa"/>
            <w:vAlign w:val="bottom"/>
          </w:tcPr>
          <w:p>
            <w:pPr>
              <w:jc w:val="right"/>
              <w:spacing w:after="0"/>
              <w:rPr>
                <w:sz w:val="20"/>
                <w:szCs w:val="20"/>
                <w:color w:val="auto"/>
              </w:rPr>
            </w:pPr>
            <w:r>
              <w:rPr>
                <w:rFonts w:ascii="Arial" w:cs="Arial" w:eastAsia="Arial" w:hAnsi="Arial"/>
                <w:sz w:val="22"/>
                <w:szCs w:val="22"/>
                <w:color w:val="auto"/>
                <w:w w:val="86"/>
              </w:rPr>
              <w:t>$3,639</w:t>
            </w:r>
          </w:p>
        </w:tc>
        <w:tc>
          <w:tcPr>
            <w:tcW w:w="1040" w:type="dxa"/>
            <w:vAlign w:val="bottom"/>
            <w:gridSpan w:val="3"/>
          </w:tcPr>
          <w:p>
            <w:pPr>
              <w:jc w:val="right"/>
              <w:ind w:right="140"/>
              <w:spacing w:after="0"/>
              <w:rPr>
                <w:sz w:val="20"/>
                <w:szCs w:val="20"/>
                <w:color w:val="auto"/>
              </w:rPr>
            </w:pPr>
            <w:r>
              <w:rPr>
                <w:rFonts w:ascii="Arial" w:cs="Arial" w:eastAsia="Arial" w:hAnsi="Arial"/>
                <w:sz w:val="22"/>
                <w:szCs w:val="22"/>
                <w:color w:val="auto"/>
              </w:rPr>
              <w:t>$3,018</w:t>
            </w:r>
          </w:p>
        </w:tc>
        <w:tc>
          <w:tcPr>
            <w:tcW w:w="820" w:type="dxa"/>
            <w:vAlign w:val="bottom"/>
            <w:gridSpan w:val="2"/>
          </w:tcPr>
          <w:p>
            <w:pPr>
              <w:jc w:val="right"/>
              <w:spacing w:after="0"/>
              <w:rPr>
                <w:sz w:val="20"/>
                <w:szCs w:val="20"/>
                <w:color w:val="auto"/>
              </w:rPr>
            </w:pPr>
            <w:r>
              <w:rPr>
                <w:rFonts w:ascii="Arial" w:cs="Arial" w:eastAsia="Arial" w:hAnsi="Arial"/>
                <w:sz w:val="22"/>
                <w:szCs w:val="22"/>
                <w:color w:val="auto"/>
              </w:rPr>
              <w:t>$621</w:t>
            </w:r>
          </w:p>
        </w:tc>
        <w:tc>
          <w:tcPr>
            <w:tcW w:w="520" w:type="dxa"/>
            <w:vAlign w:val="bottom"/>
          </w:tcPr>
          <w:p>
            <w:pPr>
              <w:spacing w:after="0"/>
              <w:rPr>
                <w:sz w:val="24"/>
                <w:szCs w:val="24"/>
                <w:color w:val="auto"/>
              </w:rPr>
            </w:pPr>
          </w:p>
        </w:tc>
        <w:tc>
          <w:tcPr>
            <w:tcW w:w="700" w:type="dxa"/>
            <w:vAlign w:val="bottom"/>
            <w:gridSpan w:val="2"/>
          </w:tcPr>
          <w:p>
            <w:pPr>
              <w:jc w:val="right"/>
              <w:spacing w:after="0"/>
              <w:rPr>
                <w:sz w:val="20"/>
                <w:szCs w:val="20"/>
                <w:color w:val="auto"/>
              </w:rPr>
            </w:pPr>
            <w:r>
              <w:rPr>
                <w:rFonts w:ascii="Arial" w:cs="Arial" w:eastAsia="Arial" w:hAnsi="Arial"/>
                <w:sz w:val="22"/>
                <w:szCs w:val="22"/>
                <w:color w:val="auto"/>
              </w:rPr>
              <w:t>20.6%</w:t>
            </w:r>
          </w:p>
        </w:tc>
      </w:tr>
      <w:tr>
        <w:trPr>
          <w:trHeight w:val="108"/>
        </w:trPr>
        <w:tc>
          <w:tcPr>
            <w:tcW w:w="656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4539615</wp:posOffset>
            </wp:positionH>
            <wp:positionV relativeFrom="paragraph">
              <wp:posOffset>-14605</wp:posOffset>
            </wp:positionV>
            <wp:extent cx="1270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-14605</wp:posOffset>
            </wp:positionV>
            <wp:extent cx="1270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-14605</wp:posOffset>
            </wp:positionV>
            <wp:extent cx="1270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-14605</wp:posOffset>
            </wp:positionV>
            <wp:extent cx="1270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-14605</wp:posOffset>
            </wp:positionV>
            <wp:extent cx="1270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-14605</wp:posOffset>
            </wp:positionV>
            <wp:extent cx="1270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-14605</wp:posOffset>
            </wp:positionV>
            <wp:extent cx="1270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-14605</wp:posOffset>
            </wp:positionV>
            <wp:extent cx="1270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323"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63765"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COMCAST CORPORATION AND SUBSIDIARIES</w:t>
      </w:r>
    </w:p>
    <w:p>
      <w:pPr>
        <w:jc w:val="center"/>
        <w:ind w:right="-19"/>
        <w:spacing w:after="0" w:line="238" w:lineRule="auto"/>
        <w:rPr>
          <w:sz w:val="20"/>
          <w:szCs w:val="20"/>
          <w:color w:val="auto"/>
        </w:rPr>
      </w:pPr>
      <w:r>
        <w:rPr>
          <w:rFonts w:ascii="Arial" w:cs="Arial" w:eastAsia="Arial" w:hAnsi="Arial"/>
          <w:sz w:val="22"/>
          <w:szCs w:val="22"/>
          <w:color w:val="auto"/>
        </w:rPr>
        <w:t>FORM 10-Q</w:t>
      </w:r>
    </w:p>
    <w:p>
      <w:pPr>
        <w:jc w:val="center"/>
        <w:ind w:right="-79"/>
        <w:spacing w:after="0"/>
        <w:rPr>
          <w:sz w:val="20"/>
          <w:szCs w:val="20"/>
          <w:color w:val="auto"/>
        </w:rPr>
      </w:pPr>
      <w:r>
        <w:rPr>
          <w:rFonts w:ascii="Arial" w:cs="Arial" w:eastAsia="Arial" w:hAnsi="Arial"/>
          <w:sz w:val="22"/>
          <w:szCs w:val="22"/>
          <w:color w:val="auto"/>
        </w:rPr>
        <w:t>QUARTER ENDED JUNE 30, 2004</w:t>
      </w:r>
    </w:p>
    <w:p>
      <w:pPr>
        <w:spacing w:after="0" w:line="188" w:lineRule="exact"/>
        <w:rPr>
          <w:sz w:val="20"/>
          <w:szCs w:val="20"/>
          <w:color w:val="auto"/>
        </w:rPr>
      </w:pPr>
    </w:p>
    <w:p>
      <w:pPr>
        <w:ind w:right="260" w:firstLine="428"/>
        <w:spacing w:after="0" w:line="297" w:lineRule="auto"/>
        <w:rPr>
          <w:sz w:val="20"/>
          <w:szCs w:val="20"/>
          <w:color w:val="auto"/>
        </w:rPr>
      </w:pPr>
      <w:r>
        <w:rPr>
          <w:rFonts w:ascii="Arial" w:cs="Arial" w:eastAsia="Arial" w:hAnsi="Arial"/>
          <w:sz w:val="19"/>
          <w:szCs w:val="19"/>
          <w:color w:val="auto"/>
        </w:rPr>
        <w:t>The following tables present our subscriber and monthly average revenue statistics on a pro forma basis. The pro forma adjustments reflect the addition of approximately 109,000 subscribers acquired in various small acquisitions between June 2003 and June 2004. The impact of these acquisitions on our segment operating results was not material (subscribers in thousands).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000" w:type="dxa"/>
            <w:vAlign w:val="bottom"/>
          </w:tcPr>
          <w:p>
            <w:pPr>
              <w:spacing w:after="0"/>
              <w:rPr>
                <w:sz w:val="21"/>
                <w:szCs w:val="21"/>
                <w:color w:val="auto"/>
              </w:rPr>
            </w:pPr>
          </w:p>
        </w:tc>
        <w:tc>
          <w:tcPr>
            <w:tcW w:w="2200" w:type="dxa"/>
            <w:vAlign w:val="bottom"/>
            <w:gridSpan w:val="4"/>
          </w:tcPr>
          <w:p>
            <w:pPr>
              <w:jc w:val="center"/>
              <w:ind w:right="200"/>
              <w:spacing w:after="0"/>
              <w:rPr>
                <w:sz w:val="20"/>
                <w:szCs w:val="20"/>
                <w:color w:val="auto"/>
              </w:rPr>
            </w:pPr>
            <w:r>
              <w:rPr>
                <w:rFonts w:ascii="Arial" w:cs="Arial" w:eastAsia="Arial" w:hAnsi="Arial"/>
                <w:sz w:val="22"/>
                <w:szCs w:val="22"/>
                <w:color w:val="auto"/>
                <w:w w:val="85"/>
              </w:rPr>
              <w:t>June 30,</w:t>
            </w:r>
          </w:p>
        </w:tc>
        <w:tc>
          <w:tcPr>
            <w:tcW w:w="2060" w:type="dxa"/>
            <w:vAlign w:val="bottom"/>
            <w:gridSpan w:val="4"/>
          </w:tcPr>
          <w:p>
            <w:pPr>
              <w:jc w:val="right"/>
              <w:ind w:right="300"/>
              <w:spacing w:after="0"/>
              <w:rPr>
                <w:sz w:val="20"/>
                <w:szCs w:val="20"/>
                <w:color w:val="auto"/>
              </w:rPr>
            </w:pPr>
            <w:r>
              <w:rPr>
                <w:rFonts w:ascii="Arial" w:cs="Arial" w:eastAsia="Arial" w:hAnsi="Arial"/>
                <w:sz w:val="22"/>
                <w:szCs w:val="22"/>
                <w:color w:val="auto"/>
                <w:w w:val="87"/>
              </w:rPr>
              <w:t>Increase/(Decrease)</w:t>
            </w:r>
          </w:p>
        </w:tc>
      </w:tr>
      <w:tr>
        <w:trPr>
          <w:trHeight w:val="275"/>
        </w:trPr>
        <w:tc>
          <w:tcPr>
            <w:tcW w:w="6000" w:type="dxa"/>
            <w:vAlign w:val="bottom"/>
          </w:tcPr>
          <w:p>
            <w:pPr>
              <w:spacing w:after="0"/>
              <w:rPr>
                <w:sz w:val="23"/>
                <w:szCs w:val="23"/>
                <w:color w:val="auto"/>
              </w:rPr>
            </w:pPr>
          </w:p>
        </w:tc>
        <w:tc>
          <w:tcPr>
            <w:tcW w:w="900" w:type="dxa"/>
            <w:vAlign w:val="bottom"/>
          </w:tcPr>
          <w:p>
            <w:pPr>
              <w:jc w:val="right"/>
              <w:ind w:right="132"/>
              <w:spacing w:after="0"/>
              <w:rPr>
                <w:sz w:val="20"/>
                <w:szCs w:val="20"/>
                <w:color w:val="auto"/>
              </w:rPr>
            </w:pPr>
            <w:r>
              <w:rPr>
                <w:rFonts w:ascii="Arial" w:cs="Arial" w:eastAsia="Arial" w:hAnsi="Arial"/>
                <w:sz w:val="22"/>
                <w:szCs w:val="22"/>
                <w:color w:val="auto"/>
              </w:rPr>
              <w:t>2004</w:t>
            </w:r>
          </w:p>
        </w:tc>
        <w:tc>
          <w:tcPr>
            <w:tcW w:w="200" w:type="dxa"/>
            <w:vAlign w:val="bottom"/>
          </w:tcPr>
          <w:p>
            <w:pPr>
              <w:spacing w:after="0"/>
              <w:rPr>
                <w:sz w:val="23"/>
                <w:szCs w:val="23"/>
                <w:color w:val="auto"/>
              </w:rPr>
            </w:pPr>
          </w:p>
        </w:tc>
        <w:tc>
          <w:tcPr>
            <w:tcW w:w="900" w:type="dxa"/>
            <w:vAlign w:val="bottom"/>
          </w:tcPr>
          <w:p>
            <w:pPr>
              <w:jc w:val="right"/>
              <w:ind w:right="132"/>
              <w:spacing w:after="0"/>
              <w:rPr>
                <w:sz w:val="20"/>
                <w:szCs w:val="20"/>
                <w:color w:val="auto"/>
              </w:rPr>
            </w:pPr>
            <w:r>
              <w:rPr>
                <w:rFonts w:ascii="Arial" w:cs="Arial" w:eastAsia="Arial" w:hAnsi="Arial"/>
                <w:sz w:val="22"/>
                <w:szCs w:val="22"/>
                <w:color w:val="auto"/>
              </w:rPr>
              <w:t>2003</w:t>
            </w:r>
          </w:p>
        </w:tc>
        <w:tc>
          <w:tcPr>
            <w:tcW w:w="200" w:type="dxa"/>
            <w:vAlign w:val="bottom"/>
          </w:tcPr>
          <w:p>
            <w:pPr>
              <w:spacing w:after="0"/>
              <w:rPr>
                <w:sz w:val="23"/>
                <w:szCs w:val="23"/>
                <w:color w:val="auto"/>
              </w:rPr>
            </w:pPr>
          </w:p>
        </w:tc>
        <w:tc>
          <w:tcPr>
            <w:tcW w:w="1000" w:type="dxa"/>
            <w:vAlign w:val="bottom"/>
          </w:tcPr>
          <w:p>
            <w:pPr>
              <w:jc w:val="right"/>
              <w:ind w:right="332"/>
              <w:spacing w:after="0"/>
              <w:rPr>
                <w:sz w:val="20"/>
                <w:szCs w:val="20"/>
                <w:color w:val="auto"/>
              </w:rPr>
            </w:pPr>
            <w:r>
              <w:rPr>
                <w:rFonts w:ascii="Arial" w:cs="Arial" w:eastAsia="Arial" w:hAnsi="Arial"/>
                <w:sz w:val="22"/>
                <w:szCs w:val="22"/>
                <w:color w:val="auto"/>
              </w:rPr>
              <w:t>#</w:t>
            </w:r>
          </w:p>
        </w:tc>
        <w:tc>
          <w:tcPr>
            <w:tcW w:w="360" w:type="dxa"/>
            <w:vAlign w:val="bottom"/>
          </w:tcPr>
          <w:p>
            <w:pPr>
              <w:spacing w:after="0"/>
              <w:rPr>
                <w:sz w:val="23"/>
                <w:szCs w:val="23"/>
                <w:color w:val="auto"/>
              </w:rPr>
            </w:pPr>
          </w:p>
        </w:tc>
        <w:tc>
          <w:tcPr>
            <w:tcW w:w="460" w:type="dxa"/>
            <w:vAlign w:val="bottom"/>
          </w:tcPr>
          <w:p>
            <w:pPr>
              <w:jc w:val="right"/>
              <w:ind w:right="32"/>
              <w:spacing w:after="0"/>
              <w:rPr>
                <w:sz w:val="20"/>
                <w:szCs w:val="20"/>
                <w:color w:val="auto"/>
              </w:rPr>
            </w:pPr>
            <w:r>
              <w:rPr>
                <w:rFonts w:ascii="Arial" w:cs="Arial" w:eastAsia="Arial" w:hAnsi="Arial"/>
                <w:sz w:val="22"/>
                <w:szCs w:val="22"/>
                <w:color w:val="auto"/>
              </w:rPr>
              <w:t>%</w:t>
            </w:r>
          </w:p>
        </w:tc>
        <w:tc>
          <w:tcPr>
            <w:tcW w:w="240" w:type="dxa"/>
            <w:vAlign w:val="bottom"/>
          </w:tcPr>
          <w:p>
            <w:pPr>
              <w:spacing w:after="0"/>
              <w:rPr>
                <w:sz w:val="23"/>
                <w:szCs w:val="23"/>
                <w:color w:val="auto"/>
              </w:rPr>
            </w:pPr>
          </w:p>
        </w:tc>
      </w:tr>
      <w:tr>
        <w:trPr>
          <w:trHeight w:val="98"/>
        </w:trPr>
        <w:tc>
          <w:tcPr>
            <w:tcW w:w="6000" w:type="dxa"/>
            <w:vAlign w:val="bottom"/>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r>
      <w:tr>
        <w:trPr>
          <w:trHeight w:val="323"/>
        </w:trPr>
        <w:tc>
          <w:tcPr>
            <w:tcW w:w="6000" w:type="dxa"/>
            <w:vAlign w:val="bottom"/>
          </w:tcPr>
          <w:p>
            <w:pPr>
              <w:spacing w:after="0"/>
              <w:rPr>
                <w:sz w:val="20"/>
                <w:szCs w:val="20"/>
                <w:color w:val="auto"/>
              </w:rPr>
            </w:pPr>
            <w:r>
              <w:rPr>
                <w:rFonts w:ascii="Arial" w:cs="Arial" w:eastAsia="Arial" w:hAnsi="Arial"/>
                <w:sz w:val="22"/>
                <w:szCs w:val="22"/>
                <w:color w:val="auto"/>
              </w:rPr>
              <w:t>Video subscribers</w:t>
            </w:r>
          </w:p>
        </w:tc>
        <w:tc>
          <w:tcPr>
            <w:tcW w:w="1100" w:type="dxa"/>
            <w:vAlign w:val="bottom"/>
            <w:gridSpan w:val="2"/>
          </w:tcPr>
          <w:p>
            <w:pPr>
              <w:jc w:val="right"/>
              <w:ind w:right="200"/>
              <w:spacing w:after="0"/>
              <w:rPr>
                <w:sz w:val="20"/>
                <w:szCs w:val="20"/>
                <w:color w:val="auto"/>
              </w:rPr>
            </w:pPr>
            <w:r>
              <w:rPr>
                <w:rFonts w:ascii="Arial" w:cs="Arial" w:eastAsia="Arial" w:hAnsi="Arial"/>
                <w:sz w:val="22"/>
                <w:szCs w:val="22"/>
                <w:color w:val="auto"/>
              </w:rPr>
              <w:t>21,477</w:t>
            </w:r>
          </w:p>
        </w:tc>
        <w:tc>
          <w:tcPr>
            <w:tcW w:w="1100" w:type="dxa"/>
            <w:vAlign w:val="bottom"/>
            <w:gridSpan w:val="2"/>
          </w:tcPr>
          <w:p>
            <w:pPr>
              <w:jc w:val="right"/>
              <w:ind w:right="200"/>
              <w:spacing w:after="0"/>
              <w:rPr>
                <w:sz w:val="20"/>
                <w:szCs w:val="20"/>
                <w:color w:val="auto"/>
              </w:rPr>
            </w:pPr>
            <w:r>
              <w:rPr>
                <w:rFonts w:ascii="Arial" w:cs="Arial" w:eastAsia="Arial" w:hAnsi="Arial"/>
                <w:sz w:val="22"/>
                <w:szCs w:val="22"/>
                <w:color w:val="auto"/>
              </w:rPr>
              <w:t>21,467</w:t>
            </w:r>
          </w:p>
        </w:tc>
        <w:tc>
          <w:tcPr>
            <w:tcW w:w="1360" w:type="dxa"/>
            <w:vAlign w:val="bottom"/>
            <w:gridSpan w:val="2"/>
          </w:tcPr>
          <w:p>
            <w:pPr>
              <w:jc w:val="right"/>
              <w:ind w:right="360"/>
              <w:spacing w:after="0"/>
              <w:rPr>
                <w:sz w:val="20"/>
                <w:szCs w:val="20"/>
                <w:color w:val="auto"/>
              </w:rPr>
            </w:pPr>
            <w:r>
              <w:rPr>
                <w:rFonts w:ascii="Arial" w:cs="Arial" w:eastAsia="Arial" w:hAnsi="Arial"/>
                <w:sz w:val="22"/>
                <w:szCs w:val="22"/>
                <w:color w:val="auto"/>
              </w:rPr>
              <w:t>10</w:t>
            </w:r>
          </w:p>
        </w:tc>
        <w:tc>
          <w:tcPr>
            <w:tcW w:w="460" w:type="dxa"/>
            <w:vAlign w:val="bottom"/>
          </w:tcPr>
          <w:p>
            <w:pPr>
              <w:jc w:val="right"/>
              <w:spacing w:after="0"/>
              <w:rPr>
                <w:sz w:val="20"/>
                <w:szCs w:val="20"/>
                <w:color w:val="auto"/>
              </w:rPr>
            </w:pPr>
            <w:r>
              <w:rPr>
                <w:rFonts w:ascii="Arial" w:cs="Arial" w:eastAsia="Arial" w:hAnsi="Arial"/>
                <w:sz w:val="22"/>
                <w:szCs w:val="22"/>
                <w:color w:val="auto"/>
              </w:rPr>
              <w:t>-</w:t>
            </w:r>
          </w:p>
        </w:tc>
        <w:tc>
          <w:tcPr>
            <w:tcW w:w="240" w:type="dxa"/>
            <w:vAlign w:val="bottom"/>
          </w:tcPr>
          <w:p>
            <w:pPr>
              <w:spacing w:after="0"/>
              <w:rPr>
                <w:sz w:val="24"/>
                <w:szCs w:val="24"/>
                <w:color w:val="auto"/>
              </w:rPr>
            </w:pPr>
          </w:p>
        </w:tc>
      </w:tr>
      <w:tr>
        <w:trPr>
          <w:trHeight w:val="243"/>
        </w:trPr>
        <w:tc>
          <w:tcPr>
            <w:tcW w:w="6000" w:type="dxa"/>
            <w:vAlign w:val="bottom"/>
          </w:tcPr>
          <w:p>
            <w:pPr>
              <w:spacing w:after="0" w:line="243" w:lineRule="exact"/>
              <w:rPr>
                <w:sz w:val="20"/>
                <w:szCs w:val="20"/>
                <w:color w:val="auto"/>
              </w:rPr>
            </w:pPr>
            <w:r>
              <w:rPr>
                <w:rFonts w:ascii="Arial" w:cs="Arial" w:eastAsia="Arial" w:hAnsi="Arial"/>
                <w:sz w:val="22"/>
                <w:szCs w:val="22"/>
                <w:color w:val="auto"/>
              </w:rPr>
              <w:t>High-speed Internet subscribers</w:t>
            </w:r>
          </w:p>
        </w:tc>
        <w:tc>
          <w:tcPr>
            <w:tcW w:w="1100" w:type="dxa"/>
            <w:vAlign w:val="bottom"/>
            <w:gridSpan w:val="2"/>
          </w:tcPr>
          <w:p>
            <w:pPr>
              <w:jc w:val="right"/>
              <w:ind w:right="200"/>
              <w:spacing w:after="0" w:line="243" w:lineRule="exact"/>
              <w:rPr>
                <w:sz w:val="20"/>
                <w:szCs w:val="20"/>
                <w:color w:val="auto"/>
              </w:rPr>
            </w:pPr>
            <w:r>
              <w:rPr>
                <w:rFonts w:ascii="Arial" w:cs="Arial" w:eastAsia="Arial" w:hAnsi="Arial"/>
                <w:sz w:val="22"/>
                <w:szCs w:val="22"/>
                <w:color w:val="auto"/>
              </w:rPr>
              <w:t>6,005</w:t>
            </w:r>
          </w:p>
        </w:tc>
        <w:tc>
          <w:tcPr>
            <w:tcW w:w="1100" w:type="dxa"/>
            <w:vAlign w:val="bottom"/>
            <w:gridSpan w:val="2"/>
          </w:tcPr>
          <w:p>
            <w:pPr>
              <w:jc w:val="right"/>
              <w:ind w:right="200"/>
              <w:spacing w:after="0" w:line="243" w:lineRule="exact"/>
              <w:rPr>
                <w:sz w:val="20"/>
                <w:szCs w:val="20"/>
                <w:color w:val="auto"/>
              </w:rPr>
            </w:pPr>
            <w:r>
              <w:rPr>
                <w:rFonts w:ascii="Arial" w:cs="Arial" w:eastAsia="Arial" w:hAnsi="Arial"/>
                <w:sz w:val="22"/>
                <w:szCs w:val="22"/>
                <w:color w:val="auto"/>
              </w:rPr>
              <w:t>4,389</w:t>
            </w:r>
          </w:p>
        </w:tc>
        <w:tc>
          <w:tcPr>
            <w:tcW w:w="1360" w:type="dxa"/>
            <w:vAlign w:val="bottom"/>
            <w:gridSpan w:val="2"/>
          </w:tcPr>
          <w:p>
            <w:pPr>
              <w:jc w:val="right"/>
              <w:ind w:right="360"/>
              <w:spacing w:after="0" w:line="243" w:lineRule="exact"/>
              <w:rPr>
                <w:sz w:val="20"/>
                <w:szCs w:val="20"/>
                <w:color w:val="auto"/>
              </w:rPr>
            </w:pPr>
            <w:r>
              <w:rPr>
                <w:rFonts w:ascii="Arial" w:cs="Arial" w:eastAsia="Arial" w:hAnsi="Arial"/>
                <w:sz w:val="22"/>
                <w:szCs w:val="22"/>
                <w:color w:val="auto"/>
              </w:rPr>
              <w:t>1,616</w:t>
            </w:r>
          </w:p>
        </w:tc>
        <w:tc>
          <w:tcPr>
            <w:tcW w:w="700" w:type="dxa"/>
            <w:vAlign w:val="bottom"/>
            <w:gridSpan w:val="2"/>
          </w:tcPr>
          <w:p>
            <w:pPr>
              <w:jc w:val="right"/>
              <w:ind w:right="60"/>
              <w:spacing w:after="0" w:line="243" w:lineRule="exact"/>
              <w:rPr>
                <w:sz w:val="20"/>
                <w:szCs w:val="20"/>
                <w:color w:val="auto"/>
              </w:rPr>
            </w:pPr>
            <w:r>
              <w:rPr>
                <w:rFonts w:ascii="Arial" w:cs="Arial" w:eastAsia="Arial" w:hAnsi="Arial"/>
                <w:sz w:val="22"/>
                <w:szCs w:val="22"/>
                <w:color w:val="auto"/>
                <w:w w:val="99"/>
              </w:rPr>
              <w:t>36.8%</w:t>
            </w:r>
          </w:p>
        </w:tc>
      </w:tr>
      <w:tr>
        <w:trPr>
          <w:trHeight w:val="275"/>
        </w:trPr>
        <w:tc>
          <w:tcPr>
            <w:tcW w:w="6000" w:type="dxa"/>
            <w:vAlign w:val="bottom"/>
          </w:tcPr>
          <w:p>
            <w:pPr>
              <w:spacing w:after="0"/>
              <w:rPr>
                <w:sz w:val="20"/>
                <w:szCs w:val="20"/>
                <w:color w:val="auto"/>
              </w:rPr>
            </w:pPr>
            <w:r>
              <w:rPr>
                <w:rFonts w:ascii="Arial" w:cs="Arial" w:eastAsia="Arial" w:hAnsi="Arial"/>
                <w:sz w:val="22"/>
                <w:szCs w:val="22"/>
                <w:color w:val="auto"/>
              </w:rPr>
              <w:t>Phone subscribers</w:t>
            </w:r>
          </w:p>
        </w:tc>
        <w:tc>
          <w:tcPr>
            <w:tcW w:w="1100" w:type="dxa"/>
            <w:vAlign w:val="bottom"/>
            <w:gridSpan w:val="2"/>
          </w:tcPr>
          <w:p>
            <w:pPr>
              <w:jc w:val="right"/>
              <w:ind w:right="200"/>
              <w:spacing w:after="0"/>
              <w:rPr>
                <w:sz w:val="20"/>
                <w:szCs w:val="20"/>
                <w:color w:val="auto"/>
              </w:rPr>
            </w:pPr>
            <w:r>
              <w:rPr>
                <w:rFonts w:ascii="Arial" w:cs="Arial" w:eastAsia="Arial" w:hAnsi="Arial"/>
                <w:sz w:val="22"/>
                <w:szCs w:val="22"/>
                <w:color w:val="auto"/>
              </w:rPr>
              <w:t>1,225</w:t>
            </w:r>
          </w:p>
        </w:tc>
        <w:tc>
          <w:tcPr>
            <w:tcW w:w="1100" w:type="dxa"/>
            <w:vAlign w:val="bottom"/>
            <w:gridSpan w:val="2"/>
          </w:tcPr>
          <w:p>
            <w:pPr>
              <w:jc w:val="right"/>
              <w:ind w:right="200"/>
              <w:spacing w:after="0"/>
              <w:rPr>
                <w:sz w:val="20"/>
                <w:szCs w:val="20"/>
                <w:color w:val="auto"/>
              </w:rPr>
            </w:pPr>
            <w:r>
              <w:rPr>
                <w:rFonts w:ascii="Arial" w:cs="Arial" w:eastAsia="Arial" w:hAnsi="Arial"/>
                <w:sz w:val="22"/>
                <w:szCs w:val="22"/>
                <w:color w:val="auto"/>
              </w:rPr>
              <w:t>1,367</w:t>
            </w:r>
          </w:p>
        </w:tc>
        <w:tc>
          <w:tcPr>
            <w:tcW w:w="1360" w:type="dxa"/>
            <w:vAlign w:val="bottom"/>
            <w:gridSpan w:val="2"/>
          </w:tcPr>
          <w:p>
            <w:pPr>
              <w:jc w:val="right"/>
              <w:ind w:right="300"/>
              <w:spacing w:after="0"/>
              <w:rPr>
                <w:sz w:val="20"/>
                <w:szCs w:val="20"/>
                <w:color w:val="auto"/>
              </w:rPr>
            </w:pPr>
            <w:r>
              <w:rPr>
                <w:rFonts w:ascii="Arial" w:cs="Arial" w:eastAsia="Arial" w:hAnsi="Arial"/>
                <w:sz w:val="22"/>
                <w:szCs w:val="22"/>
                <w:color w:val="auto"/>
              </w:rPr>
              <w:t>(142)</w:t>
            </w:r>
          </w:p>
        </w:tc>
        <w:tc>
          <w:tcPr>
            <w:tcW w:w="700" w:type="dxa"/>
            <w:vAlign w:val="bottom"/>
            <w:gridSpan w:val="2"/>
          </w:tcPr>
          <w:p>
            <w:pPr>
              <w:jc w:val="right"/>
              <w:spacing w:after="0"/>
              <w:rPr>
                <w:sz w:val="20"/>
                <w:szCs w:val="20"/>
                <w:color w:val="auto"/>
              </w:rPr>
            </w:pPr>
            <w:r>
              <w:rPr>
                <w:rFonts w:ascii="Arial" w:cs="Arial" w:eastAsia="Arial" w:hAnsi="Arial"/>
                <w:sz w:val="22"/>
                <w:szCs w:val="22"/>
                <w:color w:val="auto"/>
                <w:w w:val="88"/>
              </w:rPr>
              <w:t>(10.4%)</w:t>
            </w:r>
          </w:p>
        </w:tc>
      </w:tr>
      <w:tr>
        <w:trPr>
          <w:trHeight w:val="455"/>
        </w:trPr>
        <w:tc>
          <w:tcPr>
            <w:tcW w:w="6000" w:type="dxa"/>
            <w:vAlign w:val="bottom"/>
          </w:tcPr>
          <w:p>
            <w:pPr>
              <w:spacing w:after="0"/>
              <w:rPr>
                <w:sz w:val="24"/>
                <w:szCs w:val="24"/>
                <w:color w:val="auto"/>
              </w:rPr>
            </w:pPr>
          </w:p>
        </w:tc>
        <w:tc>
          <w:tcPr>
            <w:tcW w:w="2200" w:type="dxa"/>
            <w:vAlign w:val="bottom"/>
            <w:gridSpan w:val="4"/>
          </w:tcPr>
          <w:p>
            <w:pPr>
              <w:jc w:val="center"/>
              <w:ind w:right="220"/>
              <w:spacing w:after="0"/>
              <w:rPr>
                <w:sz w:val="20"/>
                <w:szCs w:val="20"/>
                <w:color w:val="auto"/>
              </w:rPr>
            </w:pPr>
            <w:r>
              <w:rPr>
                <w:rFonts w:ascii="Arial" w:cs="Arial" w:eastAsia="Arial" w:hAnsi="Arial"/>
                <w:sz w:val="22"/>
                <w:szCs w:val="22"/>
                <w:color w:val="auto"/>
                <w:w w:val="88"/>
              </w:rPr>
              <w:t>Three Months Ended</w:t>
            </w: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43"/>
        </w:trPr>
        <w:tc>
          <w:tcPr>
            <w:tcW w:w="6000" w:type="dxa"/>
            <w:vAlign w:val="bottom"/>
          </w:tcPr>
          <w:p>
            <w:pPr>
              <w:spacing w:after="0"/>
              <w:rPr>
                <w:sz w:val="21"/>
                <w:szCs w:val="21"/>
                <w:color w:val="auto"/>
              </w:rPr>
            </w:pPr>
          </w:p>
        </w:tc>
        <w:tc>
          <w:tcPr>
            <w:tcW w:w="2200" w:type="dxa"/>
            <w:vAlign w:val="bottom"/>
            <w:gridSpan w:val="4"/>
          </w:tcPr>
          <w:p>
            <w:pPr>
              <w:jc w:val="center"/>
              <w:ind w:right="200"/>
              <w:spacing w:after="0" w:line="243" w:lineRule="exact"/>
              <w:rPr>
                <w:sz w:val="20"/>
                <w:szCs w:val="20"/>
                <w:color w:val="auto"/>
              </w:rPr>
            </w:pPr>
            <w:r>
              <w:rPr>
                <w:rFonts w:ascii="Arial" w:cs="Arial" w:eastAsia="Arial" w:hAnsi="Arial"/>
                <w:sz w:val="22"/>
                <w:szCs w:val="22"/>
                <w:color w:val="auto"/>
                <w:w w:val="85"/>
              </w:rPr>
              <w:t>June 30,</w:t>
            </w:r>
          </w:p>
        </w:tc>
        <w:tc>
          <w:tcPr>
            <w:tcW w:w="2060" w:type="dxa"/>
            <w:vAlign w:val="bottom"/>
            <w:gridSpan w:val="4"/>
          </w:tcPr>
          <w:p>
            <w:pPr>
              <w:jc w:val="right"/>
              <w:ind w:right="300"/>
              <w:spacing w:after="0" w:line="243" w:lineRule="exact"/>
              <w:rPr>
                <w:sz w:val="20"/>
                <w:szCs w:val="20"/>
                <w:color w:val="auto"/>
              </w:rPr>
            </w:pPr>
            <w:r>
              <w:rPr>
                <w:rFonts w:ascii="Arial" w:cs="Arial" w:eastAsia="Arial" w:hAnsi="Arial"/>
                <w:sz w:val="22"/>
                <w:szCs w:val="22"/>
                <w:color w:val="auto"/>
                <w:w w:val="87"/>
              </w:rPr>
              <w:t>Increase/(Decrease)</w:t>
            </w:r>
          </w:p>
        </w:tc>
      </w:tr>
      <w:tr>
        <w:trPr>
          <w:trHeight w:val="275"/>
        </w:trPr>
        <w:tc>
          <w:tcPr>
            <w:tcW w:w="6000" w:type="dxa"/>
            <w:vAlign w:val="bottom"/>
          </w:tcPr>
          <w:p>
            <w:pPr>
              <w:spacing w:after="0"/>
              <w:rPr>
                <w:sz w:val="23"/>
                <w:szCs w:val="23"/>
                <w:color w:val="auto"/>
              </w:rPr>
            </w:pPr>
          </w:p>
        </w:tc>
        <w:tc>
          <w:tcPr>
            <w:tcW w:w="900" w:type="dxa"/>
            <w:vAlign w:val="bottom"/>
          </w:tcPr>
          <w:p>
            <w:pPr>
              <w:jc w:val="right"/>
              <w:ind w:right="132"/>
              <w:spacing w:after="0"/>
              <w:rPr>
                <w:sz w:val="20"/>
                <w:szCs w:val="20"/>
                <w:color w:val="auto"/>
              </w:rPr>
            </w:pPr>
            <w:r>
              <w:rPr>
                <w:rFonts w:ascii="Arial" w:cs="Arial" w:eastAsia="Arial" w:hAnsi="Arial"/>
                <w:sz w:val="22"/>
                <w:szCs w:val="22"/>
                <w:color w:val="auto"/>
              </w:rPr>
              <w:t>2004</w:t>
            </w:r>
          </w:p>
        </w:tc>
        <w:tc>
          <w:tcPr>
            <w:tcW w:w="200" w:type="dxa"/>
            <w:vAlign w:val="bottom"/>
          </w:tcPr>
          <w:p>
            <w:pPr>
              <w:spacing w:after="0"/>
              <w:rPr>
                <w:sz w:val="23"/>
                <w:szCs w:val="23"/>
                <w:color w:val="auto"/>
              </w:rPr>
            </w:pPr>
          </w:p>
        </w:tc>
        <w:tc>
          <w:tcPr>
            <w:tcW w:w="900" w:type="dxa"/>
            <w:vAlign w:val="bottom"/>
          </w:tcPr>
          <w:p>
            <w:pPr>
              <w:jc w:val="right"/>
              <w:ind w:right="132"/>
              <w:spacing w:after="0"/>
              <w:rPr>
                <w:sz w:val="20"/>
                <w:szCs w:val="20"/>
                <w:color w:val="auto"/>
              </w:rPr>
            </w:pPr>
            <w:r>
              <w:rPr>
                <w:rFonts w:ascii="Arial" w:cs="Arial" w:eastAsia="Arial" w:hAnsi="Arial"/>
                <w:sz w:val="22"/>
                <w:szCs w:val="22"/>
                <w:color w:val="auto"/>
              </w:rPr>
              <w:t>2003</w:t>
            </w:r>
          </w:p>
        </w:tc>
        <w:tc>
          <w:tcPr>
            <w:tcW w:w="200" w:type="dxa"/>
            <w:vAlign w:val="bottom"/>
          </w:tcPr>
          <w:p>
            <w:pPr>
              <w:spacing w:after="0"/>
              <w:rPr>
                <w:sz w:val="23"/>
                <w:szCs w:val="23"/>
                <w:color w:val="auto"/>
              </w:rPr>
            </w:pPr>
          </w:p>
        </w:tc>
        <w:tc>
          <w:tcPr>
            <w:tcW w:w="1000" w:type="dxa"/>
            <w:vAlign w:val="bottom"/>
          </w:tcPr>
          <w:p>
            <w:pPr>
              <w:jc w:val="right"/>
              <w:ind w:right="332"/>
              <w:spacing w:after="0"/>
              <w:rPr>
                <w:sz w:val="20"/>
                <w:szCs w:val="20"/>
                <w:color w:val="auto"/>
              </w:rPr>
            </w:pPr>
            <w:r>
              <w:rPr>
                <w:rFonts w:ascii="Arial" w:cs="Arial" w:eastAsia="Arial" w:hAnsi="Arial"/>
                <w:sz w:val="22"/>
                <w:szCs w:val="22"/>
                <w:color w:val="auto"/>
              </w:rPr>
              <w:t>$</w:t>
            </w:r>
          </w:p>
        </w:tc>
        <w:tc>
          <w:tcPr>
            <w:tcW w:w="360" w:type="dxa"/>
            <w:vAlign w:val="bottom"/>
          </w:tcPr>
          <w:p>
            <w:pPr>
              <w:spacing w:after="0"/>
              <w:rPr>
                <w:sz w:val="23"/>
                <w:szCs w:val="23"/>
                <w:color w:val="auto"/>
              </w:rPr>
            </w:pPr>
          </w:p>
        </w:tc>
        <w:tc>
          <w:tcPr>
            <w:tcW w:w="460" w:type="dxa"/>
            <w:vAlign w:val="bottom"/>
          </w:tcPr>
          <w:p>
            <w:pPr>
              <w:jc w:val="right"/>
              <w:ind w:right="32"/>
              <w:spacing w:after="0"/>
              <w:rPr>
                <w:sz w:val="20"/>
                <w:szCs w:val="20"/>
                <w:color w:val="auto"/>
              </w:rPr>
            </w:pPr>
            <w:r>
              <w:rPr>
                <w:rFonts w:ascii="Arial" w:cs="Arial" w:eastAsia="Arial" w:hAnsi="Arial"/>
                <w:sz w:val="22"/>
                <w:szCs w:val="22"/>
                <w:color w:val="auto"/>
              </w:rPr>
              <w:t>%</w:t>
            </w:r>
          </w:p>
        </w:tc>
        <w:tc>
          <w:tcPr>
            <w:tcW w:w="240" w:type="dxa"/>
            <w:vAlign w:val="bottom"/>
          </w:tcPr>
          <w:p>
            <w:pPr>
              <w:spacing w:after="0"/>
              <w:rPr>
                <w:sz w:val="23"/>
                <w:szCs w:val="23"/>
                <w:color w:val="auto"/>
              </w:rPr>
            </w:pPr>
          </w:p>
        </w:tc>
      </w:tr>
      <w:tr>
        <w:trPr>
          <w:trHeight w:val="98"/>
        </w:trPr>
        <w:tc>
          <w:tcPr>
            <w:tcW w:w="6000" w:type="dxa"/>
            <w:vAlign w:val="bottom"/>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r>
      <w:tr>
        <w:trPr>
          <w:trHeight w:val="323"/>
        </w:trPr>
        <w:tc>
          <w:tcPr>
            <w:tcW w:w="6000" w:type="dxa"/>
            <w:vAlign w:val="bottom"/>
          </w:tcPr>
          <w:p>
            <w:pPr>
              <w:spacing w:after="0"/>
              <w:rPr>
                <w:sz w:val="20"/>
                <w:szCs w:val="20"/>
                <w:color w:val="auto"/>
              </w:rPr>
            </w:pPr>
            <w:r>
              <w:rPr>
                <w:rFonts w:ascii="Arial" w:cs="Arial" w:eastAsia="Arial" w:hAnsi="Arial"/>
                <w:sz w:val="22"/>
                <w:szCs w:val="22"/>
                <w:color w:val="auto"/>
              </w:rPr>
              <w:t>Monthly average revenue per video subscriber</w:t>
            </w:r>
          </w:p>
        </w:tc>
        <w:tc>
          <w:tcPr>
            <w:tcW w:w="1100" w:type="dxa"/>
            <w:vAlign w:val="bottom"/>
            <w:gridSpan w:val="2"/>
          </w:tcPr>
          <w:p>
            <w:pPr>
              <w:jc w:val="right"/>
              <w:ind w:right="200"/>
              <w:spacing w:after="0"/>
              <w:rPr>
                <w:sz w:val="20"/>
                <w:szCs w:val="20"/>
                <w:color w:val="auto"/>
              </w:rPr>
            </w:pPr>
            <w:r>
              <w:rPr>
                <w:rFonts w:ascii="Arial" w:cs="Arial" w:eastAsia="Arial" w:hAnsi="Arial"/>
                <w:sz w:val="22"/>
                <w:szCs w:val="22"/>
                <w:color w:val="auto"/>
              </w:rPr>
              <w:t>$50.31</w:t>
            </w:r>
          </w:p>
        </w:tc>
        <w:tc>
          <w:tcPr>
            <w:tcW w:w="1100" w:type="dxa"/>
            <w:vAlign w:val="bottom"/>
            <w:gridSpan w:val="2"/>
          </w:tcPr>
          <w:p>
            <w:pPr>
              <w:jc w:val="right"/>
              <w:ind w:right="200"/>
              <w:spacing w:after="0"/>
              <w:rPr>
                <w:sz w:val="20"/>
                <w:szCs w:val="20"/>
                <w:color w:val="auto"/>
              </w:rPr>
            </w:pPr>
            <w:r>
              <w:rPr>
                <w:rFonts w:ascii="Arial" w:cs="Arial" w:eastAsia="Arial" w:hAnsi="Arial"/>
                <w:sz w:val="22"/>
                <w:szCs w:val="22"/>
                <w:color w:val="auto"/>
              </w:rPr>
              <w:t>$47.22</w:t>
            </w:r>
          </w:p>
        </w:tc>
        <w:tc>
          <w:tcPr>
            <w:tcW w:w="1360" w:type="dxa"/>
            <w:vAlign w:val="bottom"/>
            <w:gridSpan w:val="2"/>
          </w:tcPr>
          <w:p>
            <w:pPr>
              <w:jc w:val="right"/>
              <w:ind w:right="360"/>
              <w:spacing w:after="0"/>
              <w:rPr>
                <w:sz w:val="20"/>
                <w:szCs w:val="20"/>
                <w:color w:val="auto"/>
              </w:rPr>
            </w:pPr>
            <w:r>
              <w:rPr>
                <w:rFonts w:ascii="Arial" w:cs="Arial" w:eastAsia="Arial" w:hAnsi="Arial"/>
                <w:sz w:val="22"/>
                <w:szCs w:val="22"/>
                <w:color w:val="auto"/>
              </w:rPr>
              <w:t>$3.09</w:t>
            </w:r>
          </w:p>
        </w:tc>
        <w:tc>
          <w:tcPr>
            <w:tcW w:w="700" w:type="dxa"/>
            <w:vAlign w:val="bottom"/>
            <w:gridSpan w:val="2"/>
          </w:tcPr>
          <w:p>
            <w:pPr>
              <w:jc w:val="right"/>
              <w:ind w:right="60"/>
              <w:spacing w:after="0"/>
              <w:rPr>
                <w:sz w:val="20"/>
                <w:szCs w:val="20"/>
                <w:color w:val="auto"/>
              </w:rPr>
            </w:pPr>
            <w:r>
              <w:rPr>
                <w:rFonts w:ascii="Arial" w:cs="Arial" w:eastAsia="Arial" w:hAnsi="Arial"/>
                <w:sz w:val="22"/>
                <w:szCs w:val="22"/>
                <w:color w:val="auto"/>
              </w:rPr>
              <w:t>6.5%</w:t>
            </w:r>
          </w:p>
        </w:tc>
      </w:tr>
      <w:tr>
        <w:trPr>
          <w:trHeight w:val="243"/>
        </w:trPr>
        <w:tc>
          <w:tcPr>
            <w:tcW w:w="6000" w:type="dxa"/>
            <w:vAlign w:val="bottom"/>
          </w:tcPr>
          <w:p>
            <w:pPr>
              <w:spacing w:after="0" w:line="243" w:lineRule="exact"/>
              <w:rPr>
                <w:sz w:val="20"/>
                <w:szCs w:val="20"/>
                <w:color w:val="auto"/>
              </w:rPr>
            </w:pPr>
            <w:r>
              <w:rPr>
                <w:rFonts w:ascii="Arial" w:cs="Arial" w:eastAsia="Arial" w:hAnsi="Arial"/>
                <w:sz w:val="22"/>
                <w:szCs w:val="22"/>
                <w:color w:val="auto"/>
              </w:rPr>
              <w:t>Monthly average revenue per high-speed Internet subscriber</w:t>
            </w:r>
          </w:p>
        </w:tc>
        <w:tc>
          <w:tcPr>
            <w:tcW w:w="1100" w:type="dxa"/>
            <w:vAlign w:val="bottom"/>
            <w:gridSpan w:val="2"/>
          </w:tcPr>
          <w:p>
            <w:pPr>
              <w:jc w:val="right"/>
              <w:ind w:right="200"/>
              <w:spacing w:after="0" w:line="243" w:lineRule="exact"/>
              <w:rPr>
                <w:sz w:val="20"/>
                <w:szCs w:val="20"/>
                <w:color w:val="auto"/>
              </w:rPr>
            </w:pPr>
            <w:r>
              <w:rPr>
                <w:rFonts w:ascii="Arial" w:cs="Arial" w:eastAsia="Arial" w:hAnsi="Arial"/>
                <w:sz w:val="22"/>
                <w:szCs w:val="22"/>
                <w:color w:val="auto"/>
              </w:rPr>
              <w:t>$43.52</w:t>
            </w:r>
          </w:p>
        </w:tc>
        <w:tc>
          <w:tcPr>
            <w:tcW w:w="1100" w:type="dxa"/>
            <w:vAlign w:val="bottom"/>
            <w:gridSpan w:val="2"/>
          </w:tcPr>
          <w:p>
            <w:pPr>
              <w:jc w:val="right"/>
              <w:ind w:right="200"/>
              <w:spacing w:after="0" w:line="243" w:lineRule="exact"/>
              <w:rPr>
                <w:sz w:val="20"/>
                <w:szCs w:val="20"/>
                <w:color w:val="auto"/>
              </w:rPr>
            </w:pPr>
            <w:r>
              <w:rPr>
                <w:rFonts w:ascii="Arial" w:cs="Arial" w:eastAsia="Arial" w:hAnsi="Arial"/>
                <w:sz w:val="22"/>
                <w:szCs w:val="22"/>
                <w:color w:val="auto"/>
              </w:rPr>
              <w:t>$43.33</w:t>
            </w:r>
          </w:p>
        </w:tc>
        <w:tc>
          <w:tcPr>
            <w:tcW w:w="1360" w:type="dxa"/>
            <w:vAlign w:val="bottom"/>
            <w:gridSpan w:val="2"/>
          </w:tcPr>
          <w:p>
            <w:pPr>
              <w:jc w:val="right"/>
              <w:ind w:right="360"/>
              <w:spacing w:after="0" w:line="243" w:lineRule="exact"/>
              <w:rPr>
                <w:sz w:val="20"/>
                <w:szCs w:val="20"/>
                <w:color w:val="auto"/>
              </w:rPr>
            </w:pPr>
            <w:r>
              <w:rPr>
                <w:rFonts w:ascii="Arial" w:cs="Arial" w:eastAsia="Arial" w:hAnsi="Arial"/>
                <w:sz w:val="22"/>
                <w:szCs w:val="22"/>
                <w:color w:val="auto"/>
              </w:rPr>
              <w:t>$0.19</w:t>
            </w:r>
          </w:p>
        </w:tc>
        <w:tc>
          <w:tcPr>
            <w:tcW w:w="700" w:type="dxa"/>
            <w:vAlign w:val="bottom"/>
            <w:gridSpan w:val="2"/>
          </w:tcPr>
          <w:p>
            <w:pPr>
              <w:jc w:val="right"/>
              <w:ind w:right="60"/>
              <w:spacing w:after="0" w:line="243" w:lineRule="exact"/>
              <w:rPr>
                <w:sz w:val="20"/>
                <w:szCs w:val="20"/>
                <w:color w:val="auto"/>
              </w:rPr>
            </w:pPr>
            <w:r>
              <w:rPr>
                <w:rFonts w:ascii="Arial" w:cs="Arial" w:eastAsia="Arial" w:hAnsi="Arial"/>
                <w:sz w:val="22"/>
                <w:szCs w:val="22"/>
                <w:color w:val="auto"/>
              </w:rPr>
              <w:t>0.4%</w:t>
            </w:r>
          </w:p>
        </w:tc>
      </w:tr>
      <w:tr>
        <w:trPr>
          <w:trHeight w:val="275"/>
        </w:trPr>
        <w:tc>
          <w:tcPr>
            <w:tcW w:w="6000" w:type="dxa"/>
            <w:vAlign w:val="bottom"/>
          </w:tcPr>
          <w:p>
            <w:pPr>
              <w:spacing w:after="0"/>
              <w:rPr>
                <w:sz w:val="20"/>
                <w:szCs w:val="20"/>
                <w:color w:val="auto"/>
              </w:rPr>
            </w:pPr>
            <w:r>
              <w:rPr>
                <w:rFonts w:ascii="Arial" w:cs="Arial" w:eastAsia="Arial" w:hAnsi="Arial"/>
                <w:sz w:val="22"/>
                <w:szCs w:val="22"/>
                <w:color w:val="auto"/>
              </w:rPr>
              <w:t>Monthly average revenue per phone subscriber</w:t>
            </w:r>
          </w:p>
        </w:tc>
        <w:tc>
          <w:tcPr>
            <w:tcW w:w="1100" w:type="dxa"/>
            <w:vAlign w:val="bottom"/>
            <w:gridSpan w:val="2"/>
          </w:tcPr>
          <w:p>
            <w:pPr>
              <w:jc w:val="right"/>
              <w:ind w:right="200"/>
              <w:spacing w:after="0"/>
              <w:rPr>
                <w:sz w:val="20"/>
                <w:szCs w:val="20"/>
                <w:color w:val="auto"/>
              </w:rPr>
            </w:pPr>
            <w:r>
              <w:rPr>
                <w:rFonts w:ascii="Arial" w:cs="Arial" w:eastAsia="Arial" w:hAnsi="Arial"/>
                <w:sz w:val="22"/>
                <w:szCs w:val="22"/>
                <w:color w:val="auto"/>
              </w:rPr>
              <w:t>$47.71</w:t>
            </w:r>
          </w:p>
        </w:tc>
        <w:tc>
          <w:tcPr>
            <w:tcW w:w="1100" w:type="dxa"/>
            <w:vAlign w:val="bottom"/>
            <w:gridSpan w:val="2"/>
          </w:tcPr>
          <w:p>
            <w:pPr>
              <w:jc w:val="right"/>
              <w:ind w:right="200"/>
              <w:spacing w:after="0"/>
              <w:rPr>
                <w:sz w:val="20"/>
                <w:szCs w:val="20"/>
                <w:color w:val="auto"/>
              </w:rPr>
            </w:pPr>
            <w:r>
              <w:rPr>
                <w:rFonts w:ascii="Arial" w:cs="Arial" w:eastAsia="Arial" w:hAnsi="Arial"/>
                <w:sz w:val="22"/>
                <w:szCs w:val="22"/>
                <w:color w:val="auto"/>
              </w:rPr>
              <w:t>$49.17</w:t>
            </w:r>
          </w:p>
        </w:tc>
        <w:tc>
          <w:tcPr>
            <w:tcW w:w="1360" w:type="dxa"/>
            <w:vAlign w:val="bottom"/>
            <w:gridSpan w:val="2"/>
          </w:tcPr>
          <w:p>
            <w:pPr>
              <w:jc w:val="right"/>
              <w:ind w:right="300"/>
              <w:spacing w:after="0"/>
              <w:rPr>
                <w:sz w:val="20"/>
                <w:szCs w:val="20"/>
                <w:color w:val="auto"/>
              </w:rPr>
            </w:pPr>
            <w:r>
              <w:rPr>
                <w:rFonts w:ascii="Arial" w:cs="Arial" w:eastAsia="Arial" w:hAnsi="Arial"/>
                <w:sz w:val="22"/>
                <w:szCs w:val="22"/>
                <w:color w:val="auto"/>
              </w:rPr>
              <w:t>($1.46)</w:t>
            </w:r>
          </w:p>
        </w:tc>
        <w:tc>
          <w:tcPr>
            <w:tcW w:w="700" w:type="dxa"/>
            <w:vAlign w:val="bottom"/>
            <w:gridSpan w:val="2"/>
          </w:tcPr>
          <w:p>
            <w:pPr>
              <w:jc w:val="right"/>
              <w:spacing w:after="0"/>
              <w:rPr>
                <w:sz w:val="20"/>
                <w:szCs w:val="20"/>
                <w:color w:val="auto"/>
              </w:rPr>
            </w:pPr>
            <w:r>
              <w:rPr>
                <w:rFonts w:ascii="Arial" w:cs="Arial" w:eastAsia="Arial" w:hAnsi="Arial"/>
                <w:sz w:val="22"/>
                <w:szCs w:val="22"/>
                <w:color w:val="auto"/>
              </w:rPr>
              <w:t>(3.0%)</w:t>
            </w:r>
          </w:p>
        </w:tc>
      </w:tr>
      <w:tr>
        <w:trPr>
          <w:trHeight w:val="455"/>
        </w:trPr>
        <w:tc>
          <w:tcPr>
            <w:tcW w:w="6000" w:type="dxa"/>
            <w:vAlign w:val="bottom"/>
          </w:tcPr>
          <w:p>
            <w:pPr>
              <w:spacing w:after="0"/>
              <w:rPr>
                <w:sz w:val="24"/>
                <w:szCs w:val="24"/>
                <w:color w:val="auto"/>
              </w:rPr>
            </w:pPr>
          </w:p>
        </w:tc>
        <w:tc>
          <w:tcPr>
            <w:tcW w:w="2200" w:type="dxa"/>
            <w:vAlign w:val="bottom"/>
            <w:gridSpan w:val="4"/>
          </w:tcPr>
          <w:p>
            <w:pPr>
              <w:jc w:val="center"/>
              <w:ind w:right="200"/>
              <w:spacing w:after="0"/>
              <w:rPr>
                <w:sz w:val="20"/>
                <w:szCs w:val="20"/>
                <w:color w:val="auto"/>
              </w:rPr>
            </w:pPr>
            <w:r>
              <w:rPr>
                <w:rFonts w:ascii="Arial" w:cs="Arial" w:eastAsia="Arial" w:hAnsi="Arial"/>
                <w:sz w:val="22"/>
                <w:szCs w:val="22"/>
                <w:color w:val="auto"/>
                <w:w w:val="89"/>
              </w:rPr>
              <w:t>Six Months Ended</w:t>
            </w: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43"/>
        </w:trPr>
        <w:tc>
          <w:tcPr>
            <w:tcW w:w="6000" w:type="dxa"/>
            <w:vAlign w:val="bottom"/>
          </w:tcPr>
          <w:p>
            <w:pPr>
              <w:spacing w:after="0"/>
              <w:rPr>
                <w:sz w:val="21"/>
                <w:szCs w:val="21"/>
                <w:color w:val="auto"/>
              </w:rPr>
            </w:pPr>
          </w:p>
        </w:tc>
        <w:tc>
          <w:tcPr>
            <w:tcW w:w="2200" w:type="dxa"/>
            <w:vAlign w:val="bottom"/>
            <w:gridSpan w:val="4"/>
          </w:tcPr>
          <w:p>
            <w:pPr>
              <w:jc w:val="center"/>
              <w:ind w:right="200"/>
              <w:spacing w:after="0" w:line="243" w:lineRule="exact"/>
              <w:rPr>
                <w:sz w:val="20"/>
                <w:szCs w:val="20"/>
                <w:color w:val="auto"/>
              </w:rPr>
            </w:pPr>
            <w:r>
              <w:rPr>
                <w:rFonts w:ascii="Arial" w:cs="Arial" w:eastAsia="Arial" w:hAnsi="Arial"/>
                <w:sz w:val="22"/>
                <w:szCs w:val="22"/>
                <w:color w:val="auto"/>
                <w:w w:val="85"/>
              </w:rPr>
              <w:t>June 30,</w:t>
            </w:r>
          </w:p>
        </w:tc>
        <w:tc>
          <w:tcPr>
            <w:tcW w:w="2060" w:type="dxa"/>
            <w:vAlign w:val="bottom"/>
            <w:gridSpan w:val="4"/>
          </w:tcPr>
          <w:p>
            <w:pPr>
              <w:jc w:val="right"/>
              <w:ind w:right="300"/>
              <w:spacing w:after="0" w:line="243" w:lineRule="exact"/>
              <w:rPr>
                <w:sz w:val="20"/>
                <w:szCs w:val="20"/>
                <w:color w:val="auto"/>
              </w:rPr>
            </w:pPr>
            <w:r>
              <w:rPr>
                <w:rFonts w:ascii="Arial" w:cs="Arial" w:eastAsia="Arial" w:hAnsi="Arial"/>
                <w:sz w:val="22"/>
                <w:szCs w:val="22"/>
                <w:color w:val="auto"/>
                <w:w w:val="87"/>
              </w:rPr>
              <w:t>Increase/(Decrease)</w:t>
            </w:r>
          </w:p>
        </w:tc>
      </w:tr>
      <w:tr>
        <w:trPr>
          <w:trHeight w:val="275"/>
        </w:trPr>
        <w:tc>
          <w:tcPr>
            <w:tcW w:w="6000" w:type="dxa"/>
            <w:vAlign w:val="bottom"/>
          </w:tcPr>
          <w:p>
            <w:pPr>
              <w:spacing w:after="0"/>
              <w:rPr>
                <w:sz w:val="23"/>
                <w:szCs w:val="23"/>
                <w:color w:val="auto"/>
              </w:rPr>
            </w:pPr>
          </w:p>
        </w:tc>
        <w:tc>
          <w:tcPr>
            <w:tcW w:w="900" w:type="dxa"/>
            <w:vAlign w:val="bottom"/>
          </w:tcPr>
          <w:p>
            <w:pPr>
              <w:jc w:val="right"/>
              <w:ind w:right="132"/>
              <w:spacing w:after="0"/>
              <w:rPr>
                <w:sz w:val="20"/>
                <w:szCs w:val="20"/>
                <w:color w:val="auto"/>
              </w:rPr>
            </w:pPr>
            <w:r>
              <w:rPr>
                <w:rFonts w:ascii="Arial" w:cs="Arial" w:eastAsia="Arial" w:hAnsi="Arial"/>
                <w:sz w:val="22"/>
                <w:szCs w:val="22"/>
                <w:color w:val="auto"/>
              </w:rPr>
              <w:t>2004</w:t>
            </w:r>
          </w:p>
        </w:tc>
        <w:tc>
          <w:tcPr>
            <w:tcW w:w="200" w:type="dxa"/>
            <w:vAlign w:val="bottom"/>
          </w:tcPr>
          <w:p>
            <w:pPr>
              <w:spacing w:after="0"/>
              <w:rPr>
                <w:sz w:val="23"/>
                <w:szCs w:val="23"/>
                <w:color w:val="auto"/>
              </w:rPr>
            </w:pPr>
          </w:p>
        </w:tc>
        <w:tc>
          <w:tcPr>
            <w:tcW w:w="900" w:type="dxa"/>
            <w:vAlign w:val="bottom"/>
          </w:tcPr>
          <w:p>
            <w:pPr>
              <w:jc w:val="right"/>
              <w:ind w:right="132"/>
              <w:spacing w:after="0"/>
              <w:rPr>
                <w:sz w:val="20"/>
                <w:szCs w:val="20"/>
                <w:color w:val="auto"/>
              </w:rPr>
            </w:pPr>
            <w:r>
              <w:rPr>
                <w:rFonts w:ascii="Arial" w:cs="Arial" w:eastAsia="Arial" w:hAnsi="Arial"/>
                <w:sz w:val="22"/>
                <w:szCs w:val="22"/>
                <w:color w:val="auto"/>
              </w:rPr>
              <w:t>2003</w:t>
            </w:r>
          </w:p>
        </w:tc>
        <w:tc>
          <w:tcPr>
            <w:tcW w:w="200" w:type="dxa"/>
            <w:vAlign w:val="bottom"/>
          </w:tcPr>
          <w:p>
            <w:pPr>
              <w:spacing w:after="0"/>
              <w:rPr>
                <w:sz w:val="23"/>
                <w:szCs w:val="23"/>
                <w:color w:val="auto"/>
              </w:rPr>
            </w:pPr>
          </w:p>
        </w:tc>
        <w:tc>
          <w:tcPr>
            <w:tcW w:w="1000" w:type="dxa"/>
            <w:vAlign w:val="bottom"/>
          </w:tcPr>
          <w:p>
            <w:pPr>
              <w:jc w:val="right"/>
              <w:ind w:right="332"/>
              <w:spacing w:after="0"/>
              <w:rPr>
                <w:sz w:val="20"/>
                <w:szCs w:val="20"/>
                <w:color w:val="auto"/>
              </w:rPr>
            </w:pPr>
            <w:r>
              <w:rPr>
                <w:rFonts w:ascii="Arial" w:cs="Arial" w:eastAsia="Arial" w:hAnsi="Arial"/>
                <w:sz w:val="22"/>
                <w:szCs w:val="22"/>
                <w:color w:val="auto"/>
              </w:rPr>
              <w:t>$</w:t>
            </w:r>
          </w:p>
        </w:tc>
        <w:tc>
          <w:tcPr>
            <w:tcW w:w="360" w:type="dxa"/>
            <w:vAlign w:val="bottom"/>
          </w:tcPr>
          <w:p>
            <w:pPr>
              <w:spacing w:after="0"/>
              <w:rPr>
                <w:sz w:val="23"/>
                <w:szCs w:val="23"/>
                <w:color w:val="auto"/>
              </w:rPr>
            </w:pPr>
          </w:p>
        </w:tc>
        <w:tc>
          <w:tcPr>
            <w:tcW w:w="460" w:type="dxa"/>
            <w:vAlign w:val="bottom"/>
          </w:tcPr>
          <w:p>
            <w:pPr>
              <w:jc w:val="right"/>
              <w:ind w:right="32"/>
              <w:spacing w:after="0"/>
              <w:rPr>
                <w:sz w:val="20"/>
                <w:szCs w:val="20"/>
                <w:color w:val="auto"/>
              </w:rPr>
            </w:pPr>
            <w:r>
              <w:rPr>
                <w:rFonts w:ascii="Arial" w:cs="Arial" w:eastAsia="Arial" w:hAnsi="Arial"/>
                <w:sz w:val="22"/>
                <w:szCs w:val="22"/>
                <w:color w:val="auto"/>
              </w:rPr>
              <w:t>%</w:t>
            </w:r>
          </w:p>
        </w:tc>
        <w:tc>
          <w:tcPr>
            <w:tcW w:w="240" w:type="dxa"/>
            <w:vAlign w:val="bottom"/>
          </w:tcPr>
          <w:p>
            <w:pPr>
              <w:spacing w:after="0"/>
              <w:rPr>
                <w:sz w:val="23"/>
                <w:szCs w:val="23"/>
                <w:color w:val="auto"/>
              </w:rPr>
            </w:pPr>
          </w:p>
        </w:tc>
      </w:tr>
      <w:tr>
        <w:trPr>
          <w:trHeight w:val="98"/>
        </w:trPr>
        <w:tc>
          <w:tcPr>
            <w:tcW w:w="6000" w:type="dxa"/>
            <w:vAlign w:val="bottom"/>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r>
      <w:tr>
        <w:trPr>
          <w:trHeight w:val="323"/>
        </w:trPr>
        <w:tc>
          <w:tcPr>
            <w:tcW w:w="6000" w:type="dxa"/>
            <w:vAlign w:val="bottom"/>
          </w:tcPr>
          <w:p>
            <w:pPr>
              <w:spacing w:after="0"/>
              <w:rPr>
                <w:sz w:val="20"/>
                <w:szCs w:val="20"/>
                <w:color w:val="auto"/>
              </w:rPr>
            </w:pPr>
            <w:r>
              <w:rPr>
                <w:rFonts w:ascii="Arial" w:cs="Arial" w:eastAsia="Arial" w:hAnsi="Arial"/>
                <w:sz w:val="22"/>
                <w:szCs w:val="22"/>
                <w:color w:val="auto"/>
              </w:rPr>
              <w:t>Monthly average revenue per video subscriber</w:t>
            </w:r>
          </w:p>
        </w:tc>
        <w:tc>
          <w:tcPr>
            <w:tcW w:w="1100" w:type="dxa"/>
            <w:vAlign w:val="bottom"/>
            <w:gridSpan w:val="2"/>
          </w:tcPr>
          <w:p>
            <w:pPr>
              <w:jc w:val="right"/>
              <w:ind w:right="200"/>
              <w:spacing w:after="0"/>
              <w:rPr>
                <w:sz w:val="20"/>
                <w:szCs w:val="20"/>
                <w:color w:val="auto"/>
              </w:rPr>
            </w:pPr>
            <w:r>
              <w:rPr>
                <w:rFonts w:ascii="Arial" w:cs="Arial" w:eastAsia="Arial" w:hAnsi="Arial"/>
                <w:sz w:val="22"/>
                <w:szCs w:val="22"/>
                <w:color w:val="auto"/>
              </w:rPr>
              <w:t>$49.85</w:t>
            </w:r>
          </w:p>
        </w:tc>
        <w:tc>
          <w:tcPr>
            <w:tcW w:w="1100" w:type="dxa"/>
            <w:vAlign w:val="bottom"/>
            <w:gridSpan w:val="2"/>
          </w:tcPr>
          <w:p>
            <w:pPr>
              <w:jc w:val="right"/>
              <w:ind w:right="200"/>
              <w:spacing w:after="0"/>
              <w:rPr>
                <w:sz w:val="20"/>
                <w:szCs w:val="20"/>
                <w:color w:val="auto"/>
              </w:rPr>
            </w:pPr>
            <w:r>
              <w:rPr>
                <w:rFonts w:ascii="Arial" w:cs="Arial" w:eastAsia="Arial" w:hAnsi="Arial"/>
                <w:sz w:val="22"/>
                <w:szCs w:val="22"/>
                <w:color w:val="auto"/>
              </w:rPr>
              <w:t>$46.85</w:t>
            </w:r>
          </w:p>
        </w:tc>
        <w:tc>
          <w:tcPr>
            <w:tcW w:w="1360" w:type="dxa"/>
            <w:vAlign w:val="bottom"/>
            <w:gridSpan w:val="2"/>
          </w:tcPr>
          <w:p>
            <w:pPr>
              <w:jc w:val="right"/>
              <w:ind w:right="360"/>
              <w:spacing w:after="0"/>
              <w:rPr>
                <w:sz w:val="20"/>
                <w:szCs w:val="20"/>
                <w:color w:val="auto"/>
              </w:rPr>
            </w:pPr>
            <w:r>
              <w:rPr>
                <w:rFonts w:ascii="Arial" w:cs="Arial" w:eastAsia="Arial" w:hAnsi="Arial"/>
                <w:sz w:val="22"/>
                <w:szCs w:val="22"/>
                <w:color w:val="auto"/>
              </w:rPr>
              <w:t>$3.00</w:t>
            </w:r>
          </w:p>
        </w:tc>
        <w:tc>
          <w:tcPr>
            <w:tcW w:w="700" w:type="dxa"/>
            <w:vAlign w:val="bottom"/>
            <w:gridSpan w:val="2"/>
          </w:tcPr>
          <w:p>
            <w:pPr>
              <w:jc w:val="right"/>
              <w:ind w:right="60"/>
              <w:spacing w:after="0"/>
              <w:rPr>
                <w:sz w:val="20"/>
                <w:szCs w:val="20"/>
                <w:color w:val="auto"/>
              </w:rPr>
            </w:pPr>
            <w:r>
              <w:rPr>
                <w:rFonts w:ascii="Arial" w:cs="Arial" w:eastAsia="Arial" w:hAnsi="Arial"/>
                <w:sz w:val="22"/>
                <w:szCs w:val="22"/>
                <w:color w:val="auto"/>
              </w:rPr>
              <w:t>6.4%</w:t>
            </w:r>
          </w:p>
        </w:tc>
      </w:tr>
      <w:tr>
        <w:trPr>
          <w:trHeight w:val="243"/>
        </w:trPr>
        <w:tc>
          <w:tcPr>
            <w:tcW w:w="6000" w:type="dxa"/>
            <w:vAlign w:val="bottom"/>
          </w:tcPr>
          <w:p>
            <w:pPr>
              <w:spacing w:after="0" w:line="243" w:lineRule="exact"/>
              <w:rPr>
                <w:sz w:val="20"/>
                <w:szCs w:val="20"/>
                <w:color w:val="auto"/>
              </w:rPr>
            </w:pPr>
            <w:r>
              <w:rPr>
                <w:rFonts w:ascii="Arial" w:cs="Arial" w:eastAsia="Arial" w:hAnsi="Arial"/>
                <w:sz w:val="22"/>
                <w:szCs w:val="22"/>
                <w:color w:val="auto"/>
              </w:rPr>
              <w:t>Monthly average revenue per high-speed Internet subscriber</w:t>
            </w:r>
          </w:p>
        </w:tc>
        <w:tc>
          <w:tcPr>
            <w:tcW w:w="1100" w:type="dxa"/>
            <w:vAlign w:val="bottom"/>
            <w:gridSpan w:val="2"/>
          </w:tcPr>
          <w:p>
            <w:pPr>
              <w:jc w:val="right"/>
              <w:ind w:right="200"/>
              <w:spacing w:after="0" w:line="243" w:lineRule="exact"/>
              <w:rPr>
                <w:sz w:val="20"/>
                <w:szCs w:val="20"/>
                <w:color w:val="auto"/>
              </w:rPr>
            </w:pPr>
            <w:r>
              <w:rPr>
                <w:rFonts w:ascii="Arial" w:cs="Arial" w:eastAsia="Arial" w:hAnsi="Arial"/>
                <w:sz w:val="22"/>
                <w:szCs w:val="22"/>
                <w:color w:val="auto"/>
              </w:rPr>
              <w:t>$43.13</w:t>
            </w:r>
          </w:p>
        </w:tc>
        <w:tc>
          <w:tcPr>
            <w:tcW w:w="1100" w:type="dxa"/>
            <w:vAlign w:val="bottom"/>
            <w:gridSpan w:val="2"/>
          </w:tcPr>
          <w:p>
            <w:pPr>
              <w:jc w:val="right"/>
              <w:ind w:right="200"/>
              <w:spacing w:after="0" w:line="243" w:lineRule="exact"/>
              <w:rPr>
                <w:sz w:val="20"/>
                <w:szCs w:val="20"/>
                <w:color w:val="auto"/>
              </w:rPr>
            </w:pPr>
            <w:r>
              <w:rPr>
                <w:rFonts w:ascii="Arial" w:cs="Arial" w:eastAsia="Arial" w:hAnsi="Arial"/>
                <w:sz w:val="22"/>
                <w:szCs w:val="22"/>
                <w:color w:val="auto"/>
              </w:rPr>
              <w:t>$43.26</w:t>
            </w:r>
          </w:p>
        </w:tc>
        <w:tc>
          <w:tcPr>
            <w:tcW w:w="1360" w:type="dxa"/>
            <w:vAlign w:val="bottom"/>
            <w:gridSpan w:val="2"/>
          </w:tcPr>
          <w:p>
            <w:pPr>
              <w:jc w:val="right"/>
              <w:ind w:right="300"/>
              <w:spacing w:after="0" w:line="243" w:lineRule="exact"/>
              <w:rPr>
                <w:sz w:val="20"/>
                <w:szCs w:val="20"/>
                <w:color w:val="auto"/>
              </w:rPr>
            </w:pPr>
            <w:r>
              <w:rPr>
                <w:rFonts w:ascii="Arial" w:cs="Arial" w:eastAsia="Arial" w:hAnsi="Arial"/>
                <w:sz w:val="22"/>
                <w:szCs w:val="22"/>
                <w:color w:val="auto"/>
              </w:rPr>
              <w:t>($0.13)</w:t>
            </w:r>
          </w:p>
        </w:tc>
        <w:tc>
          <w:tcPr>
            <w:tcW w:w="70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(0.3%)</w:t>
            </w:r>
          </w:p>
        </w:tc>
      </w:tr>
      <w:tr>
        <w:trPr>
          <w:trHeight w:val="275"/>
        </w:trPr>
        <w:tc>
          <w:tcPr>
            <w:tcW w:w="6000" w:type="dxa"/>
            <w:vAlign w:val="bottom"/>
          </w:tcPr>
          <w:p>
            <w:pPr>
              <w:spacing w:after="0"/>
              <w:rPr>
                <w:sz w:val="20"/>
                <w:szCs w:val="20"/>
                <w:color w:val="auto"/>
              </w:rPr>
            </w:pPr>
            <w:r>
              <w:rPr>
                <w:rFonts w:ascii="Arial" w:cs="Arial" w:eastAsia="Arial" w:hAnsi="Arial"/>
                <w:sz w:val="22"/>
                <w:szCs w:val="22"/>
                <w:color w:val="auto"/>
              </w:rPr>
              <w:t>Monthly average revenue per phone subscriber</w:t>
            </w:r>
          </w:p>
        </w:tc>
        <w:tc>
          <w:tcPr>
            <w:tcW w:w="1100" w:type="dxa"/>
            <w:vAlign w:val="bottom"/>
            <w:gridSpan w:val="2"/>
          </w:tcPr>
          <w:p>
            <w:pPr>
              <w:jc w:val="right"/>
              <w:ind w:right="200"/>
              <w:spacing w:after="0"/>
              <w:rPr>
                <w:sz w:val="20"/>
                <w:szCs w:val="20"/>
                <w:color w:val="auto"/>
              </w:rPr>
            </w:pPr>
            <w:r>
              <w:rPr>
                <w:rFonts w:ascii="Arial" w:cs="Arial" w:eastAsia="Arial" w:hAnsi="Arial"/>
                <w:sz w:val="22"/>
                <w:szCs w:val="22"/>
                <w:color w:val="auto"/>
              </w:rPr>
              <w:t>$47.55</w:t>
            </w:r>
          </w:p>
        </w:tc>
        <w:tc>
          <w:tcPr>
            <w:tcW w:w="1100" w:type="dxa"/>
            <w:vAlign w:val="bottom"/>
            <w:gridSpan w:val="2"/>
          </w:tcPr>
          <w:p>
            <w:pPr>
              <w:jc w:val="right"/>
              <w:ind w:right="200"/>
              <w:spacing w:after="0"/>
              <w:rPr>
                <w:sz w:val="20"/>
                <w:szCs w:val="20"/>
                <w:color w:val="auto"/>
              </w:rPr>
            </w:pPr>
            <w:r>
              <w:rPr>
                <w:rFonts w:ascii="Arial" w:cs="Arial" w:eastAsia="Arial" w:hAnsi="Arial"/>
                <w:sz w:val="22"/>
                <w:szCs w:val="22"/>
                <w:color w:val="auto"/>
              </w:rPr>
              <w:t>$51.05</w:t>
            </w:r>
          </w:p>
        </w:tc>
        <w:tc>
          <w:tcPr>
            <w:tcW w:w="1360" w:type="dxa"/>
            <w:vAlign w:val="bottom"/>
            <w:gridSpan w:val="2"/>
          </w:tcPr>
          <w:p>
            <w:pPr>
              <w:jc w:val="right"/>
              <w:ind w:right="300"/>
              <w:spacing w:after="0"/>
              <w:rPr>
                <w:sz w:val="20"/>
                <w:szCs w:val="20"/>
                <w:color w:val="auto"/>
              </w:rPr>
            </w:pPr>
            <w:r>
              <w:rPr>
                <w:rFonts w:ascii="Arial" w:cs="Arial" w:eastAsia="Arial" w:hAnsi="Arial"/>
                <w:sz w:val="22"/>
                <w:szCs w:val="22"/>
                <w:color w:val="auto"/>
              </w:rPr>
              <w:t>($3.50)</w:t>
            </w:r>
          </w:p>
        </w:tc>
        <w:tc>
          <w:tcPr>
            <w:tcW w:w="700" w:type="dxa"/>
            <w:vAlign w:val="bottom"/>
            <w:gridSpan w:val="2"/>
          </w:tcPr>
          <w:p>
            <w:pPr>
              <w:jc w:val="right"/>
              <w:spacing w:after="0"/>
              <w:rPr>
                <w:sz w:val="20"/>
                <w:szCs w:val="20"/>
                <w:color w:val="auto"/>
              </w:rPr>
            </w:pPr>
            <w:r>
              <w:rPr>
                <w:rFonts w:ascii="Arial" w:cs="Arial" w:eastAsia="Arial" w:hAnsi="Arial"/>
                <w:sz w:val="22"/>
                <w:szCs w:val="22"/>
                <w:color w:val="auto"/>
              </w:rPr>
              <w:t>(6.9%)</w:t>
            </w:r>
          </w:p>
        </w:tc>
      </w:tr>
    </w:tbl>
    <w:p>
      <w:pPr>
        <w:spacing w:after="0" w:line="212" w:lineRule="exact"/>
        <w:rPr>
          <w:sz w:val="20"/>
          <w:szCs w:val="20"/>
          <w:color w:val="auto"/>
        </w:rPr>
      </w:pPr>
    </w:p>
    <w:p>
      <w:pPr>
        <w:ind w:left="700" w:hanging="341"/>
        <w:spacing w:after="0" w:line="274" w:lineRule="auto"/>
        <w:tabs>
          <w:tab w:leader="none" w:pos="700" w:val="left"/>
        </w:tabs>
        <w:numPr>
          <w:ilvl w:val="0"/>
          <w:numId w:val="15"/>
        </w:numPr>
        <w:rPr>
          <w:rFonts w:ascii="Arial" w:cs="Arial" w:eastAsia="Arial" w:hAnsi="Arial"/>
          <w:sz w:val="19"/>
          <w:szCs w:val="19"/>
          <w:color w:val="auto"/>
        </w:rPr>
      </w:pPr>
      <w:r>
        <w:rPr>
          <w:rFonts w:ascii="Arial" w:cs="Arial" w:eastAsia="Arial" w:hAnsi="Arial"/>
          <w:sz w:val="19"/>
          <w:szCs w:val="19"/>
          <w:color w:val="auto"/>
        </w:rPr>
        <w:t>Operating income before depreciation and amortization is defined as operating income before depreciation and amortization, impairment charges, if any, related to fixed and intangible assets and gains or losses from the sale of assets, if any. As such, it eliminates the significant level of non-cash depreciation and amortization expense that results from the capital intensive nature of our businesses and intangible assets recognized in business combinations, and is unaffected by our capital structure or investment activities. Our management and Board of Directors use this measure in evaluating our consolidated operating performance and the operating performance of all of our operating segments. This metric is used to allocate resources and capital to our operating segments and is a significant component of our annual incentive compensation programs. We believe that this measure is also useful to investors as it is one of the bases for comparing our operating performance with other companies in our industries, although our measure may not be directly comparable to</w:t>
      </w:r>
    </w:p>
    <w:p>
      <w:pPr>
        <w:sectPr>
          <w:pgSz w:w="11900" w:h="16838" w:orient="portrait"/>
          <w:cols w:equalWidth="0" w:num="1">
            <w:col w:w="11340"/>
          </w:cols>
          <w:pgMar w:left="240" w:top="230" w:right="319" w:bottom="0" w:gutter="0" w:footer="0" w:header="0"/>
        </w:sectPr>
      </w:pPr>
    </w:p>
    <w:bookmarkStart w:id="29" w:name="page30"/>
    <w:bookmarkEnd w:id="29"/>
    <w:p>
      <w:pPr>
        <w:ind w:left="700" w:right="80"/>
        <w:spacing w:after="0" w:line="235" w:lineRule="auto"/>
        <w:rPr>
          <w:sz w:val="20"/>
          <w:szCs w:val="20"/>
          <w:color w:val="auto"/>
        </w:rPr>
      </w:pPr>
      <w:r>
        <w:rPr>
          <w:rFonts w:ascii="Arial" w:cs="Arial" w:eastAsia="Arial" w:hAnsi="Arial"/>
          <w:sz w:val="22"/>
          <w:szCs w:val="22"/>
          <w:color w:val="auto"/>
        </w:rPr>
        <w:t>similar measures used by other companies. Because we use operating income before depreciation and amortization as the measure of our segment profit or loss, we reconcile it to operating income, the most directly comparable financial measure calculated and presented in accordance with Generally Accepted Accounting Principles (GAAP), in the business segment footnote to our financial statements. This measure should not be considered as a substitute for operating income (loss), net income (loss), net cash provided by operating activities or other measures of performance or liquidity reported in accordance with GAAP.</w:t>
      </w:r>
    </w:p>
    <w:p>
      <w:pPr>
        <w:spacing w:after="0" w:line="200" w:lineRule="exact"/>
        <w:rPr>
          <w:sz w:val="20"/>
          <w:szCs w:val="20"/>
          <w:color w:val="auto"/>
        </w:rPr>
      </w:pPr>
    </w:p>
    <w:p>
      <w:pPr>
        <w:spacing w:after="0" w:line="232"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63765"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COMCAST CORPORATION AND SUBSIDIARIES</w:t>
      </w:r>
    </w:p>
    <w:p>
      <w:pPr>
        <w:jc w:val="center"/>
        <w:ind w:right="20"/>
        <w:spacing w:after="0" w:line="238" w:lineRule="auto"/>
        <w:rPr>
          <w:sz w:val="20"/>
          <w:szCs w:val="20"/>
          <w:color w:val="auto"/>
        </w:rPr>
      </w:pPr>
      <w:r>
        <w:rPr>
          <w:rFonts w:ascii="Arial" w:cs="Arial" w:eastAsia="Arial" w:hAnsi="Arial"/>
          <w:sz w:val="22"/>
          <w:szCs w:val="22"/>
          <w:color w:val="auto"/>
        </w:rPr>
        <w:t>FORM 10-Q</w:t>
      </w:r>
    </w:p>
    <w:p>
      <w:pPr>
        <w:jc w:val="center"/>
        <w:ind w:right="-59"/>
        <w:spacing w:after="0"/>
        <w:rPr>
          <w:sz w:val="20"/>
          <w:szCs w:val="20"/>
          <w:color w:val="auto"/>
        </w:rPr>
      </w:pPr>
      <w:r>
        <w:rPr>
          <w:rFonts w:ascii="Arial" w:cs="Arial" w:eastAsia="Arial" w:hAnsi="Arial"/>
          <w:sz w:val="22"/>
          <w:szCs w:val="22"/>
          <w:color w:val="auto"/>
        </w:rPr>
        <w:t>QUARTER ENDED JUNE 30, 2004</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22"/>
          <w:szCs w:val="22"/>
          <w:i w:val="1"/>
          <w:iCs w:val="1"/>
          <w:color w:val="auto"/>
        </w:rPr>
        <w:t>Revenues</w:t>
      </w:r>
    </w:p>
    <w:p>
      <w:pPr>
        <w:spacing w:after="0" w:line="206" w:lineRule="exact"/>
        <w:rPr>
          <w:sz w:val="20"/>
          <w:szCs w:val="20"/>
          <w:color w:val="auto"/>
        </w:rPr>
      </w:pPr>
    </w:p>
    <w:p>
      <w:pPr>
        <w:ind w:right="20" w:firstLine="428"/>
        <w:spacing w:after="0" w:line="248" w:lineRule="auto"/>
        <w:rPr>
          <w:sz w:val="20"/>
          <w:szCs w:val="20"/>
          <w:color w:val="auto"/>
        </w:rPr>
      </w:pPr>
      <w:r>
        <w:rPr>
          <w:rFonts w:ascii="Arial" w:cs="Arial" w:eastAsia="Arial" w:hAnsi="Arial"/>
          <w:sz w:val="21"/>
          <w:szCs w:val="21"/>
          <w:color w:val="auto"/>
        </w:rPr>
        <w:t>Video revenue consists of our basic, expanded basic, premium, pay-per-view, equipment and digital cable services. The increases in video revenue for the interim periods from 2003 to 2004 are primarily due to increases in monthly average revenue per subscriber as a result of rate increases in our traditional video service, growth in digital subscribers, and repricing and repackaging of the digital and premium channel services in the Broadband systems. From June 30, 2003 to June 30, 2004, we added approximately 10,000 basic subscribers and approximately 1.1 million digital subscribers, or a 15.8% increase in digital subscribers. We expect continued growth in our video services revenue.</w:t>
      </w:r>
    </w:p>
    <w:p>
      <w:pPr>
        <w:spacing w:after="0" w:line="177" w:lineRule="exact"/>
        <w:rPr>
          <w:sz w:val="20"/>
          <w:szCs w:val="20"/>
          <w:color w:val="auto"/>
        </w:rPr>
      </w:pPr>
    </w:p>
    <w:p>
      <w:pPr>
        <w:ind w:right="80" w:firstLine="428"/>
        <w:spacing w:after="0" w:line="287" w:lineRule="auto"/>
        <w:rPr>
          <w:sz w:val="20"/>
          <w:szCs w:val="20"/>
          <w:color w:val="auto"/>
        </w:rPr>
      </w:pPr>
      <w:r>
        <w:rPr>
          <w:rFonts w:ascii="Arial" w:cs="Arial" w:eastAsia="Arial" w:hAnsi="Arial"/>
          <w:sz w:val="19"/>
          <w:szCs w:val="19"/>
          <w:color w:val="auto"/>
        </w:rPr>
        <w:t>The increases in high-speed Internet revenue for the interim periods from 2003 to 2004 are primarily due to the addition of approximately 1.6 million high-speed Internet subscribers from June 30, 2003 to June 30, 2004, or a 36.8% increase in high-speed Internet subscribers, offset by a slight decrease in monthly average revenue per subscriber during the six month interim period. We expect continued high-speed Internet revenue growth as overall demand for our services continues to increase.</w:t>
      </w:r>
    </w:p>
    <w:p>
      <w:pPr>
        <w:spacing w:after="0" w:line="143" w:lineRule="exact"/>
        <w:rPr>
          <w:sz w:val="20"/>
          <w:szCs w:val="20"/>
          <w:color w:val="auto"/>
        </w:rPr>
      </w:pPr>
    </w:p>
    <w:p>
      <w:pPr>
        <w:jc w:val="both"/>
        <w:ind w:right="140" w:firstLine="428"/>
        <w:spacing w:after="0" w:line="258" w:lineRule="auto"/>
        <w:rPr>
          <w:sz w:val="20"/>
          <w:szCs w:val="20"/>
          <w:color w:val="auto"/>
        </w:rPr>
      </w:pPr>
      <w:r>
        <w:rPr>
          <w:rFonts w:ascii="Arial" w:cs="Arial" w:eastAsia="Arial" w:hAnsi="Arial"/>
          <w:sz w:val="21"/>
          <w:szCs w:val="21"/>
          <w:color w:val="auto"/>
        </w:rPr>
        <w:t>The decreases in phone revenue for the interim periods from 2003 to 2004 are primarily as a result of our focus on operating efficiencies to drive profitability in the phone business, rather than focusing on subscriber growth. As a result, from June 30, 2003 to June 30, 2004, our phone subscribers decreased by approximately 142,000 subscribers.</w:t>
      </w:r>
    </w:p>
    <w:p>
      <w:pPr>
        <w:spacing w:after="0" w:line="167" w:lineRule="exact"/>
        <w:rPr>
          <w:sz w:val="20"/>
          <w:szCs w:val="20"/>
          <w:color w:val="auto"/>
        </w:rPr>
      </w:pPr>
    </w:p>
    <w:p>
      <w:pPr>
        <w:ind w:right="40" w:firstLine="428"/>
        <w:spacing w:after="0"/>
        <w:rPr>
          <w:sz w:val="20"/>
          <w:szCs w:val="20"/>
          <w:color w:val="auto"/>
        </w:rPr>
      </w:pPr>
      <w:r>
        <w:rPr>
          <w:rFonts w:ascii="Arial" w:cs="Arial" w:eastAsia="Arial" w:hAnsi="Arial"/>
          <w:sz w:val="22"/>
          <w:szCs w:val="22"/>
          <w:color w:val="auto"/>
        </w:rPr>
        <w:t>The increases in advertising sales revenue for the interim periods from 2003 to 2004 are primarily due to the effects of growth in regional/national advertising as a result of the continuing success of our regional interconnects and a stronger local advertising market.</w:t>
      </w:r>
    </w:p>
    <w:p>
      <w:pPr>
        <w:spacing w:after="0" w:line="186" w:lineRule="exact"/>
        <w:rPr>
          <w:sz w:val="20"/>
          <w:szCs w:val="20"/>
          <w:color w:val="auto"/>
        </w:rPr>
      </w:pPr>
    </w:p>
    <w:p>
      <w:pPr>
        <w:ind w:right="700" w:firstLine="432"/>
        <w:spacing w:after="0" w:line="274" w:lineRule="auto"/>
        <w:rPr>
          <w:sz w:val="20"/>
          <w:szCs w:val="20"/>
          <w:color w:val="auto"/>
        </w:rPr>
      </w:pPr>
      <w:r>
        <w:rPr>
          <w:rFonts w:ascii="Arial" w:cs="Arial" w:eastAsia="Arial" w:hAnsi="Arial"/>
          <w:sz w:val="21"/>
          <w:szCs w:val="21"/>
          <w:color w:val="auto"/>
        </w:rPr>
        <w:t>Other revenue includes installation revenues, guide revenues, commissions from electronic retailing, revenue from our regional programming networks, commercial data services and revenue from other product offerings.</w:t>
      </w:r>
    </w:p>
    <w:p>
      <w:pPr>
        <w:spacing w:after="0" w:line="151" w:lineRule="exact"/>
        <w:rPr>
          <w:sz w:val="20"/>
          <w:szCs w:val="20"/>
          <w:color w:val="auto"/>
        </w:rPr>
      </w:pPr>
    </w:p>
    <w:p>
      <w:pPr>
        <w:ind w:left="440"/>
        <w:spacing w:after="0"/>
        <w:rPr>
          <w:sz w:val="20"/>
          <w:szCs w:val="20"/>
          <w:color w:val="auto"/>
        </w:rPr>
      </w:pPr>
      <w:r>
        <w:rPr>
          <w:rFonts w:ascii="Arial" w:cs="Arial" w:eastAsia="Arial" w:hAnsi="Arial"/>
          <w:sz w:val="22"/>
          <w:szCs w:val="22"/>
          <w:i w:val="1"/>
          <w:iCs w:val="1"/>
          <w:color w:val="auto"/>
        </w:rPr>
        <w:t>Expenses</w:t>
      </w:r>
    </w:p>
    <w:p>
      <w:pPr>
        <w:spacing w:after="0" w:line="206" w:lineRule="exact"/>
        <w:rPr>
          <w:sz w:val="20"/>
          <w:szCs w:val="20"/>
          <w:color w:val="auto"/>
        </w:rPr>
      </w:pPr>
    </w:p>
    <w:p>
      <w:pPr>
        <w:jc w:val="both"/>
        <w:ind w:firstLine="428"/>
        <w:spacing w:after="0" w:line="287" w:lineRule="auto"/>
        <w:rPr>
          <w:sz w:val="20"/>
          <w:szCs w:val="20"/>
          <w:color w:val="auto"/>
        </w:rPr>
      </w:pPr>
      <w:r>
        <w:rPr>
          <w:rFonts w:ascii="Arial" w:cs="Arial" w:eastAsia="Arial" w:hAnsi="Arial"/>
          <w:sz w:val="19"/>
          <w:szCs w:val="19"/>
          <w:color w:val="auto"/>
        </w:rPr>
        <w:t>Total operating, selling, general and administrative expenses increased for the interim periods from 2003 to 2004 primarily as a result of increases in labor and other volume related operating expenses associated with the growth in our high-speed Internet and digital cable services. Offsetting these increases were cost efficiencies generated from the integration of Broadband. Additionally, customer service expenses slightly declined because we no longer outsource Broadband’s customer service operations.</w:t>
      </w:r>
    </w:p>
    <w:p>
      <w:pPr>
        <w:spacing w:after="0" w:line="13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Income (Expense) Items</w:t>
      </w:r>
    </w:p>
    <w:p>
      <w:pPr>
        <w:spacing w:after="0" w:line="212" w:lineRule="exact"/>
        <w:rPr>
          <w:sz w:val="20"/>
          <w:szCs w:val="20"/>
          <w:color w:val="auto"/>
        </w:rPr>
      </w:pPr>
    </w:p>
    <w:p>
      <w:pPr>
        <w:ind w:left="440"/>
        <w:spacing w:after="0"/>
        <w:rPr>
          <w:sz w:val="20"/>
          <w:szCs w:val="20"/>
          <w:color w:val="auto"/>
        </w:rPr>
      </w:pPr>
      <w:r>
        <w:rPr>
          <w:rFonts w:ascii="Arial" w:cs="Arial" w:eastAsia="Arial" w:hAnsi="Arial"/>
          <w:sz w:val="22"/>
          <w:szCs w:val="22"/>
          <w:i w:val="1"/>
          <w:iCs w:val="1"/>
          <w:color w:val="auto"/>
        </w:rPr>
        <w:t>Interest Expense</w:t>
      </w:r>
    </w:p>
    <w:p>
      <w:pPr>
        <w:spacing w:after="0" w:line="206" w:lineRule="exact"/>
        <w:rPr>
          <w:sz w:val="20"/>
          <w:szCs w:val="20"/>
          <w:color w:val="auto"/>
        </w:rPr>
      </w:pPr>
    </w:p>
    <w:p>
      <w:pPr>
        <w:ind w:right="20" w:firstLine="428"/>
        <w:spacing w:after="0" w:line="273" w:lineRule="auto"/>
        <w:rPr>
          <w:sz w:val="20"/>
          <w:szCs w:val="20"/>
          <w:color w:val="auto"/>
        </w:rPr>
      </w:pPr>
      <w:r>
        <w:rPr>
          <w:rFonts w:ascii="Arial" w:cs="Arial" w:eastAsia="Arial" w:hAnsi="Arial"/>
          <w:sz w:val="19"/>
          <w:szCs w:val="19"/>
          <w:color w:val="auto"/>
        </w:rPr>
        <w:t>The decreases in interest expense for the interim periods from 2003 to 2004 are due to our decreased amount of debt outstanding as a result of our debt reduction during 2003. The decreases for the interim periods from 2003 to 2004 were offset somewhat by the effects of the write-off of unamortized debt issue costs to interest expense in connection with the refinancing of our previously existing revolving credit facilities and by the early redemption of certain of the Comcast exchangeable notes. The cost associated with the refinancing totaled $38 million during the six months ended June 30, 2004 and the cost associated with the redemption totaled $29 million during the three and six months ended June 30, 2004. The decrease for both interim periods from 2003 to 2004 was also offset by the effects of our adoption of SFAS No. 150, “Accounting for Certain Financial Instruments with Characteristics of both Liabilities and Equity,” on July 1, 2003 on a prospective basis. As a result of the adoption of SFAS No. 150, interest expense for the three and six months ended June 30, 2004 includes $25 million and $50 million, respectively, of dividends on a subsidiary’s preferred stock, previously classified as minority interest.</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4800"/>
        <w:spacing w:after="0"/>
        <w:rPr>
          <w:sz w:val="20"/>
          <w:szCs w:val="20"/>
          <w:color w:val="auto"/>
        </w:rPr>
      </w:pPr>
      <w:r>
        <w:rPr>
          <w:rFonts w:ascii="Arial" w:cs="Arial" w:eastAsia="Arial" w:hAnsi="Arial"/>
          <w:sz w:val="22"/>
          <w:szCs w:val="22"/>
          <w:color w:val="auto"/>
        </w:rPr>
        <w:t>_________________</w:t>
      </w:r>
    </w:p>
    <w:p>
      <w:pPr>
        <w:sectPr>
          <w:pgSz w:w="11900" w:h="16838" w:orient="portrait"/>
          <w:cols w:equalWidth="0" w:num="1">
            <w:col w:w="11380"/>
          </w:cols>
          <w:pgMar w:left="240" w:top="118" w:right="279" w:bottom="338" w:gutter="0" w:footer="0" w:header="0"/>
        </w:sect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263765"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380"/>
          </w:cols>
          <w:pgMar w:left="240" w:top="118" w:right="279" w:bottom="338" w:gutter="0" w:footer="0" w:header="0"/>
          <w:type w:val="continuous"/>
        </w:sectPr>
      </w:pPr>
    </w:p>
    <w:bookmarkStart w:id="30" w:name="page31"/>
    <w:bookmarkEnd w:id="30"/>
    <w:p>
      <w:pPr>
        <w:jc w:val="center"/>
        <w:ind w:right="40"/>
        <w:spacing w:after="0"/>
        <w:rPr>
          <w:sz w:val="20"/>
          <w:szCs w:val="20"/>
          <w:color w:val="auto"/>
        </w:rPr>
      </w:pPr>
      <w:r>
        <w:rPr>
          <w:rFonts w:ascii="Arial" w:cs="Arial" w:eastAsia="Arial" w:hAnsi="Arial"/>
          <w:sz w:val="22"/>
          <w:szCs w:val="22"/>
          <w:color w:val="auto"/>
        </w:rPr>
        <w:t>COMCAST CORPORATION AND SUBSIDIARIES</w:t>
      </w:r>
    </w:p>
    <w:p>
      <w:pPr>
        <w:jc w:val="center"/>
        <w:ind w:right="40"/>
        <w:spacing w:after="0" w:line="238" w:lineRule="auto"/>
        <w:rPr>
          <w:sz w:val="20"/>
          <w:szCs w:val="20"/>
          <w:color w:val="auto"/>
        </w:rPr>
      </w:pPr>
      <w:r>
        <w:rPr>
          <w:rFonts w:ascii="Arial" w:cs="Arial" w:eastAsia="Arial" w:hAnsi="Arial"/>
          <w:sz w:val="22"/>
          <w:szCs w:val="22"/>
          <w:color w:val="auto"/>
        </w:rPr>
        <w:t>FORM 10-Q</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QUARTER ENDED JUNE 30, 2004</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22"/>
          <w:szCs w:val="22"/>
          <w:i w:val="1"/>
          <w:iCs w:val="1"/>
          <w:color w:val="auto"/>
        </w:rPr>
        <w:t>Investment Income (Loss), Net</w:t>
      </w:r>
    </w:p>
    <w:p>
      <w:pPr>
        <w:spacing w:after="0" w:line="8" w:lineRule="exact"/>
        <w:rPr>
          <w:sz w:val="20"/>
          <w:szCs w:val="20"/>
          <w:color w:val="auto"/>
        </w:rPr>
      </w:pPr>
    </w:p>
    <w:p>
      <w:pPr>
        <w:ind w:left="440"/>
        <w:spacing w:after="0"/>
        <w:rPr>
          <w:sz w:val="20"/>
          <w:szCs w:val="20"/>
          <w:color w:val="auto"/>
        </w:rPr>
      </w:pPr>
      <w:r>
        <w:rPr>
          <w:rFonts w:ascii="Arial" w:cs="Arial" w:eastAsia="Arial" w:hAnsi="Arial"/>
          <w:sz w:val="22"/>
          <w:szCs w:val="22"/>
          <w:color w:val="auto"/>
        </w:rPr>
        <w:t>Investment income (loss), net for the interim periods includes the following (in millions):</w:t>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700" w:type="dxa"/>
            <w:vAlign w:val="bottom"/>
          </w:tcPr>
          <w:p>
            <w:pPr>
              <w:spacing w:after="0"/>
              <w:rPr>
                <w:sz w:val="21"/>
                <w:szCs w:val="21"/>
                <w:color w:val="auto"/>
              </w:rPr>
            </w:pPr>
          </w:p>
        </w:tc>
        <w:tc>
          <w:tcPr>
            <w:tcW w:w="3500" w:type="dxa"/>
            <w:vAlign w:val="bottom"/>
            <w:gridSpan w:val="8"/>
          </w:tcPr>
          <w:p>
            <w:pPr>
              <w:jc w:val="right"/>
              <w:spacing w:after="0"/>
              <w:rPr>
                <w:sz w:val="20"/>
                <w:szCs w:val="20"/>
                <w:color w:val="auto"/>
              </w:rPr>
            </w:pPr>
            <w:r>
              <w:rPr>
                <w:rFonts w:ascii="Arial" w:cs="Arial" w:eastAsia="Arial" w:hAnsi="Arial"/>
                <w:sz w:val="22"/>
                <w:szCs w:val="22"/>
                <w:color w:val="auto"/>
                <w:w w:val="89"/>
              </w:rPr>
              <w:t>Three Months Ended Six Months Ended</w:t>
            </w:r>
          </w:p>
        </w:tc>
      </w:tr>
      <w:tr>
        <w:trPr>
          <w:trHeight w:val="243"/>
        </w:trPr>
        <w:tc>
          <w:tcPr>
            <w:tcW w:w="6700" w:type="dxa"/>
            <w:vAlign w:val="bottom"/>
          </w:tcPr>
          <w:p>
            <w:pPr>
              <w:spacing w:after="0"/>
              <w:rPr>
                <w:sz w:val="21"/>
                <w:szCs w:val="21"/>
                <w:color w:val="auto"/>
              </w:rPr>
            </w:pPr>
          </w:p>
        </w:tc>
        <w:tc>
          <w:tcPr>
            <w:tcW w:w="1860" w:type="dxa"/>
            <w:vAlign w:val="bottom"/>
            <w:gridSpan w:val="4"/>
          </w:tcPr>
          <w:p>
            <w:pPr>
              <w:jc w:val="right"/>
              <w:ind w:right="580"/>
              <w:spacing w:after="0" w:line="243" w:lineRule="exact"/>
              <w:rPr>
                <w:sz w:val="20"/>
                <w:szCs w:val="20"/>
                <w:color w:val="auto"/>
              </w:rPr>
            </w:pPr>
            <w:r>
              <w:rPr>
                <w:rFonts w:ascii="Arial" w:cs="Arial" w:eastAsia="Arial" w:hAnsi="Arial"/>
                <w:sz w:val="22"/>
                <w:szCs w:val="22"/>
                <w:color w:val="auto"/>
              </w:rPr>
              <w:t>June 30,</w:t>
            </w:r>
          </w:p>
        </w:tc>
        <w:tc>
          <w:tcPr>
            <w:tcW w:w="1640" w:type="dxa"/>
            <w:vAlign w:val="bottom"/>
            <w:gridSpan w:val="4"/>
          </w:tcPr>
          <w:p>
            <w:pPr>
              <w:jc w:val="right"/>
              <w:ind w:right="420"/>
              <w:spacing w:after="0" w:line="243" w:lineRule="exact"/>
              <w:rPr>
                <w:sz w:val="20"/>
                <w:szCs w:val="20"/>
                <w:color w:val="auto"/>
              </w:rPr>
            </w:pPr>
            <w:r>
              <w:rPr>
                <w:rFonts w:ascii="Arial" w:cs="Arial" w:eastAsia="Arial" w:hAnsi="Arial"/>
                <w:sz w:val="22"/>
                <w:szCs w:val="22"/>
                <w:color w:val="auto"/>
              </w:rPr>
              <w:t>June 30,</w:t>
            </w:r>
          </w:p>
        </w:tc>
      </w:tr>
      <w:tr>
        <w:trPr>
          <w:trHeight w:val="275"/>
        </w:trPr>
        <w:tc>
          <w:tcPr>
            <w:tcW w:w="670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22"/>
                <w:szCs w:val="22"/>
                <w:color w:val="auto"/>
              </w:rPr>
              <w:t>2004</w:t>
            </w:r>
          </w:p>
        </w:tc>
        <w:tc>
          <w:tcPr>
            <w:tcW w:w="30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22"/>
                <w:szCs w:val="22"/>
                <w:color w:val="auto"/>
              </w:rPr>
              <w:t>2003</w:t>
            </w:r>
          </w:p>
        </w:tc>
        <w:tc>
          <w:tcPr>
            <w:tcW w:w="3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22"/>
                <w:szCs w:val="22"/>
                <w:color w:val="auto"/>
              </w:rPr>
              <w:t>2004</w:t>
            </w:r>
          </w:p>
        </w:tc>
        <w:tc>
          <w:tcPr>
            <w:tcW w:w="30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22"/>
                <w:szCs w:val="22"/>
                <w:color w:val="auto"/>
              </w:rPr>
              <w:t>2003</w:t>
            </w:r>
          </w:p>
        </w:tc>
        <w:tc>
          <w:tcPr>
            <w:tcW w:w="140" w:type="dxa"/>
            <w:vAlign w:val="bottom"/>
          </w:tcPr>
          <w:p>
            <w:pPr>
              <w:spacing w:after="0"/>
              <w:rPr>
                <w:sz w:val="23"/>
                <w:szCs w:val="23"/>
                <w:color w:val="auto"/>
              </w:rPr>
            </w:pPr>
          </w:p>
        </w:tc>
      </w:tr>
      <w:tr>
        <w:trPr>
          <w:trHeight w:val="98"/>
        </w:trPr>
        <w:tc>
          <w:tcPr>
            <w:tcW w:w="670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r>
      <w:tr>
        <w:trPr>
          <w:trHeight w:val="323"/>
        </w:trPr>
        <w:tc>
          <w:tcPr>
            <w:tcW w:w="6700" w:type="dxa"/>
            <w:vAlign w:val="bottom"/>
          </w:tcPr>
          <w:p>
            <w:pPr>
              <w:spacing w:after="0"/>
              <w:rPr>
                <w:sz w:val="20"/>
                <w:szCs w:val="20"/>
                <w:color w:val="auto"/>
              </w:rPr>
            </w:pPr>
            <w:r>
              <w:rPr>
                <w:rFonts w:ascii="Arial" w:cs="Arial" w:eastAsia="Arial" w:hAnsi="Arial"/>
                <w:sz w:val="22"/>
                <w:szCs w:val="22"/>
                <w:color w:val="auto"/>
              </w:rPr>
              <w:t>Interest and dividend income</w:t>
            </w:r>
          </w:p>
        </w:tc>
        <w:tc>
          <w:tcPr>
            <w:tcW w:w="620" w:type="dxa"/>
            <w:vAlign w:val="bottom"/>
          </w:tcPr>
          <w:p>
            <w:pPr>
              <w:jc w:val="right"/>
              <w:spacing w:after="0"/>
              <w:rPr>
                <w:sz w:val="20"/>
                <w:szCs w:val="20"/>
                <w:color w:val="auto"/>
              </w:rPr>
            </w:pPr>
            <w:r>
              <w:rPr>
                <w:rFonts w:ascii="Arial" w:cs="Arial" w:eastAsia="Arial" w:hAnsi="Arial"/>
                <w:sz w:val="22"/>
                <w:szCs w:val="22"/>
                <w:color w:val="auto"/>
              </w:rPr>
              <w:t>$26</w:t>
            </w:r>
          </w:p>
        </w:tc>
        <w:tc>
          <w:tcPr>
            <w:tcW w:w="3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22"/>
                <w:szCs w:val="22"/>
                <w:color w:val="auto"/>
              </w:rPr>
              <w:t>$49</w:t>
            </w:r>
          </w:p>
        </w:tc>
        <w:tc>
          <w:tcPr>
            <w:tcW w:w="320" w:type="dxa"/>
            <w:vAlign w:val="bottom"/>
          </w:tcPr>
          <w:p>
            <w:pPr>
              <w:spacing w:after="0"/>
              <w:rPr>
                <w:sz w:val="24"/>
                <w:szCs w:val="24"/>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22"/>
                <w:szCs w:val="22"/>
                <w:color w:val="auto"/>
              </w:rPr>
              <w:t>$43</w:t>
            </w:r>
          </w:p>
        </w:tc>
        <w:tc>
          <w:tcPr>
            <w:tcW w:w="600" w:type="dxa"/>
            <w:vAlign w:val="bottom"/>
          </w:tcPr>
          <w:p>
            <w:pPr>
              <w:jc w:val="right"/>
              <w:spacing w:after="0"/>
              <w:rPr>
                <w:sz w:val="20"/>
                <w:szCs w:val="20"/>
                <w:color w:val="auto"/>
              </w:rPr>
            </w:pPr>
            <w:r>
              <w:rPr>
                <w:rFonts w:ascii="Arial" w:cs="Arial" w:eastAsia="Arial" w:hAnsi="Arial"/>
                <w:sz w:val="22"/>
                <w:szCs w:val="22"/>
                <w:color w:val="auto"/>
              </w:rPr>
              <w:t>$83</w:t>
            </w:r>
          </w:p>
        </w:tc>
        <w:tc>
          <w:tcPr>
            <w:tcW w:w="140" w:type="dxa"/>
            <w:vAlign w:val="bottom"/>
          </w:tcPr>
          <w:p>
            <w:pPr>
              <w:spacing w:after="0"/>
              <w:rPr>
                <w:sz w:val="24"/>
                <w:szCs w:val="24"/>
                <w:color w:val="auto"/>
              </w:rPr>
            </w:pPr>
          </w:p>
        </w:tc>
      </w:tr>
      <w:tr>
        <w:trPr>
          <w:trHeight w:val="243"/>
        </w:trPr>
        <w:tc>
          <w:tcPr>
            <w:tcW w:w="6700" w:type="dxa"/>
            <w:vAlign w:val="bottom"/>
          </w:tcPr>
          <w:p>
            <w:pPr>
              <w:spacing w:after="0" w:line="243" w:lineRule="exact"/>
              <w:rPr>
                <w:sz w:val="20"/>
                <w:szCs w:val="20"/>
                <w:color w:val="auto"/>
              </w:rPr>
            </w:pPr>
            <w:r>
              <w:rPr>
                <w:rFonts w:ascii="Arial" w:cs="Arial" w:eastAsia="Arial" w:hAnsi="Arial"/>
                <w:sz w:val="22"/>
                <w:szCs w:val="22"/>
                <w:color w:val="auto"/>
              </w:rPr>
              <w:t>Gains (losses) on sales and exchanges of investments, net</w:t>
            </w:r>
          </w:p>
        </w:tc>
        <w:tc>
          <w:tcPr>
            <w:tcW w:w="920" w:type="dxa"/>
            <w:vAlign w:val="bottom"/>
            <w:gridSpan w:val="2"/>
          </w:tcPr>
          <w:p>
            <w:pPr>
              <w:jc w:val="right"/>
              <w:ind w:right="240"/>
              <w:spacing w:after="0" w:line="243" w:lineRule="exact"/>
              <w:rPr>
                <w:sz w:val="20"/>
                <w:szCs w:val="20"/>
                <w:color w:val="auto"/>
              </w:rPr>
            </w:pPr>
            <w:r>
              <w:rPr>
                <w:rFonts w:ascii="Arial" w:cs="Arial" w:eastAsia="Arial" w:hAnsi="Arial"/>
                <w:sz w:val="22"/>
                <w:szCs w:val="22"/>
                <w:color w:val="auto"/>
              </w:rPr>
              <w:t>(1)</w:t>
            </w:r>
          </w:p>
        </w:tc>
        <w:tc>
          <w:tcPr>
            <w:tcW w:w="620" w:type="dxa"/>
            <w:vAlign w:val="bottom"/>
          </w:tcPr>
          <w:p>
            <w:pPr>
              <w:jc w:val="right"/>
              <w:spacing w:after="0" w:line="243" w:lineRule="exact"/>
              <w:rPr>
                <w:sz w:val="20"/>
                <w:szCs w:val="20"/>
                <w:color w:val="auto"/>
              </w:rPr>
            </w:pPr>
            <w:r>
              <w:rPr>
                <w:rFonts w:ascii="Arial" w:cs="Arial" w:eastAsia="Arial" w:hAnsi="Arial"/>
                <w:sz w:val="22"/>
                <w:szCs w:val="22"/>
                <w:color w:val="auto"/>
              </w:rPr>
              <w:t>1</w:t>
            </w:r>
          </w:p>
        </w:tc>
        <w:tc>
          <w:tcPr>
            <w:tcW w:w="320" w:type="dxa"/>
            <w:vAlign w:val="bottom"/>
          </w:tcPr>
          <w:p>
            <w:pPr>
              <w:spacing w:after="0"/>
              <w:rPr>
                <w:sz w:val="21"/>
                <w:szCs w:val="21"/>
                <w:color w:val="auto"/>
              </w:rPr>
            </w:pPr>
          </w:p>
        </w:tc>
        <w:tc>
          <w:tcPr>
            <w:tcW w:w="900" w:type="dxa"/>
            <w:vAlign w:val="bottom"/>
            <w:gridSpan w:val="2"/>
          </w:tcPr>
          <w:p>
            <w:pPr>
              <w:jc w:val="right"/>
              <w:ind w:right="300"/>
              <w:spacing w:after="0" w:line="243" w:lineRule="exact"/>
              <w:rPr>
                <w:sz w:val="20"/>
                <w:szCs w:val="20"/>
                <w:color w:val="auto"/>
              </w:rPr>
            </w:pPr>
            <w:r>
              <w:rPr>
                <w:rFonts w:ascii="Arial" w:cs="Arial" w:eastAsia="Arial" w:hAnsi="Arial"/>
                <w:sz w:val="22"/>
                <w:szCs w:val="22"/>
                <w:color w:val="auto"/>
              </w:rPr>
              <w:t>1</w:t>
            </w:r>
          </w:p>
        </w:tc>
        <w:tc>
          <w:tcPr>
            <w:tcW w:w="600" w:type="dxa"/>
            <w:vAlign w:val="bottom"/>
          </w:tcPr>
          <w:p>
            <w:pPr>
              <w:jc w:val="right"/>
              <w:spacing w:after="0" w:line="243" w:lineRule="exact"/>
              <w:rPr>
                <w:sz w:val="20"/>
                <w:szCs w:val="20"/>
                <w:color w:val="auto"/>
              </w:rPr>
            </w:pPr>
            <w:r>
              <w:rPr>
                <w:rFonts w:ascii="Arial" w:cs="Arial" w:eastAsia="Arial" w:hAnsi="Arial"/>
                <w:sz w:val="22"/>
                <w:szCs w:val="22"/>
                <w:color w:val="auto"/>
              </w:rPr>
              <w:t>23</w:t>
            </w:r>
          </w:p>
        </w:tc>
        <w:tc>
          <w:tcPr>
            <w:tcW w:w="140" w:type="dxa"/>
            <w:vAlign w:val="bottom"/>
          </w:tcPr>
          <w:p>
            <w:pPr>
              <w:spacing w:after="0"/>
              <w:rPr>
                <w:sz w:val="21"/>
                <w:szCs w:val="21"/>
                <w:color w:val="auto"/>
              </w:rPr>
            </w:pPr>
          </w:p>
        </w:tc>
      </w:tr>
      <w:tr>
        <w:trPr>
          <w:trHeight w:val="243"/>
        </w:trPr>
        <w:tc>
          <w:tcPr>
            <w:tcW w:w="6700" w:type="dxa"/>
            <w:vAlign w:val="bottom"/>
          </w:tcPr>
          <w:p>
            <w:pPr>
              <w:spacing w:after="0" w:line="243" w:lineRule="exact"/>
              <w:rPr>
                <w:sz w:val="20"/>
                <w:szCs w:val="20"/>
                <w:color w:val="auto"/>
              </w:rPr>
            </w:pPr>
            <w:r>
              <w:rPr>
                <w:rFonts w:ascii="Arial" w:cs="Arial" w:eastAsia="Arial" w:hAnsi="Arial"/>
                <w:sz w:val="22"/>
                <w:szCs w:val="22"/>
                <w:color w:val="auto"/>
              </w:rPr>
              <w:t>Investment impairment losses</w:t>
            </w:r>
          </w:p>
        </w:tc>
        <w:tc>
          <w:tcPr>
            <w:tcW w:w="920" w:type="dxa"/>
            <w:vAlign w:val="bottom"/>
            <w:gridSpan w:val="2"/>
          </w:tcPr>
          <w:p>
            <w:pPr>
              <w:jc w:val="right"/>
              <w:ind w:right="240"/>
              <w:spacing w:after="0" w:line="243" w:lineRule="exact"/>
              <w:rPr>
                <w:sz w:val="20"/>
                <w:szCs w:val="20"/>
                <w:color w:val="auto"/>
              </w:rPr>
            </w:pPr>
            <w:r>
              <w:rPr>
                <w:rFonts w:ascii="Arial" w:cs="Arial" w:eastAsia="Arial" w:hAnsi="Arial"/>
                <w:sz w:val="22"/>
                <w:szCs w:val="22"/>
                <w:color w:val="auto"/>
              </w:rPr>
              <w:t>(3)</w:t>
            </w:r>
          </w:p>
        </w:tc>
        <w:tc>
          <w:tcPr>
            <w:tcW w:w="940" w:type="dxa"/>
            <w:vAlign w:val="bottom"/>
            <w:gridSpan w:val="2"/>
          </w:tcPr>
          <w:p>
            <w:pPr>
              <w:jc w:val="right"/>
              <w:ind w:right="240"/>
              <w:spacing w:after="0" w:line="243" w:lineRule="exact"/>
              <w:rPr>
                <w:sz w:val="20"/>
                <w:szCs w:val="20"/>
                <w:color w:val="auto"/>
              </w:rPr>
            </w:pPr>
            <w:r>
              <w:rPr>
                <w:rFonts w:ascii="Arial" w:cs="Arial" w:eastAsia="Arial" w:hAnsi="Arial"/>
                <w:sz w:val="22"/>
                <w:szCs w:val="22"/>
                <w:color w:val="auto"/>
              </w:rPr>
              <w:t>(15)</w:t>
            </w:r>
          </w:p>
        </w:tc>
        <w:tc>
          <w:tcPr>
            <w:tcW w:w="900" w:type="dxa"/>
            <w:vAlign w:val="bottom"/>
            <w:gridSpan w:val="2"/>
          </w:tcPr>
          <w:p>
            <w:pPr>
              <w:jc w:val="right"/>
              <w:ind w:right="220"/>
              <w:spacing w:after="0" w:line="243" w:lineRule="exact"/>
              <w:rPr>
                <w:sz w:val="20"/>
                <w:szCs w:val="20"/>
                <w:color w:val="auto"/>
              </w:rPr>
            </w:pPr>
            <w:r>
              <w:rPr>
                <w:rFonts w:ascii="Arial" w:cs="Arial" w:eastAsia="Arial" w:hAnsi="Arial"/>
                <w:sz w:val="22"/>
                <w:szCs w:val="22"/>
                <w:color w:val="auto"/>
              </w:rPr>
              <w:t>(3)</w:t>
            </w:r>
          </w:p>
        </w:tc>
        <w:tc>
          <w:tcPr>
            <w:tcW w:w="740" w:type="dxa"/>
            <w:vAlign w:val="bottom"/>
            <w:gridSpan w:val="2"/>
          </w:tcPr>
          <w:p>
            <w:pPr>
              <w:jc w:val="right"/>
              <w:ind w:right="60"/>
              <w:spacing w:after="0" w:line="243" w:lineRule="exact"/>
              <w:rPr>
                <w:sz w:val="20"/>
                <w:szCs w:val="20"/>
                <w:color w:val="auto"/>
              </w:rPr>
            </w:pPr>
            <w:r>
              <w:rPr>
                <w:rFonts w:ascii="Arial" w:cs="Arial" w:eastAsia="Arial" w:hAnsi="Arial"/>
                <w:sz w:val="22"/>
                <w:szCs w:val="22"/>
                <w:color w:val="auto"/>
              </w:rPr>
              <w:t>(70)</w:t>
            </w:r>
          </w:p>
        </w:tc>
      </w:tr>
      <w:tr>
        <w:trPr>
          <w:trHeight w:val="243"/>
        </w:trPr>
        <w:tc>
          <w:tcPr>
            <w:tcW w:w="6700" w:type="dxa"/>
            <w:vAlign w:val="bottom"/>
          </w:tcPr>
          <w:p>
            <w:pPr>
              <w:spacing w:after="0" w:line="243" w:lineRule="exact"/>
              <w:rPr>
                <w:sz w:val="20"/>
                <w:szCs w:val="20"/>
                <w:color w:val="auto"/>
              </w:rPr>
            </w:pPr>
            <w:r>
              <w:rPr>
                <w:rFonts w:ascii="Arial" w:cs="Arial" w:eastAsia="Arial" w:hAnsi="Arial"/>
                <w:sz w:val="22"/>
                <w:szCs w:val="22"/>
                <w:color w:val="auto"/>
              </w:rPr>
              <w:t>Mark to market adjustments on trading securities</w:t>
            </w:r>
          </w:p>
        </w:tc>
        <w:tc>
          <w:tcPr>
            <w:tcW w:w="920" w:type="dxa"/>
            <w:vAlign w:val="bottom"/>
            <w:gridSpan w:val="2"/>
          </w:tcPr>
          <w:p>
            <w:pPr>
              <w:jc w:val="right"/>
              <w:ind w:right="240"/>
              <w:spacing w:after="0" w:line="243" w:lineRule="exact"/>
              <w:rPr>
                <w:sz w:val="20"/>
                <w:szCs w:val="20"/>
                <w:color w:val="auto"/>
              </w:rPr>
            </w:pPr>
            <w:r>
              <w:rPr>
                <w:rFonts w:ascii="Arial" w:cs="Arial" w:eastAsia="Arial" w:hAnsi="Arial"/>
                <w:sz w:val="22"/>
                <w:szCs w:val="22"/>
                <w:color w:val="auto"/>
              </w:rPr>
              <w:t>(53)</w:t>
            </w:r>
          </w:p>
        </w:tc>
        <w:tc>
          <w:tcPr>
            <w:tcW w:w="620" w:type="dxa"/>
            <w:vAlign w:val="bottom"/>
          </w:tcPr>
          <w:p>
            <w:pPr>
              <w:jc w:val="right"/>
              <w:spacing w:after="0" w:line="243" w:lineRule="exact"/>
              <w:rPr>
                <w:sz w:val="20"/>
                <w:szCs w:val="20"/>
                <w:color w:val="auto"/>
              </w:rPr>
            </w:pPr>
            <w:r>
              <w:rPr>
                <w:rFonts w:ascii="Arial" w:cs="Arial" w:eastAsia="Arial" w:hAnsi="Arial"/>
                <w:sz w:val="22"/>
                <w:szCs w:val="22"/>
                <w:color w:val="auto"/>
              </w:rPr>
              <w:t>307</w:t>
            </w:r>
          </w:p>
        </w:tc>
        <w:tc>
          <w:tcPr>
            <w:tcW w:w="320" w:type="dxa"/>
            <w:vAlign w:val="bottom"/>
          </w:tcPr>
          <w:p>
            <w:pPr>
              <w:spacing w:after="0"/>
              <w:rPr>
                <w:sz w:val="21"/>
                <w:szCs w:val="21"/>
                <w:color w:val="auto"/>
              </w:rPr>
            </w:pPr>
          </w:p>
        </w:tc>
        <w:tc>
          <w:tcPr>
            <w:tcW w:w="900" w:type="dxa"/>
            <w:vAlign w:val="bottom"/>
            <w:gridSpan w:val="2"/>
          </w:tcPr>
          <w:p>
            <w:pPr>
              <w:jc w:val="right"/>
              <w:ind w:right="220"/>
              <w:spacing w:after="0" w:line="243" w:lineRule="exact"/>
              <w:rPr>
                <w:sz w:val="20"/>
                <w:szCs w:val="20"/>
                <w:color w:val="auto"/>
              </w:rPr>
            </w:pPr>
            <w:r>
              <w:rPr>
                <w:rFonts w:ascii="Arial" w:cs="Arial" w:eastAsia="Arial" w:hAnsi="Arial"/>
                <w:sz w:val="22"/>
                <w:szCs w:val="22"/>
                <w:color w:val="auto"/>
              </w:rPr>
              <w:t>(227)</w:t>
            </w:r>
          </w:p>
        </w:tc>
        <w:tc>
          <w:tcPr>
            <w:tcW w:w="600" w:type="dxa"/>
            <w:vAlign w:val="bottom"/>
          </w:tcPr>
          <w:p>
            <w:pPr>
              <w:jc w:val="right"/>
              <w:spacing w:after="0" w:line="243" w:lineRule="exact"/>
              <w:rPr>
                <w:sz w:val="20"/>
                <w:szCs w:val="20"/>
                <w:color w:val="auto"/>
              </w:rPr>
            </w:pPr>
            <w:r>
              <w:rPr>
                <w:rFonts w:ascii="Arial" w:cs="Arial" w:eastAsia="Arial" w:hAnsi="Arial"/>
                <w:sz w:val="22"/>
                <w:szCs w:val="22"/>
                <w:color w:val="auto"/>
              </w:rPr>
              <w:t>292</w:t>
            </w:r>
          </w:p>
        </w:tc>
        <w:tc>
          <w:tcPr>
            <w:tcW w:w="140" w:type="dxa"/>
            <w:vAlign w:val="bottom"/>
          </w:tcPr>
          <w:p>
            <w:pPr>
              <w:spacing w:after="0"/>
              <w:rPr>
                <w:sz w:val="21"/>
                <w:szCs w:val="21"/>
                <w:color w:val="auto"/>
              </w:rPr>
            </w:pPr>
          </w:p>
        </w:tc>
      </w:tr>
      <w:tr>
        <w:trPr>
          <w:trHeight w:val="243"/>
        </w:trPr>
        <w:tc>
          <w:tcPr>
            <w:tcW w:w="6700" w:type="dxa"/>
            <w:vAlign w:val="bottom"/>
          </w:tcPr>
          <w:p>
            <w:pPr>
              <w:spacing w:after="0" w:line="243" w:lineRule="exact"/>
              <w:rPr>
                <w:sz w:val="20"/>
                <w:szCs w:val="20"/>
                <w:color w:val="auto"/>
              </w:rPr>
            </w:pPr>
            <w:r>
              <w:rPr>
                <w:rFonts w:ascii="Arial" w:cs="Arial" w:eastAsia="Arial" w:hAnsi="Arial"/>
                <w:sz w:val="22"/>
                <w:szCs w:val="22"/>
                <w:color w:val="auto"/>
              </w:rPr>
              <w:t>Mark to market adjustments on derivatives related</w:t>
            </w:r>
          </w:p>
        </w:tc>
        <w:tc>
          <w:tcPr>
            <w:tcW w:w="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43"/>
        </w:trPr>
        <w:tc>
          <w:tcPr>
            <w:tcW w:w="6700" w:type="dxa"/>
            <w:vAlign w:val="bottom"/>
          </w:tcPr>
          <w:p>
            <w:pPr>
              <w:ind w:left="280"/>
              <w:spacing w:after="0" w:line="243" w:lineRule="exact"/>
              <w:rPr>
                <w:sz w:val="20"/>
                <w:szCs w:val="20"/>
                <w:color w:val="auto"/>
              </w:rPr>
            </w:pPr>
            <w:r>
              <w:rPr>
                <w:rFonts w:ascii="Arial" w:cs="Arial" w:eastAsia="Arial" w:hAnsi="Arial"/>
                <w:sz w:val="22"/>
                <w:szCs w:val="22"/>
                <w:color w:val="auto"/>
              </w:rPr>
              <w:t>to trading securities</w:t>
            </w:r>
          </w:p>
        </w:tc>
        <w:tc>
          <w:tcPr>
            <w:tcW w:w="620" w:type="dxa"/>
            <w:vAlign w:val="bottom"/>
          </w:tcPr>
          <w:p>
            <w:pPr>
              <w:jc w:val="right"/>
              <w:spacing w:after="0" w:line="243" w:lineRule="exact"/>
              <w:rPr>
                <w:sz w:val="20"/>
                <w:szCs w:val="20"/>
                <w:color w:val="auto"/>
              </w:rPr>
            </w:pPr>
            <w:r>
              <w:rPr>
                <w:rFonts w:ascii="Arial" w:cs="Arial" w:eastAsia="Arial" w:hAnsi="Arial"/>
                <w:sz w:val="22"/>
                <w:szCs w:val="22"/>
                <w:color w:val="auto"/>
              </w:rPr>
              <w:t>200</w:t>
            </w:r>
          </w:p>
        </w:tc>
        <w:tc>
          <w:tcPr>
            <w:tcW w:w="300" w:type="dxa"/>
            <w:vAlign w:val="bottom"/>
          </w:tcPr>
          <w:p>
            <w:pPr>
              <w:spacing w:after="0"/>
              <w:rPr>
                <w:sz w:val="21"/>
                <w:szCs w:val="21"/>
                <w:color w:val="auto"/>
              </w:rPr>
            </w:pPr>
          </w:p>
        </w:tc>
        <w:tc>
          <w:tcPr>
            <w:tcW w:w="940" w:type="dxa"/>
            <w:vAlign w:val="bottom"/>
            <w:gridSpan w:val="2"/>
          </w:tcPr>
          <w:p>
            <w:pPr>
              <w:jc w:val="right"/>
              <w:ind w:right="240"/>
              <w:spacing w:after="0" w:line="243" w:lineRule="exact"/>
              <w:rPr>
                <w:sz w:val="20"/>
                <w:szCs w:val="20"/>
                <w:color w:val="auto"/>
              </w:rPr>
            </w:pPr>
            <w:r>
              <w:rPr>
                <w:rFonts w:ascii="Arial" w:cs="Arial" w:eastAsia="Arial" w:hAnsi="Arial"/>
                <w:sz w:val="22"/>
                <w:szCs w:val="22"/>
                <w:color w:val="auto"/>
              </w:rPr>
              <w:t>(296)</w:t>
            </w:r>
          </w:p>
        </w:tc>
        <w:tc>
          <w:tcPr>
            <w:tcW w:w="900" w:type="dxa"/>
            <w:vAlign w:val="bottom"/>
            <w:gridSpan w:val="2"/>
          </w:tcPr>
          <w:p>
            <w:pPr>
              <w:jc w:val="right"/>
              <w:ind w:right="300"/>
              <w:spacing w:after="0" w:line="243" w:lineRule="exact"/>
              <w:rPr>
                <w:sz w:val="20"/>
                <w:szCs w:val="20"/>
                <w:color w:val="auto"/>
              </w:rPr>
            </w:pPr>
            <w:r>
              <w:rPr>
                <w:rFonts w:ascii="Arial" w:cs="Arial" w:eastAsia="Arial" w:hAnsi="Arial"/>
                <w:sz w:val="22"/>
                <w:szCs w:val="22"/>
                <w:color w:val="auto"/>
              </w:rPr>
              <w:t>255</w:t>
            </w:r>
          </w:p>
        </w:tc>
        <w:tc>
          <w:tcPr>
            <w:tcW w:w="740" w:type="dxa"/>
            <w:vAlign w:val="bottom"/>
            <w:gridSpan w:val="2"/>
          </w:tcPr>
          <w:p>
            <w:pPr>
              <w:jc w:val="right"/>
              <w:ind w:right="60"/>
              <w:spacing w:after="0" w:line="243" w:lineRule="exact"/>
              <w:rPr>
                <w:sz w:val="20"/>
                <w:szCs w:val="20"/>
                <w:color w:val="auto"/>
              </w:rPr>
            </w:pPr>
            <w:r>
              <w:rPr>
                <w:rFonts w:ascii="Arial" w:cs="Arial" w:eastAsia="Arial" w:hAnsi="Arial"/>
                <w:sz w:val="22"/>
                <w:szCs w:val="22"/>
                <w:color w:val="auto"/>
              </w:rPr>
              <w:t>(306)</w:t>
            </w:r>
          </w:p>
        </w:tc>
      </w:tr>
      <w:tr>
        <w:trPr>
          <w:trHeight w:val="275"/>
        </w:trPr>
        <w:tc>
          <w:tcPr>
            <w:tcW w:w="6700" w:type="dxa"/>
            <w:vAlign w:val="bottom"/>
          </w:tcPr>
          <w:p>
            <w:pPr>
              <w:spacing w:after="0"/>
              <w:rPr>
                <w:sz w:val="20"/>
                <w:szCs w:val="20"/>
                <w:color w:val="auto"/>
              </w:rPr>
            </w:pPr>
            <w:r>
              <w:rPr>
                <w:rFonts w:ascii="Arial" w:cs="Arial" w:eastAsia="Arial" w:hAnsi="Arial"/>
                <w:sz w:val="22"/>
                <w:szCs w:val="22"/>
                <w:color w:val="auto"/>
              </w:rPr>
              <w:t>Mark to market adjustments on derivatives and hedged items</w:t>
            </w:r>
          </w:p>
        </w:tc>
        <w:tc>
          <w:tcPr>
            <w:tcW w:w="920" w:type="dxa"/>
            <w:vAlign w:val="bottom"/>
            <w:gridSpan w:val="2"/>
          </w:tcPr>
          <w:p>
            <w:pPr>
              <w:jc w:val="right"/>
              <w:ind w:right="240"/>
              <w:spacing w:after="0"/>
              <w:rPr>
                <w:sz w:val="20"/>
                <w:szCs w:val="20"/>
                <w:color w:val="auto"/>
              </w:rPr>
            </w:pPr>
            <w:r>
              <w:rPr>
                <w:rFonts w:ascii="Arial" w:cs="Arial" w:eastAsia="Arial" w:hAnsi="Arial"/>
                <w:sz w:val="22"/>
                <w:szCs w:val="22"/>
                <w:color w:val="auto"/>
              </w:rPr>
              <w:t>(18)</w:t>
            </w:r>
          </w:p>
        </w:tc>
        <w:tc>
          <w:tcPr>
            <w:tcW w:w="940" w:type="dxa"/>
            <w:vAlign w:val="bottom"/>
            <w:gridSpan w:val="2"/>
          </w:tcPr>
          <w:p>
            <w:pPr>
              <w:jc w:val="right"/>
              <w:ind w:right="240"/>
              <w:spacing w:after="0"/>
              <w:rPr>
                <w:sz w:val="20"/>
                <w:szCs w:val="20"/>
                <w:color w:val="auto"/>
              </w:rPr>
            </w:pPr>
            <w:r>
              <w:rPr>
                <w:rFonts w:ascii="Arial" w:cs="Arial" w:eastAsia="Arial" w:hAnsi="Arial"/>
                <w:sz w:val="22"/>
                <w:szCs w:val="22"/>
                <w:color w:val="auto"/>
              </w:rPr>
              <w:t>(52)</w:t>
            </w:r>
          </w:p>
        </w:tc>
        <w:tc>
          <w:tcPr>
            <w:tcW w:w="900" w:type="dxa"/>
            <w:vAlign w:val="bottom"/>
            <w:gridSpan w:val="2"/>
          </w:tcPr>
          <w:p>
            <w:pPr>
              <w:jc w:val="right"/>
              <w:ind w:right="300"/>
              <w:spacing w:after="0"/>
              <w:rPr>
                <w:sz w:val="20"/>
                <w:szCs w:val="20"/>
                <w:color w:val="auto"/>
              </w:rPr>
            </w:pPr>
            <w:r>
              <w:rPr>
                <w:rFonts w:ascii="Arial" w:cs="Arial" w:eastAsia="Arial" w:hAnsi="Arial"/>
                <w:sz w:val="22"/>
                <w:szCs w:val="22"/>
                <w:color w:val="auto"/>
              </w:rPr>
              <w:t>73</w:t>
            </w:r>
          </w:p>
        </w:tc>
        <w:tc>
          <w:tcPr>
            <w:tcW w:w="740" w:type="dxa"/>
            <w:vAlign w:val="bottom"/>
            <w:gridSpan w:val="2"/>
          </w:tcPr>
          <w:p>
            <w:pPr>
              <w:jc w:val="right"/>
              <w:ind w:right="60"/>
              <w:spacing w:after="0"/>
              <w:rPr>
                <w:sz w:val="20"/>
                <w:szCs w:val="20"/>
                <w:color w:val="auto"/>
              </w:rPr>
            </w:pPr>
            <w:r>
              <w:rPr>
                <w:rFonts w:ascii="Arial" w:cs="Arial" w:eastAsia="Arial" w:hAnsi="Arial"/>
                <w:sz w:val="22"/>
                <w:szCs w:val="22"/>
                <w:color w:val="auto"/>
              </w:rPr>
              <w:t>(251)</w:t>
            </w:r>
          </w:p>
        </w:tc>
      </w:tr>
      <w:tr>
        <w:trPr>
          <w:trHeight w:val="98"/>
        </w:trPr>
        <w:tc>
          <w:tcPr>
            <w:tcW w:w="670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r>
      <w:tr>
        <w:trPr>
          <w:trHeight w:val="355"/>
        </w:trPr>
        <w:tc>
          <w:tcPr>
            <w:tcW w:w="6700" w:type="dxa"/>
            <w:vAlign w:val="bottom"/>
          </w:tcPr>
          <w:p>
            <w:pPr>
              <w:ind w:left="280"/>
              <w:spacing w:after="0"/>
              <w:rPr>
                <w:sz w:val="20"/>
                <w:szCs w:val="20"/>
                <w:color w:val="auto"/>
              </w:rPr>
            </w:pPr>
            <w:r>
              <w:rPr>
                <w:rFonts w:ascii="Arial" w:cs="Arial" w:eastAsia="Arial" w:hAnsi="Arial"/>
                <w:sz w:val="22"/>
                <w:szCs w:val="22"/>
                <w:color w:val="auto"/>
              </w:rPr>
              <w:t>Investment income (loss), net</w:t>
            </w:r>
          </w:p>
        </w:tc>
        <w:tc>
          <w:tcPr>
            <w:tcW w:w="620" w:type="dxa"/>
            <w:vAlign w:val="bottom"/>
          </w:tcPr>
          <w:p>
            <w:pPr>
              <w:jc w:val="right"/>
              <w:spacing w:after="0"/>
              <w:rPr>
                <w:sz w:val="20"/>
                <w:szCs w:val="20"/>
                <w:color w:val="auto"/>
              </w:rPr>
            </w:pPr>
            <w:r>
              <w:rPr>
                <w:rFonts w:ascii="Arial" w:cs="Arial" w:eastAsia="Arial" w:hAnsi="Arial"/>
                <w:sz w:val="22"/>
                <w:szCs w:val="22"/>
                <w:color w:val="auto"/>
              </w:rPr>
              <w:t>$151</w:t>
            </w:r>
          </w:p>
        </w:tc>
        <w:tc>
          <w:tcPr>
            <w:tcW w:w="300" w:type="dxa"/>
            <w:vAlign w:val="bottom"/>
          </w:tcPr>
          <w:p>
            <w:pPr>
              <w:spacing w:after="0"/>
              <w:rPr>
                <w:sz w:val="24"/>
                <w:szCs w:val="24"/>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22"/>
                <w:szCs w:val="22"/>
                <w:color w:val="auto"/>
              </w:rPr>
              <w:t>($6)</w:t>
            </w:r>
          </w:p>
        </w:tc>
        <w:tc>
          <w:tcPr>
            <w:tcW w:w="900" w:type="dxa"/>
            <w:vAlign w:val="bottom"/>
            <w:gridSpan w:val="2"/>
          </w:tcPr>
          <w:p>
            <w:pPr>
              <w:jc w:val="right"/>
              <w:ind w:right="300"/>
              <w:spacing w:after="0"/>
              <w:rPr>
                <w:sz w:val="20"/>
                <w:szCs w:val="20"/>
                <w:color w:val="auto"/>
              </w:rPr>
            </w:pPr>
            <w:r>
              <w:rPr>
                <w:rFonts w:ascii="Arial" w:cs="Arial" w:eastAsia="Arial" w:hAnsi="Arial"/>
                <w:sz w:val="22"/>
                <w:szCs w:val="22"/>
                <w:color w:val="auto"/>
              </w:rPr>
              <w:t>$142</w:t>
            </w:r>
          </w:p>
        </w:tc>
        <w:tc>
          <w:tcPr>
            <w:tcW w:w="740" w:type="dxa"/>
            <w:vAlign w:val="bottom"/>
            <w:gridSpan w:val="2"/>
          </w:tcPr>
          <w:p>
            <w:pPr>
              <w:jc w:val="right"/>
              <w:ind w:right="60"/>
              <w:spacing w:after="0"/>
              <w:rPr>
                <w:sz w:val="20"/>
                <w:szCs w:val="20"/>
                <w:color w:val="auto"/>
              </w:rPr>
            </w:pPr>
            <w:r>
              <w:rPr>
                <w:rFonts w:ascii="Arial" w:cs="Arial" w:eastAsia="Arial" w:hAnsi="Arial"/>
                <w:sz w:val="22"/>
                <w:szCs w:val="22"/>
                <w:color w:val="auto"/>
              </w:rPr>
              <w:t>($229)</w:t>
            </w:r>
          </w:p>
        </w:tc>
      </w:tr>
      <w:tr>
        <w:trPr>
          <w:trHeight w:val="108"/>
        </w:trPr>
        <w:tc>
          <w:tcPr>
            <w:tcW w:w="6700" w:type="dxa"/>
            <w:vAlign w:val="bottom"/>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4634230</wp:posOffset>
            </wp:positionH>
            <wp:positionV relativeFrom="paragraph">
              <wp:posOffset>-14605</wp:posOffset>
            </wp:positionV>
            <wp:extent cx="1270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-14605</wp:posOffset>
            </wp:positionV>
            <wp:extent cx="1270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-14605</wp:posOffset>
            </wp:positionV>
            <wp:extent cx="1270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-14605</wp:posOffset>
            </wp:positionV>
            <wp:extent cx="1270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-14605</wp:posOffset>
            </wp:positionV>
            <wp:extent cx="1270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-14605</wp:posOffset>
            </wp:positionV>
            <wp:extent cx="1270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-14605</wp:posOffset>
            </wp:positionV>
            <wp:extent cx="1270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-14605</wp:posOffset>
            </wp:positionV>
            <wp:extent cx="1270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323" w:lineRule="exact"/>
        <w:rPr>
          <w:sz w:val="20"/>
          <w:szCs w:val="20"/>
          <w:color w:val="auto"/>
        </w:rPr>
      </w:pPr>
    </w:p>
    <w:p>
      <w:pPr>
        <w:ind w:right="80" w:firstLine="428"/>
        <w:spacing w:after="0" w:line="279" w:lineRule="auto"/>
        <w:rPr>
          <w:sz w:val="20"/>
          <w:szCs w:val="20"/>
          <w:color w:val="auto"/>
        </w:rPr>
      </w:pPr>
      <w:r>
        <w:rPr>
          <w:rFonts w:ascii="Arial" w:cs="Arial" w:eastAsia="Arial" w:hAnsi="Arial"/>
          <w:sz w:val="19"/>
          <w:szCs w:val="19"/>
          <w:color w:val="auto"/>
        </w:rPr>
        <w:t>We have entered into derivative financial instruments that we account for at fair value and which economically hedge the market price fluctuations in the common stock of certain of our investments accounted for as trading securities. Investment income (loss), net includes the fair value adjustments related to our trading securities and derivative financial instruments. The change in the fair value of our investments accounted for as trading securities was substantially offset by changes in the fair value of the related derivatives, except for the mark to market adjustments on our investment in Sprint, 116 million shares of Liberty and 6 million shares of Liberty International for the three and six months ended June 30, 2004.</w:t>
      </w:r>
    </w:p>
    <w:p>
      <w:pPr>
        <w:spacing w:after="0" w:line="151" w:lineRule="exact"/>
        <w:rPr>
          <w:sz w:val="20"/>
          <w:szCs w:val="20"/>
          <w:color w:val="auto"/>
        </w:rPr>
      </w:pPr>
    </w:p>
    <w:p>
      <w:pPr>
        <w:ind w:firstLine="432"/>
        <w:spacing w:after="0" w:line="279" w:lineRule="auto"/>
        <w:rPr>
          <w:sz w:val="20"/>
          <w:szCs w:val="20"/>
          <w:color w:val="auto"/>
        </w:rPr>
      </w:pPr>
      <w:r>
        <w:rPr>
          <w:rFonts w:ascii="Arial" w:cs="Arial" w:eastAsia="Arial" w:hAnsi="Arial"/>
          <w:sz w:val="19"/>
          <w:szCs w:val="19"/>
          <w:color w:val="auto"/>
        </w:rPr>
        <w:t>During the three months ended June 30, 2004, investment income (loss), net includes $224 million of investment income related to the decrease in the fair value of the derivative component of the ZONES debt. This fair value adjustment results principally from the change in the common stock underlying the ZONES debt from the non-dividend paying Sprint PCS tracking stock to the dividend paying Sprint FON common stock as a result of the elimination by Sprint of its tracking stock in April 2004. In the future, we expect that changes in the fair value of the derivative component of the ZONES debt will be substantially offset by changes in the fair value of the Sprint FON common stock we hold and account for as a trading security.</w:t>
      </w:r>
    </w:p>
    <w:p>
      <w:pPr>
        <w:spacing w:after="0" w:line="151" w:lineRule="exact"/>
        <w:rPr>
          <w:sz w:val="20"/>
          <w:szCs w:val="20"/>
          <w:color w:val="auto"/>
        </w:rPr>
      </w:pPr>
    </w:p>
    <w:p>
      <w:pPr>
        <w:jc w:val="both"/>
        <w:ind w:right="20" w:firstLine="428"/>
        <w:spacing w:after="0" w:line="238" w:lineRule="auto"/>
        <w:rPr>
          <w:sz w:val="20"/>
          <w:szCs w:val="20"/>
          <w:color w:val="auto"/>
        </w:rPr>
      </w:pPr>
      <w:r>
        <w:rPr>
          <w:rFonts w:ascii="Arial" w:cs="Arial" w:eastAsia="Arial" w:hAnsi="Arial"/>
          <w:sz w:val="22"/>
          <w:szCs w:val="22"/>
          <w:color w:val="auto"/>
        </w:rPr>
        <w:t>We are exposed to changes in the fair value of approximately 116 million shares of Liberty common stock through the closing date of the Liberty transaction and we will continue to be exposed to changes in the fair value of approximately 6 million shares of Liberty International common stock we hold and account for as trading securities because we have not entered into a corresponding derivative to hedge either of these market exposures.</w:t>
      </w:r>
    </w:p>
    <w:p>
      <w:pPr>
        <w:spacing w:after="0" w:line="185" w:lineRule="exact"/>
        <w:rPr>
          <w:sz w:val="20"/>
          <w:szCs w:val="20"/>
          <w:color w:val="auto"/>
        </w:rPr>
      </w:pPr>
    </w:p>
    <w:p>
      <w:pPr>
        <w:ind w:right="20" w:firstLine="428"/>
        <w:spacing w:after="0"/>
        <w:rPr>
          <w:sz w:val="20"/>
          <w:szCs w:val="20"/>
          <w:color w:val="auto"/>
        </w:rPr>
      </w:pPr>
      <w:r>
        <w:rPr>
          <w:rFonts w:ascii="Arial" w:cs="Arial" w:eastAsia="Arial" w:hAnsi="Arial"/>
          <w:sz w:val="22"/>
          <w:szCs w:val="22"/>
          <w:color w:val="auto"/>
        </w:rPr>
        <w:t>We are also exposed to changes in the fair value of the derivative component of the Comcast exchangeable notes we have outstanding since the underlying 16 million shares of Comcast Class A Special common stock we hold in treasury are carried at our historical cost and are not adjusted for changes in fair value.</w:t>
      </w:r>
    </w:p>
    <w:p>
      <w:pPr>
        <w:spacing w:after="0" w:line="186" w:lineRule="exact"/>
        <w:rPr>
          <w:sz w:val="20"/>
          <w:szCs w:val="20"/>
          <w:color w:val="auto"/>
        </w:rPr>
      </w:pPr>
    </w:p>
    <w:p>
      <w:pPr>
        <w:jc w:val="both"/>
        <w:ind w:right="200" w:firstLine="420"/>
        <w:spacing w:after="0" w:line="287" w:lineRule="auto"/>
        <w:rPr>
          <w:sz w:val="20"/>
          <w:szCs w:val="20"/>
          <w:color w:val="auto"/>
        </w:rPr>
      </w:pPr>
      <w:r>
        <w:rPr>
          <w:rFonts w:ascii="Arial" w:cs="Arial" w:eastAsia="Arial" w:hAnsi="Arial"/>
          <w:sz w:val="19"/>
          <w:szCs w:val="19"/>
          <w:color w:val="auto"/>
        </w:rPr>
        <w:t>Accordingly, our investment income (loss), net is affected by fluctuations in the fair values of the Liberty common stock, the Liberty International common stock and the derivative component of the Comcast exchangeable notes. Investment income (loss), net for the three and six months ended June 30, 2004 includes losses of $16 million and $45 million, respectively, related to these financial instruments compared to losses of $57 million and $254 million, respectively, during the same periods in 2003.</w:t>
      </w:r>
    </w:p>
    <w:p>
      <w:pPr>
        <w:spacing w:after="0" w:line="143" w:lineRule="exact"/>
        <w:rPr>
          <w:sz w:val="20"/>
          <w:szCs w:val="20"/>
          <w:color w:val="auto"/>
        </w:rPr>
      </w:pPr>
    </w:p>
    <w:p>
      <w:pPr>
        <w:ind w:left="440"/>
        <w:spacing w:after="0"/>
        <w:rPr>
          <w:sz w:val="20"/>
          <w:szCs w:val="20"/>
          <w:color w:val="auto"/>
        </w:rPr>
      </w:pPr>
      <w:r>
        <w:rPr>
          <w:rFonts w:ascii="Arial" w:cs="Arial" w:eastAsia="Arial" w:hAnsi="Arial"/>
          <w:sz w:val="22"/>
          <w:szCs w:val="22"/>
          <w:i w:val="1"/>
          <w:iCs w:val="1"/>
          <w:color w:val="auto"/>
        </w:rPr>
        <w:t>Income Tax (Expense) Benefit</w:t>
      </w:r>
    </w:p>
    <w:p>
      <w:pPr>
        <w:spacing w:after="0" w:line="206" w:lineRule="exact"/>
        <w:rPr>
          <w:sz w:val="20"/>
          <w:szCs w:val="20"/>
          <w:color w:val="auto"/>
        </w:rPr>
      </w:pPr>
    </w:p>
    <w:p>
      <w:pPr>
        <w:ind w:right="20" w:firstLine="428"/>
        <w:spacing w:after="0" w:line="251" w:lineRule="auto"/>
        <w:rPr>
          <w:sz w:val="20"/>
          <w:szCs w:val="20"/>
          <w:color w:val="auto"/>
        </w:rPr>
      </w:pPr>
      <w:r>
        <w:rPr>
          <w:rFonts w:ascii="Arial" w:cs="Arial" w:eastAsia="Arial" w:hAnsi="Arial"/>
          <w:sz w:val="22"/>
          <w:szCs w:val="22"/>
          <w:color w:val="auto"/>
        </w:rPr>
        <w:t>The changes in income tax (expense) benefit for the interim periods from 2003 to 2004 are primarily the result of the effects of changes in our income (loss) from continuing operations before taxes and minority interest.</w:t>
      </w:r>
    </w:p>
    <w:p>
      <w:pPr>
        <w:spacing w:after="0" w:line="173" w:lineRule="exact"/>
        <w:rPr>
          <w:sz w:val="20"/>
          <w:szCs w:val="20"/>
          <w:color w:val="auto"/>
        </w:rPr>
      </w:pPr>
    </w:p>
    <w:p>
      <w:pPr>
        <w:ind w:left="440"/>
        <w:spacing w:after="0"/>
        <w:rPr>
          <w:sz w:val="20"/>
          <w:szCs w:val="20"/>
          <w:color w:val="auto"/>
        </w:rPr>
      </w:pPr>
      <w:r>
        <w:rPr>
          <w:rFonts w:ascii="Arial" w:cs="Arial" w:eastAsia="Arial" w:hAnsi="Arial"/>
          <w:sz w:val="22"/>
          <w:szCs w:val="22"/>
          <w:i w:val="1"/>
          <w:iCs w:val="1"/>
          <w:color w:val="auto"/>
        </w:rPr>
        <w:t>Minority Interest</w:t>
      </w:r>
    </w:p>
    <w:p>
      <w:pPr>
        <w:spacing w:after="0" w:line="206" w:lineRule="exact"/>
        <w:rPr>
          <w:sz w:val="20"/>
          <w:szCs w:val="20"/>
          <w:color w:val="auto"/>
        </w:rPr>
      </w:pPr>
    </w:p>
    <w:p>
      <w:pPr>
        <w:ind w:right="380" w:firstLine="428"/>
        <w:spacing w:after="0" w:line="251" w:lineRule="auto"/>
        <w:rPr>
          <w:sz w:val="20"/>
          <w:szCs w:val="20"/>
          <w:color w:val="auto"/>
        </w:rPr>
      </w:pPr>
      <w:r>
        <w:rPr>
          <w:rFonts w:ascii="Arial" w:cs="Arial" w:eastAsia="Arial" w:hAnsi="Arial"/>
          <w:sz w:val="22"/>
          <w:szCs w:val="22"/>
          <w:color w:val="auto"/>
        </w:rPr>
        <w:t>The changes in minority interest for the interim periods from 2003 to 2004 are attributable to the effects of our adoption of SFAS No. 150 on July 1, 2003, upon</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63765"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COMCAST CORPORATION AND SUBSIDIARIES</w:t>
      </w:r>
    </w:p>
    <w:p>
      <w:pPr>
        <w:jc w:val="center"/>
        <w:ind w:right="40"/>
        <w:spacing w:after="0" w:line="238" w:lineRule="auto"/>
        <w:rPr>
          <w:sz w:val="20"/>
          <w:szCs w:val="20"/>
          <w:color w:val="auto"/>
        </w:rPr>
      </w:pPr>
      <w:r>
        <w:rPr>
          <w:rFonts w:ascii="Arial" w:cs="Arial" w:eastAsia="Arial" w:hAnsi="Arial"/>
          <w:sz w:val="22"/>
          <w:szCs w:val="22"/>
          <w:color w:val="auto"/>
        </w:rPr>
        <w:t>FORM 10-Q</w:t>
      </w:r>
    </w:p>
    <w:p>
      <w:pPr>
        <w:jc w:val="center"/>
        <w:ind w:right="-19"/>
        <w:spacing w:after="0"/>
        <w:rPr>
          <w:sz w:val="20"/>
          <w:szCs w:val="20"/>
          <w:color w:val="auto"/>
        </w:rPr>
      </w:pPr>
      <w:r>
        <w:rPr>
          <w:rFonts w:ascii="Arial" w:cs="Arial" w:eastAsia="Arial" w:hAnsi="Arial"/>
          <w:sz w:val="22"/>
          <w:szCs w:val="22"/>
          <w:color w:val="auto"/>
        </w:rPr>
        <w:t>QUARTER ENDED JUNE 30, 2004</w:t>
      </w:r>
    </w:p>
    <w:p>
      <w:pPr>
        <w:sectPr>
          <w:pgSz w:w="11900" w:h="16838" w:orient="portrait"/>
          <w:cols w:equalWidth="0" w:num="1">
            <w:col w:w="11420"/>
          </w:cols>
          <w:pgMar w:left="240" w:top="118" w:right="239" w:bottom="0" w:gutter="0" w:footer="0" w:header="0"/>
        </w:sectPr>
      </w:pPr>
    </w:p>
    <w:bookmarkStart w:id="31" w:name="page32"/>
    <w:bookmarkEnd w:id="31"/>
    <w:p>
      <w:pPr>
        <w:spacing w:after="0"/>
        <w:rPr>
          <w:sz w:val="20"/>
          <w:szCs w:val="20"/>
          <w:color w:val="auto"/>
        </w:rPr>
      </w:pPr>
      <w:r>
        <w:rPr>
          <w:rFonts w:ascii="Arial" w:cs="Arial" w:eastAsia="Arial" w:hAnsi="Arial"/>
          <w:sz w:val="21"/>
          <w:szCs w:val="21"/>
          <w:color w:val="auto"/>
        </w:rPr>
        <w:t>which we now record our subsidiary preferred dividends, previously included within minority interest, to interest expense.</w:t>
      </w:r>
    </w:p>
    <w:p>
      <w:pPr>
        <w:spacing w:after="0" w:line="218" w:lineRule="exact"/>
        <w:rPr>
          <w:sz w:val="20"/>
          <w:szCs w:val="20"/>
          <w:color w:val="auto"/>
        </w:rPr>
      </w:pPr>
    </w:p>
    <w:p>
      <w:pPr>
        <w:ind w:left="440"/>
        <w:spacing w:after="0"/>
        <w:rPr>
          <w:sz w:val="20"/>
          <w:szCs w:val="20"/>
          <w:color w:val="auto"/>
        </w:rPr>
      </w:pPr>
      <w:r>
        <w:rPr>
          <w:rFonts w:ascii="Arial" w:cs="Arial" w:eastAsia="Arial" w:hAnsi="Arial"/>
          <w:sz w:val="22"/>
          <w:szCs w:val="22"/>
          <w:color w:val="auto"/>
        </w:rPr>
        <w:t>We believe that our operations are not materially affected by inflation.</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212" w:lineRule="exact"/>
        <w:rPr>
          <w:sz w:val="20"/>
          <w:szCs w:val="20"/>
          <w:color w:val="auto"/>
        </w:rPr>
      </w:pPr>
    </w:p>
    <w:p>
      <w:pPr>
        <w:ind w:right="120" w:firstLine="428"/>
        <w:spacing w:after="0" w:line="258" w:lineRule="auto"/>
        <w:rPr>
          <w:sz w:val="20"/>
          <w:szCs w:val="20"/>
          <w:color w:val="auto"/>
        </w:rPr>
      </w:pPr>
      <w:r>
        <w:rPr>
          <w:rFonts w:ascii="Arial" w:cs="Arial" w:eastAsia="Arial" w:hAnsi="Arial"/>
          <w:sz w:val="21"/>
          <w:szCs w:val="21"/>
          <w:color w:val="auto"/>
        </w:rPr>
        <w:t>We believe that we will be able to meet our current and long-term liquidity and capital requirements, including fixed charges, through our cash flows from operating activities, existing cash, cash equivalents and investments, through available borrowings under our existing credit facilities, and through our ability to obtain future external financing.</w:t>
      </w:r>
    </w:p>
    <w:p>
      <w:pPr>
        <w:spacing w:after="0" w:line="167" w:lineRule="exact"/>
        <w:rPr>
          <w:sz w:val="20"/>
          <w:szCs w:val="20"/>
          <w:color w:val="auto"/>
        </w:rPr>
      </w:pPr>
    </w:p>
    <w:p>
      <w:pPr>
        <w:ind w:left="440"/>
        <w:spacing w:after="0"/>
        <w:rPr>
          <w:sz w:val="20"/>
          <w:szCs w:val="20"/>
          <w:color w:val="auto"/>
        </w:rPr>
      </w:pPr>
      <w:r>
        <w:rPr>
          <w:rFonts w:ascii="Arial" w:cs="Arial" w:eastAsia="Arial" w:hAnsi="Arial"/>
          <w:sz w:val="22"/>
          <w:szCs w:val="22"/>
          <w:b w:val="1"/>
          <w:bCs w:val="1"/>
          <w:i w:val="1"/>
          <w:iCs w:val="1"/>
          <w:color w:val="auto"/>
        </w:rPr>
        <w:t>Cash and Cash Equivalents</w:t>
      </w:r>
    </w:p>
    <w:p>
      <w:pPr>
        <w:spacing w:after="0" w:line="206" w:lineRule="exact"/>
        <w:rPr>
          <w:sz w:val="20"/>
          <w:szCs w:val="20"/>
          <w:color w:val="auto"/>
        </w:rPr>
      </w:pPr>
    </w:p>
    <w:p>
      <w:pPr>
        <w:ind w:left="440"/>
        <w:spacing w:after="0"/>
        <w:rPr>
          <w:sz w:val="20"/>
          <w:szCs w:val="20"/>
          <w:color w:val="auto"/>
        </w:rPr>
      </w:pPr>
      <w:r>
        <w:rPr>
          <w:rFonts w:ascii="Arial" w:cs="Arial" w:eastAsia="Arial" w:hAnsi="Arial"/>
          <w:sz w:val="19"/>
          <w:szCs w:val="19"/>
          <w:color w:val="auto"/>
        </w:rPr>
        <w:t>We have traditionally maintained significant levels of cash and cash equivalents to meet our short-term liquidity requirements.</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As of June 30, 2004, our cash and cash equivalents were $594 million, substantially all of which is unrestricted.</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22"/>
          <w:szCs w:val="22"/>
          <w:b w:val="1"/>
          <w:bCs w:val="1"/>
          <w:i w:val="1"/>
          <w:iCs w:val="1"/>
          <w:color w:val="auto"/>
        </w:rPr>
        <w:t>Investments</w:t>
      </w:r>
    </w:p>
    <w:p>
      <w:pPr>
        <w:spacing w:after="0" w:line="206" w:lineRule="exact"/>
        <w:rPr>
          <w:sz w:val="20"/>
          <w:szCs w:val="20"/>
          <w:color w:val="auto"/>
        </w:rPr>
      </w:pPr>
    </w:p>
    <w:p>
      <w:pPr>
        <w:ind w:left="440"/>
        <w:spacing w:after="0"/>
        <w:rPr>
          <w:sz w:val="20"/>
          <w:szCs w:val="20"/>
          <w:color w:val="auto"/>
        </w:rPr>
      </w:pPr>
      <w:r>
        <w:rPr>
          <w:rFonts w:ascii="Arial" w:cs="Arial" w:eastAsia="Arial" w:hAnsi="Arial"/>
          <w:sz w:val="19"/>
          <w:szCs w:val="19"/>
          <w:color w:val="auto"/>
        </w:rPr>
        <w:t>We consider investments that we determine to be non-strategic, highly-valued, or both, to be a significant source of liquidity.</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We consider our investments in the following to be potential sources of liquidity:</w:t>
      </w:r>
    </w:p>
    <w:p>
      <w:pPr>
        <w:spacing w:after="0" w:line="188" w:lineRule="exact"/>
        <w:rPr>
          <w:sz w:val="20"/>
          <w:szCs w:val="20"/>
          <w:color w:val="auto"/>
        </w:rPr>
      </w:pPr>
    </w:p>
    <w:p>
      <w:pPr>
        <w:ind w:left="700" w:hanging="341"/>
        <w:spacing w:after="0"/>
        <w:tabs>
          <w:tab w:leader="none" w:pos="700" w:val="left"/>
        </w:tabs>
        <w:numPr>
          <w:ilvl w:val="0"/>
          <w:numId w:val="16"/>
        </w:numPr>
        <w:rPr>
          <w:rFonts w:ascii="Arial" w:cs="Arial" w:eastAsia="Arial" w:hAnsi="Arial"/>
          <w:sz w:val="22"/>
          <w:szCs w:val="22"/>
          <w:color w:val="auto"/>
        </w:rPr>
      </w:pPr>
      <w:r>
        <w:rPr>
          <w:rFonts w:ascii="Arial" w:cs="Arial" w:eastAsia="Arial" w:hAnsi="Arial"/>
          <w:sz w:val="22"/>
          <w:szCs w:val="22"/>
          <w:color w:val="auto"/>
        </w:rPr>
        <w:t>$1.5 billion in Time Warner Inc. common equivalent preferred stock,</w:t>
      </w:r>
    </w:p>
    <w:p>
      <w:pPr>
        <w:spacing w:after="0" w:line="8" w:lineRule="exact"/>
        <w:rPr>
          <w:rFonts w:ascii="Arial" w:cs="Arial" w:eastAsia="Arial" w:hAnsi="Arial"/>
          <w:sz w:val="22"/>
          <w:szCs w:val="22"/>
          <w:color w:val="auto"/>
        </w:rPr>
      </w:pPr>
    </w:p>
    <w:p>
      <w:pPr>
        <w:ind w:left="700" w:hanging="341"/>
        <w:spacing w:after="0" w:line="230" w:lineRule="auto"/>
        <w:tabs>
          <w:tab w:leader="none" w:pos="700" w:val="left"/>
        </w:tabs>
        <w:numPr>
          <w:ilvl w:val="0"/>
          <w:numId w:val="16"/>
        </w:numPr>
        <w:rPr>
          <w:rFonts w:ascii="Arial" w:cs="Arial" w:eastAsia="Arial" w:hAnsi="Arial"/>
          <w:sz w:val="22"/>
          <w:szCs w:val="22"/>
          <w:color w:val="auto"/>
        </w:rPr>
      </w:pPr>
      <w:r>
        <w:rPr>
          <w:rFonts w:ascii="Arial" w:cs="Arial" w:eastAsia="Arial" w:hAnsi="Arial"/>
          <w:sz w:val="22"/>
          <w:szCs w:val="22"/>
          <w:color w:val="auto"/>
        </w:rPr>
        <w:t>21% interest in Time Warner Cable Inc., and</w:t>
      </w:r>
    </w:p>
    <w:p>
      <w:pPr>
        <w:ind w:left="700" w:hanging="341"/>
        <w:spacing w:after="0"/>
        <w:tabs>
          <w:tab w:leader="none" w:pos="700" w:val="left"/>
        </w:tabs>
        <w:numPr>
          <w:ilvl w:val="0"/>
          <w:numId w:val="16"/>
        </w:numPr>
        <w:rPr>
          <w:rFonts w:ascii="Arial" w:cs="Arial" w:eastAsia="Arial" w:hAnsi="Arial"/>
          <w:sz w:val="22"/>
          <w:szCs w:val="22"/>
          <w:color w:val="auto"/>
        </w:rPr>
      </w:pPr>
      <w:r>
        <w:rPr>
          <w:rFonts w:ascii="Arial" w:cs="Arial" w:eastAsia="Arial" w:hAnsi="Arial"/>
          <w:sz w:val="22"/>
          <w:szCs w:val="22"/>
          <w:color w:val="auto"/>
        </w:rPr>
        <w:t>interests in certain cable television partnerships.</w:t>
      </w:r>
    </w:p>
    <w:p>
      <w:pPr>
        <w:spacing w:after="0" w:line="188" w:lineRule="exact"/>
        <w:rPr>
          <w:sz w:val="20"/>
          <w:szCs w:val="20"/>
          <w:color w:val="auto"/>
        </w:rPr>
      </w:pPr>
    </w:p>
    <w:p>
      <w:pPr>
        <w:ind w:left="440" w:right="1880" w:hanging="3"/>
        <w:spacing w:after="0" w:line="435" w:lineRule="auto"/>
        <w:rPr>
          <w:rFonts w:ascii="Arial" w:cs="Arial" w:eastAsia="Arial" w:hAnsi="Arial"/>
          <w:sz w:val="22"/>
          <w:szCs w:val="22"/>
          <w:color w:val="auto"/>
        </w:rPr>
      </w:pPr>
      <w:r>
        <w:rPr>
          <w:rFonts w:ascii="Arial" w:cs="Arial" w:eastAsia="Arial" w:hAnsi="Arial"/>
          <w:sz w:val="22"/>
          <w:szCs w:val="22"/>
          <w:color w:val="auto"/>
        </w:rPr>
        <w:t xml:space="preserve">We do not have any significant contractual funding commitments with respect to any of our investments. Refer to </w:t>
      </w:r>
      <w:hyperlink w:anchor="page8">
        <w:r>
          <w:rPr>
            <w:rFonts w:ascii="Arial" w:cs="Arial" w:eastAsia="Arial" w:hAnsi="Arial"/>
            <w:sz w:val="22"/>
            <w:szCs w:val="22"/>
            <w:u w:val="single" w:color="auto"/>
            <w:color w:val="0000EE"/>
          </w:rPr>
          <w:t>Note 5</w:t>
        </w:r>
        <w:r>
          <w:rPr>
            <w:rFonts w:ascii="Arial" w:cs="Arial" w:eastAsia="Arial" w:hAnsi="Arial"/>
            <w:sz w:val="22"/>
            <w:szCs w:val="22"/>
            <w:u w:val="single" w:color="auto"/>
            <w:color w:val="auto"/>
          </w:rPr>
          <w:t xml:space="preserve"> </w:t>
        </w:r>
      </w:hyperlink>
      <w:r>
        <w:rPr>
          <w:rFonts w:ascii="Arial" w:cs="Arial" w:eastAsia="Arial" w:hAnsi="Arial"/>
          <w:sz w:val="22"/>
          <w:szCs w:val="22"/>
          <w:color w:val="auto"/>
        </w:rPr>
        <w:t xml:space="preserve">to our financial statements included in Item 1 for a discussion of our investments. </w:t>
      </w:r>
      <w:r>
        <w:rPr>
          <w:rFonts w:ascii="Arial" w:cs="Arial" w:eastAsia="Arial" w:hAnsi="Arial"/>
          <w:sz w:val="22"/>
          <w:szCs w:val="22"/>
          <w:b w:val="1"/>
          <w:bCs w:val="1"/>
          <w:i w:val="1"/>
          <w:iCs w:val="1"/>
          <w:color w:val="auto"/>
        </w:rPr>
        <w:t>Available Borrowings Under Credit Facilities</w:t>
      </w:r>
    </w:p>
    <w:p>
      <w:pPr>
        <w:spacing w:after="0" w:line="2" w:lineRule="exact"/>
        <w:rPr>
          <w:sz w:val="20"/>
          <w:szCs w:val="20"/>
          <w:color w:val="auto"/>
        </w:rPr>
      </w:pPr>
    </w:p>
    <w:p>
      <w:pPr>
        <w:ind w:right="340" w:firstLine="428"/>
        <w:spacing w:after="0" w:line="236" w:lineRule="auto"/>
        <w:rPr>
          <w:rFonts w:ascii="Arial" w:cs="Arial" w:eastAsia="Arial" w:hAnsi="Arial"/>
          <w:sz w:val="22"/>
          <w:szCs w:val="22"/>
          <w:color w:val="auto"/>
        </w:rPr>
      </w:pPr>
      <w:r>
        <w:rPr>
          <w:rFonts w:ascii="Arial" w:cs="Arial" w:eastAsia="Arial" w:hAnsi="Arial"/>
          <w:sz w:val="22"/>
          <w:szCs w:val="22"/>
          <w:color w:val="auto"/>
        </w:rPr>
        <w:t xml:space="preserve">We have traditionally maintained significant availability under our lines of credit to meet our short-term liquidity requirements. In January 2004, we refinanced three of our existing revolving credit facilities with a new $4.5 billion, five-year revolving bank credit facility due January 2009. As of June 30, 2004, amounts available under our lines of credit totaled $3.898 billion. Refer to </w:t>
      </w:r>
      <w:hyperlink w:anchor="page10">
        <w:r>
          <w:rPr>
            <w:rFonts w:ascii="Arial" w:cs="Arial" w:eastAsia="Arial" w:hAnsi="Arial"/>
            <w:sz w:val="22"/>
            <w:szCs w:val="22"/>
            <w:u w:val="single" w:color="auto"/>
            <w:color w:val="0000EE"/>
          </w:rPr>
          <w:t>Note 6</w:t>
        </w:r>
        <w:r>
          <w:rPr>
            <w:rFonts w:ascii="Arial" w:cs="Arial" w:eastAsia="Arial" w:hAnsi="Arial"/>
            <w:sz w:val="22"/>
            <w:szCs w:val="22"/>
            <w:u w:val="single" w:color="auto"/>
            <w:color w:val="auto"/>
          </w:rPr>
          <w:t xml:space="preserve"> </w:t>
        </w:r>
      </w:hyperlink>
      <w:r>
        <w:rPr>
          <w:rFonts w:ascii="Arial" w:cs="Arial" w:eastAsia="Arial" w:hAnsi="Arial"/>
          <w:sz w:val="22"/>
          <w:szCs w:val="22"/>
          <w:color w:val="auto"/>
        </w:rPr>
        <w:t>to our consolidated financial statements included in Item 1 for further discussion about our new credit facility.</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22"/>
          <w:szCs w:val="22"/>
          <w:b w:val="1"/>
          <w:bCs w:val="1"/>
          <w:i w:val="1"/>
          <w:iCs w:val="1"/>
          <w:color w:val="auto"/>
        </w:rPr>
        <w:t>Commercial Paper</w:t>
      </w:r>
    </w:p>
    <w:p>
      <w:pPr>
        <w:spacing w:after="0" w:line="206" w:lineRule="exact"/>
        <w:rPr>
          <w:sz w:val="20"/>
          <w:szCs w:val="20"/>
          <w:color w:val="auto"/>
        </w:rPr>
      </w:pPr>
    </w:p>
    <w:p>
      <w:pPr>
        <w:ind w:firstLine="432"/>
        <w:spacing w:after="0" w:line="252" w:lineRule="auto"/>
        <w:rPr>
          <w:sz w:val="20"/>
          <w:szCs w:val="20"/>
          <w:color w:val="auto"/>
        </w:rPr>
      </w:pPr>
      <w:r>
        <w:rPr>
          <w:rFonts w:ascii="Arial" w:cs="Arial" w:eastAsia="Arial" w:hAnsi="Arial"/>
          <w:sz w:val="21"/>
          <w:szCs w:val="21"/>
          <w:color w:val="auto"/>
        </w:rPr>
        <w:t>In June 2004, we entered into a new commercial paper program to provide a lower cost borrowing source of liquidity to fund our short-term working capital requirements. The program allows for a maximum of $2.25 billion of commercial paper to be issued at any one time. Our revolving bank credit facility supports this program. As of June 30, 2004, amounts outstanding under the program totaled $304 million with a weighted average interest rate of 1.74%.</w:t>
      </w:r>
    </w:p>
    <w:p>
      <w:pPr>
        <w:spacing w:after="0" w:line="174" w:lineRule="exact"/>
        <w:rPr>
          <w:sz w:val="20"/>
          <w:szCs w:val="20"/>
          <w:color w:val="auto"/>
        </w:rPr>
      </w:pPr>
    </w:p>
    <w:p>
      <w:pPr>
        <w:ind w:left="440"/>
        <w:spacing w:after="0"/>
        <w:rPr>
          <w:sz w:val="20"/>
          <w:szCs w:val="20"/>
          <w:color w:val="auto"/>
        </w:rPr>
      </w:pPr>
      <w:r>
        <w:rPr>
          <w:rFonts w:ascii="Arial" w:cs="Arial" w:eastAsia="Arial" w:hAnsi="Arial"/>
          <w:sz w:val="22"/>
          <w:szCs w:val="22"/>
          <w:b w:val="1"/>
          <w:bCs w:val="1"/>
          <w:i w:val="1"/>
          <w:iCs w:val="1"/>
          <w:color w:val="auto"/>
        </w:rPr>
        <w:t>Financing</w:t>
      </w:r>
    </w:p>
    <w:p>
      <w:pPr>
        <w:spacing w:after="0" w:line="206" w:lineRule="exact"/>
        <w:rPr>
          <w:sz w:val="20"/>
          <w:szCs w:val="20"/>
          <w:color w:val="auto"/>
        </w:rPr>
      </w:pPr>
    </w:p>
    <w:p>
      <w:pPr>
        <w:ind w:right="200" w:firstLine="420"/>
        <w:spacing w:after="0" w:line="252" w:lineRule="auto"/>
        <w:rPr>
          <w:sz w:val="20"/>
          <w:szCs w:val="20"/>
          <w:color w:val="auto"/>
        </w:rPr>
      </w:pPr>
      <w:r>
        <w:rPr>
          <w:rFonts w:ascii="Arial" w:cs="Arial" w:eastAsia="Arial" w:hAnsi="Arial"/>
          <w:sz w:val="21"/>
          <w:szCs w:val="21"/>
          <w:color w:val="auto"/>
        </w:rPr>
        <w:t>As of June 30, 2004 and December 31, 2003, our debt, including capital lease obligations, was $25.777 billion and $26.996 billion, respectively. The $1.219 billion decrease from December 31, 2003 to June 30, 2004 results principally from the effects of our net debt repayments during the six months ended June 30, 2004. Included in our debt as of June 30, 2004 and December 31, 2003 was current portion of long-term debt of $2.792 billion and $3.161 billion, respectively.</w:t>
      </w:r>
    </w:p>
    <w:p>
      <w:pPr>
        <w:spacing w:after="0" w:line="174" w:lineRule="exact"/>
        <w:rPr>
          <w:sz w:val="20"/>
          <w:szCs w:val="20"/>
          <w:color w:val="auto"/>
        </w:rPr>
      </w:pPr>
    </w:p>
    <w:p>
      <w:pPr>
        <w:ind w:right="240" w:firstLine="432"/>
        <w:spacing w:after="0" w:line="251" w:lineRule="auto"/>
        <w:rPr>
          <w:sz w:val="20"/>
          <w:szCs w:val="20"/>
          <w:color w:val="auto"/>
        </w:rPr>
      </w:pPr>
      <w:r>
        <w:rPr>
          <w:rFonts w:ascii="Arial" w:cs="Arial" w:eastAsia="Arial" w:hAnsi="Arial"/>
          <w:sz w:val="22"/>
          <w:szCs w:val="22"/>
          <w:color w:val="auto"/>
        </w:rPr>
        <w:t>Excluding the effects of interest rate risk management instruments, 9.2% and 8.2% of our total debt as of June 30, 2004 and December 31, 2003, respectively, was at variable rates.</w:t>
      </w:r>
    </w:p>
    <w:p>
      <w:pPr>
        <w:spacing w:after="0" w:line="173" w:lineRule="exact"/>
        <w:rPr>
          <w:sz w:val="20"/>
          <w:szCs w:val="20"/>
          <w:color w:val="auto"/>
        </w:rPr>
      </w:pPr>
    </w:p>
    <w:p>
      <w:pPr>
        <w:ind w:firstLine="428"/>
        <w:spacing w:after="0" w:line="328" w:lineRule="auto"/>
        <w:rPr>
          <w:sz w:val="20"/>
          <w:szCs w:val="20"/>
          <w:color w:val="auto"/>
        </w:rPr>
      </w:pPr>
      <w:r>
        <w:rPr>
          <w:rFonts w:ascii="Arial" w:cs="Arial" w:eastAsia="Arial" w:hAnsi="Arial"/>
          <w:sz w:val="19"/>
          <w:szCs w:val="19"/>
          <w:color w:val="auto"/>
        </w:rPr>
        <w:t>We have made, and may from time to time in the future depending on certain factors such as market conditions, make optional repayments on our debt obligations, which may include open market repurchases of our outstanding public notes and debentures.</w:t>
      </w:r>
    </w:p>
    <w:p>
      <w:pPr>
        <w:spacing w:after="0" w:line="105" w:lineRule="exact"/>
        <w:rPr>
          <w:sz w:val="20"/>
          <w:szCs w:val="20"/>
          <w:color w:val="auto"/>
        </w:rPr>
      </w:pPr>
    </w:p>
    <w:p>
      <w:pPr>
        <w:ind w:left="440"/>
        <w:spacing w:after="0"/>
        <w:rPr>
          <w:rFonts w:ascii="Arial" w:cs="Arial" w:eastAsia="Arial" w:hAnsi="Arial"/>
          <w:sz w:val="22"/>
          <w:szCs w:val="22"/>
          <w:color w:val="auto"/>
        </w:rPr>
      </w:pPr>
      <w:r>
        <w:rPr>
          <w:rFonts w:ascii="Arial" w:cs="Arial" w:eastAsia="Arial" w:hAnsi="Arial"/>
          <w:sz w:val="22"/>
          <w:szCs w:val="22"/>
          <w:color w:val="auto"/>
        </w:rPr>
        <w:t xml:space="preserve">Refer to </w:t>
      </w:r>
      <w:hyperlink w:anchor="page10">
        <w:r>
          <w:rPr>
            <w:rFonts w:ascii="Arial" w:cs="Arial" w:eastAsia="Arial" w:hAnsi="Arial"/>
            <w:sz w:val="22"/>
            <w:szCs w:val="22"/>
            <w:u w:val="single" w:color="auto"/>
            <w:color w:val="0000EE"/>
          </w:rPr>
          <w:t>Note 6</w:t>
        </w:r>
        <w:r>
          <w:rPr>
            <w:rFonts w:ascii="Arial" w:cs="Arial" w:eastAsia="Arial" w:hAnsi="Arial"/>
            <w:sz w:val="22"/>
            <w:szCs w:val="22"/>
            <w:u w:val="single" w:color="auto"/>
            <w:color w:val="auto"/>
          </w:rPr>
          <w:t xml:space="preserve"> </w:t>
        </w:r>
      </w:hyperlink>
      <w:r>
        <w:rPr>
          <w:rFonts w:ascii="Arial" w:cs="Arial" w:eastAsia="Arial" w:hAnsi="Arial"/>
          <w:sz w:val="22"/>
          <w:szCs w:val="22"/>
          <w:color w:val="auto"/>
        </w:rPr>
        <w:t>to our financial statements included in Item 1 for a discussion of our long-term debt.</w:t>
      </w:r>
    </w:p>
    <w:p>
      <w:pPr>
        <w:spacing w:after="0" w:line="206" w:lineRule="exact"/>
        <w:rPr>
          <w:sz w:val="20"/>
          <w:szCs w:val="20"/>
          <w:color w:val="auto"/>
        </w:rPr>
      </w:pPr>
    </w:p>
    <w:p>
      <w:pPr>
        <w:ind w:left="4800"/>
        <w:spacing w:after="0"/>
        <w:rPr>
          <w:sz w:val="20"/>
          <w:szCs w:val="20"/>
          <w:color w:val="auto"/>
        </w:rPr>
      </w:pPr>
      <w:r>
        <w:rPr>
          <w:rFonts w:ascii="Arial" w:cs="Arial" w:eastAsia="Arial" w:hAnsi="Arial"/>
          <w:sz w:val="22"/>
          <w:szCs w:val="22"/>
          <w:color w:val="auto"/>
        </w:rPr>
        <w:t>_________________</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63765"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COMCAST CORPORATION AND SUBSIDIARIES</w:t>
      </w:r>
    </w:p>
    <w:p>
      <w:pPr>
        <w:jc w:val="center"/>
        <w:ind w:right="20"/>
        <w:spacing w:after="0" w:line="238" w:lineRule="auto"/>
        <w:rPr>
          <w:sz w:val="20"/>
          <w:szCs w:val="20"/>
          <w:color w:val="auto"/>
        </w:rPr>
      </w:pPr>
      <w:r>
        <w:rPr>
          <w:rFonts w:ascii="Arial" w:cs="Arial" w:eastAsia="Arial" w:hAnsi="Arial"/>
          <w:sz w:val="22"/>
          <w:szCs w:val="22"/>
          <w:color w:val="auto"/>
        </w:rPr>
        <w:t>FORM 10-Q</w:t>
      </w:r>
    </w:p>
    <w:p>
      <w:pPr>
        <w:jc w:val="center"/>
        <w:ind w:right="-39"/>
        <w:spacing w:after="0"/>
        <w:rPr>
          <w:sz w:val="20"/>
          <w:szCs w:val="20"/>
          <w:color w:val="auto"/>
        </w:rPr>
      </w:pPr>
      <w:r>
        <w:rPr>
          <w:rFonts w:ascii="Arial" w:cs="Arial" w:eastAsia="Arial" w:hAnsi="Arial"/>
          <w:sz w:val="22"/>
          <w:szCs w:val="22"/>
          <w:color w:val="auto"/>
        </w:rPr>
        <w:t>QUARTER ENDED JUNE 30, 2004</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Statement of Cash Flows</w:t>
      </w:r>
    </w:p>
    <w:p>
      <w:pPr>
        <w:sectPr>
          <w:pgSz w:w="11900" w:h="16838" w:orient="portrait"/>
          <w:cols w:equalWidth="0" w:num="1">
            <w:col w:w="11380"/>
          </w:cols>
          <w:pgMar w:left="240" w:top="118" w:right="279" w:bottom="0" w:gutter="0" w:footer="0" w:header="0"/>
        </w:sectPr>
      </w:pPr>
    </w:p>
    <w:bookmarkStart w:id="32" w:name="page33"/>
    <w:bookmarkEnd w:id="32"/>
    <w:p>
      <w:pPr>
        <w:ind w:right="400" w:firstLine="432"/>
        <w:spacing w:after="0" w:line="329" w:lineRule="auto"/>
        <w:rPr>
          <w:sz w:val="20"/>
          <w:szCs w:val="20"/>
          <w:color w:val="auto"/>
        </w:rPr>
      </w:pPr>
      <w:r>
        <w:rPr>
          <w:rFonts w:ascii="Arial" w:cs="Arial" w:eastAsia="Arial" w:hAnsi="Arial"/>
          <w:sz w:val="19"/>
          <w:szCs w:val="19"/>
          <w:color w:val="auto"/>
        </w:rPr>
        <w:t>Cash and cash equivalents decreased $956 million as of June 30, 2004 from December 31, 2003. The decrease in cash and cash equivalents resulted from cash flows from operating, financing and investing activities, as explained below.</w:t>
      </w:r>
    </w:p>
    <w:p>
      <w:pPr>
        <w:spacing w:after="0" w:line="104" w:lineRule="exact"/>
        <w:rPr>
          <w:sz w:val="20"/>
          <w:szCs w:val="20"/>
          <w:color w:val="auto"/>
        </w:rPr>
      </w:pPr>
    </w:p>
    <w:p>
      <w:pPr>
        <w:ind w:right="100" w:firstLine="432"/>
        <w:spacing w:after="0" w:line="252" w:lineRule="auto"/>
        <w:rPr>
          <w:sz w:val="20"/>
          <w:szCs w:val="20"/>
          <w:color w:val="auto"/>
        </w:rPr>
      </w:pPr>
      <w:r>
        <w:rPr>
          <w:rFonts w:ascii="Arial" w:cs="Arial" w:eastAsia="Arial" w:hAnsi="Arial"/>
          <w:sz w:val="21"/>
          <w:szCs w:val="21"/>
          <w:color w:val="auto"/>
        </w:rPr>
        <w:t>Net cash provided by operating activities from continuing operations amounted to $2.633 billion for the six months ended June 30, 2004, due principally to our operating income before depreciation and amortization (see “Results of Continuing Operations”), the effects of interest and income tax payments, changes in operating assets and liabilities as a result of the timing of receipts and disbursements, and a federal income tax refund of approximately $536 million.</w:t>
      </w:r>
    </w:p>
    <w:p>
      <w:pPr>
        <w:spacing w:after="0" w:line="174" w:lineRule="exact"/>
        <w:rPr>
          <w:sz w:val="20"/>
          <w:szCs w:val="20"/>
          <w:color w:val="auto"/>
        </w:rPr>
      </w:pPr>
    </w:p>
    <w:p>
      <w:pPr>
        <w:ind w:right="320" w:firstLine="432"/>
        <w:spacing w:after="0" w:line="328" w:lineRule="auto"/>
        <w:rPr>
          <w:sz w:val="20"/>
          <w:szCs w:val="20"/>
          <w:color w:val="auto"/>
        </w:rPr>
      </w:pPr>
      <w:r>
        <w:rPr>
          <w:rFonts w:ascii="Arial" w:cs="Arial" w:eastAsia="Arial" w:hAnsi="Arial"/>
          <w:sz w:val="19"/>
          <w:szCs w:val="19"/>
          <w:color w:val="auto"/>
        </w:rPr>
        <w:t>Net cash used in financing activities from continuing operations was $1.024 billion for the six months ended June 30, 2004 and consists primarily of retirements and repayments of debt and repurchases of common stock of $511 million.</w:t>
      </w:r>
    </w:p>
    <w:p>
      <w:pPr>
        <w:spacing w:after="0" w:line="105" w:lineRule="exact"/>
        <w:rPr>
          <w:sz w:val="20"/>
          <w:szCs w:val="20"/>
          <w:color w:val="auto"/>
        </w:rPr>
      </w:pPr>
    </w:p>
    <w:p>
      <w:pPr>
        <w:ind w:left="440"/>
        <w:spacing w:after="0"/>
        <w:rPr>
          <w:sz w:val="20"/>
          <w:szCs w:val="20"/>
          <w:color w:val="auto"/>
        </w:rPr>
      </w:pPr>
      <w:r>
        <w:rPr>
          <w:rFonts w:ascii="Arial" w:cs="Arial" w:eastAsia="Arial" w:hAnsi="Arial"/>
          <w:sz w:val="22"/>
          <w:szCs w:val="22"/>
          <w:color w:val="auto"/>
        </w:rPr>
        <w:t>During the six months ended June 30, 2004, we repaid $1.617 billion of our debt, consisting of:</w:t>
      </w:r>
    </w:p>
    <w:p>
      <w:pPr>
        <w:spacing w:after="0" w:line="206" w:lineRule="exact"/>
        <w:rPr>
          <w:sz w:val="20"/>
          <w:szCs w:val="20"/>
          <w:color w:val="auto"/>
        </w:rPr>
      </w:pPr>
    </w:p>
    <w:p>
      <w:pPr>
        <w:ind w:left="700" w:hanging="341"/>
        <w:spacing w:after="0"/>
        <w:tabs>
          <w:tab w:leader="none" w:pos="700" w:val="left"/>
        </w:tabs>
        <w:numPr>
          <w:ilvl w:val="0"/>
          <w:numId w:val="17"/>
        </w:numPr>
        <w:rPr>
          <w:rFonts w:ascii="Arial" w:cs="Arial" w:eastAsia="Arial" w:hAnsi="Arial"/>
          <w:sz w:val="22"/>
          <w:szCs w:val="22"/>
          <w:color w:val="auto"/>
        </w:rPr>
      </w:pPr>
      <w:r>
        <w:rPr>
          <w:rFonts w:ascii="Arial" w:cs="Arial" w:eastAsia="Arial" w:hAnsi="Arial"/>
          <w:sz w:val="22"/>
          <w:szCs w:val="22"/>
          <w:color w:val="auto"/>
        </w:rPr>
        <w:t>$567 million of our senior and medium term notes,</w:t>
      </w:r>
    </w:p>
    <w:p>
      <w:pPr>
        <w:spacing w:after="0" w:line="8" w:lineRule="exact"/>
        <w:rPr>
          <w:rFonts w:ascii="Arial" w:cs="Arial" w:eastAsia="Arial" w:hAnsi="Arial"/>
          <w:sz w:val="22"/>
          <w:szCs w:val="22"/>
          <w:color w:val="auto"/>
        </w:rPr>
      </w:pPr>
    </w:p>
    <w:p>
      <w:pPr>
        <w:ind w:left="700" w:hanging="341"/>
        <w:spacing w:after="0" w:line="230" w:lineRule="auto"/>
        <w:tabs>
          <w:tab w:leader="none" w:pos="700" w:val="left"/>
        </w:tabs>
        <w:numPr>
          <w:ilvl w:val="0"/>
          <w:numId w:val="17"/>
        </w:numPr>
        <w:rPr>
          <w:rFonts w:ascii="Arial" w:cs="Arial" w:eastAsia="Arial" w:hAnsi="Arial"/>
          <w:sz w:val="22"/>
          <w:szCs w:val="22"/>
          <w:color w:val="auto"/>
        </w:rPr>
      </w:pPr>
      <w:r>
        <w:rPr>
          <w:rFonts w:ascii="Arial" w:cs="Arial" w:eastAsia="Arial" w:hAnsi="Arial"/>
          <w:sz w:val="22"/>
          <w:szCs w:val="22"/>
          <w:color w:val="auto"/>
        </w:rPr>
        <w:t>$500 million on certain of our revolving credit facilities,</w:t>
      </w:r>
    </w:p>
    <w:p>
      <w:pPr>
        <w:ind w:left="700" w:hanging="341"/>
        <w:spacing w:after="0" w:line="230" w:lineRule="auto"/>
        <w:tabs>
          <w:tab w:leader="none" w:pos="700" w:val="left"/>
        </w:tabs>
        <w:numPr>
          <w:ilvl w:val="0"/>
          <w:numId w:val="17"/>
        </w:numPr>
        <w:rPr>
          <w:rFonts w:ascii="Arial" w:cs="Arial" w:eastAsia="Arial" w:hAnsi="Arial"/>
          <w:sz w:val="22"/>
          <w:szCs w:val="22"/>
          <w:color w:val="auto"/>
        </w:rPr>
      </w:pPr>
      <w:r>
        <w:rPr>
          <w:rFonts w:ascii="Arial" w:cs="Arial" w:eastAsia="Arial" w:hAnsi="Arial"/>
          <w:sz w:val="22"/>
          <w:szCs w:val="22"/>
          <w:color w:val="auto"/>
        </w:rPr>
        <w:t>$400 million of our Comcast exchangeable notes,</w:t>
      </w:r>
    </w:p>
    <w:p>
      <w:pPr>
        <w:ind w:left="700" w:hanging="341"/>
        <w:spacing w:after="0" w:line="230" w:lineRule="auto"/>
        <w:tabs>
          <w:tab w:leader="none" w:pos="700" w:val="left"/>
        </w:tabs>
        <w:numPr>
          <w:ilvl w:val="0"/>
          <w:numId w:val="17"/>
        </w:numPr>
        <w:rPr>
          <w:rFonts w:ascii="Arial" w:cs="Arial" w:eastAsia="Arial" w:hAnsi="Arial"/>
          <w:sz w:val="22"/>
          <w:szCs w:val="22"/>
          <w:color w:val="auto"/>
        </w:rPr>
      </w:pPr>
      <w:r>
        <w:rPr>
          <w:rFonts w:ascii="Arial" w:cs="Arial" w:eastAsia="Arial" w:hAnsi="Arial"/>
          <w:sz w:val="22"/>
          <w:szCs w:val="22"/>
          <w:color w:val="auto"/>
        </w:rPr>
        <w:t>$50 million under our commercial paper program and</w:t>
      </w:r>
    </w:p>
    <w:p>
      <w:pPr>
        <w:ind w:left="700" w:hanging="341"/>
        <w:spacing w:after="0"/>
        <w:tabs>
          <w:tab w:leader="none" w:pos="700" w:val="left"/>
        </w:tabs>
        <w:numPr>
          <w:ilvl w:val="0"/>
          <w:numId w:val="17"/>
        </w:numPr>
        <w:rPr>
          <w:rFonts w:ascii="Arial" w:cs="Arial" w:eastAsia="Arial" w:hAnsi="Arial"/>
          <w:sz w:val="22"/>
          <w:szCs w:val="22"/>
          <w:color w:val="auto"/>
        </w:rPr>
      </w:pPr>
      <w:r>
        <w:rPr>
          <w:rFonts w:ascii="Arial" w:cs="Arial" w:eastAsia="Arial" w:hAnsi="Arial"/>
          <w:sz w:val="22"/>
          <w:szCs w:val="22"/>
          <w:color w:val="auto"/>
        </w:rPr>
        <w:t>$100 million of capital leases and other.</w:t>
      </w:r>
    </w:p>
    <w:p>
      <w:pPr>
        <w:spacing w:after="0" w:line="188" w:lineRule="exact"/>
        <w:rPr>
          <w:sz w:val="20"/>
          <w:szCs w:val="20"/>
          <w:color w:val="auto"/>
        </w:rPr>
      </w:pPr>
    </w:p>
    <w:p>
      <w:pPr>
        <w:ind w:right="120" w:firstLine="432"/>
        <w:spacing w:after="0" w:line="297" w:lineRule="auto"/>
        <w:rPr>
          <w:sz w:val="20"/>
          <w:szCs w:val="20"/>
          <w:color w:val="auto"/>
        </w:rPr>
      </w:pPr>
      <w:r>
        <w:rPr>
          <w:rFonts w:ascii="Arial" w:cs="Arial" w:eastAsia="Arial" w:hAnsi="Arial"/>
          <w:sz w:val="19"/>
          <w:szCs w:val="19"/>
          <w:color w:val="auto"/>
        </w:rPr>
        <w:t>Net cash used in investing activities from continuing operations was $2.565 billion for the six months ended June 30, 2004. During this period, net cash used in investing activities from continuing operations includes capital expenditures of $1.732 billion, additions to intangible and other noncurrent assets of $453 million and acquisitions, net of cash acquired, of $336 million.</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63765"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COMCAST CORPORATION AND SUBSIDIARIES</w:t>
      </w:r>
    </w:p>
    <w:p>
      <w:pPr>
        <w:jc w:val="center"/>
        <w:ind w:right="20"/>
        <w:spacing w:after="0" w:line="238" w:lineRule="auto"/>
        <w:rPr>
          <w:sz w:val="20"/>
          <w:szCs w:val="20"/>
          <w:color w:val="auto"/>
        </w:rPr>
      </w:pPr>
      <w:r>
        <w:rPr>
          <w:rFonts w:ascii="Arial" w:cs="Arial" w:eastAsia="Arial" w:hAnsi="Arial"/>
          <w:sz w:val="22"/>
          <w:szCs w:val="22"/>
          <w:color w:val="auto"/>
        </w:rPr>
        <w:t>FORM 10-Q</w:t>
      </w:r>
    </w:p>
    <w:p>
      <w:pPr>
        <w:jc w:val="center"/>
        <w:ind w:right="-19"/>
        <w:spacing w:after="0"/>
        <w:rPr>
          <w:sz w:val="20"/>
          <w:szCs w:val="20"/>
          <w:color w:val="auto"/>
        </w:rPr>
      </w:pPr>
      <w:r>
        <w:rPr>
          <w:rFonts w:ascii="Arial" w:cs="Arial" w:eastAsia="Arial" w:hAnsi="Arial"/>
          <w:sz w:val="22"/>
          <w:szCs w:val="22"/>
          <w:color w:val="auto"/>
        </w:rPr>
        <w:t>QUARTER ENDED JUNE 30, 2004</w:t>
      </w:r>
    </w:p>
    <w:p>
      <w:pPr>
        <w:spacing w:after="0" w:line="188"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color w:val="auto"/>
        </w:rPr>
        <w:t>ITEM 3.</w:t>
      </w:r>
      <w:r>
        <w:rPr>
          <w:sz w:val="20"/>
          <w:szCs w:val="20"/>
          <w:color w:val="auto"/>
        </w:rPr>
        <w:tab/>
      </w:r>
      <w:r>
        <w:rPr>
          <w:rFonts w:ascii="Arial" w:cs="Arial" w:eastAsia="Arial" w:hAnsi="Arial"/>
          <w:sz w:val="21"/>
          <w:szCs w:val="21"/>
          <w:color w:val="auto"/>
        </w:rPr>
        <w:t>QUANTITATIVE AND QUALITATIVE DISCLOSURES ABOUT MARKET RISK</w:t>
      </w:r>
    </w:p>
    <w:p>
      <w:pPr>
        <w:spacing w:after="0" w:line="233" w:lineRule="exact"/>
        <w:rPr>
          <w:sz w:val="20"/>
          <w:szCs w:val="20"/>
          <w:color w:val="auto"/>
        </w:rPr>
      </w:pPr>
    </w:p>
    <w:p>
      <w:pPr>
        <w:ind w:left="460"/>
        <w:spacing w:after="0" w:line="251" w:lineRule="auto"/>
        <w:rPr>
          <w:sz w:val="20"/>
          <w:szCs w:val="20"/>
          <w:color w:val="auto"/>
        </w:rPr>
      </w:pPr>
      <w:r>
        <w:rPr>
          <w:rFonts w:ascii="Arial" w:cs="Arial" w:eastAsia="Arial" w:hAnsi="Arial"/>
          <w:sz w:val="22"/>
          <w:szCs w:val="22"/>
          <w:color w:val="auto"/>
        </w:rPr>
        <w:t>There have been no significant changes to the information required under this Item from what was disclosed in our 2003 Form 10-K.</w:t>
      </w:r>
    </w:p>
    <w:p>
      <w:pPr>
        <w:spacing w:after="0" w:line="200"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color w:val="auto"/>
        </w:rPr>
        <w:t>ITEM 4.</w:t>
      </w:r>
      <w:r>
        <w:rPr>
          <w:sz w:val="20"/>
          <w:szCs w:val="20"/>
          <w:color w:val="auto"/>
        </w:rPr>
        <w:tab/>
      </w:r>
      <w:r>
        <w:rPr>
          <w:rFonts w:ascii="Arial" w:cs="Arial" w:eastAsia="Arial" w:hAnsi="Arial"/>
          <w:sz w:val="19"/>
          <w:szCs w:val="19"/>
          <w:color w:val="auto"/>
        </w:rPr>
        <w:t>CONTROLS AND PROCEDURES</w:t>
      </w:r>
    </w:p>
    <w:p>
      <w:pPr>
        <w:spacing w:after="0" w:line="233" w:lineRule="exact"/>
        <w:rPr>
          <w:sz w:val="20"/>
          <w:szCs w:val="20"/>
          <w:color w:val="auto"/>
        </w:rPr>
      </w:pPr>
    </w:p>
    <w:p>
      <w:pPr>
        <w:ind w:left="460" w:right="40"/>
        <w:spacing w:after="0" w:line="282" w:lineRule="auto"/>
        <w:rPr>
          <w:sz w:val="20"/>
          <w:szCs w:val="20"/>
          <w:color w:val="auto"/>
        </w:rPr>
      </w:pPr>
      <w:r>
        <w:rPr>
          <w:rFonts w:ascii="Arial" w:cs="Arial" w:eastAsia="Arial" w:hAnsi="Arial"/>
          <w:sz w:val="19"/>
          <w:szCs w:val="19"/>
          <w:color w:val="auto"/>
        </w:rPr>
        <w:t>Our chief executive officer and our co-chief financial officers, after evaluating the effectiveness of our disclosure controls and procedures (as defined in the Securities Exchange Act of 1934 Rules 13a-15(e) or 15d-15(e)) as of the end of the period covered by this report, have concluded, based on the evaluation of these controls and procedures required by paragraph (b) of Exchange Act Rules 13a-15 or 15d-15, that our disclosure controls and procedures were effective to ensure that material information relating to us and our consolidated subsidiaries would be made known to them by others within those entities.</w:t>
      </w:r>
    </w:p>
    <w:p>
      <w:pPr>
        <w:spacing w:after="0" w:line="175" w:lineRule="exact"/>
        <w:rPr>
          <w:sz w:val="20"/>
          <w:szCs w:val="20"/>
          <w:color w:val="auto"/>
        </w:rPr>
      </w:pPr>
    </w:p>
    <w:p>
      <w:pPr>
        <w:ind w:left="460" w:right="100"/>
        <w:spacing w:after="0" w:line="238" w:lineRule="auto"/>
        <w:rPr>
          <w:sz w:val="20"/>
          <w:szCs w:val="20"/>
          <w:color w:val="auto"/>
        </w:rPr>
      </w:pPr>
      <w:r>
        <w:rPr>
          <w:rFonts w:ascii="Arial" w:cs="Arial" w:eastAsia="Arial" w:hAnsi="Arial"/>
          <w:sz w:val="22"/>
          <w:szCs w:val="22"/>
          <w:color w:val="auto"/>
        </w:rPr>
        <w:t>Changes in internal control over financial reporting. There were no changes in our internal control over financial reporting identified in connection with the evaluation required by paragraph (d) of Exchange Act Rules 13a-15 or 15d-15 that occurred during our last fiscal quarter that have materially affected, or are reasonably likely to materially affect, our internal control over financial reporting.</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PART II.  OTHER INFORMATION</w:t>
      </w:r>
    </w:p>
    <w:p>
      <w:pPr>
        <w:spacing w:after="0" w:line="233"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color w:val="auto"/>
        </w:rPr>
        <w:t>ITEM 1.</w:t>
      </w:r>
      <w:r>
        <w:rPr>
          <w:sz w:val="20"/>
          <w:szCs w:val="20"/>
          <w:color w:val="auto"/>
        </w:rPr>
        <w:tab/>
      </w:r>
      <w:r>
        <w:rPr>
          <w:rFonts w:ascii="Arial" w:cs="Arial" w:eastAsia="Arial" w:hAnsi="Arial"/>
          <w:sz w:val="19"/>
          <w:szCs w:val="19"/>
          <w:color w:val="auto"/>
        </w:rPr>
        <w:t>LEGAL PROCEEDINGS</w:t>
      </w:r>
    </w:p>
    <w:p>
      <w:pPr>
        <w:spacing w:after="0" w:line="200" w:lineRule="exact"/>
        <w:rPr>
          <w:sz w:val="20"/>
          <w:szCs w:val="20"/>
          <w:color w:val="auto"/>
        </w:rPr>
      </w:pPr>
    </w:p>
    <w:p>
      <w:pPr>
        <w:spacing w:after="0" w:line="249" w:lineRule="exact"/>
        <w:rPr>
          <w:sz w:val="20"/>
          <w:szCs w:val="20"/>
          <w:color w:val="auto"/>
        </w:rPr>
      </w:pPr>
    </w:p>
    <w:p>
      <w:pPr>
        <w:ind w:right="820" w:firstLine="432"/>
        <w:spacing w:after="0" w:line="251" w:lineRule="auto"/>
        <w:rPr>
          <w:rFonts w:ascii="Arial" w:cs="Arial" w:eastAsia="Arial" w:hAnsi="Arial"/>
          <w:sz w:val="22"/>
          <w:szCs w:val="22"/>
          <w:color w:val="auto"/>
        </w:rPr>
      </w:pPr>
      <w:r>
        <w:rPr>
          <w:rFonts w:ascii="Arial" w:cs="Arial" w:eastAsia="Arial" w:hAnsi="Arial"/>
          <w:sz w:val="22"/>
          <w:szCs w:val="22"/>
          <w:color w:val="auto"/>
        </w:rPr>
        <w:t xml:space="preserve">Refer to </w:t>
      </w:r>
      <w:hyperlink w:anchor="page14">
        <w:r>
          <w:rPr>
            <w:rFonts w:ascii="Arial" w:cs="Arial" w:eastAsia="Arial" w:hAnsi="Arial"/>
            <w:sz w:val="22"/>
            <w:szCs w:val="22"/>
            <w:u w:val="single" w:color="auto"/>
            <w:color w:val="0000EE"/>
          </w:rPr>
          <w:t>Note 9</w:t>
        </w:r>
        <w:r>
          <w:rPr>
            <w:rFonts w:ascii="Arial" w:cs="Arial" w:eastAsia="Arial" w:hAnsi="Arial"/>
            <w:sz w:val="22"/>
            <w:szCs w:val="22"/>
            <w:u w:val="single" w:color="auto"/>
            <w:color w:val="auto"/>
          </w:rPr>
          <w:t xml:space="preserve"> </w:t>
        </w:r>
      </w:hyperlink>
      <w:r>
        <w:rPr>
          <w:rFonts w:ascii="Arial" w:cs="Arial" w:eastAsia="Arial" w:hAnsi="Arial"/>
          <w:sz w:val="22"/>
          <w:szCs w:val="22"/>
          <w:color w:val="auto"/>
        </w:rPr>
        <w:t>to our condensed financial statements included in Item 1 of this Quarterly Report on Form 10-Q for a discussion of recent developments related to our legal proceedings.</w:t>
      </w:r>
    </w:p>
    <w:p>
      <w:pPr>
        <w:spacing w:after="0" w:line="173"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color w:val="auto"/>
        </w:rPr>
        <w:t>ITEM 2.</w:t>
      </w:r>
      <w:r>
        <w:rPr>
          <w:sz w:val="20"/>
          <w:szCs w:val="20"/>
          <w:color w:val="auto"/>
        </w:rPr>
        <w:tab/>
      </w:r>
      <w:r>
        <w:rPr>
          <w:rFonts w:ascii="Arial" w:cs="Arial" w:eastAsia="Arial" w:hAnsi="Arial"/>
          <w:sz w:val="19"/>
          <w:szCs w:val="19"/>
          <w:color w:val="auto"/>
        </w:rPr>
        <w:t>CHANGES IN SECURITIES, USE OF PROCEEDS AND ISSUER PURCHASES OF EQUITY SECURITIES</w:t>
      </w:r>
    </w:p>
    <w:p>
      <w:pPr>
        <w:spacing w:after="0" w:line="200" w:lineRule="exact"/>
        <w:rPr>
          <w:sz w:val="20"/>
          <w:szCs w:val="20"/>
          <w:color w:val="auto"/>
        </w:rPr>
      </w:pPr>
    </w:p>
    <w:p>
      <w:pPr>
        <w:spacing w:after="0" w:line="249" w:lineRule="exact"/>
        <w:rPr>
          <w:sz w:val="20"/>
          <w:szCs w:val="20"/>
          <w:color w:val="auto"/>
        </w:rPr>
      </w:pPr>
    </w:p>
    <w:p>
      <w:pPr>
        <w:ind w:left="420"/>
        <w:spacing w:after="0"/>
        <w:rPr>
          <w:sz w:val="20"/>
          <w:szCs w:val="20"/>
          <w:color w:val="auto"/>
        </w:rPr>
      </w:pPr>
      <w:r>
        <w:rPr>
          <w:rFonts w:ascii="Arial" w:cs="Arial" w:eastAsia="Arial" w:hAnsi="Arial"/>
          <w:sz w:val="21"/>
          <w:szCs w:val="21"/>
          <w:color w:val="auto"/>
        </w:rPr>
        <w:t>A summary of our repurchases during the quarter under the $1 billion repurchase program, authorized by our Board of</w:t>
      </w:r>
    </w:p>
    <w:p>
      <w:pPr>
        <w:spacing w:after="0" w:line="20" w:lineRule="exact"/>
        <w:rPr>
          <w:sz w:val="20"/>
          <w:szCs w:val="20"/>
          <w:color w:val="auto"/>
        </w:rPr>
      </w:pPr>
    </w:p>
    <w:p>
      <w:pPr>
        <w:spacing w:after="0"/>
        <w:rPr>
          <w:sz w:val="20"/>
          <w:szCs w:val="20"/>
          <w:color w:val="auto"/>
        </w:rPr>
      </w:pPr>
      <w:r>
        <w:rPr>
          <w:rFonts w:ascii="Arial" w:cs="Arial" w:eastAsia="Arial" w:hAnsi="Arial"/>
          <w:sz w:val="22"/>
          <w:szCs w:val="22"/>
          <w:color w:val="auto"/>
        </w:rPr>
        <w:t>Directors in December 2003, are as follows: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PURCHASES OF EQUITY SECURITIES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80" w:type="dxa"/>
            <w:vAlign w:val="bottom"/>
          </w:tcPr>
          <w:p>
            <w:pPr>
              <w:spacing w:after="0"/>
              <w:rPr>
                <w:sz w:val="21"/>
                <w:szCs w:val="21"/>
                <w:color w:val="auto"/>
              </w:rPr>
            </w:pPr>
          </w:p>
        </w:tc>
        <w:tc>
          <w:tcPr>
            <w:tcW w:w="3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820" w:type="dxa"/>
            <w:vAlign w:val="bottom"/>
            <w:gridSpan w:val="2"/>
          </w:tcPr>
          <w:p>
            <w:pPr>
              <w:jc w:val="center"/>
              <w:ind w:right="20"/>
              <w:spacing w:after="0"/>
              <w:rPr>
                <w:sz w:val="20"/>
                <w:szCs w:val="20"/>
                <w:color w:val="auto"/>
              </w:rPr>
            </w:pPr>
            <w:r>
              <w:rPr>
                <w:rFonts w:ascii="Arial" w:cs="Arial" w:eastAsia="Arial" w:hAnsi="Arial"/>
                <w:sz w:val="22"/>
                <w:szCs w:val="22"/>
                <w:color w:val="auto"/>
                <w:w w:val="91"/>
              </w:rPr>
              <w:t>Total Number of</w:t>
            </w:r>
          </w:p>
        </w:tc>
        <w:tc>
          <w:tcPr>
            <w:tcW w:w="24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3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820" w:type="dxa"/>
            <w:vAlign w:val="bottom"/>
            <w:gridSpan w:val="2"/>
          </w:tcPr>
          <w:p>
            <w:pPr>
              <w:jc w:val="center"/>
              <w:ind w:right="40"/>
              <w:spacing w:after="0" w:line="243" w:lineRule="exact"/>
              <w:rPr>
                <w:sz w:val="20"/>
                <w:szCs w:val="20"/>
                <w:color w:val="auto"/>
              </w:rPr>
            </w:pPr>
            <w:r>
              <w:rPr>
                <w:rFonts w:ascii="Arial" w:cs="Arial" w:eastAsia="Arial" w:hAnsi="Arial"/>
                <w:sz w:val="22"/>
                <w:szCs w:val="22"/>
                <w:color w:val="auto"/>
                <w:w w:val="83"/>
              </w:rPr>
              <w:t>Shares</w:t>
            </w:r>
          </w:p>
        </w:tc>
        <w:tc>
          <w:tcPr>
            <w:tcW w:w="2100" w:type="dxa"/>
            <w:vAlign w:val="bottom"/>
            <w:gridSpan w:val="3"/>
          </w:tcPr>
          <w:p>
            <w:pPr>
              <w:jc w:val="center"/>
              <w:spacing w:after="0" w:line="243" w:lineRule="exact"/>
              <w:rPr>
                <w:sz w:val="20"/>
                <w:szCs w:val="20"/>
                <w:color w:val="auto"/>
              </w:rPr>
            </w:pPr>
            <w:r>
              <w:rPr>
                <w:rFonts w:ascii="Arial" w:cs="Arial" w:eastAsia="Arial" w:hAnsi="Arial"/>
                <w:sz w:val="22"/>
                <w:szCs w:val="22"/>
                <w:color w:val="auto"/>
                <w:w w:val="93"/>
              </w:rPr>
              <w:t>Maximum Dollar Value</w:t>
            </w: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4840" w:type="dxa"/>
            <w:vAlign w:val="bottom"/>
            <w:gridSpan w:val="5"/>
          </w:tcPr>
          <w:p>
            <w:pPr>
              <w:jc w:val="center"/>
              <w:ind w:left="3132"/>
              <w:spacing w:after="0" w:line="243" w:lineRule="exact"/>
              <w:rPr>
                <w:sz w:val="20"/>
                <w:szCs w:val="20"/>
                <w:color w:val="auto"/>
              </w:rPr>
            </w:pPr>
            <w:r>
              <w:rPr>
                <w:rFonts w:ascii="Arial" w:cs="Arial" w:eastAsia="Arial" w:hAnsi="Arial"/>
                <w:sz w:val="22"/>
                <w:szCs w:val="22"/>
                <w:color w:val="auto"/>
                <w:w w:val="91"/>
              </w:rPr>
              <w:t>Total Number of</w:t>
            </w: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820" w:type="dxa"/>
            <w:vAlign w:val="bottom"/>
            <w:gridSpan w:val="2"/>
          </w:tcPr>
          <w:p>
            <w:pPr>
              <w:jc w:val="center"/>
              <w:ind w:right="20"/>
              <w:spacing w:after="0" w:line="243" w:lineRule="exact"/>
              <w:rPr>
                <w:sz w:val="20"/>
                <w:szCs w:val="20"/>
                <w:color w:val="auto"/>
              </w:rPr>
            </w:pPr>
            <w:r>
              <w:rPr>
                <w:rFonts w:ascii="Arial" w:cs="Arial" w:eastAsia="Arial" w:hAnsi="Arial"/>
                <w:sz w:val="22"/>
                <w:szCs w:val="22"/>
                <w:color w:val="auto"/>
                <w:w w:val="85"/>
              </w:rPr>
              <w:t>Purchased as Part of</w:t>
            </w:r>
          </w:p>
        </w:tc>
        <w:tc>
          <w:tcPr>
            <w:tcW w:w="2100" w:type="dxa"/>
            <w:vAlign w:val="bottom"/>
            <w:gridSpan w:val="3"/>
          </w:tcPr>
          <w:p>
            <w:pPr>
              <w:jc w:val="center"/>
              <w:spacing w:after="0" w:line="243" w:lineRule="exact"/>
              <w:rPr>
                <w:sz w:val="20"/>
                <w:szCs w:val="20"/>
                <w:color w:val="auto"/>
              </w:rPr>
            </w:pPr>
            <w:r>
              <w:rPr>
                <w:rFonts w:ascii="Arial" w:cs="Arial" w:eastAsia="Arial" w:hAnsi="Arial"/>
                <w:sz w:val="22"/>
                <w:szCs w:val="22"/>
                <w:color w:val="auto"/>
                <w:w w:val="87"/>
              </w:rPr>
              <w:t>Shares that May Yet</w:t>
            </w:r>
          </w:p>
        </w:tc>
        <w:tc>
          <w:tcPr>
            <w:tcW w:w="0" w:type="dxa"/>
            <w:vAlign w:val="bottom"/>
          </w:tcPr>
          <w:p>
            <w:pPr>
              <w:spacing w:after="0"/>
              <w:rPr>
                <w:sz w:val="1"/>
                <w:szCs w:val="1"/>
                <w:color w:val="auto"/>
              </w:rPr>
            </w:pPr>
          </w:p>
        </w:tc>
      </w:tr>
      <w:tr>
        <w:trPr>
          <w:trHeight w:val="224"/>
        </w:trPr>
        <w:tc>
          <w:tcPr>
            <w:tcW w:w="58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3"/>
          </w:tcPr>
          <w:p>
            <w:pPr>
              <w:jc w:val="center"/>
              <w:ind w:right="480"/>
              <w:spacing w:after="0" w:line="224" w:lineRule="exact"/>
              <w:rPr>
                <w:sz w:val="20"/>
                <w:szCs w:val="20"/>
                <w:color w:val="auto"/>
              </w:rPr>
            </w:pPr>
            <w:r>
              <w:rPr>
                <w:rFonts w:ascii="Arial" w:cs="Arial" w:eastAsia="Arial" w:hAnsi="Arial"/>
                <w:sz w:val="22"/>
                <w:szCs w:val="22"/>
                <w:color w:val="auto"/>
                <w:w w:val="83"/>
              </w:rPr>
              <w:t>Shares</w:t>
            </w:r>
          </w:p>
        </w:tc>
        <w:tc>
          <w:tcPr>
            <w:tcW w:w="1420" w:type="dxa"/>
            <w:vAlign w:val="bottom"/>
            <w:gridSpan w:val="3"/>
          </w:tcPr>
          <w:p>
            <w:pPr>
              <w:jc w:val="center"/>
              <w:ind w:right="40"/>
              <w:spacing w:after="0" w:line="224" w:lineRule="exact"/>
              <w:rPr>
                <w:sz w:val="20"/>
                <w:szCs w:val="20"/>
                <w:color w:val="auto"/>
              </w:rPr>
            </w:pPr>
            <w:r>
              <w:rPr>
                <w:rFonts w:ascii="Arial" w:cs="Arial" w:eastAsia="Arial" w:hAnsi="Arial"/>
                <w:sz w:val="22"/>
                <w:szCs w:val="22"/>
                <w:color w:val="auto"/>
                <w:w w:val="88"/>
              </w:rPr>
              <w:t>Average Price</w:t>
            </w:r>
          </w:p>
        </w:tc>
        <w:tc>
          <w:tcPr>
            <w:tcW w:w="1820" w:type="dxa"/>
            <w:vAlign w:val="bottom"/>
            <w:gridSpan w:val="2"/>
          </w:tcPr>
          <w:p>
            <w:pPr>
              <w:jc w:val="center"/>
              <w:ind w:right="20"/>
              <w:spacing w:after="0" w:line="224" w:lineRule="exact"/>
              <w:rPr>
                <w:sz w:val="20"/>
                <w:szCs w:val="20"/>
                <w:color w:val="auto"/>
              </w:rPr>
            </w:pPr>
            <w:r>
              <w:rPr>
                <w:rFonts w:ascii="Arial" w:cs="Arial" w:eastAsia="Arial" w:hAnsi="Arial"/>
                <w:sz w:val="22"/>
                <w:szCs w:val="22"/>
                <w:color w:val="auto"/>
                <w:w w:val="94"/>
              </w:rPr>
              <w:t>Publicly</w:t>
            </w:r>
          </w:p>
        </w:tc>
        <w:tc>
          <w:tcPr>
            <w:tcW w:w="240" w:type="dxa"/>
            <w:vAlign w:val="bottom"/>
          </w:tcPr>
          <w:p>
            <w:pPr>
              <w:spacing w:after="0"/>
              <w:rPr>
                <w:sz w:val="19"/>
                <w:szCs w:val="19"/>
                <w:color w:val="auto"/>
              </w:rPr>
            </w:pPr>
          </w:p>
        </w:tc>
        <w:tc>
          <w:tcPr>
            <w:tcW w:w="1860" w:type="dxa"/>
            <w:vAlign w:val="bottom"/>
            <w:gridSpan w:val="2"/>
          </w:tcPr>
          <w:p>
            <w:pPr>
              <w:jc w:val="center"/>
              <w:ind w:right="200"/>
              <w:spacing w:after="0" w:line="224" w:lineRule="exact"/>
              <w:rPr>
                <w:sz w:val="20"/>
                <w:szCs w:val="20"/>
                <w:color w:val="auto"/>
              </w:rPr>
            </w:pPr>
            <w:r>
              <w:rPr>
                <w:rFonts w:ascii="Arial" w:cs="Arial" w:eastAsia="Arial" w:hAnsi="Arial"/>
                <w:sz w:val="22"/>
                <w:szCs w:val="22"/>
                <w:color w:val="auto"/>
                <w:w w:val="85"/>
              </w:rPr>
              <w:t>Be Purchased</w:t>
            </w:r>
          </w:p>
        </w:tc>
        <w:tc>
          <w:tcPr>
            <w:tcW w:w="0" w:type="dxa"/>
            <w:vAlign w:val="bottom"/>
          </w:tcPr>
          <w:p>
            <w:pPr>
              <w:spacing w:after="0"/>
              <w:rPr>
                <w:sz w:val="1"/>
                <w:szCs w:val="1"/>
                <w:color w:val="auto"/>
              </w:rPr>
            </w:pPr>
          </w:p>
        </w:tc>
      </w:tr>
      <w:tr>
        <w:trPr>
          <w:trHeight w:val="20"/>
        </w:trPr>
        <w:tc>
          <w:tcPr>
            <w:tcW w:w="580" w:type="dxa"/>
            <w:vAlign w:val="bottom"/>
            <w:vMerge w:val="restart"/>
          </w:tcPr>
          <w:p>
            <w:pPr>
              <w:spacing w:after="0" w:line="243" w:lineRule="exact"/>
              <w:rPr>
                <w:sz w:val="20"/>
                <w:szCs w:val="20"/>
                <w:color w:val="auto"/>
              </w:rPr>
            </w:pPr>
            <w:r>
              <w:rPr>
                <w:rFonts w:ascii="Arial" w:cs="Arial" w:eastAsia="Arial" w:hAnsi="Arial"/>
                <w:sz w:val="22"/>
                <w:szCs w:val="22"/>
                <w:color w:val="auto"/>
                <w:w w:val="88"/>
              </w:rPr>
              <w:t>Period</w:t>
            </w:r>
          </w:p>
        </w:tc>
        <w:tc>
          <w:tcPr>
            <w:tcW w:w="3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gridSpan w:val="2"/>
            <w:vMerge w:val="restart"/>
          </w:tcPr>
          <w:p>
            <w:pPr>
              <w:jc w:val="center"/>
              <w:ind w:right="320"/>
              <w:spacing w:after="0" w:line="243" w:lineRule="exact"/>
              <w:rPr>
                <w:sz w:val="20"/>
                <w:szCs w:val="20"/>
                <w:color w:val="auto"/>
              </w:rPr>
            </w:pPr>
            <w:r>
              <w:rPr>
                <w:rFonts w:ascii="Arial" w:cs="Arial" w:eastAsia="Arial" w:hAnsi="Arial"/>
                <w:sz w:val="22"/>
                <w:szCs w:val="22"/>
                <w:color w:val="auto"/>
                <w:w w:val="84"/>
              </w:rPr>
              <w:t>per Share</w:t>
            </w:r>
          </w:p>
        </w:tc>
        <w:tc>
          <w:tcPr>
            <w:tcW w:w="1820" w:type="dxa"/>
            <w:vAlign w:val="bottom"/>
            <w:gridSpan w:val="2"/>
            <w:vMerge w:val="restart"/>
          </w:tcPr>
          <w:p>
            <w:pPr>
              <w:jc w:val="center"/>
              <w:ind w:right="20"/>
              <w:spacing w:after="0" w:line="243" w:lineRule="exact"/>
              <w:rPr>
                <w:sz w:val="20"/>
                <w:szCs w:val="20"/>
                <w:color w:val="auto"/>
              </w:rPr>
            </w:pPr>
            <w:r>
              <w:rPr>
                <w:rFonts w:ascii="Arial" w:cs="Arial" w:eastAsia="Arial" w:hAnsi="Arial"/>
                <w:sz w:val="22"/>
                <w:szCs w:val="22"/>
                <w:color w:val="auto"/>
                <w:w w:val="89"/>
              </w:rPr>
              <w:t>Announced Program</w:t>
            </w:r>
          </w:p>
        </w:tc>
        <w:tc>
          <w:tcPr>
            <w:tcW w:w="240" w:type="dxa"/>
            <w:vAlign w:val="bottom"/>
          </w:tcPr>
          <w:p>
            <w:pPr>
              <w:spacing w:after="0" w:line="20" w:lineRule="exact"/>
              <w:rPr>
                <w:sz w:val="1"/>
                <w:szCs w:val="1"/>
                <w:color w:val="auto"/>
              </w:rPr>
            </w:pPr>
          </w:p>
        </w:tc>
        <w:tc>
          <w:tcPr>
            <w:tcW w:w="1860" w:type="dxa"/>
            <w:vAlign w:val="bottom"/>
            <w:gridSpan w:val="2"/>
            <w:vMerge w:val="restart"/>
          </w:tcPr>
          <w:p>
            <w:pPr>
              <w:jc w:val="center"/>
              <w:ind w:right="200"/>
              <w:spacing w:after="0" w:line="243" w:lineRule="exact"/>
              <w:rPr>
                <w:sz w:val="20"/>
                <w:szCs w:val="20"/>
                <w:color w:val="auto"/>
              </w:rPr>
            </w:pPr>
            <w:r>
              <w:rPr>
                <w:rFonts w:ascii="Arial" w:cs="Arial" w:eastAsia="Arial" w:hAnsi="Arial"/>
                <w:sz w:val="22"/>
                <w:szCs w:val="22"/>
                <w:color w:val="auto"/>
                <w:w w:val="88"/>
              </w:rPr>
              <w:t>Under the Program</w:t>
            </w:r>
          </w:p>
        </w:tc>
        <w:tc>
          <w:tcPr>
            <w:tcW w:w="0" w:type="dxa"/>
            <w:vAlign w:val="bottom"/>
          </w:tcPr>
          <w:p>
            <w:pPr>
              <w:spacing w:after="0" w:line="20" w:lineRule="exact"/>
              <w:rPr>
                <w:sz w:val="1"/>
                <w:szCs w:val="1"/>
                <w:color w:val="auto"/>
              </w:rPr>
            </w:pPr>
          </w:p>
        </w:tc>
      </w:tr>
      <w:tr>
        <w:trPr>
          <w:trHeight w:val="223"/>
        </w:trPr>
        <w:tc>
          <w:tcPr>
            <w:tcW w:w="580" w:type="dxa"/>
            <w:vAlign w:val="bottom"/>
            <w:vMerge w:val="continue"/>
          </w:tcPr>
          <w:p>
            <w:pPr>
              <w:spacing w:after="0"/>
              <w:rPr>
                <w:sz w:val="19"/>
                <w:szCs w:val="19"/>
                <w:color w:val="auto"/>
              </w:rPr>
            </w:pPr>
          </w:p>
        </w:tc>
        <w:tc>
          <w:tcPr>
            <w:tcW w:w="3620" w:type="dxa"/>
            <w:vAlign w:val="bottom"/>
          </w:tcPr>
          <w:p>
            <w:pPr>
              <w:spacing w:after="0"/>
              <w:rPr>
                <w:sz w:val="19"/>
                <w:szCs w:val="19"/>
                <w:color w:val="auto"/>
              </w:rPr>
            </w:pPr>
          </w:p>
        </w:tc>
        <w:tc>
          <w:tcPr>
            <w:tcW w:w="900" w:type="dxa"/>
            <w:vAlign w:val="bottom"/>
            <w:gridSpan w:val="3"/>
          </w:tcPr>
          <w:p>
            <w:pPr>
              <w:jc w:val="center"/>
              <w:spacing w:after="0" w:line="223" w:lineRule="exact"/>
              <w:rPr>
                <w:sz w:val="20"/>
                <w:szCs w:val="20"/>
                <w:color w:val="auto"/>
              </w:rPr>
            </w:pPr>
            <w:r>
              <w:rPr>
                <w:rFonts w:ascii="Arial" w:cs="Arial" w:eastAsia="Arial" w:hAnsi="Arial"/>
                <w:sz w:val="22"/>
                <w:szCs w:val="22"/>
                <w:color w:val="auto"/>
                <w:w w:val="85"/>
              </w:rPr>
              <w:t>Purchased</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vMerge w:val="continue"/>
          </w:tcPr>
          <w:p>
            <w:pPr>
              <w:spacing w:after="0"/>
              <w:rPr>
                <w:sz w:val="19"/>
                <w:szCs w:val="19"/>
                <w:color w:val="auto"/>
              </w:rPr>
            </w:pPr>
          </w:p>
        </w:tc>
        <w:tc>
          <w:tcPr>
            <w:tcW w:w="182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18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shd w:val="clear" w:color="auto" w:fill="000000"/>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00"/>
          </w:cols>
          <w:pgMar w:left="240" w:top="118" w:right="259" w:bottom="0" w:gutter="0" w:footer="0" w:header="0"/>
        </w:sectPr>
      </w:pPr>
    </w:p>
    <w:bookmarkStart w:id="33" w:name="page34"/>
    <w:bookmarkEnd w:id="3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900" w:type="dxa"/>
            <w:vAlign w:val="bottom"/>
          </w:tcPr>
          <w:p>
            <w:pPr>
              <w:spacing w:after="0"/>
              <w:rPr>
                <w:sz w:val="20"/>
                <w:szCs w:val="20"/>
                <w:color w:val="auto"/>
              </w:rPr>
            </w:pPr>
            <w:r>
              <w:rPr>
                <w:rFonts w:ascii="Arial" w:cs="Arial" w:eastAsia="Arial" w:hAnsi="Arial"/>
                <w:sz w:val="22"/>
                <w:szCs w:val="22"/>
                <w:color w:val="auto"/>
              </w:rPr>
              <w:t>April 1-30, 2004</w:t>
            </w:r>
          </w:p>
        </w:tc>
        <w:tc>
          <w:tcPr>
            <w:tcW w:w="1080" w:type="dxa"/>
            <w:vAlign w:val="bottom"/>
          </w:tcPr>
          <w:p>
            <w:pPr>
              <w:jc w:val="right"/>
              <w:spacing w:after="0"/>
              <w:rPr>
                <w:sz w:val="20"/>
                <w:szCs w:val="20"/>
                <w:color w:val="auto"/>
              </w:rPr>
            </w:pPr>
            <w:r>
              <w:rPr>
                <w:rFonts w:ascii="Arial" w:cs="Arial" w:eastAsia="Arial" w:hAnsi="Arial"/>
                <w:sz w:val="22"/>
                <w:szCs w:val="22"/>
                <w:color w:val="auto"/>
              </w:rPr>
              <w:t>225,081</w:t>
            </w:r>
          </w:p>
        </w:tc>
        <w:tc>
          <w:tcPr>
            <w:tcW w:w="1840" w:type="dxa"/>
            <w:vAlign w:val="bottom"/>
            <w:gridSpan w:val="3"/>
          </w:tcPr>
          <w:p>
            <w:pPr>
              <w:jc w:val="right"/>
              <w:ind w:right="440"/>
              <w:spacing w:after="0"/>
              <w:rPr>
                <w:sz w:val="20"/>
                <w:szCs w:val="20"/>
                <w:color w:val="auto"/>
              </w:rPr>
            </w:pPr>
            <w:r>
              <w:rPr>
                <w:rFonts w:ascii="Arial" w:cs="Arial" w:eastAsia="Arial" w:hAnsi="Arial"/>
                <w:sz w:val="22"/>
                <w:szCs w:val="22"/>
                <w:color w:val="auto"/>
              </w:rPr>
              <w:t>$29.61</w:t>
            </w:r>
          </w:p>
        </w:tc>
        <w:tc>
          <w:tcPr>
            <w:tcW w:w="1400" w:type="dxa"/>
            <w:vAlign w:val="bottom"/>
          </w:tcPr>
          <w:p>
            <w:pPr>
              <w:jc w:val="right"/>
              <w:spacing w:after="0"/>
              <w:rPr>
                <w:sz w:val="20"/>
                <w:szCs w:val="20"/>
                <w:color w:val="auto"/>
              </w:rPr>
            </w:pPr>
            <w:r>
              <w:rPr>
                <w:rFonts w:ascii="Arial" w:cs="Arial" w:eastAsia="Arial" w:hAnsi="Arial"/>
                <w:sz w:val="22"/>
                <w:szCs w:val="22"/>
                <w:color w:val="auto"/>
              </w:rPr>
              <w:t>225,000</w:t>
            </w:r>
          </w:p>
        </w:tc>
        <w:tc>
          <w:tcPr>
            <w:tcW w:w="2380" w:type="dxa"/>
            <w:vAlign w:val="bottom"/>
            <w:gridSpan w:val="2"/>
          </w:tcPr>
          <w:p>
            <w:pPr>
              <w:jc w:val="right"/>
              <w:spacing w:after="0"/>
              <w:rPr>
                <w:sz w:val="20"/>
                <w:szCs w:val="20"/>
                <w:color w:val="auto"/>
              </w:rPr>
            </w:pPr>
            <w:r>
              <w:rPr>
                <w:rFonts w:ascii="Arial" w:cs="Arial" w:eastAsia="Arial" w:hAnsi="Arial"/>
                <w:sz w:val="22"/>
                <w:szCs w:val="22"/>
                <w:color w:val="auto"/>
              </w:rPr>
              <w:t>$943,336,937</w:t>
            </w:r>
          </w:p>
        </w:tc>
      </w:tr>
      <w:tr>
        <w:trPr>
          <w:trHeight w:val="243"/>
        </w:trPr>
        <w:tc>
          <w:tcPr>
            <w:tcW w:w="3900" w:type="dxa"/>
            <w:vAlign w:val="bottom"/>
          </w:tcPr>
          <w:p>
            <w:pPr>
              <w:spacing w:after="0" w:line="243" w:lineRule="exact"/>
              <w:rPr>
                <w:sz w:val="20"/>
                <w:szCs w:val="20"/>
                <w:color w:val="auto"/>
              </w:rPr>
            </w:pPr>
            <w:r>
              <w:rPr>
                <w:rFonts w:ascii="Arial" w:cs="Arial" w:eastAsia="Arial" w:hAnsi="Arial"/>
                <w:sz w:val="22"/>
                <w:szCs w:val="22"/>
                <w:color w:val="auto"/>
              </w:rPr>
              <w:t>May 1-31, 2004</w:t>
            </w:r>
          </w:p>
        </w:tc>
        <w:tc>
          <w:tcPr>
            <w:tcW w:w="1080" w:type="dxa"/>
            <w:vAlign w:val="bottom"/>
          </w:tcPr>
          <w:p>
            <w:pPr>
              <w:jc w:val="right"/>
              <w:spacing w:after="0" w:line="243" w:lineRule="exact"/>
              <w:rPr>
                <w:sz w:val="20"/>
                <w:szCs w:val="20"/>
                <w:color w:val="auto"/>
              </w:rPr>
            </w:pPr>
            <w:r>
              <w:rPr>
                <w:rFonts w:ascii="Arial" w:cs="Arial" w:eastAsia="Arial" w:hAnsi="Arial"/>
                <w:sz w:val="22"/>
                <w:szCs w:val="22"/>
                <w:color w:val="auto"/>
              </w:rPr>
              <w:t>5,421,558</w:t>
            </w:r>
          </w:p>
        </w:tc>
        <w:tc>
          <w:tcPr>
            <w:tcW w:w="1840" w:type="dxa"/>
            <w:vAlign w:val="bottom"/>
            <w:gridSpan w:val="3"/>
          </w:tcPr>
          <w:p>
            <w:pPr>
              <w:jc w:val="right"/>
              <w:ind w:right="440"/>
              <w:spacing w:after="0" w:line="243" w:lineRule="exact"/>
              <w:rPr>
                <w:sz w:val="20"/>
                <w:szCs w:val="20"/>
                <w:color w:val="auto"/>
              </w:rPr>
            </w:pPr>
            <w:r>
              <w:rPr>
                <w:rFonts w:ascii="Arial" w:cs="Arial" w:eastAsia="Arial" w:hAnsi="Arial"/>
                <w:sz w:val="22"/>
                <w:szCs w:val="22"/>
                <w:color w:val="auto"/>
              </w:rPr>
              <w:t>$27.77</w:t>
            </w:r>
          </w:p>
        </w:tc>
        <w:tc>
          <w:tcPr>
            <w:tcW w:w="1400" w:type="dxa"/>
            <w:vAlign w:val="bottom"/>
          </w:tcPr>
          <w:p>
            <w:pPr>
              <w:jc w:val="right"/>
              <w:spacing w:after="0" w:line="243" w:lineRule="exact"/>
              <w:rPr>
                <w:sz w:val="20"/>
                <w:szCs w:val="20"/>
                <w:color w:val="auto"/>
              </w:rPr>
            </w:pPr>
            <w:r>
              <w:rPr>
                <w:rFonts w:ascii="Arial" w:cs="Arial" w:eastAsia="Arial" w:hAnsi="Arial"/>
                <w:sz w:val="22"/>
                <w:szCs w:val="22"/>
                <w:color w:val="auto"/>
              </w:rPr>
              <w:t>5,102,435</w:t>
            </w:r>
          </w:p>
        </w:tc>
        <w:tc>
          <w:tcPr>
            <w:tcW w:w="238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$801,614,102</w:t>
            </w:r>
          </w:p>
        </w:tc>
      </w:tr>
      <w:tr>
        <w:trPr>
          <w:trHeight w:val="275"/>
        </w:trPr>
        <w:tc>
          <w:tcPr>
            <w:tcW w:w="3900" w:type="dxa"/>
            <w:vAlign w:val="bottom"/>
          </w:tcPr>
          <w:p>
            <w:pPr>
              <w:spacing w:after="0"/>
              <w:rPr>
                <w:sz w:val="20"/>
                <w:szCs w:val="20"/>
                <w:color w:val="auto"/>
              </w:rPr>
            </w:pPr>
            <w:r>
              <w:rPr>
                <w:rFonts w:ascii="Arial" w:cs="Arial" w:eastAsia="Arial" w:hAnsi="Arial"/>
                <w:sz w:val="22"/>
                <w:szCs w:val="22"/>
                <w:color w:val="auto"/>
              </w:rPr>
              <w:t>June 1-30, 2004</w:t>
            </w:r>
          </w:p>
        </w:tc>
        <w:tc>
          <w:tcPr>
            <w:tcW w:w="1080" w:type="dxa"/>
            <w:vAlign w:val="bottom"/>
          </w:tcPr>
          <w:p>
            <w:pPr>
              <w:jc w:val="right"/>
              <w:spacing w:after="0"/>
              <w:rPr>
                <w:sz w:val="20"/>
                <w:szCs w:val="20"/>
                <w:color w:val="auto"/>
              </w:rPr>
            </w:pPr>
            <w:r>
              <w:rPr>
                <w:rFonts w:ascii="Arial" w:cs="Arial" w:eastAsia="Arial" w:hAnsi="Arial"/>
                <w:sz w:val="22"/>
                <w:szCs w:val="22"/>
                <w:color w:val="auto"/>
                <w:w w:val="96"/>
              </w:rPr>
              <w:t>12,901,463</w:t>
            </w:r>
          </w:p>
        </w:tc>
        <w:tc>
          <w:tcPr>
            <w:tcW w:w="1840" w:type="dxa"/>
            <w:vAlign w:val="bottom"/>
            <w:gridSpan w:val="3"/>
          </w:tcPr>
          <w:p>
            <w:pPr>
              <w:jc w:val="right"/>
              <w:ind w:right="440"/>
              <w:spacing w:after="0"/>
              <w:rPr>
                <w:sz w:val="20"/>
                <w:szCs w:val="20"/>
                <w:color w:val="auto"/>
              </w:rPr>
            </w:pPr>
            <w:r>
              <w:rPr>
                <w:rFonts w:ascii="Arial" w:cs="Arial" w:eastAsia="Arial" w:hAnsi="Arial"/>
                <w:sz w:val="22"/>
                <w:szCs w:val="22"/>
                <w:color w:val="auto"/>
              </w:rPr>
              <w:t>$28.23</w:t>
            </w:r>
          </w:p>
        </w:tc>
        <w:tc>
          <w:tcPr>
            <w:tcW w:w="1400" w:type="dxa"/>
            <w:vAlign w:val="bottom"/>
          </w:tcPr>
          <w:p>
            <w:pPr>
              <w:jc w:val="right"/>
              <w:spacing w:after="0"/>
              <w:rPr>
                <w:sz w:val="20"/>
                <w:szCs w:val="20"/>
                <w:color w:val="auto"/>
              </w:rPr>
            </w:pPr>
            <w:r>
              <w:rPr>
                <w:rFonts w:ascii="Arial" w:cs="Arial" w:eastAsia="Arial" w:hAnsi="Arial"/>
                <w:sz w:val="22"/>
                <w:szCs w:val="22"/>
                <w:color w:val="auto"/>
              </w:rPr>
              <w:t>12,445,100</w:t>
            </w:r>
          </w:p>
        </w:tc>
        <w:tc>
          <w:tcPr>
            <w:tcW w:w="2380" w:type="dxa"/>
            <w:vAlign w:val="bottom"/>
            <w:gridSpan w:val="2"/>
          </w:tcPr>
          <w:p>
            <w:pPr>
              <w:jc w:val="right"/>
              <w:spacing w:after="0"/>
              <w:rPr>
                <w:sz w:val="20"/>
                <w:szCs w:val="20"/>
                <w:color w:val="auto"/>
              </w:rPr>
            </w:pPr>
            <w:r>
              <w:rPr>
                <w:rFonts w:ascii="Arial" w:cs="Arial" w:eastAsia="Arial" w:hAnsi="Arial"/>
                <w:sz w:val="22"/>
                <w:szCs w:val="22"/>
                <w:color w:val="auto"/>
              </w:rPr>
              <w:t>$450,587,186</w:t>
            </w:r>
          </w:p>
        </w:tc>
      </w:tr>
      <w:tr>
        <w:trPr>
          <w:trHeight w:val="98"/>
        </w:trPr>
        <w:tc>
          <w:tcPr>
            <w:tcW w:w="3900" w:type="dxa"/>
            <w:vAlign w:val="bottom"/>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140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1940" w:type="dxa"/>
            <w:vAlign w:val="bottom"/>
            <w:tcBorders>
              <w:bottom w:val="single" w:sz="8" w:color="808080"/>
            </w:tcBorders>
          </w:tcPr>
          <w:p>
            <w:pPr>
              <w:spacing w:after="0"/>
              <w:rPr>
                <w:sz w:val="8"/>
                <w:szCs w:val="8"/>
                <w:color w:val="auto"/>
              </w:rPr>
            </w:pPr>
          </w:p>
        </w:tc>
      </w:tr>
      <w:tr>
        <w:trPr>
          <w:trHeight w:val="355"/>
        </w:trPr>
        <w:tc>
          <w:tcPr>
            <w:tcW w:w="3900" w:type="dxa"/>
            <w:vAlign w:val="bottom"/>
          </w:tcPr>
          <w:p>
            <w:pPr>
              <w:spacing w:after="0"/>
              <w:rPr>
                <w:sz w:val="20"/>
                <w:szCs w:val="20"/>
                <w:color w:val="auto"/>
              </w:rPr>
            </w:pPr>
            <w:r>
              <w:rPr>
                <w:rFonts w:ascii="Arial" w:cs="Arial" w:eastAsia="Arial" w:hAnsi="Arial"/>
                <w:sz w:val="22"/>
                <w:szCs w:val="22"/>
                <w:color w:val="auto"/>
              </w:rPr>
              <w:t>Total</w:t>
            </w:r>
          </w:p>
        </w:tc>
        <w:tc>
          <w:tcPr>
            <w:tcW w:w="1080" w:type="dxa"/>
            <w:vAlign w:val="bottom"/>
          </w:tcPr>
          <w:p>
            <w:pPr>
              <w:jc w:val="right"/>
              <w:spacing w:after="0"/>
              <w:rPr>
                <w:sz w:val="20"/>
                <w:szCs w:val="20"/>
                <w:color w:val="auto"/>
              </w:rPr>
            </w:pPr>
            <w:r>
              <w:rPr>
                <w:rFonts w:ascii="Arial" w:cs="Arial" w:eastAsia="Arial" w:hAnsi="Arial"/>
                <w:sz w:val="22"/>
                <w:szCs w:val="22"/>
                <w:color w:val="auto"/>
                <w:w w:val="96"/>
              </w:rPr>
              <w:t>18,548,102</w:t>
            </w:r>
          </w:p>
        </w:tc>
        <w:tc>
          <w:tcPr>
            <w:tcW w:w="1840" w:type="dxa"/>
            <w:vAlign w:val="bottom"/>
            <w:gridSpan w:val="3"/>
          </w:tcPr>
          <w:p>
            <w:pPr>
              <w:jc w:val="right"/>
              <w:ind w:right="440"/>
              <w:spacing w:after="0"/>
              <w:rPr>
                <w:sz w:val="20"/>
                <w:szCs w:val="20"/>
                <w:color w:val="auto"/>
              </w:rPr>
            </w:pPr>
            <w:r>
              <w:rPr>
                <w:rFonts w:ascii="Arial" w:cs="Arial" w:eastAsia="Arial" w:hAnsi="Arial"/>
                <w:sz w:val="22"/>
                <w:szCs w:val="22"/>
                <w:color w:val="auto"/>
              </w:rPr>
              <w:t>$28.11</w:t>
            </w:r>
          </w:p>
        </w:tc>
        <w:tc>
          <w:tcPr>
            <w:tcW w:w="1400" w:type="dxa"/>
            <w:vAlign w:val="bottom"/>
          </w:tcPr>
          <w:p>
            <w:pPr>
              <w:jc w:val="right"/>
              <w:spacing w:after="0"/>
              <w:rPr>
                <w:sz w:val="20"/>
                <w:szCs w:val="20"/>
                <w:color w:val="auto"/>
              </w:rPr>
            </w:pPr>
            <w:r>
              <w:rPr>
                <w:rFonts w:ascii="Arial" w:cs="Arial" w:eastAsia="Arial" w:hAnsi="Arial"/>
                <w:sz w:val="22"/>
                <w:szCs w:val="22"/>
                <w:color w:val="auto"/>
              </w:rPr>
              <w:t>17,772,535</w:t>
            </w:r>
          </w:p>
        </w:tc>
        <w:tc>
          <w:tcPr>
            <w:tcW w:w="2380" w:type="dxa"/>
            <w:vAlign w:val="bottom"/>
            <w:gridSpan w:val="2"/>
          </w:tcPr>
          <w:p>
            <w:pPr>
              <w:jc w:val="right"/>
              <w:spacing w:after="0"/>
              <w:rPr>
                <w:sz w:val="20"/>
                <w:szCs w:val="20"/>
                <w:color w:val="auto"/>
              </w:rPr>
            </w:pPr>
            <w:r>
              <w:rPr>
                <w:rFonts w:ascii="Arial" w:cs="Arial" w:eastAsia="Arial" w:hAnsi="Arial"/>
                <w:sz w:val="22"/>
                <w:szCs w:val="22"/>
                <w:color w:val="auto"/>
              </w:rPr>
              <w:t>$450,587,186</w:t>
            </w:r>
          </w:p>
        </w:tc>
      </w:tr>
      <w:tr>
        <w:trPr>
          <w:trHeight w:val="108"/>
        </w:trPr>
        <w:tc>
          <w:tcPr>
            <w:tcW w:w="3900" w:type="dxa"/>
            <w:vAlign w:val="bottom"/>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140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194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3150235</wp:posOffset>
            </wp:positionH>
            <wp:positionV relativeFrom="paragraph">
              <wp:posOffset>-14605</wp:posOffset>
            </wp:positionV>
            <wp:extent cx="1270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2472690</wp:posOffset>
            </wp:positionH>
            <wp:positionV relativeFrom="paragraph">
              <wp:posOffset>-14605</wp:posOffset>
            </wp:positionV>
            <wp:extent cx="1270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-14605</wp:posOffset>
            </wp:positionV>
            <wp:extent cx="1270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3433445</wp:posOffset>
            </wp:positionH>
            <wp:positionV relativeFrom="paragraph">
              <wp:posOffset>-14605</wp:posOffset>
            </wp:positionV>
            <wp:extent cx="1270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-14605</wp:posOffset>
            </wp:positionV>
            <wp:extent cx="1270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4324985</wp:posOffset>
            </wp:positionH>
            <wp:positionV relativeFrom="paragraph">
              <wp:posOffset>-14605</wp:posOffset>
            </wp:positionV>
            <wp:extent cx="1270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-14605</wp:posOffset>
            </wp:positionV>
            <wp:extent cx="1270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-14605</wp:posOffset>
            </wp:positionV>
            <wp:extent cx="1270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79" w:lineRule="exact"/>
        <w:rPr>
          <w:sz w:val="20"/>
          <w:szCs w:val="20"/>
          <w:color w:val="auto"/>
        </w:rPr>
      </w:pPr>
    </w:p>
    <w:p>
      <w:pPr>
        <w:jc w:val="both"/>
        <w:ind w:right="520" w:firstLine="428"/>
        <w:spacing w:after="0" w:line="258" w:lineRule="auto"/>
        <w:rPr>
          <w:sz w:val="20"/>
          <w:szCs w:val="20"/>
          <w:color w:val="auto"/>
        </w:rPr>
      </w:pPr>
      <w:r>
        <w:rPr>
          <w:rFonts w:ascii="Arial" w:cs="Arial" w:eastAsia="Arial" w:hAnsi="Arial"/>
          <w:sz w:val="21"/>
          <w:szCs w:val="21"/>
          <w:color w:val="auto"/>
        </w:rPr>
        <w:t>The total number of shares purchased includes approximately 776,000 shares received in the administration of employee equity compensation plans. On July 20, 2004, our Board of Directors authorized a $1 billion increase to our stock repurchase program. The table above does not reflect this additional authorization.</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63765"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COMCAST CORPORATION AND SUBSIDIARIES</w:t>
      </w:r>
    </w:p>
    <w:p>
      <w:pPr>
        <w:jc w:val="center"/>
        <w:spacing w:after="0" w:line="238" w:lineRule="auto"/>
        <w:rPr>
          <w:sz w:val="20"/>
          <w:szCs w:val="20"/>
          <w:color w:val="auto"/>
        </w:rPr>
      </w:pPr>
      <w:r>
        <w:rPr>
          <w:rFonts w:ascii="Arial" w:cs="Arial" w:eastAsia="Arial" w:hAnsi="Arial"/>
          <w:sz w:val="22"/>
          <w:szCs w:val="22"/>
          <w:color w:val="auto"/>
        </w:rPr>
        <w:t>FORM 10-Q</w:t>
      </w:r>
    </w:p>
    <w:p>
      <w:pPr>
        <w:jc w:val="center"/>
        <w:ind w:right="-59"/>
        <w:spacing w:after="0"/>
        <w:rPr>
          <w:sz w:val="20"/>
          <w:szCs w:val="20"/>
          <w:color w:val="auto"/>
        </w:rPr>
      </w:pPr>
      <w:r>
        <w:rPr>
          <w:rFonts w:ascii="Arial" w:cs="Arial" w:eastAsia="Arial" w:hAnsi="Arial"/>
          <w:sz w:val="22"/>
          <w:szCs w:val="22"/>
          <w:color w:val="auto"/>
        </w:rPr>
        <w:t>QUARTER ENDED JUNE 30, 2004</w:t>
      </w:r>
    </w:p>
    <w:p>
      <w:pPr>
        <w:spacing w:after="0" w:line="188"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color w:val="auto"/>
        </w:rPr>
        <w:t>ITEM 4.</w:t>
      </w:r>
      <w:r>
        <w:rPr>
          <w:sz w:val="20"/>
          <w:szCs w:val="20"/>
          <w:color w:val="auto"/>
        </w:rPr>
        <w:tab/>
      </w:r>
      <w:r>
        <w:rPr>
          <w:rFonts w:ascii="Arial" w:cs="Arial" w:eastAsia="Arial" w:hAnsi="Arial"/>
          <w:sz w:val="19"/>
          <w:szCs w:val="19"/>
          <w:color w:val="auto"/>
        </w:rPr>
        <w:t>SUBMISSION OF MATTERS TO A VOTE OF SECURITY HOLDERS</w:t>
      </w:r>
    </w:p>
    <w:p>
      <w:pPr>
        <w:spacing w:after="0" w:line="233" w:lineRule="exact"/>
        <w:rPr>
          <w:sz w:val="20"/>
          <w:szCs w:val="20"/>
          <w:color w:val="auto"/>
        </w:rPr>
      </w:pPr>
    </w:p>
    <w:p>
      <w:pPr>
        <w:ind w:left="460"/>
        <w:spacing w:after="0" w:line="238" w:lineRule="auto"/>
        <w:rPr>
          <w:sz w:val="20"/>
          <w:szCs w:val="20"/>
          <w:color w:val="auto"/>
        </w:rPr>
      </w:pPr>
      <w:r>
        <w:rPr>
          <w:rFonts w:ascii="Arial" w:cs="Arial" w:eastAsia="Arial" w:hAnsi="Arial"/>
          <w:sz w:val="22"/>
          <w:szCs w:val="22"/>
          <w:color w:val="auto"/>
        </w:rPr>
        <w:t>At our Annual Meeting of Shareholders on May 26, 2004, the shareholders approved, or did not approve, the following proposals, in each case consistent with the unanimous recommendations of our Board of Directors (numbers represent the aggregate votes cast, with holders of our Class A Common Stock entitled to 0.2086 votes per share and holders of our Class B Common Stock entitled to 15 votes per share):</w:t>
      </w:r>
    </w:p>
    <w:p>
      <w:pPr>
        <w:spacing w:after="0" w:line="212" w:lineRule="exact"/>
        <w:rPr>
          <w:sz w:val="20"/>
          <w:szCs w:val="20"/>
          <w:color w:val="auto"/>
        </w:rPr>
      </w:pPr>
    </w:p>
    <w:p>
      <w:pPr>
        <w:ind w:left="460"/>
        <w:spacing w:after="0"/>
        <w:rPr>
          <w:sz w:val="20"/>
          <w:szCs w:val="20"/>
          <w:color w:val="auto"/>
        </w:rPr>
      </w:pPr>
      <w:r>
        <w:rPr>
          <w:rFonts w:ascii="Arial" w:cs="Arial" w:eastAsia="Arial" w:hAnsi="Arial"/>
          <w:sz w:val="22"/>
          <w:szCs w:val="22"/>
          <w:color w:val="auto"/>
        </w:rPr>
        <w:t>To elect the following nominees to serve as our directors for one-year terms.</w:t>
      </w:r>
    </w:p>
    <w:p>
      <w:pPr>
        <w:spacing w:after="0" w:line="204" w:lineRule="exact"/>
        <w:rPr>
          <w:sz w:val="20"/>
          <w:szCs w:val="20"/>
          <w:color w:val="auto"/>
        </w:rPr>
      </w:pPr>
    </w:p>
    <w:tbl>
      <w:tblPr>
        <w:tblLayout w:type="fixed"/>
        <w:tblInd w:w="540" w:type="dxa"/>
        <w:tblCellMar>
          <w:top w:w="0" w:type="dxa"/>
          <w:left w:w="0" w:type="dxa"/>
          <w:bottom w:w="0" w:type="dxa"/>
          <w:right w:w="0" w:type="dxa"/>
        </w:tblCellMar>
      </w:tblPr>
      <w:tr>
        <w:trPr>
          <w:trHeight w:val="253"/>
        </w:trPr>
        <w:tc>
          <w:tcPr>
            <w:tcW w:w="440" w:type="dxa"/>
            <w:vAlign w:val="bottom"/>
          </w:tcPr>
          <w:p>
            <w:pPr>
              <w:spacing w:after="0"/>
              <w:rPr>
                <w:sz w:val="21"/>
                <w:szCs w:val="21"/>
                <w:color w:val="auto"/>
              </w:rPr>
            </w:pPr>
          </w:p>
        </w:tc>
        <w:tc>
          <w:tcPr>
            <w:tcW w:w="2000" w:type="dxa"/>
            <w:vAlign w:val="bottom"/>
            <w:gridSpan w:val="2"/>
          </w:tcPr>
          <w:p>
            <w:pPr>
              <w:spacing w:after="0"/>
              <w:rPr>
                <w:sz w:val="20"/>
                <w:szCs w:val="20"/>
                <w:color w:val="auto"/>
              </w:rPr>
            </w:pPr>
            <w:r>
              <w:rPr>
                <w:rFonts w:ascii="Arial" w:cs="Arial" w:eastAsia="Arial" w:hAnsi="Arial"/>
                <w:sz w:val="22"/>
                <w:szCs w:val="22"/>
                <w:color w:val="auto"/>
              </w:rPr>
              <w:t>Director</w:t>
            </w:r>
          </w:p>
        </w:tc>
        <w:tc>
          <w:tcPr>
            <w:tcW w:w="2420" w:type="dxa"/>
            <w:vAlign w:val="bottom"/>
            <w:gridSpan w:val="3"/>
          </w:tcPr>
          <w:p>
            <w:pPr>
              <w:jc w:val="center"/>
              <w:ind w:right="360"/>
              <w:spacing w:after="0"/>
              <w:rPr>
                <w:sz w:val="20"/>
                <w:szCs w:val="20"/>
                <w:color w:val="auto"/>
              </w:rPr>
            </w:pPr>
            <w:r>
              <w:rPr>
                <w:rFonts w:ascii="Arial" w:cs="Arial" w:eastAsia="Arial" w:hAnsi="Arial"/>
                <w:sz w:val="22"/>
                <w:szCs w:val="22"/>
                <w:color w:val="auto"/>
                <w:w w:val="90"/>
              </w:rPr>
              <w:t>For</w:t>
            </w:r>
          </w:p>
        </w:tc>
        <w:tc>
          <w:tcPr>
            <w:tcW w:w="1820" w:type="dxa"/>
            <w:vAlign w:val="bottom"/>
            <w:gridSpan w:val="3"/>
          </w:tcPr>
          <w:p>
            <w:pPr>
              <w:jc w:val="center"/>
              <w:ind w:left="752"/>
              <w:spacing w:after="0"/>
              <w:rPr>
                <w:sz w:val="20"/>
                <w:szCs w:val="20"/>
                <w:color w:val="auto"/>
              </w:rPr>
            </w:pPr>
            <w:r>
              <w:rPr>
                <w:rFonts w:ascii="Arial" w:cs="Arial" w:eastAsia="Arial" w:hAnsi="Arial"/>
                <w:sz w:val="22"/>
                <w:szCs w:val="22"/>
                <w:color w:val="auto"/>
                <w:w w:val="93"/>
              </w:rPr>
              <w:t>Withheld</w:t>
            </w:r>
          </w:p>
        </w:tc>
      </w:tr>
      <w:tr>
        <w:trPr>
          <w:trHeight w:val="20"/>
        </w:trPr>
        <w:tc>
          <w:tcPr>
            <w:tcW w:w="4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42"/>
        </w:trPr>
        <w:tc>
          <w:tcPr>
            <w:tcW w:w="2440" w:type="dxa"/>
            <w:vAlign w:val="bottom"/>
            <w:gridSpan w:val="3"/>
          </w:tcPr>
          <w:p>
            <w:pPr>
              <w:spacing w:after="0" w:line="242" w:lineRule="exact"/>
              <w:rPr>
                <w:sz w:val="20"/>
                <w:szCs w:val="20"/>
                <w:color w:val="auto"/>
              </w:rPr>
            </w:pPr>
            <w:r>
              <w:rPr>
                <w:rFonts w:ascii="Arial" w:cs="Arial" w:eastAsia="Arial" w:hAnsi="Arial"/>
                <w:sz w:val="22"/>
                <w:szCs w:val="22"/>
                <w:color w:val="auto"/>
              </w:rPr>
              <w:t>Ralph J. Roberts</w:t>
            </w:r>
          </w:p>
        </w:tc>
        <w:tc>
          <w:tcPr>
            <w:tcW w:w="2420" w:type="dxa"/>
            <w:vAlign w:val="bottom"/>
            <w:gridSpan w:val="3"/>
          </w:tcPr>
          <w:p>
            <w:pPr>
              <w:jc w:val="center"/>
              <w:ind w:right="340"/>
              <w:spacing w:after="0" w:line="242" w:lineRule="exact"/>
              <w:rPr>
                <w:sz w:val="20"/>
                <w:szCs w:val="20"/>
                <w:color w:val="auto"/>
              </w:rPr>
            </w:pPr>
            <w:r>
              <w:rPr>
                <w:rFonts w:ascii="Arial" w:cs="Arial" w:eastAsia="Arial" w:hAnsi="Arial"/>
                <w:sz w:val="22"/>
                <w:szCs w:val="22"/>
                <w:color w:val="auto"/>
                <w:w w:val="88"/>
              </w:rPr>
              <w:t>367,456,483</w:t>
            </w:r>
          </w:p>
        </w:tc>
        <w:tc>
          <w:tcPr>
            <w:tcW w:w="1820" w:type="dxa"/>
            <w:vAlign w:val="bottom"/>
            <w:gridSpan w:val="3"/>
          </w:tcPr>
          <w:p>
            <w:pPr>
              <w:jc w:val="center"/>
              <w:ind w:left="732"/>
              <w:spacing w:after="0" w:line="242" w:lineRule="exact"/>
              <w:rPr>
                <w:sz w:val="20"/>
                <w:szCs w:val="20"/>
                <w:color w:val="auto"/>
              </w:rPr>
            </w:pPr>
            <w:r>
              <w:rPr>
                <w:rFonts w:ascii="Arial" w:cs="Arial" w:eastAsia="Arial" w:hAnsi="Arial"/>
                <w:sz w:val="22"/>
                <w:szCs w:val="22"/>
                <w:color w:val="auto"/>
                <w:w w:val="88"/>
              </w:rPr>
              <w:t>16,962,357</w:t>
            </w:r>
          </w:p>
        </w:tc>
      </w:tr>
      <w:tr>
        <w:trPr>
          <w:trHeight w:val="243"/>
        </w:trPr>
        <w:tc>
          <w:tcPr>
            <w:tcW w:w="2440" w:type="dxa"/>
            <w:vAlign w:val="bottom"/>
            <w:gridSpan w:val="3"/>
          </w:tcPr>
          <w:p>
            <w:pPr>
              <w:spacing w:after="0" w:line="243" w:lineRule="exact"/>
              <w:rPr>
                <w:sz w:val="20"/>
                <w:szCs w:val="20"/>
                <w:color w:val="auto"/>
              </w:rPr>
            </w:pPr>
            <w:r>
              <w:rPr>
                <w:rFonts w:ascii="Arial" w:cs="Arial" w:eastAsia="Arial" w:hAnsi="Arial"/>
                <w:sz w:val="22"/>
                <w:szCs w:val="22"/>
                <w:color w:val="auto"/>
              </w:rPr>
              <w:t>C. Michael Armstrong</w:t>
            </w:r>
          </w:p>
        </w:tc>
        <w:tc>
          <w:tcPr>
            <w:tcW w:w="2420" w:type="dxa"/>
            <w:vAlign w:val="bottom"/>
            <w:gridSpan w:val="3"/>
          </w:tcPr>
          <w:p>
            <w:pPr>
              <w:jc w:val="center"/>
              <w:ind w:right="340"/>
              <w:spacing w:after="0" w:line="243" w:lineRule="exact"/>
              <w:rPr>
                <w:sz w:val="20"/>
                <w:szCs w:val="20"/>
                <w:color w:val="auto"/>
              </w:rPr>
            </w:pPr>
            <w:r>
              <w:rPr>
                <w:rFonts w:ascii="Arial" w:cs="Arial" w:eastAsia="Arial" w:hAnsi="Arial"/>
                <w:sz w:val="22"/>
                <w:szCs w:val="22"/>
                <w:color w:val="auto"/>
                <w:w w:val="88"/>
              </w:rPr>
              <w:t>366,855,778</w:t>
            </w:r>
          </w:p>
        </w:tc>
        <w:tc>
          <w:tcPr>
            <w:tcW w:w="1820" w:type="dxa"/>
            <w:vAlign w:val="bottom"/>
            <w:gridSpan w:val="3"/>
          </w:tcPr>
          <w:p>
            <w:pPr>
              <w:jc w:val="center"/>
              <w:ind w:left="732"/>
              <w:spacing w:after="0" w:line="243" w:lineRule="exact"/>
              <w:rPr>
                <w:sz w:val="20"/>
                <w:szCs w:val="20"/>
                <w:color w:val="auto"/>
              </w:rPr>
            </w:pPr>
            <w:r>
              <w:rPr>
                <w:rFonts w:ascii="Arial" w:cs="Arial" w:eastAsia="Arial" w:hAnsi="Arial"/>
                <w:sz w:val="22"/>
                <w:szCs w:val="22"/>
                <w:color w:val="auto"/>
                <w:w w:val="88"/>
              </w:rPr>
              <w:t>17,563,062</w:t>
            </w:r>
          </w:p>
        </w:tc>
      </w:tr>
      <w:tr>
        <w:trPr>
          <w:trHeight w:val="243"/>
        </w:trPr>
        <w:tc>
          <w:tcPr>
            <w:tcW w:w="2440" w:type="dxa"/>
            <w:vAlign w:val="bottom"/>
            <w:gridSpan w:val="3"/>
          </w:tcPr>
          <w:p>
            <w:pPr>
              <w:spacing w:after="0" w:line="243" w:lineRule="exact"/>
              <w:rPr>
                <w:sz w:val="20"/>
                <w:szCs w:val="20"/>
                <w:color w:val="auto"/>
              </w:rPr>
            </w:pPr>
            <w:r>
              <w:rPr>
                <w:rFonts w:ascii="Arial" w:cs="Arial" w:eastAsia="Arial" w:hAnsi="Arial"/>
                <w:sz w:val="22"/>
                <w:szCs w:val="22"/>
                <w:color w:val="auto"/>
              </w:rPr>
              <w:t>Brian L. Roberts</w:t>
            </w:r>
          </w:p>
        </w:tc>
        <w:tc>
          <w:tcPr>
            <w:tcW w:w="2420" w:type="dxa"/>
            <w:vAlign w:val="bottom"/>
            <w:gridSpan w:val="3"/>
          </w:tcPr>
          <w:p>
            <w:pPr>
              <w:jc w:val="center"/>
              <w:ind w:right="340"/>
              <w:spacing w:after="0" w:line="243" w:lineRule="exact"/>
              <w:rPr>
                <w:sz w:val="20"/>
                <w:szCs w:val="20"/>
                <w:color w:val="auto"/>
              </w:rPr>
            </w:pPr>
            <w:r>
              <w:rPr>
                <w:rFonts w:ascii="Arial" w:cs="Arial" w:eastAsia="Arial" w:hAnsi="Arial"/>
                <w:sz w:val="22"/>
                <w:szCs w:val="22"/>
                <w:color w:val="auto"/>
                <w:w w:val="88"/>
              </w:rPr>
              <w:t>363,982,792</w:t>
            </w:r>
          </w:p>
        </w:tc>
        <w:tc>
          <w:tcPr>
            <w:tcW w:w="1820" w:type="dxa"/>
            <w:vAlign w:val="bottom"/>
            <w:gridSpan w:val="3"/>
          </w:tcPr>
          <w:p>
            <w:pPr>
              <w:jc w:val="center"/>
              <w:ind w:left="732"/>
              <w:spacing w:after="0" w:line="243" w:lineRule="exact"/>
              <w:rPr>
                <w:sz w:val="20"/>
                <w:szCs w:val="20"/>
                <w:color w:val="auto"/>
              </w:rPr>
            </w:pPr>
            <w:r>
              <w:rPr>
                <w:rFonts w:ascii="Arial" w:cs="Arial" w:eastAsia="Arial" w:hAnsi="Arial"/>
                <w:sz w:val="22"/>
                <w:szCs w:val="22"/>
                <w:color w:val="auto"/>
                <w:w w:val="88"/>
              </w:rPr>
              <w:t>20,436,048</w:t>
            </w:r>
          </w:p>
        </w:tc>
      </w:tr>
      <w:tr>
        <w:trPr>
          <w:trHeight w:val="243"/>
        </w:trPr>
        <w:tc>
          <w:tcPr>
            <w:tcW w:w="2440" w:type="dxa"/>
            <w:vAlign w:val="bottom"/>
            <w:gridSpan w:val="3"/>
          </w:tcPr>
          <w:p>
            <w:pPr>
              <w:spacing w:after="0" w:line="243" w:lineRule="exact"/>
              <w:rPr>
                <w:sz w:val="20"/>
                <w:szCs w:val="20"/>
                <w:color w:val="auto"/>
              </w:rPr>
            </w:pPr>
            <w:r>
              <w:rPr>
                <w:rFonts w:ascii="Arial" w:cs="Arial" w:eastAsia="Arial" w:hAnsi="Arial"/>
                <w:sz w:val="22"/>
                <w:szCs w:val="22"/>
                <w:color w:val="auto"/>
              </w:rPr>
              <w:t>Julian A. Brodsky</w:t>
            </w:r>
          </w:p>
        </w:tc>
        <w:tc>
          <w:tcPr>
            <w:tcW w:w="2420" w:type="dxa"/>
            <w:vAlign w:val="bottom"/>
            <w:gridSpan w:val="3"/>
          </w:tcPr>
          <w:p>
            <w:pPr>
              <w:jc w:val="center"/>
              <w:ind w:right="340"/>
              <w:spacing w:after="0" w:line="243" w:lineRule="exact"/>
              <w:rPr>
                <w:sz w:val="20"/>
                <w:szCs w:val="20"/>
                <w:color w:val="auto"/>
              </w:rPr>
            </w:pPr>
            <w:r>
              <w:rPr>
                <w:rFonts w:ascii="Arial" w:cs="Arial" w:eastAsia="Arial" w:hAnsi="Arial"/>
                <w:sz w:val="22"/>
                <w:szCs w:val="22"/>
                <w:color w:val="auto"/>
                <w:w w:val="88"/>
              </w:rPr>
              <w:t>367,699,589</w:t>
            </w:r>
          </w:p>
        </w:tc>
        <w:tc>
          <w:tcPr>
            <w:tcW w:w="1820" w:type="dxa"/>
            <w:vAlign w:val="bottom"/>
            <w:gridSpan w:val="3"/>
          </w:tcPr>
          <w:p>
            <w:pPr>
              <w:jc w:val="center"/>
              <w:ind w:left="732"/>
              <w:spacing w:after="0" w:line="243" w:lineRule="exact"/>
              <w:rPr>
                <w:sz w:val="20"/>
                <w:szCs w:val="20"/>
                <w:color w:val="auto"/>
              </w:rPr>
            </w:pPr>
            <w:r>
              <w:rPr>
                <w:rFonts w:ascii="Arial" w:cs="Arial" w:eastAsia="Arial" w:hAnsi="Arial"/>
                <w:sz w:val="22"/>
                <w:szCs w:val="22"/>
                <w:color w:val="auto"/>
                <w:w w:val="88"/>
              </w:rPr>
              <w:t>16,719,251</w:t>
            </w:r>
          </w:p>
        </w:tc>
      </w:tr>
      <w:tr>
        <w:trPr>
          <w:trHeight w:val="243"/>
        </w:trPr>
        <w:tc>
          <w:tcPr>
            <w:tcW w:w="2440" w:type="dxa"/>
            <w:vAlign w:val="bottom"/>
            <w:gridSpan w:val="3"/>
          </w:tcPr>
          <w:p>
            <w:pPr>
              <w:spacing w:after="0" w:line="243" w:lineRule="exact"/>
              <w:rPr>
                <w:sz w:val="20"/>
                <w:szCs w:val="20"/>
                <w:color w:val="auto"/>
              </w:rPr>
            </w:pPr>
            <w:r>
              <w:rPr>
                <w:rFonts w:ascii="Arial" w:cs="Arial" w:eastAsia="Arial" w:hAnsi="Arial"/>
                <w:sz w:val="22"/>
                <w:szCs w:val="22"/>
                <w:color w:val="auto"/>
              </w:rPr>
              <w:t>S. Decker Anstrom</w:t>
            </w:r>
          </w:p>
        </w:tc>
        <w:tc>
          <w:tcPr>
            <w:tcW w:w="2420" w:type="dxa"/>
            <w:vAlign w:val="bottom"/>
            <w:gridSpan w:val="3"/>
          </w:tcPr>
          <w:p>
            <w:pPr>
              <w:jc w:val="center"/>
              <w:ind w:right="340"/>
              <w:spacing w:after="0" w:line="243" w:lineRule="exact"/>
              <w:rPr>
                <w:sz w:val="20"/>
                <w:szCs w:val="20"/>
                <w:color w:val="auto"/>
              </w:rPr>
            </w:pPr>
            <w:r>
              <w:rPr>
                <w:rFonts w:ascii="Arial" w:cs="Arial" w:eastAsia="Arial" w:hAnsi="Arial"/>
                <w:sz w:val="22"/>
                <w:szCs w:val="22"/>
                <w:color w:val="auto"/>
                <w:w w:val="88"/>
              </w:rPr>
              <w:t>353,974,488</w:t>
            </w:r>
          </w:p>
        </w:tc>
        <w:tc>
          <w:tcPr>
            <w:tcW w:w="1820" w:type="dxa"/>
            <w:vAlign w:val="bottom"/>
            <w:gridSpan w:val="3"/>
          </w:tcPr>
          <w:p>
            <w:pPr>
              <w:jc w:val="center"/>
              <w:ind w:left="732"/>
              <w:spacing w:after="0" w:line="243" w:lineRule="exact"/>
              <w:rPr>
                <w:sz w:val="20"/>
                <w:szCs w:val="20"/>
                <w:color w:val="auto"/>
              </w:rPr>
            </w:pPr>
            <w:r>
              <w:rPr>
                <w:rFonts w:ascii="Arial" w:cs="Arial" w:eastAsia="Arial" w:hAnsi="Arial"/>
                <w:sz w:val="22"/>
                <w:szCs w:val="22"/>
                <w:color w:val="auto"/>
                <w:w w:val="88"/>
              </w:rPr>
              <w:t>30,444,352</w:t>
            </w:r>
          </w:p>
        </w:tc>
      </w:tr>
      <w:tr>
        <w:trPr>
          <w:trHeight w:val="243"/>
        </w:trPr>
        <w:tc>
          <w:tcPr>
            <w:tcW w:w="2440" w:type="dxa"/>
            <w:vAlign w:val="bottom"/>
            <w:gridSpan w:val="3"/>
          </w:tcPr>
          <w:p>
            <w:pPr>
              <w:spacing w:after="0" w:line="243" w:lineRule="exact"/>
              <w:rPr>
                <w:sz w:val="20"/>
                <w:szCs w:val="20"/>
                <w:color w:val="auto"/>
              </w:rPr>
            </w:pPr>
            <w:r>
              <w:rPr>
                <w:rFonts w:ascii="Arial" w:cs="Arial" w:eastAsia="Arial" w:hAnsi="Arial"/>
                <w:sz w:val="22"/>
                <w:szCs w:val="22"/>
                <w:color w:val="auto"/>
              </w:rPr>
              <w:t>Kenneth J. Bacon</w:t>
            </w:r>
          </w:p>
        </w:tc>
        <w:tc>
          <w:tcPr>
            <w:tcW w:w="2420" w:type="dxa"/>
            <w:vAlign w:val="bottom"/>
            <w:gridSpan w:val="3"/>
          </w:tcPr>
          <w:p>
            <w:pPr>
              <w:jc w:val="center"/>
              <w:ind w:right="340"/>
              <w:spacing w:after="0" w:line="243" w:lineRule="exact"/>
              <w:rPr>
                <w:sz w:val="20"/>
                <w:szCs w:val="20"/>
                <w:color w:val="auto"/>
              </w:rPr>
            </w:pPr>
            <w:r>
              <w:rPr>
                <w:rFonts w:ascii="Arial" w:cs="Arial" w:eastAsia="Arial" w:hAnsi="Arial"/>
                <w:sz w:val="22"/>
                <w:szCs w:val="22"/>
                <w:color w:val="auto"/>
                <w:w w:val="88"/>
              </w:rPr>
              <w:t>374,282,825</w:t>
            </w:r>
          </w:p>
        </w:tc>
        <w:tc>
          <w:tcPr>
            <w:tcW w:w="1820" w:type="dxa"/>
            <w:vAlign w:val="bottom"/>
            <w:gridSpan w:val="3"/>
          </w:tcPr>
          <w:p>
            <w:pPr>
              <w:jc w:val="center"/>
              <w:ind w:left="732"/>
              <w:spacing w:after="0" w:line="243" w:lineRule="exact"/>
              <w:rPr>
                <w:sz w:val="20"/>
                <w:szCs w:val="20"/>
                <w:color w:val="auto"/>
              </w:rPr>
            </w:pPr>
            <w:r>
              <w:rPr>
                <w:rFonts w:ascii="Arial" w:cs="Arial" w:eastAsia="Arial" w:hAnsi="Arial"/>
                <w:sz w:val="22"/>
                <w:szCs w:val="22"/>
                <w:color w:val="auto"/>
                <w:w w:val="88"/>
              </w:rPr>
              <w:t>10,136,015</w:t>
            </w:r>
          </w:p>
        </w:tc>
      </w:tr>
      <w:tr>
        <w:trPr>
          <w:trHeight w:val="243"/>
        </w:trPr>
        <w:tc>
          <w:tcPr>
            <w:tcW w:w="2440" w:type="dxa"/>
            <w:vAlign w:val="bottom"/>
            <w:gridSpan w:val="3"/>
          </w:tcPr>
          <w:p>
            <w:pPr>
              <w:spacing w:after="0" w:line="243" w:lineRule="exact"/>
              <w:rPr>
                <w:sz w:val="20"/>
                <w:szCs w:val="20"/>
                <w:color w:val="auto"/>
              </w:rPr>
            </w:pPr>
            <w:r>
              <w:rPr>
                <w:rFonts w:ascii="Arial" w:cs="Arial" w:eastAsia="Arial" w:hAnsi="Arial"/>
                <w:sz w:val="22"/>
                <w:szCs w:val="22"/>
                <w:color w:val="auto"/>
              </w:rPr>
              <w:t>Sheldon M. Bonovitz</w:t>
            </w:r>
          </w:p>
        </w:tc>
        <w:tc>
          <w:tcPr>
            <w:tcW w:w="2420" w:type="dxa"/>
            <w:vAlign w:val="bottom"/>
            <w:gridSpan w:val="3"/>
          </w:tcPr>
          <w:p>
            <w:pPr>
              <w:jc w:val="center"/>
              <w:ind w:right="340"/>
              <w:spacing w:after="0" w:line="243" w:lineRule="exact"/>
              <w:rPr>
                <w:sz w:val="20"/>
                <w:szCs w:val="20"/>
                <w:color w:val="auto"/>
              </w:rPr>
            </w:pPr>
            <w:r>
              <w:rPr>
                <w:rFonts w:ascii="Arial" w:cs="Arial" w:eastAsia="Arial" w:hAnsi="Arial"/>
                <w:sz w:val="22"/>
                <w:szCs w:val="22"/>
                <w:color w:val="auto"/>
                <w:w w:val="88"/>
              </w:rPr>
              <w:t>364,936,244</w:t>
            </w:r>
          </w:p>
        </w:tc>
        <w:tc>
          <w:tcPr>
            <w:tcW w:w="1820" w:type="dxa"/>
            <w:vAlign w:val="bottom"/>
            <w:gridSpan w:val="3"/>
          </w:tcPr>
          <w:p>
            <w:pPr>
              <w:jc w:val="center"/>
              <w:ind w:left="732"/>
              <w:spacing w:after="0" w:line="243" w:lineRule="exact"/>
              <w:rPr>
                <w:sz w:val="20"/>
                <w:szCs w:val="20"/>
                <w:color w:val="auto"/>
              </w:rPr>
            </w:pPr>
            <w:r>
              <w:rPr>
                <w:rFonts w:ascii="Arial" w:cs="Arial" w:eastAsia="Arial" w:hAnsi="Arial"/>
                <w:sz w:val="22"/>
                <w:szCs w:val="22"/>
                <w:color w:val="auto"/>
                <w:w w:val="88"/>
              </w:rPr>
              <w:t>19,482,596</w:t>
            </w:r>
          </w:p>
        </w:tc>
      </w:tr>
      <w:tr>
        <w:trPr>
          <w:trHeight w:val="243"/>
        </w:trPr>
        <w:tc>
          <w:tcPr>
            <w:tcW w:w="2440" w:type="dxa"/>
            <w:vAlign w:val="bottom"/>
            <w:gridSpan w:val="3"/>
          </w:tcPr>
          <w:p>
            <w:pPr>
              <w:spacing w:after="0" w:line="243" w:lineRule="exact"/>
              <w:rPr>
                <w:sz w:val="20"/>
                <w:szCs w:val="20"/>
                <w:color w:val="auto"/>
              </w:rPr>
            </w:pPr>
            <w:r>
              <w:rPr>
                <w:rFonts w:ascii="Arial" w:cs="Arial" w:eastAsia="Arial" w:hAnsi="Arial"/>
                <w:sz w:val="22"/>
                <w:szCs w:val="22"/>
                <w:color w:val="auto"/>
              </w:rPr>
              <w:t>Joseph L. Castle, II</w:t>
            </w:r>
          </w:p>
        </w:tc>
        <w:tc>
          <w:tcPr>
            <w:tcW w:w="2420" w:type="dxa"/>
            <w:vAlign w:val="bottom"/>
            <w:gridSpan w:val="3"/>
          </w:tcPr>
          <w:p>
            <w:pPr>
              <w:jc w:val="center"/>
              <w:ind w:right="340"/>
              <w:spacing w:after="0" w:line="243" w:lineRule="exact"/>
              <w:rPr>
                <w:sz w:val="20"/>
                <w:szCs w:val="20"/>
                <w:color w:val="auto"/>
              </w:rPr>
            </w:pPr>
            <w:r>
              <w:rPr>
                <w:rFonts w:ascii="Arial" w:cs="Arial" w:eastAsia="Arial" w:hAnsi="Arial"/>
                <w:sz w:val="22"/>
                <w:szCs w:val="22"/>
                <w:color w:val="auto"/>
                <w:w w:val="88"/>
              </w:rPr>
              <w:t>371,091,789</w:t>
            </w:r>
          </w:p>
        </w:tc>
        <w:tc>
          <w:tcPr>
            <w:tcW w:w="1820" w:type="dxa"/>
            <w:vAlign w:val="bottom"/>
            <w:gridSpan w:val="3"/>
          </w:tcPr>
          <w:p>
            <w:pPr>
              <w:jc w:val="center"/>
              <w:ind w:left="732"/>
              <w:spacing w:after="0" w:line="243" w:lineRule="exact"/>
              <w:rPr>
                <w:sz w:val="20"/>
                <w:szCs w:val="20"/>
                <w:color w:val="auto"/>
              </w:rPr>
            </w:pPr>
            <w:r>
              <w:rPr>
                <w:rFonts w:ascii="Arial" w:cs="Arial" w:eastAsia="Arial" w:hAnsi="Arial"/>
                <w:sz w:val="22"/>
                <w:szCs w:val="22"/>
                <w:color w:val="auto"/>
                <w:w w:val="88"/>
              </w:rPr>
              <w:t>13,327,051</w:t>
            </w:r>
          </w:p>
        </w:tc>
      </w:tr>
      <w:tr>
        <w:trPr>
          <w:trHeight w:val="243"/>
        </w:trPr>
        <w:tc>
          <w:tcPr>
            <w:tcW w:w="2440" w:type="dxa"/>
            <w:vAlign w:val="bottom"/>
            <w:gridSpan w:val="3"/>
          </w:tcPr>
          <w:p>
            <w:pPr>
              <w:spacing w:after="0" w:line="243" w:lineRule="exact"/>
              <w:rPr>
                <w:sz w:val="20"/>
                <w:szCs w:val="20"/>
                <w:color w:val="auto"/>
              </w:rPr>
            </w:pPr>
            <w:r>
              <w:rPr>
                <w:rFonts w:ascii="Arial" w:cs="Arial" w:eastAsia="Arial" w:hAnsi="Arial"/>
                <w:sz w:val="22"/>
                <w:szCs w:val="22"/>
                <w:color w:val="auto"/>
              </w:rPr>
              <w:t>J. Michael Cook</w:t>
            </w:r>
          </w:p>
        </w:tc>
        <w:tc>
          <w:tcPr>
            <w:tcW w:w="2420" w:type="dxa"/>
            <w:vAlign w:val="bottom"/>
            <w:gridSpan w:val="3"/>
          </w:tcPr>
          <w:p>
            <w:pPr>
              <w:jc w:val="center"/>
              <w:ind w:right="340"/>
              <w:spacing w:after="0" w:line="243" w:lineRule="exact"/>
              <w:rPr>
                <w:sz w:val="20"/>
                <w:szCs w:val="20"/>
                <w:color w:val="auto"/>
              </w:rPr>
            </w:pPr>
            <w:r>
              <w:rPr>
                <w:rFonts w:ascii="Arial" w:cs="Arial" w:eastAsia="Arial" w:hAnsi="Arial"/>
                <w:sz w:val="22"/>
                <w:szCs w:val="22"/>
                <w:color w:val="auto"/>
                <w:w w:val="88"/>
              </w:rPr>
              <w:t>374,075,868</w:t>
            </w:r>
          </w:p>
        </w:tc>
        <w:tc>
          <w:tcPr>
            <w:tcW w:w="1820" w:type="dxa"/>
            <w:vAlign w:val="bottom"/>
            <w:gridSpan w:val="3"/>
          </w:tcPr>
          <w:p>
            <w:pPr>
              <w:jc w:val="center"/>
              <w:ind w:left="732"/>
              <w:spacing w:after="0" w:line="243" w:lineRule="exact"/>
              <w:rPr>
                <w:sz w:val="20"/>
                <w:szCs w:val="20"/>
                <w:color w:val="auto"/>
              </w:rPr>
            </w:pPr>
            <w:r>
              <w:rPr>
                <w:rFonts w:ascii="Arial" w:cs="Arial" w:eastAsia="Arial" w:hAnsi="Arial"/>
                <w:sz w:val="22"/>
                <w:szCs w:val="22"/>
                <w:color w:val="auto"/>
                <w:w w:val="88"/>
              </w:rPr>
              <w:t>10,342,972</w:t>
            </w:r>
          </w:p>
        </w:tc>
      </w:tr>
      <w:tr>
        <w:trPr>
          <w:trHeight w:val="243"/>
        </w:trPr>
        <w:tc>
          <w:tcPr>
            <w:tcW w:w="2440" w:type="dxa"/>
            <w:vAlign w:val="bottom"/>
            <w:gridSpan w:val="3"/>
          </w:tcPr>
          <w:p>
            <w:pPr>
              <w:spacing w:after="0" w:line="243" w:lineRule="exact"/>
              <w:rPr>
                <w:sz w:val="20"/>
                <w:szCs w:val="20"/>
                <w:color w:val="auto"/>
              </w:rPr>
            </w:pPr>
            <w:r>
              <w:rPr>
                <w:rFonts w:ascii="Arial" w:cs="Arial" w:eastAsia="Arial" w:hAnsi="Arial"/>
                <w:sz w:val="22"/>
                <w:szCs w:val="22"/>
                <w:color w:val="auto"/>
              </w:rPr>
              <w:t>Dr. Judith Rodin</w:t>
            </w:r>
          </w:p>
        </w:tc>
        <w:tc>
          <w:tcPr>
            <w:tcW w:w="2420" w:type="dxa"/>
            <w:vAlign w:val="bottom"/>
            <w:gridSpan w:val="3"/>
          </w:tcPr>
          <w:p>
            <w:pPr>
              <w:jc w:val="center"/>
              <w:ind w:right="340"/>
              <w:spacing w:after="0" w:line="243" w:lineRule="exact"/>
              <w:rPr>
                <w:sz w:val="20"/>
                <w:szCs w:val="20"/>
                <w:color w:val="auto"/>
              </w:rPr>
            </w:pPr>
            <w:r>
              <w:rPr>
                <w:rFonts w:ascii="Arial" w:cs="Arial" w:eastAsia="Arial" w:hAnsi="Arial"/>
                <w:sz w:val="22"/>
                <w:szCs w:val="22"/>
                <w:color w:val="auto"/>
                <w:w w:val="88"/>
              </w:rPr>
              <w:t>370,333,671</w:t>
            </w:r>
          </w:p>
        </w:tc>
        <w:tc>
          <w:tcPr>
            <w:tcW w:w="1820" w:type="dxa"/>
            <w:vAlign w:val="bottom"/>
            <w:gridSpan w:val="3"/>
          </w:tcPr>
          <w:p>
            <w:pPr>
              <w:jc w:val="center"/>
              <w:ind w:left="732"/>
              <w:spacing w:after="0" w:line="243" w:lineRule="exact"/>
              <w:rPr>
                <w:sz w:val="20"/>
                <w:szCs w:val="20"/>
                <w:color w:val="auto"/>
              </w:rPr>
            </w:pPr>
            <w:r>
              <w:rPr>
                <w:rFonts w:ascii="Arial" w:cs="Arial" w:eastAsia="Arial" w:hAnsi="Arial"/>
                <w:sz w:val="22"/>
                <w:szCs w:val="22"/>
                <w:color w:val="auto"/>
                <w:w w:val="88"/>
              </w:rPr>
              <w:t>14,085,169</w:t>
            </w:r>
          </w:p>
        </w:tc>
      </w:tr>
      <w:tr>
        <w:trPr>
          <w:trHeight w:val="275"/>
        </w:trPr>
        <w:tc>
          <w:tcPr>
            <w:tcW w:w="2440" w:type="dxa"/>
            <w:vAlign w:val="bottom"/>
            <w:gridSpan w:val="3"/>
          </w:tcPr>
          <w:p>
            <w:pPr>
              <w:spacing w:after="0"/>
              <w:rPr>
                <w:sz w:val="20"/>
                <w:szCs w:val="20"/>
                <w:color w:val="auto"/>
              </w:rPr>
            </w:pPr>
            <w:r>
              <w:rPr>
                <w:rFonts w:ascii="Arial" w:cs="Arial" w:eastAsia="Arial" w:hAnsi="Arial"/>
                <w:sz w:val="22"/>
                <w:szCs w:val="22"/>
                <w:color w:val="auto"/>
              </w:rPr>
              <w:t>Michael I. Sovern</w:t>
            </w:r>
          </w:p>
        </w:tc>
        <w:tc>
          <w:tcPr>
            <w:tcW w:w="2420" w:type="dxa"/>
            <w:vAlign w:val="bottom"/>
            <w:gridSpan w:val="3"/>
          </w:tcPr>
          <w:p>
            <w:pPr>
              <w:jc w:val="center"/>
              <w:ind w:right="340"/>
              <w:spacing w:after="0"/>
              <w:rPr>
                <w:sz w:val="20"/>
                <w:szCs w:val="20"/>
                <w:color w:val="auto"/>
              </w:rPr>
            </w:pPr>
            <w:r>
              <w:rPr>
                <w:rFonts w:ascii="Arial" w:cs="Arial" w:eastAsia="Arial" w:hAnsi="Arial"/>
                <w:sz w:val="22"/>
                <w:szCs w:val="22"/>
                <w:color w:val="auto"/>
                <w:w w:val="88"/>
              </w:rPr>
              <w:t>370,974,391</w:t>
            </w:r>
          </w:p>
        </w:tc>
        <w:tc>
          <w:tcPr>
            <w:tcW w:w="1820" w:type="dxa"/>
            <w:vAlign w:val="bottom"/>
            <w:gridSpan w:val="3"/>
          </w:tcPr>
          <w:p>
            <w:pPr>
              <w:jc w:val="center"/>
              <w:ind w:left="732"/>
              <w:spacing w:after="0"/>
              <w:rPr>
                <w:sz w:val="20"/>
                <w:szCs w:val="20"/>
                <w:color w:val="auto"/>
              </w:rPr>
            </w:pPr>
            <w:r>
              <w:rPr>
                <w:rFonts w:ascii="Arial" w:cs="Arial" w:eastAsia="Arial" w:hAnsi="Arial"/>
                <w:sz w:val="22"/>
                <w:szCs w:val="22"/>
                <w:color w:val="auto"/>
                <w:w w:val="88"/>
              </w:rPr>
              <w:t>13,444,449</w:t>
            </w:r>
          </w:p>
        </w:tc>
      </w:tr>
    </w:tbl>
    <w:p>
      <w:pPr>
        <w:spacing w:after="0" w:line="212" w:lineRule="exact"/>
        <w:rPr>
          <w:sz w:val="20"/>
          <w:szCs w:val="20"/>
          <w:color w:val="auto"/>
        </w:rPr>
      </w:pPr>
    </w:p>
    <w:p>
      <w:pPr>
        <w:ind w:left="460"/>
        <w:spacing w:after="0"/>
        <w:rPr>
          <w:sz w:val="20"/>
          <w:szCs w:val="20"/>
          <w:color w:val="auto"/>
        </w:rPr>
      </w:pPr>
      <w:r>
        <w:rPr>
          <w:rFonts w:ascii="Arial" w:cs="Arial" w:eastAsia="Arial" w:hAnsi="Arial"/>
          <w:sz w:val="22"/>
          <w:szCs w:val="22"/>
          <w:color w:val="auto"/>
        </w:rPr>
        <w:t>To ratify the appointment of Deloitte &amp; Touche LLP as our independent auditors for the 2004 fiscal year.</w:t>
      </w:r>
    </w:p>
    <w:p>
      <w:pPr>
        <w:spacing w:after="0" w:line="204" w:lineRule="exact"/>
        <w:rPr>
          <w:sz w:val="20"/>
          <w:szCs w:val="20"/>
          <w:color w:val="auto"/>
        </w:rPr>
      </w:pPr>
    </w:p>
    <w:tbl>
      <w:tblPr>
        <w:tblLayout w:type="fixed"/>
        <w:tblInd w:w="800" w:type="dxa"/>
        <w:tblCellMar>
          <w:top w:w="0" w:type="dxa"/>
          <w:left w:w="0" w:type="dxa"/>
          <w:bottom w:w="0" w:type="dxa"/>
          <w:right w:w="0" w:type="dxa"/>
        </w:tblCellMar>
      </w:tblPr>
      <w:tr>
        <w:trPr>
          <w:trHeight w:val="253"/>
        </w:trPr>
        <w:tc>
          <w:tcPr>
            <w:tcW w:w="400" w:type="dxa"/>
            <w:vAlign w:val="bottom"/>
          </w:tcPr>
          <w:p>
            <w:pPr>
              <w:spacing w:after="0"/>
              <w:rPr>
                <w:sz w:val="21"/>
                <w:szCs w:val="21"/>
                <w:color w:val="auto"/>
              </w:rPr>
            </w:pPr>
          </w:p>
        </w:tc>
        <w:tc>
          <w:tcPr>
            <w:tcW w:w="300" w:type="dxa"/>
            <w:vAlign w:val="bottom"/>
          </w:tcPr>
          <w:p>
            <w:pPr>
              <w:jc w:val="center"/>
              <w:spacing w:after="0"/>
              <w:rPr>
                <w:sz w:val="20"/>
                <w:szCs w:val="20"/>
                <w:color w:val="auto"/>
              </w:rPr>
            </w:pPr>
            <w:r>
              <w:rPr>
                <w:rFonts w:ascii="Arial" w:cs="Arial" w:eastAsia="Arial" w:hAnsi="Arial"/>
                <w:sz w:val="22"/>
                <w:szCs w:val="22"/>
                <w:color w:val="auto"/>
                <w:w w:val="90"/>
              </w:rPr>
              <w:t>For</w:t>
            </w:r>
          </w:p>
        </w:tc>
        <w:tc>
          <w:tcPr>
            <w:tcW w:w="1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80" w:type="dxa"/>
            <w:vAlign w:val="bottom"/>
          </w:tcPr>
          <w:p>
            <w:pPr>
              <w:jc w:val="center"/>
              <w:spacing w:after="0"/>
              <w:rPr>
                <w:sz w:val="20"/>
                <w:szCs w:val="20"/>
                <w:color w:val="auto"/>
              </w:rPr>
            </w:pPr>
            <w:r>
              <w:rPr>
                <w:rFonts w:ascii="Arial" w:cs="Arial" w:eastAsia="Arial" w:hAnsi="Arial"/>
                <w:sz w:val="22"/>
                <w:szCs w:val="22"/>
                <w:color w:val="auto"/>
                <w:w w:val="92"/>
              </w:rPr>
              <w:t>Against</w:t>
            </w:r>
          </w:p>
        </w:tc>
        <w:tc>
          <w:tcPr>
            <w:tcW w:w="1020" w:type="dxa"/>
            <w:vAlign w:val="bottom"/>
          </w:tcPr>
          <w:p>
            <w:pPr>
              <w:spacing w:after="0"/>
              <w:rPr>
                <w:sz w:val="21"/>
                <w:szCs w:val="21"/>
                <w:color w:val="auto"/>
              </w:rPr>
            </w:pPr>
          </w:p>
        </w:tc>
        <w:tc>
          <w:tcPr>
            <w:tcW w:w="1780" w:type="dxa"/>
            <w:vAlign w:val="bottom"/>
            <w:gridSpan w:val="3"/>
          </w:tcPr>
          <w:p>
            <w:pPr>
              <w:jc w:val="center"/>
              <w:ind w:left="812"/>
              <w:spacing w:after="0"/>
              <w:rPr>
                <w:sz w:val="20"/>
                <w:szCs w:val="20"/>
                <w:color w:val="auto"/>
              </w:rPr>
            </w:pPr>
            <w:r>
              <w:rPr>
                <w:rFonts w:ascii="Arial" w:cs="Arial" w:eastAsia="Arial" w:hAnsi="Arial"/>
                <w:sz w:val="22"/>
                <w:szCs w:val="22"/>
                <w:color w:val="auto"/>
                <w:w w:val="89"/>
              </w:rPr>
              <w:t>Abstain</w:t>
            </w:r>
          </w:p>
        </w:tc>
      </w:tr>
      <w:tr>
        <w:trPr>
          <w:trHeight w:val="20"/>
        </w:trPr>
        <w:tc>
          <w:tcPr>
            <w:tcW w:w="4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74"/>
        </w:trPr>
        <w:tc>
          <w:tcPr>
            <w:tcW w:w="1940" w:type="dxa"/>
            <w:vAlign w:val="bottom"/>
            <w:gridSpan w:val="3"/>
          </w:tcPr>
          <w:p>
            <w:pPr>
              <w:jc w:val="right"/>
              <w:ind w:right="860"/>
              <w:spacing w:after="0"/>
              <w:rPr>
                <w:sz w:val="20"/>
                <w:szCs w:val="20"/>
                <w:color w:val="auto"/>
              </w:rPr>
            </w:pPr>
            <w:r>
              <w:rPr>
                <w:rFonts w:ascii="Arial" w:cs="Arial" w:eastAsia="Arial" w:hAnsi="Arial"/>
                <w:sz w:val="22"/>
                <w:szCs w:val="22"/>
                <w:color w:val="auto"/>
                <w:w w:val="86"/>
              </w:rPr>
              <w:t>376,522,645</w:t>
            </w:r>
          </w:p>
        </w:tc>
        <w:tc>
          <w:tcPr>
            <w:tcW w:w="2640" w:type="dxa"/>
            <w:vAlign w:val="bottom"/>
            <w:gridSpan w:val="3"/>
          </w:tcPr>
          <w:p>
            <w:pPr>
              <w:jc w:val="right"/>
              <w:ind w:right="920"/>
              <w:spacing w:after="0"/>
              <w:rPr>
                <w:sz w:val="20"/>
                <w:szCs w:val="20"/>
                <w:color w:val="auto"/>
              </w:rPr>
            </w:pPr>
            <w:r>
              <w:rPr>
                <w:rFonts w:ascii="Arial" w:cs="Arial" w:eastAsia="Arial" w:hAnsi="Arial"/>
                <w:sz w:val="22"/>
                <w:szCs w:val="22"/>
                <w:color w:val="auto"/>
              </w:rPr>
              <w:t>5,463,804</w:t>
            </w:r>
          </w:p>
        </w:tc>
        <w:tc>
          <w:tcPr>
            <w:tcW w:w="1780" w:type="dxa"/>
            <w:vAlign w:val="bottom"/>
            <w:gridSpan w:val="3"/>
          </w:tcPr>
          <w:p>
            <w:pPr>
              <w:jc w:val="right"/>
              <w:spacing w:after="0"/>
              <w:rPr>
                <w:sz w:val="20"/>
                <w:szCs w:val="20"/>
                <w:color w:val="auto"/>
              </w:rPr>
            </w:pPr>
            <w:r>
              <w:rPr>
                <w:rFonts w:ascii="Arial" w:cs="Arial" w:eastAsia="Arial" w:hAnsi="Arial"/>
                <w:sz w:val="22"/>
                <w:szCs w:val="22"/>
                <w:color w:val="auto"/>
              </w:rPr>
              <w:t>2,432,391</w:t>
            </w:r>
          </w:p>
        </w:tc>
      </w:tr>
    </w:tbl>
    <w:p>
      <w:pPr>
        <w:spacing w:after="0" w:line="212" w:lineRule="exact"/>
        <w:rPr>
          <w:sz w:val="20"/>
          <w:szCs w:val="20"/>
          <w:color w:val="auto"/>
        </w:rPr>
      </w:pPr>
    </w:p>
    <w:p>
      <w:pPr>
        <w:ind w:left="460"/>
        <w:spacing w:after="0"/>
        <w:rPr>
          <w:sz w:val="20"/>
          <w:szCs w:val="20"/>
          <w:color w:val="auto"/>
        </w:rPr>
      </w:pPr>
      <w:r>
        <w:rPr>
          <w:rFonts w:ascii="Arial" w:cs="Arial" w:eastAsia="Arial" w:hAnsi="Arial"/>
          <w:sz w:val="22"/>
          <w:szCs w:val="22"/>
          <w:color w:val="auto"/>
        </w:rPr>
        <w:t>To approve the 2002 Restricted Stock Plan.</w:t>
      </w:r>
    </w:p>
    <w:p>
      <w:pPr>
        <w:spacing w:after="0" w:line="204" w:lineRule="exact"/>
        <w:rPr>
          <w:sz w:val="20"/>
          <w:szCs w:val="20"/>
          <w:color w:val="auto"/>
        </w:rPr>
      </w:pPr>
    </w:p>
    <w:tbl>
      <w:tblPr>
        <w:tblLayout w:type="fixed"/>
        <w:tblInd w:w="800" w:type="dxa"/>
        <w:tblCellMar>
          <w:top w:w="0" w:type="dxa"/>
          <w:left w:w="0" w:type="dxa"/>
          <w:bottom w:w="0" w:type="dxa"/>
          <w:right w:w="0" w:type="dxa"/>
        </w:tblCellMar>
      </w:tblPr>
      <w:tr>
        <w:trPr>
          <w:trHeight w:val="253"/>
        </w:trPr>
        <w:tc>
          <w:tcPr>
            <w:tcW w:w="400" w:type="dxa"/>
            <w:vAlign w:val="bottom"/>
          </w:tcPr>
          <w:p>
            <w:pPr>
              <w:spacing w:after="0"/>
              <w:rPr>
                <w:sz w:val="21"/>
                <w:szCs w:val="21"/>
                <w:color w:val="auto"/>
              </w:rPr>
            </w:pPr>
          </w:p>
        </w:tc>
        <w:tc>
          <w:tcPr>
            <w:tcW w:w="300" w:type="dxa"/>
            <w:vAlign w:val="bottom"/>
          </w:tcPr>
          <w:p>
            <w:pPr>
              <w:jc w:val="center"/>
              <w:spacing w:after="0"/>
              <w:rPr>
                <w:sz w:val="20"/>
                <w:szCs w:val="20"/>
                <w:color w:val="auto"/>
              </w:rPr>
            </w:pPr>
            <w:r>
              <w:rPr>
                <w:rFonts w:ascii="Arial" w:cs="Arial" w:eastAsia="Arial" w:hAnsi="Arial"/>
                <w:sz w:val="22"/>
                <w:szCs w:val="22"/>
                <w:color w:val="auto"/>
                <w:w w:val="90"/>
              </w:rPr>
              <w:t>For</w:t>
            </w:r>
          </w:p>
        </w:tc>
        <w:tc>
          <w:tcPr>
            <w:tcW w:w="1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80" w:type="dxa"/>
            <w:vAlign w:val="bottom"/>
          </w:tcPr>
          <w:p>
            <w:pPr>
              <w:jc w:val="center"/>
              <w:spacing w:after="0"/>
              <w:rPr>
                <w:sz w:val="20"/>
                <w:szCs w:val="20"/>
                <w:color w:val="auto"/>
              </w:rPr>
            </w:pPr>
            <w:r>
              <w:rPr>
                <w:rFonts w:ascii="Arial" w:cs="Arial" w:eastAsia="Arial" w:hAnsi="Arial"/>
                <w:sz w:val="22"/>
                <w:szCs w:val="22"/>
                <w:color w:val="auto"/>
                <w:w w:val="92"/>
              </w:rPr>
              <w:t>Against</w:t>
            </w:r>
          </w:p>
        </w:tc>
        <w:tc>
          <w:tcPr>
            <w:tcW w:w="1040" w:type="dxa"/>
            <w:vAlign w:val="bottom"/>
          </w:tcPr>
          <w:p>
            <w:pPr>
              <w:spacing w:after="0"/>
              <w:rPr>
                <w:sz w:val="21"/>
                <w:szCs w:val="21"/>
                <w:color w:val="auto"/>
              </w:rPr>
            </w:pPr>
          </w:p>
        </w:tc>
        <w:tc>
          <w:tcPr>
            <w:tcW w:w="1760" w:type="dxa"/>
            <w:vAlign w:val="bottom"/>
            <w:gridSpan w:val="3"/>
          </w:tcPr>
          <w:p>
            <w:pPr>
              <w:jc w:val="center"/>
              <w:ind w:left="792"/>
              <w:spacing w:after="0"/>
              <w:rPr>
                <w:sz w:val="20"/>
                <w:szCs w:val="20"/>
                <w:color w:val="auto"/>
              </w:rPr>
            </w:pPr>
            <w:r>
              <w:rPr>
                <w:rFonts w:ascii="Arial" w:cs="Arial" w:eastAsia="Arial" w:hAnsi="Arial"/>
                <w:sz w:val="22"/>
                <w:szCs w:val="22"/>
                <w:color w:val="auto"/>
                <w:w w:val="89"/>
              </w:rPr>
              <w:t>Abstain</w:t>
            </w:r>
          </w:p>
        </w:tc>
      </w:tr>
      <w:tr>
        <w:trPr>
          <w:trHeight w:val="20"/>
        </w:trPr>
        <w:tc>
          <w:tcPr>
            <w:tcW w:w="4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74"/>
        </w:trPr>
        <w:tc>
          <w:tcPr>
            <w:tcW w:w="1920" w:type="dxa"/>
            <w:vAlign w:val="bottom"/>
            <w:gridSpan w:val="3"/>
          </w:tcPr>
          <w:p>
            <w:pPr>
              <w:jc w:val="right"/>
              <w:ind w:right="840"/>
              <w:spacing w:after="0"/>
              <w:rPr>
                <w:sz w:val="20"/>
                <w:szCs w:val="20"/>
                <w:color w:val="auto"/>
              </w:rPr>
            </w:pPr>
            <w:r>
              <w:rPr>
                <w:rFonts w:ascii="Arial" w:cs="Arial" w:eastAsia="Arial" w:hAnsi="Arial"/>
                <w:sz w:val="22"/>
                <w:szCs w:val="22"/>
                <w:color w:val="auto"/>
                <w:w w:val="86"/>
              </w:rPr>
              <w:t>330,987,385</w:t>
            </w:r>
          </w:p>
        </w:tc>
        <w:tc>
          <w:tcPr>
            <w:tcW w:w="2680" w:type="dxa"/>
            <w:vAlign w:val="bottom"/>
            <w:gridSpan w:val="3"/>
          </w:tcPr>
          <w:p>
            <w:pPr>
              <w:jc w:val="right"/>
              <w:ind w:right="900"/>
              <w:spacing w:after="0"/>
              <w:rPr>
                <w:sz w:val="20"/>
                <w:szCs w:val="20"/>
                <w:color w:val="auto"/>
              </w:rPr>
            </w:pPr>
            <w:r>
              <w:rPr>
                <w:rFonts w:ascii="Arial" w:cs="Arial" w:eastAsia="Arial" w:hAnsi="Arial"/>
                <w:sz w:val="22"/>
                <w:szCs w:val="22"/>
                <w:color w:val="auto"/>
              </w:rPr>
              <w:t>11,873,290</w:t>
            </w:r>
          </w:p>
        </w:tc>
        <w:tc>
          <w:tcPr>
            <w:tcW w:w="1760" w:type="dxa"/>
            <w:vAlign w:val="bottom"/>
            <w:gridSpan w:val="3"/>
          </w:tcPr>
          <w:p>
            <w:pPr>
              <w:jc w:val="right"/>
              <w:spacing w:after="0"/>
              <w:rPr>
                <w:sz w:val="20"/>
                <w:szCs w:val="20"/>
                <w:color w:val="auto"/>
              </w:rPr>
            </w:pPr>
            <w:r>
              <w:rPr>
                <w:rFonts w:ascii="Arial" w:cs="Arial" w:eastAsia="Arial" w:hAnsi="Arial"/>
                <w:sz w:val="22"/>
                <w:szCs w:val="22"/>
                <w:color w:val="auto"/>
              </w:rPr>
              <w:t>3,161,168</w:t>
            </w:r>
          </w:p>
        </w:tc>
      </w:tr>
    </w:tbl>
    <w:p>
      <w:pPr>
        <w:spacing w:after="0" w:line="212" w:lineRule="exact"/>
        <w:rPr>
          <w:sz w:val="20"/>
          <w:szCs w:val="20"/>
          <w:color w:val="auto"/>
        </w:rPr>
      </w:pPr>
    </w:p>
    <w:p>
      <w:pPr>
        <w:ind w:left="460"/>
        <w:spacing w:after="0"/>
        <w:rPr>
          <w:sz w:val="20"/>
          <w:szCs w:val="20"/>
          <w:color w:val="auto"/>
        </w:rPr>
      </w:pPr>
      <w:r>
        <w:rPr>
          <w:rFonts w:ascii="Arial" w:cs="Arial" w:eastAsia="Arial" w:hAnsi="Arial"/>
          <w:sz w:val="22"/>
          <w:szCs w:val="22"/>
          <w:color w:val="auto"/>
        </w:rPr>
        <w:t>To approve an amendment to our Articles of Incorporation.</w:t>
      </w:r>
    </w:p>
    <w:p>
      <w:pPr>
        <w:spacing w:after="0" w:line="204" w:lineRule="exact"/>
        <w:rPr>
          <w:sz w:val="20"/>
          <w:szCs w:val="20"/>
          <w:color w:val="auto"/>
        </w:rPr>
      </w:pPr>
    </w:p>
    <w:tbl>
      <w:tblPr>
        <w:tblLayout w:type="fixed"/>
        <w:tblInd w:w="800" w:type="dxa"/>
        <w:tblCellMar>
          <w:top w:w="0" w:type="dxa"/>
          <w:left w:w="0" w:type="dxa"/>
          <w:bottom w:w="0" w:type="dxa"/>
          <w:right w:w="0" w:type="dxa"/>
        </w:tblCellMar>
      </w:tblPr>
      <w:tr>
        <w:trPr>
          <w:trHeight w:val="253"/>
        </w:trPr>
        <w:tc>
          <w:tcPr>
            <w:tcW w:w="400" w:type="dxa"/>
            <w:vAlign w:val="bottom"/>
          </w:tcPr>
          <w:p>
            <w:pPr>
              <w:spacing w:after="0"/>
              <w:rPr>
                <w:sz w:val="21"/>
                <w:szCs w:val="21"/>
                <w:color w:val="auto"/>
              </w:rPr>
            </w:pPr>
          </w:p>
        </w:tc>
        <w:tc>
          <w:tcPr>
            <w:tcW w:w="300" w:type="dxa"/>
            <w:vAlign w:val="bottom"/>
          </w:tcPr>
          <w:p>
            <w:pPr>
              <w:jc w:val="center"/>
              <w:spacing w:after="0"/>
              <w:rPr>
                <w:sz w:val="20"/>
                <w:szCs w:val="20"/>
                <w:color w:val="auto"/>
              </w:rPr>
            </w:pPr>
            <w:r>
              <w:rPr>
                <w:rFonts w:ascii="Arial" w:cs="Arial" w:eastAsia="Arial" w:hAnsi="Arial"/>
                <w:sz w:val="22"/>
                <w:szCs w:val="22"/>
                <w:color w:val="auto"/>
                <w:w w:val="90"/>
              </w:rPr>
              <w:t>For</w:t>
            </w:r>
          </w:p>
        </w:tc>
        <w:tc>
          <w:tcPr>
            <w:tcW w:w="1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80" w:type="dxa"/>
            <w:vAlign w:val="bottom"/>
          </w:tcPr>
          <w:p>
            <w:pPr>
              <w:jc w:val="center"/>
              <w:spacing w:after="0"/>
              <w:rPr>
                <w:sz w:val="20"/>
                <w:szCs w:val="20"/>
                <w:color w:val="auto"/>
              </w:rPr>
            </w:pPr>
            <w:r>
              <w:rPr>
                <w:rFonts w:ascii="Arial" w:cs="Arial" w:eastAsia="Arial" w:hAnsi="Arial"/>
                <w:sz w:val="22"/>
                <w:szCs w:val="22"/>
                <w:color w:val="auto"/>
                <w:w w:val="92"/>
              </w:rPr>
              <w:t>Against</w:t>
            </w:r>
          </w:p>
        </w:tc>
        <w:tc>
          <w:tcPr>
            <w:tcW w:w="1040" w:type="dxa"/>
            <w:vAlign w:val="bottom"/>
          </w:tcPr>
          <w:p>
            <w:pPr>
              <w:spacing w:after="0"/>
              <w:rPr>
                <w:sz w:val="21"/>
                <w:szCs w:val="21"/>
                <w:color w:val="auto"/>
              </w:rPr>
            </w:pPr>
          </w:p>
        </w:tc>
        <w:tc>
          <w:tcPr>
            <w:tcW w:w="1760" w:type="dxa"/>
            <w:vAlign w:val="bottom"/>
            <w:gridSpan w:val="3"/>
          </w:tcPr>
          <w:p>
            <w:pPr>
              <w:jc w:val="center"/>
              <w:ind w:left="792"/>
              <w:spacing w:after="0"/>
              <w:rPr>
                <w:sz w:val="20"/>
                <w:szCs w:val="20"/>
                <w:color w:val="auto"/>
              </w:rPr>
            </w:pPr>
            <w:r>
              <w:rPr>
                <w:rFonts w:ascii="Arial" w:cs="Arial" w:eastAsia="Arial" w:hAnsi="Arial"/>
                <w:sz w:val="22"/>
                <w:szCs w:val="22"/>
                <w:color w:val="auto"/>
                <w:w w:val="89"/>
              </w:rPr>
              <w:t>Abstain</w:t>
            </w:r>
          </w:p>
        </w:tc>
      </w:tr>
      <w:tr>
        <w:trPr>
          <w:trHeight w:val="20"/>
        </w:trPr>
        <w:tc>
          <w:tcPr>
            <w:tcW w:w="4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74"/>
        </w:trPr>
        <w:tc>
          <w:tcPr>
            <w:tcW w:w="1900" w:type="dxa"/>
            <w:vAlign w:val="bottom"/>
            <w:gridSpan w:val="3"/>
          </w:tcPr>
          <w:p>
            <w:pPr>
              <w:jc w:val="right"/>
              <w:ind w:right="820"/>
              <w:spacing w:after="0"/>
              <w:rPr>
                <w:sz w:val="20"/>
                <w:szCs w:val="20"/>
                <w:color w:val="auto"/>
              </w:rPr>
            </w:pPr>
            <w:r>
              <w:rPr>
                <w:rFonts w:ascii="Arial" w:cs="Arial" w:eastAsia="Arial" w:hAnsi="Arial"/>
                <w:sz w:val="22"/>
                <w:szCs w:val="22"/>
                <w:color w:val="auto"/>
                <w:w w:val="86"/>
              </w:rPr>
              <w:t>365,142,269</w:t>
            </w:r>
          </w:p>
        </w:tc>
        <w:tc>
          <w:tcPr>
            <w:tcW w:w="2700" w:type="dxa"/>
            <w:vAlign w:val="bottom"/>
            <w:gridSpan w:val="3"/>
          </w:tcPr>
          <w:p>
            <w:pPr>
              <w:jc w:val="right"/>
              <w:ind w:right="900"/>
              <w:spacing w:after="0"/>
              <w:rPr>
                <w:sz w:val="20"/>
                <w:szCs w:val="20"/>
                <w:color w:val="auto"/>
              </w:rPr>
            </w:pPr>
            <w:r>
              <w:rPr>
                <w:rFonts w:ascii="Arial" w:cs="Arial" w:eastAsia="Arial" w:hAnsi="Arial"/>
                <w:sz w:val="22"/>
                <w:szCs w:val="22"/>
                <w:color w:val="auto"/>
              </w:rPr>
              <w:t>14,601,258</w:t>
            </w:r>
          </w:p>
        </w:tc>
        <w:tc>
          <w:tcPr>
            <w:tcW w:w="1760" w:type="dxa"/>
            <w:vAlign w:val="bottom"/>
            <w:gridSpan w:val="3"/>
          </w:tcPr>
          <w:p>
            <w:pPr>
              <w:jc w:val="right"/>
              <w:spacing w:after="0"/>
              <w:rPr>
                <w:sz w:val="20"/>
                <w:szCs w:val="20"/>
                <w:color w:val="auto"/>
              </w:rPr>
            </w:pPr>
            <w:r>
              <w:rPr>
                <w:rFonts w:ascii="Arial" w:cs="Arial" w:eastAsia="Arial" w:hAnsi="Arial"/>
                <w:sz w:val="22"/>
                <w:szCs w:val="22"/>
                <w:color w:val="auto"/>
              </w:rPr>
              <w:t>4,675,313</w:t>
            </w:r>
          </w:p>
        </w:tc>
      </w:tr>
    </w:tbl>
    <w:p>
      <w:pPr>
        <w:spacing w:after="0" w:line="200" w:lineRule="exact"/>
        <w:rPr>
          <w:sz w:val="20"/>
          <w:szCs w:val="20"/>
          <w:color w:val="auto"/>
        </w:rPr>
      </w:pPr>
    </w:p>
    <w:p>
      <w:pPr>
        <w:spacing w:after="0" w:line="228"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63765"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COMCAST CORPORATION AND SUBSIDIARIES</w:t>
      </w:r>
    </w:p>
    <w:p>
      <w:pPr>
        <w:jc w:val="center"/>
        <w:spacing w:after="0" w:line="238" w:lineRule="auto"/>
        <w:rPr>
          <w:sz w:val="20"/>
          <w:szCs w:val="20"/>
          <w:color w:val="auto"/>
        </w:rPr>
      </w:pPr>
      <w:r>
        <w:rPr>
          <w:rFonts w:ascii="Arial" w:cs="Arial" w:eastAsia="Arial" w:hAnsi="Arial"/>
          <w:sz w:val="22"/>
          <w:szCs w:val="22"/>
          <w:color w:val="auto"/>
        </w:rPr>
        <w:t>FORM 10-Q</w:t>
      </w:r>
    </w:p>
    <w:p>
      <w:pPr>
        <w:jc w:val="center"/>
        <w:ind w:right="-59"/>
        <w:spacing w:after="0"/>
        <w:rPr>
          <w:sz w:val="20"/>
          <w:szCs w:val="20"/>
          <w:color w:val="auto"/>
        </w:rPr>
      </w:pPr>
      <w:r>
        <w:rPr>
          <w:rFonts w:ascii="Arial" w:cs="Arial" w:eastAsia="Arial" w:hAnsi="Arial"/>
          <w:sz w:val="22"/>
          <w:szCs w:val="22"/>
          <w:color w:val="auto"/>
        </w:rPr>
        <w:t>QUARTER ENDED JUNE 30, 2004</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22"/>
          <w:szCs w:val="22"/>
          <w:color w:val="auto"/>
        </w:rPr>
        <w:t>To approve a shareholder proposal to have independent directors constitute two-thirds of our Board of Directors.</w:t>
      </w:r>
    </w:p>
    <w:p>
      <w:pPr>
        <w:spacing w:after="0" w:line="204" w:lineRule="exact"/>
        <w:rPr>
          <w:sz w:val="20"/>
          <w:szCs w:val="20"/>
          <w:color w:val="auto"/>
        </w:rPr>
      </w:pPr>
    </w:p>
    <w:tbl>
      <w:tblPr>
        <w:tblLayout w:type="fixed"/>
        <w:tblInd w:w="860" w:type="dxa"/>
        <w:tblCellMar>
          <w:top w:w="0" w:type="dxa"/>
          <w:left w:w="0" w:type="dxa"/>
          <w:bottom w:w="0" w:type="dxa"/>
          <w:right w:w="0" w:type="dxa"/>
        </w:tblCellMar>
      </w:tblPr>
      <w:tr>
        <w:trPr>
          <w:trHeight w:val="253"/>
        </w:trPr>
        <w:tc>
          <w:tcPr>
            <w:tcW w:w="340" w:type="dxa"/>
            <w:vAlign w:val="bottom"/>
          </w:tcPr>
          <w:p>
            <w:pPr>
              <w:spacing w:after="0"/>
              <w:rPr>
                <w:sz w:val="21"/>
                <w:szCs w:val="21"/>
                <w:color w:val="auto"/>
              </w:rPr>
            </w:pPr>
          </w:p>
        </w:tc>
        <w:tc>
          <w:tcPr>
            <w:tcW w:w="300" w:type="dxa"/>
            <w:vAlign w:val="bottom"/>
          </w:tcPr>
          <w:p>
            <w:pPr>
              <w:jc w:val="center"/>
              <w:spacing w:after="0"/>
              <w:rPr>
                <w:sz w:val="20"/>
                <w:szCs w:val="20"/>
                <w:color w:val="auto"/>
              </w:rPr>
            </w:pPr>
            <w:r>
              <w:rPr>
                <w:rFonts w:ascii="Arial" w:cs="Arial" w:eastAsia="Arial" w:hAnsi="Arial"/>
                <w:sz w:val="22"/>
                <w:szCs w:val="22"/>
                <w:color w:val="auto"/>
                <w:w w:val="90"/>
              </w:rPr>
              <w:t>For</w:t>
            </w:r>
          </w:p>
        </w:tc>
        <w:tc>
          <w:tcPr>
            <w:tcW w:w="1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80" w:type="dxa"/>
            <w:vAlign w:val="bottom"/>
          </w:tcPr>
          <w:p>
            <w:pPr>
              <w:jc w:val="center"/>
              <w:spacing w:after="0"/>
              <w:rPr>
                <w:sz w:val="20"/>
                <w:szCs w:val="20"/>
                <w:color w:val="auto"/>
              </w:rPr>
            </w:pPr>
            <w:r>
              <w:rPr>
                <w:rFonts w:ascii="Arial" w:cs="Arial" w:eastAsia="Arial" w:hAnsi="Arial"/>
                <w:sz w:val="22"/>
                <w:szCs w:val="22"/>
                <w:color w:val="auto"/>
                <w:w w:val="92"/>
              </w:rPr>
              <w:t>Against</w:t>
            </w:r>
          </w:p>
        </w:tc>
        <w:tc>
          <w:tcPr>
            <w:tcW w:w="1080" w:type="dxa"/>
            <w:vAlign w:val="bottom"/>
          </w:tcPr>
          <w:p>
            <w:pPr>
              <w:spacing w:after="0"/>
              <w:rPr>
                <w:sz w:val="21"/>
                <w:szCs w:val="21"/>
                <w:color w:val="auto"/>
              </w:rPr>
            </w:pPr>
          </w:p>
        </w:tc>
        <w:tc>
          <w:tcPr>
            <w:tcW w:w="1720" w:type="dxa"/>
            <w:vAlign w:val="bottom"/>
            <w:gridSpan w:val="3"/>
          </w:tcPr>
          <w:p>
            <w:pPr>
              <w:jc w:val="center"/>
              <w:ind w:left="752"/>
              <w:spacing w:after="0"/>
              <w:rPr>
                <w:sz w:val="20"/>
                <w:szCs w:val="20"/>
                <w:color w:val="auto"/>
              </w:rPr>
            </w:pPr>
            <w:r>
              <w:rPr>
                <w:rFonts w:ascii="Arial" w:cs="Arial" w:eastAsia="Arial" w:hAnsi="Arial"/>
                <w:sz w:val="22"/>
                <w:szCs w:val="22"/>
                <w:color w:val="auto"/>
                <w:w w:val="89"/>
              </w:rPr>
              <w:t>Abstain</w:t>
            </w:r>
          </w:p>
        </w:tc>
      </w:tr>
      <w:tr>
        <w:trPr>
          <w:trHeight w:val="20"/>
        </w:trPr>
        <w:tc>
          <w:tcPr>
            <w:tcW w:w="3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74"/>
        </w:trPr>
        <w:tc>
          <w:tcPr>
            <w:tcW w:w="1800" w:type="dxa"/>
            <w:vAlign w:val="bottom"/>
            <w:gridSpan w:val="3"/>
          </w:tcPr>
          <w:p>
            <w:pPr>
              <w:jc w:val="right"/>
              <w:ind w:right="820"/>
              <w:spacing w:after="0"/>
              <w:rPr>
                <w:sz w:val="20"/>
                <w:szCs w:val="20"/>
                <w:color w:val="auto"/>
              </w:rPr>
            </w:pPr>
            <w:r>
              <w:rPr>
                <w:rFonts w:ascii="Arial" w:cs="Arial" w:eastAsia="Arial" w:hAnsi="Arial"/>
                <w:sz w:val="22"/>
                <w:szCs w:val="22"/>
                <w:color w:val="auto"/>
                <w:w w:val="87"/>
              </w:rPr>
              <w:t>85,955,317</w:t>
            </w:r>
          </w:p>
        </w:tc>
        <w:tc>
          <w:tcPr>
            <w:tcW w:w="2780" w:type="dxa"/>
            <w:vAlign w:val="bottom"/>
            <w:gridSpan w:val="3"/>
          </w:tcPr>
          <w:p>
            <w:pPr>
              <w:jc w:val="right"/>
              <w:ind w:right="880"/>
              <w:spacing w:after="0"/>
              <w:rPr>
                <w:sz w:val="20"/>
                <w:szCs w:val="20"/>
                <w:color w:val="auto"/>
              </w:rPr>
            </w:pPr>
            <w:r>
              <w:rPr>
                <w:rFonts w:ascii="Arial" w:cs="Arial" w:eastAsia="Arial" w:hAnsi="Arial"/>
                <w:sz w:val="22"/>
                <w:szCs w:val="22"/>
                <w:color w:val="auto"/>
              </w:rPr>
              <w:t>256,518,690</w:t>
            </w:r>
          </w:p>
        </w:tc>
        <w:tc>
          <w:tcPr>
            <w:tcW w:w="1720" w:type="dxa"/>
            <w:vAlign w:val="bottom"/>
            <w:gridSpan w:val="3"/>
          </w:tcPr>
          <w:p>
            <w:pPr>
              <w:jc w:val="right"/>
              <w:spacing w:after="0"/>
              <w:rPr>
                <w:sz w:val="20"/>
                <w:szCs w:val="20"/>
                <w:color w:val="auto"/>
              </w:rPr>
            </w:pPr>
            <w:r>
              <w:rPr>
                <w:rFonts w:ascii="Arial" w:cs="Arial" w:eastAsia="Arial" w:hAnsi="Arial"/>
                <w:sz w:val="22"/>
                <w:szCs w:val="22"/>
                <w:color w:val="auto"/>
              </w:rPr>
              <w:t>3,547,836</w:t>
            </w:r>
          </w:p>
        </w:tc>
      </w:tr>
    </w:tbl>
    <w:p>
      <w:pPr>
        <w:sectPr>
          <w:pgSz w:w="11900" w:h="16838" w:orient="portrait"/>
          <w:cols w:equalWidth="0" w:num="1">
            <w:col w:w="11380"/>
          </w:cols>
          <w:pgMar w:left="240" w:top="108" w:right="279" w:bottom="66" w:gutter="0" w:footer="0" w:header="0"/>
        </w:sectPr>
      </w:pPr>
    </w:p>
    <w:bookmarkStart w:id="34" w:name="page35"/>
    <w:bookmarkEnd w:id="34"/>
    <w:p>
      <w:pPr>
        <w:spacing w:after="0" w:line="53" w:lineRule="exact"/>
        <w:rPr>
          <w:sz w:val="20"/>
          <w:szCs w:val="20"/>
          <w:color w:val="auto"/>
        </w:rPr>
      </w:pPr>
    </w:p>
    <w:p>
      <w:pPr>
        <w:ind w:left="440"/>
        <w:spacing w:after="0"/>
        <w:rPr>
          <w:sz w:val="20"/>
          <w:szCs w:val="20"/>
          <w:color w:val="auto"/>
        </w:rPr>
      </w:pPr>
      <w:r>
        <w:rPr>
          <w:rFonts w:ascii="Arial" w:cs="Arial" w:eastAsia="Arial" w:hAnsi="Arial"/>
          <w:sz w:val="22"/>
          <w:szCs w:val="22"/>
          <w:color w:val="auto"/>
        </w:rPr>
        <w:t>To approve a shareholder proposal to disclose political contributions.</w:t>
      </w:r>
    </w:p>
    <w:p>
      <w:pPr>
        <w:spacing w:after="0" w:line="178" w:lineRule="exact"/>
        <w:rPr>
          <w:sz w:val="20"/>
          <w:szCs w:val="20"/>
          <w:color w:val="auto"/>
        </w:rPr>
      </w:pPr>
    </w:p>
    <w:tbl>
      <w:tblPr>
        <w:tblLayout w:type="fixed"/>
        <w:tblInd w:w="860" w:type="dxa"/>
        <w:tblCellMar>
          <w:top w:w="0" w:type="dxa"/>
          <w:left w:w="0" w:type="dxa"/>
          <w:bottom w:w="0" w:type="dxa"/>
          <w:right w:w="0" w:type="dxa"/>
        </w:tblCellMar>
      </w:tblPr>
      <w:tr>
        <w:trPr>
          <w:trHeight w:val="253"/>
        </w:trPr>
        <w:tc>
          <w:tcPr>
            <w:tcW w:w="340" w:type="dxa"/>
            <w:vAlign w:val="bottom"/>
          </w:tcPr>
          <w:p>
            <w:pPr>
              <w:spacing w:after="0"/>
              <w:rPr>
                <w:sz w:val="21"/>
                <w:szCs w:val="21"/>
                <w:color w:val="auto"/>
              </w:rPr>
            </w:pPr>
          </w:p>
        </w:tc>
        <w:tc>
          <w:tcPr>
            <w:tcW w:w="300" w:type="dxa"/>
            <w:vAlign w:val="bottom"/>
          </w:tcPr>
          <w:p>
            <w:pPr>
              <w:jc w:val="center"/>
              <w:spacing w:after="0"/>
              <w:rPr>
                <w:sz w:val="20"/>
                <w:szCs w:val="20"/>
                <w:color w:val="auto"/>
              </w:rPr>
            </w:pPr>
            <w:r>
              <w:rPr>
                <w:rFonts w:ascii="Arial" w:cs="Arial" w:eastAsia="Arial" w:hAnsi="Arial"/>
                <w:sz w:val="22"/>
                <w:szCs w:val="22"/>
                <w:color w:val="auto"/>
                <w:w w:val="90"/>
              </w:rPr>
              <w:t>For</w:t>
            </w:r>
          </w:p>
        </w:tc>
        <w:tc>
          <w:tcPr>
            <w:tcW w:w="1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80" w:type="dxa"/>
            <w:vAlign w:val="bottom"/>
          </w:tcPr>
          <w:p>
            <w:pPr>
              <w:jc w:val="center"/>
              <w:spacing w:after="0"/>
              <w:rPr>
                <w:sz w:val="20"/>
                <w:szCs w:val="20"/>
                <w:color w:val="auto"/>
              </w:rPr>
            </w:pPr>
            <w:r>
              <w:rPr>
                <w:rFonts w:ascii="Arial" w:cs="Arial" w:eastAsia="Arial" w:hAnsi="Arial"/>
                <w:sz w:val="22"/>
                <w:szCs w:val="22"/>
                <w:color w:val="auto"/>
                <w:w w:val="92"/>
              </w:rPr>
              <w:t>Against</w:t>
            </w:r>
          </w:p>
        </w:tc>
        <w:tc>
          <w:tcPr>
            <w:tcW w:w="1040" w:type="dxa"/>
            <w:vAlign w:val="bottom"/>
          </w:tcPr>
          <w:p>
            <w:pPr>
              <w:spacing w:after="0"/>
              <w:rPr>
                <w:sz w:val="21"/>
                <w:szCs w:val="21"/>
                <w:color w:val="auto"/>
              </w:rPr>
            </w:pPr>
          </w:p>
        </w:tc>
        <w:tc>
          <w:tcPr>
            <w:tcW w:w="1820" w:type="dxa"/>
            <w:vAlign w:val="bottom"/>
            <w:gridSpan w:val="3"/>
          </w:tcPr>
          <w:p>
            <w:pPr>
              <w:jc w:val="center"/>
              <w:ind w:left="732"/>
              <w:spacing w:after="0"/>
              <w:rPr>
                <w:sz w:val="20"/>
                <w:szCs w:val="20"/>
                <w:color w:val="auto"/>
              </w:rPr>
            </w:pPr>
            <w:r>
              <w:rPr>
                <w:rFonts w:ascii="Arial" w:cs="Arial" w:eastAsia="Arial" w:hAnsi="Arial"/>
                <w:sz w:val="22"/>
                <w:szCs w:val="22"/>
                <w:color w:val="auto"/>
                <w:w w:val="89"/>
              </w:rPr>
              <w:t>Abstain</w:t>
            </w:r>
          </w:p>
        </w:tc>
      </w:tr>
      <w:tr>
        <w:trPr>
          <w:trHeight w:val="20"/>
        </w:trPr>
        <w:tc>
          <w:tcPr>
            <w:tcW w:w="3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74"/>
        </w:trPr>
        <w:tc>
          <w:tcPr>
            <w:tcW w:w="1800" w:type="dxa"/>
            <w:vAlign w:val="bottom"/>
            <w:gridSpan w:val="3"/>
          </w:tcPr>
          <w:p>
            <w:pPr>
              <w:jc w:val="right"/>
              <w:ind w:right="820"/>
              <w:spacing w:after="0"/>
              <w:rPr>
                <w:sz w:val="20"/>
                <w:szCs w:val="20"/>
                <w:color w:val="auto"/>
              </w:rPr>
            </w:pPr>
            <w:r>
              <w:rPr>
                <w:rFonts w:ascii="Arial" w:cs="Arial" w:eastAsia="Arial" w:hAnsi="Arial"/>
                <w:sz w:val="22"/>
                <w:szCs w:val="22"/>
                <w:color w:val="auto"/>
                <w:w w:val="87"/>
              </w:rPr>
              <w:t>14,881,932</w:t>
            </w:r>
          </w:p>
        </w:tc>
        <w:tc>
          <w:tcPr>
            <w:tcW w:w="2740" w:type="dxa"/>
            <w:vAlign w:val="bottom"/>
            <w:gridSpan w:val="3"/>
          </w:tcPr>
          <w:p>
            <w:pPr>
              <w:jc w:val="right"/>
              <w:ind w:right="840"/>
              <w:spacing w:after="0"/>
              <w:rPr>
                <w:sz w:val="20"/>
                <w:szCs w:val="20"/>
                <w:color w:val="auto"/>
              </w:rPr>
            </w:pPr>
            <w:r>
              <w:rPr>
                <w:rFonts w:ascii="Arial" w:cs="Arial" w:eastAsia="Arial" w:hAnsi="Arial"/>
                <w:sz w:val="22"/>
                <w:szCs w:val="22"/>
                <w:color w:val="auto"/>
              </w:rPr>
              <w:t>310,703,163</w:t>
            </w:r>
          </w:p>
        </w:tc>
        <w:tc>
          <w:tcPr>
            <w:tcW w:w="1820" w:type="dxa"/>
            <w:vAlign w:val="bottom"/>
            <w:gridSpan w:val="3"/>
          </w:tcPr>
          <w:p>
            <w:pPr>
              <w:jc w:val="right"/>
              <w:spacing w:after="0"/>
              <w:rPr>
                <w:sz w:val="20"/>
                <w:szCs w:val="20"/>
                <w:color w:val="auto"/>
              </w:rPr>
            </w:pPr>
            <w:r>
              <w:rPr>
                <w:rFonts w:ascii="Arial" w:cs="Arial" w:eastAsia="Arial" w:hAnsi="Arial"/>
                <w:sz w:val="22"/>
                <w:szCs w:val="22"/>
                <w:color w:val="auto"/>
              </w:rPr>
              <w:t>20,436,748</w:t>
            </w:r>
          </w:p>
        </w:tc>
      </w:tr>
    </w:tbl>
    <w:p>
      <w:pPr>
        <w:spacing w:after="0" w:line="212" w:lineRule="exact"/>
        <w:rPr>
          <w:sz w:val="20"/>
          <w:szCs w:val="20"/>
          <w:color w:val="auto"/>
        </w:rPr>
      </w:pPr>
    </w:p>
    <w:p>
      <w:pPr>
        <w:ind w:left="460"/>
        <w:spacing w:after="0"/>
        <w:rPr>
          <w:sz w:val="20"/>
          <w:szCs w:val="20"/>
          <w:color w:val="auto"/>
        </w:rPr>
      </w:pPr>
      <w:r>
        <w:rPr>
          <w:rFonts w:ascii="Arial" w:cs="Arial" w:eastAsia="Arial" w:hAnsi="Arial"/>
          <w:sz w:val="22"/>
          <w:szCs w:val="22"/>
          <w:color w:val="auto"/>
        </w:rPr>
        <w:t>To approve a shareholder proposal to nominate two directors for every open directorship.</w:t>
      </w:r>
    </w:p>
    <w:p>
      <w:pPr>
        <w:spacing w:after="0" w:line="204" w:lineRule="exact"/>
        <w:rPr>
          <w:sz w:val="20"/>
          <w:szCs w:val="20"/>
          <w:color w:val="auto"/>
        </w:rPr>
      </w:pPr>
    </w:p>
    <w:tbl>
      <w:tblPr>
        <w:tblLayout w:type="fixed"/>
        <w:tblInd w:w="860" w:type="dxa"/>
        <w:tblCellMar>
          <w:top w:w="0" w:type="dxa"/>
          <w:left w:w="0" w:type="dxa"/>
          <w:bottom w:w="0" w:type="dxa"/>
          <w:right w:w="0" w:type="dxa"/>
        </w:tblCellMar>
      </w:tblPr>
      <w:tr>
        <w:trPr>
          <w:trHeight w:val="253"/>
        </w:trPr>
        <w:tc>
          <w:tcPr>
            <w:tcW w:w="340" w:type="dxa"/>
            <w:vAlign w:val="bottom"/>
          </w:tcPr>
          <w:p>
            <w:pPr>
              <w:spacing w:after="0"/>
              <w:rPr>
                <w:sz w:val="21"/>
                <w:szCs w:val="21"/>
                <w:color w:val="auto"/>
              </w:rPr>
            </w:pPr>
          </w:p>
        </w:tc>
        <w:tc>
          <w:tcPr>
            <w:tcW w:w="300" w:type="dxa"/>
            <w:vAlign w:val="bottom"/>
          </w:tcPr>
          <w:p>
            <w:pPr>
              <w:jc w:val="center"/>
              <w:spacing w:after="0"/>
              <w:rPr>
                <w:sz w:val="20"/>
                <w:szCs w:val="20"/>
                <w:color w:val="auto"/>
              </w:rPr>
            </w:pPr>
            <w:r>
              <w:rPr>
                <w:rFonts w:ascii="Arial" w:cs="Arial" w:eastAsia="Arial" w:hAnsi="Arial"/>
                <w:sz w:val="22"/>
                <w:szCs w:val="22"/>
                <w:color w:val="auto"/>
                <w:w w:val="90"/>
              </w:rPr>
              <w:t>For</w:t>
            </w:r>
          </w:p>
        </w:tc>
        <w:tc>
          <w:tcPr>
            <w:tcW w:w="1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80" w:type="dxa"/>
            <w:vAlign w:val="bottom"/>
          </w:tcPr>
          <w:p>
            <w:pPr>
              <w:jc w:val="center"/>
              <w:spacing w:after="0"/>
              <w:rPr>
                <w:sz w:val="20"/>
                <w:szCs w:val="20"/>
                <w:color w:val="auto"/>
              </w:rPr>
            </w:pPr>
            <w:r>
              <w:rPr>
                <w:rFonts w:ascii="Arial" w:cs="Arial" w:eastAsia="Arial" w:hAnsi="Arial"/>
                <w:sz w:val="22"/>
                <w:szCs w:val="22"/>
                <w:color w:val="auto"/>
                <w:w w:val="92"/>
              </w:rPr>
              <w:t>Against</w:t>
            </w:r>
          </w:p>
        </w:tc>
        <w:tc>
          <w:tcPr>
            <w:tcW w:w="1080" w:type="dxa"/>
            <w:vAlign w:val="bottom"/>
          </w:tcPr>
          <w:p>
            <w:pPr>
              <w:spacing w:after="0"/>
              <w:rPr>
                <w:sz w:val="21"/>
                <w:szCs w:val="21"/>
                <w:color w:val="auto"/>
              </w:rPr>
            </w:pPr>
          </w:p>
        </w:tc>
        <w:tc>
          <w:tcPr>
            <w:tcW w:w="1720" w:type="dxa"/>
            <w:vAlign w:val="bottom"/>
            <w:gridSpan w:val="3"/>
          </w:tcPr>
          <w:p>
            <w:pPr>
              <w:jc w:val="center"/>
              <w:ind w:left="752"/>
              <w:spacing w:after="0"/>
              <w:rPr>
                <w:sz w:val="20"/>
                <w:szCs w:val="20"/>
                <w:color w:val="auto"/>
              </w:rPr>
            </w:pPr>
            <w:r>
              <w:rPr>
                <w:rFonts w:ascii="Arial" w:cs="Arial" w:eastAsia="Arial" w:hAnsi="Arial"/>
                <w:sz w:val="22"/>
                <w:szCs w:val="22"/>
                <w:color w:val="auto"/>
                <w:w w:val="89"/>
              </w:rPr>
              <w:t>Abstain</w:t>
            </w:r>
          </w:p>
        </w:tc>
      </w:tr>
      <w:tr>
        <w:trPr>
          <w:trHeight w:val="20"/>
        </w:trPr>
        <w:tc>
          <w:tcPr>
            <w:tcW w:w="3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74"/>
        </w:trPr>
        <w:tc>
          <w:tcPr>
            <w:tcW w:w="1800" w:type="dxa"/>
            <w:vAlign w:val="bottom"/>
            <w:gridSpan w:val="3"/>
          </w:tcPr>
          <w:p>
            <w:pPr>
              <w:jc w:val="right"/>
              <w:ind w:right="820"/>
              <w:spacing w:after="0"/>
              <w:rPr>
                <w:sz w:val="20"/>
                <w:szCs w:val="20"/>
                <w:color w:val="auto"/>
              </w:rPr>
            </w:pPr>
            <w:r>
              <w:rPr>
                <w:rFonts w:ascii="Arial" w:cs="Arial" w:eastAsia="Arial" w:hAnsi="Arial"/>
                <w:sz w:val="22"/>
                <w:szCs w:val="22"/>
                <w:color w:val="auto"/>
                <w:w w:val="87"/>
              </w:rPr>
              <w:t>20,742,968</w:t>
            </w:r>
          </w:p>
        </w:tc>
        <w:tc>
          <w:tcPr>
            <w:tcW w:w="2780" w:type="dxa"/>
            <w:vAlign w:val="bottom"/>
            <w:gridSpan w:val="3"/>
          </w:tcPr>
          <w:p>
            <w:pPr>
              <w:jc w:val="right"/>
              <w:ind w:right="880"/>
              <w:spacing w:after="0"/>
              <w:rPr>
                <w:sz w:val="20"/>
                <w:szCs w:val="20"/>
                <w:color w:val="auto"/>
              </w:rPr>
            </w:pPr>
            <w:r>
              <w:rPr>
                <w:rFonts w:ascii="Arial" w:cs="Arial" w:eastAsia="Arial" w:hAnsi="Arial"/>
                <w:sz w:val="22"/>
                <w:szCs w:val="22"/>
                <w:color w:val="auto"/>
              </w:rPr>
              <w:t>321,538,971</w:t>
            </w:r>
          </w:p>
        </w:tc>
        <w:tc>
          <w:tcPr>
            <w:tcW w:w="1720" w:type="dxa"/>
            <w:vAlign w:val="bottom"/>
            <w:gridSpan w:val="3"/>
          </w:tcPr>
          <w:p>
            <w:pPr>
              <w:jc w:val="right"/>
              <w:spacing w:after="0"/>
              <w:rPr>
                <w:sz w:val="20"/>
                <w:szCs w:val="20"/>
                <w:color w:val="auto"/>
              </w:rPr>
            </w:pPr>
            <w:r>
              <w:rPr>
                <w:rFonts w:ascii="Arial" w:cs="Arial" w:eastAsia="Arial" w:hAnsi="Arial"/>
                <w:sz w:val="22"/>
                <w:szCs w:val="22"/>
                <w:color w:val="auto"/>
              </w:rPr>
              <w:t>3,739,904</w:t>
            </w:r>
          </w:p>
        </w:tc>
      </w:tr>
    </w:tbl>
    <w:p>
      <w:pPr>
        <w:spacing w:after="0" w:line="212" w:lineRule="exact"/>
        <w:rPr>
          <w:sz w:val="20"/>
          <w:szCs w:val="20"/>
          <w:color w:val="auto"/>
        </w:rPr>
      </w:pPr>
    </w:p>
    <w:p>
      <w:pPr>
        <w:ind w:left="460"/>
        <w:spacing w:after="0"/>
        <w:rPr>
          <w:sz w:val="20"/>
          <w:szCs w:val="20"/>
          <w:color w:val="auto"/>
        </w:rPr>
      </w:pPr>
      <w:r>
        <w:rPr>
          <w:rFonts w:ascii="Arial" w:cs="Arial" w:eastAsia="Arial" w:hAnsi="Arial"/>
          <w:sz w:val="22"/>
          <w:szCs w:val="22"/>
          <w:color w:val="auto"/>
        </w:rPr>
        <w:t>To approve a shareholder proposal to limit compensation for senior executives.</w:t>
      </w:r>
    </w:p>
    <w:p>
      <w:pPr>
        <w:spacing w:after="0" w:line="204" w:lineRule="exact"/>
        <w:rPr>
          <w:sz w:val="20"/>
          <w:szCs w:val="20"/>
          <w:color w:val="auto"/>
        </w:rPr>
      </w:pPr>
    </w:p>
    <w:tbl>
      <w:tblPr>
        <w:tblLayout w:type="fixed"/>
        <w:tblInd w:w="860" w:type="dxa"/>
        <w:tblCellMar>
          <w:top w:w="0" w:type="dxa"/>
          <w:left w:w="0" w:type="dxa"/>
          <w:bottom w:w="0" w:type="dxa"/>
          <w:right w:w="0" w:type="dxa"/>
        </w:tblCellMar>
      </w:tblPr>
      <w:tr>
        <w:trPr>
          <w:trHeight w:val="253"/>
        </w:trPr>
        <w:tc>
          <w:tcPr>
            <w:tcW w:w="340" w:type="dxa"/>
            <w:vAlign w:val="bottom"/>
          </w:tcPr>
          <w:p>
            <w:pPr>
              <w:spacing w:after="0"/>
              <w:rPr>
                <w:sz w:val="21"/>
                <w:szCs w:val="21"/>
                <w:color w:val="auto"/>
              </w:rPr>
            </w:pPr>
          </w:p>
        </w:tc>
        <w:tc>
          <w:tcPr>
            <w:tcW w:w="300" w:type="dxa"/>
            <w:vAlign w:val="bottom"/>
          </w:tcPr>
          <w:p>
            <w:pPr>
              <w:jc w:val="center"/>
              <w:spacing w:after="0"/>
              <w:rPr>
                <w:sz w:val="20"/>
                <w:szCs w:val="20"/>
                <w:color w:val="auto"/>
              </w:rPr>
            </w:pPr>
            <w:r>
              <w:rPr>
                <w:rFonts w:ascii="Arial" w:cs="Arial" w:eastAsia="Arial" w:hAnsi="Arial"/>
                <w:sz w:val="22"/>
                <w:szCs w:val="22"/>
                <w:color w:val="auto"/>
                <w:w w:val="90"/>
              </w:rPr>
              <w:t>For</w:t>
            </w:r>
          </w:p>
        </w:tc>
        <w:tc>
          <w:tcPr>
            <w:tcW w:w="1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80" w:type="dxa"/>
            <w:vAlign w:val="bottom"/>
          </w:tcPr>
          <w:p>
            <w:pPr>
              <w:jc w:val="center"/>
              <w:spacing w:after="0"/>
              <w:rPr>
                <w:sz w:val="20"/>
                <w:szCs w:val="20"/>
                <w:color w:val="auto"/>
              </w:rPr>
            </w:pPr>
            <w:r>
              <w:rPr>
                <w:rFonts w:ascii="Arial" w:cs="Arial" w:eastAsia="Arial" w:hAnsi="Arial"/>
                <w:sz w:val="22"/>
                <w:szCs w:val="22"/>
                <w:color w:val="auto"/>
                <w:w w:val="92"/>
              </w:rPr>
              <w:t>Against</w:t>
            </w:r>
          </w:p>
        </w:tc>
        <w:tc>
          <w:tcPr>
            <w:tcW w:w="1080" w:type="dxa"/>
            <w:vAlign w:val="bottom"/>
          </w:tcPr>
          <w:p>
            <w:pPr>
              <w:spacing w:after="0"/>
              <w:rPr>
                <w:sz w:val="21"/>
                <w:szCs w:val="21"/>
                <w:color w:val="auto"/>
              </w:rPr>
            </w:pPr>
          </w:p>
        </w:tc>
        <w:tc>
          <w:tcPr>
            <w:tcW w:w="1720" w:type="dxa"/>
            <w:vAlign w:val="bottom"/>
            <w:gridSpan w:val="3"/>
          </w:tcPr>
          <w:p>
            <w:pPr>
              <w:jc w:val="center"/>
              <w:ind w:left="752"/>
              <w:spacing w:after="0"/>
              <w:rPr>
                <w:sz w:val="20"/>
                <w:szCs w:val="20"/>
                <w:color w:val="auto"/>
              </w:rPr>
            </w:pPr>
            <w:r>
              <w:rPr>
                <w:rFonts w:ascii="Arial" w:cs="Arial" w:eastAsia="Arial" w:hAnsi="Arial"/>
                <w:sz w:val="22"/>
                <w:szCs w:val="22"/>
                <w:color w:val="auto"/>
                <w:w w:val="89"/>
              </w:rPr>
              <w:t>Abstain</w:t>
            </w:r>
          </w:p>
        </w:tc>
      </w:tr>
      <w:tr>
        <w:trPr>
          <w:trHeight w:val="20"/>
        </w:trPr>
        <w:tc>
          <w:tcPr>
            <w:tcW w:w="3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74"/>
        </w:trPr>
        <w:tc>
          <w:tcPr>
            <w:tcW w:w="1800" w:type="dxa"/>
            <w:vAlign w:val="bottom"/>
            <w:gridSpan w:val="3"/>
          </w:tcPr>
          <w:p>
            <w:pPr>
              <w:jc w:val="right"/>
              <w:ind w:right="820"/>
              <w:spacing w:after="0"/>
              <w:rPr>
                <w:sz w:val="20"/>
                <w:szCs w:val="20"/>
                <w:color w:val="auto"/>
              </w:rPr>
            </w:pPr>
            <w:r>
              <w:rPr>
                <w:rFonts w:ascii="Arial" w:cs="Arial" w:eastAsia="Arial" w:hAnsi="Arial"/>
                <w:sz w:val="22"/>
                <w:szCs w:val="22"/>
                <w:color w:val="auto"/>
                <w:w w:val="87"/>
              </w:rPr>
              <w:t>17,476,392</w:t>
            </w:r>
          </w:p>
        </w:tc>
        <w:tc>
          <w:tcPr>
            <w:tcW w:w="2780" w:type="dxa"/>
            <w:vAlign w:val="bottom"/>
            <w:gridSpan w:val="3"/>
          </w:tcPr>
          <w:p>
            <w:pPr>
              <w:jc w:val="right"/>
              <w:ind w:right="880"/>
              <w:spacing w:after="0"/>
              <w:rPr>
                <w:sz w:val="20"/>
                <w:szCs w:val="20"/>
                <w:color w:val="auto"/>
              </w:rPr>
            </w:pPr>
            <w:r>
              <w:rPr>
                <w:rFonts w:ascii="Arial" w:cs="Arial" w:eastAsia="Arial" w:hAnsi="Arial"/>
                <w:sz w:val="22"/>
                <w:szCs w:val="22"/>
                <w:color w:val="auto"/>
              </w:rPr>
              <w:t>324,942,538</w:t>
            </w:r>
          </w:p>
        </w:tc>
        <w:tc>
          <w:tcPr>
            <w:tcW w:w="1720" w:type="dxa"/>
            <w:vAlign w:val="bottom"/>
            <w:gridSpan w:val="3"/>
          </w:tcPr>
          <w:p>
            <w:pPr>
              <w:jc w:val="right"/>
              <w:spacing w:after="0"/>
              <w:rPr>
                <w:sz w:val="20"/>
                <w:szCs w:val="20"/>
                <w:color w:val="auto"/>
              </w:rPr>
            </w:pPr>
            <w:r>
              <w:rPr>
                <w:rFonts w:ascii="Arial" w:cs="Arial" w:eastAsia="Arial" w:hAnsi="Arial"/>
                <w:sz w:val="22"/>
                <w:szCs w:val="22"/>
                <w:color w:val="auto"/>
              </w:rPr>
              <w:t>3,602,913</w:t>
            </w:r>
          </w:p>
        </w:tc>
      </w:tr>
    </w:tbl>
    <w:p>
      <w:pPr>
        <w:spacing w:after="0" w:line="212" w:lineRule="exact"/>
        <w:rPr>
          <w:sz w:val="20"/>
          <w:szCs w:val="20"/>
          <w:color w:val="auto"/>
        </w:rPr>
      </w:pPr>
    </w:p>
    <w:p>
      <w:pPr>
        <w:ind w:left="460"/>
        <w:spacing w:after="0"/>
        <w:rPr>
          <w:sz w:val="20"/>
          <w:szCs w:val="20"/>
          <w:color w:val="auto"/>
        </w:rPr>
      </w:pPr>
      <w:r>
        <w:rPr>
          <w:rFonts w:ascii="Arial" w:cs="Arial" w:eastAsia="Arial" w:hAnsi="Arial"/>
          <w:sz w:val="22"/>
          <w:szCs w:val="22"/>
          <w:color w:val="auto"/>
        </w:rPr>
        <w:t>To approve a shareholder proposal to adopt a recapitalization plan.</w:t>
      </w:r>
    </w:p>
    <w:p>
      <w:pPr>
        <w:spacing w:after="0" w:line="204" w:lineRule="exact"/>
        <w:rPr>
          <w:sz w:val="20"/>
          <w:szCs w:val="20"/>
          <w:color w:val="auto"/>
        </w:rPr>
      </w:pPr>
    </w:p>
    <w:tbl>
      <w:tblPr>
        <w:tblLayout w:type="fixed"/>
        <w:tblInd w:w="800" w:type="dxa"/>
        <w:tblCellMar>
          <w:top w:w="0" w:type="dxa"/>
          <w:left w:w="0" w:type="dxa"/>
          <w:bottom w:w="0" w:type="dxa"/>
          <w:right w:w="0" w:type="dxa"/>
        </w:tblCellMar>
      </w:tblPr>
      <w:tr>
        <w:trPr>
          <w:trHeight w:val="253"/>
        </w:trPr>
        <w:tc>
          <w:tcPr>
            <w:tcW w:w="400" w:type="dxa"/>
            <w:vAlign w:val="bottom"/>
          </w:tcPr>
          <w:p>
            <w:pPr>
              <w:spacing w:after="0"/>
              <w:rPr>
                <w:sz w:val="21"/>
                <w:szCs w:val="21"/>
                <w:color w:val="auto"/>
              </w:rPr>
            </w:pPr>
          </w:p>
        </w:tc>
        <w:tc>
          <w:tcPr>
            <w:tcW w:w="300" w:type="dxa"/>
            <w:vAlign w:val="bottom"/>
          </w:tcPr>
          <w:p>
            <w:pPr>
              <w:jc w:val="center"/>
              <w:spacing w:after="0"/>
              <w:rPr>
                <w:sz w:val="20"/>
                <w:szCs w:val="20"/>
                <w:color w:val="auto"/>
              </w:rPr>
            </w:pPr>
            <w:r>
              <w:rPr>
                <w:rFonts w:ascii="Arial" w:cs="Arial" w:eastAsia="Arial" w:hAnsi="Arial"/>
                <w:sz w:val="22"/>
                <w:szCs w:val="22"/>
                <w:color w:val="auto"/>
                <w:w w:val="90"/>
              </w:rPr>
              <w:t>For</w:t>
            </w:r>
          </w:p>
        </w:tc>
        <w:tc>
          <w:tcPr>
            <w:tcW w:w="11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80" w:type="dxa"/>
            <w:vAlign w:val="bottom"/>
          </w:tcPr>
          <w:p>
            <w:pPr>
              <w:jc w:val="center"/>
              <w:spacing w:after="0"/>
              <w:rPr>
                <w:sz w:val="20"/>
                <w:szCs w:val="20"/>
                <w:color w:val="auto"/>
              </w:rPr>
            </w:pPr>
            <w:r>
              <w:rPr>
                <w:rFonts w:ascii="Arial" w:cs="Arial" w:eastAsia="Arial" w:hAnsi="Arial"/>
                <w:sz w:val="22"/>
                <w:szCs w:val="22"/>
                <w:color w:val="auto"/>
                <w:w w:val="92"/>
              </w:rPr>
              <w:t>Against</w:t>
            </w:r>
          </w:p>
        </w:tc>
        <w:tc>
          <w:tcPr>
            <w:tcW w:w="1080" w:type="dxa"/>
            <w:vAlign w:val="bottom"/>
          </w:tcPr>
          <w:p>
            <w:pPr>
              <w:spacing w:after="0"/>
              <w:rPr>
                <w:sz w:val="21"/>
                <w:szCs w:val="21"/>
                <w:color w:val="auto"/>
              </w:rPr>
            </w:pPr>
          </w:p>
        </w:tc>
        <w:tc>
          <w:tcPr>
            <w:tcW w:w="1720" w:type="dxa"/>
            <w:vAlign w:val="bottom"/>
            <w:gridSpan w:val="3"/>
          </w:tcPr>
          <w:p>
            <w:pPr>
              <w:jc w:val="center"/>
              <w:ind w:left="752"/>
              <w:spacing w:after="0"/>
              <w:rPr>
                <w:sz w:val="20"/>
                <w:szCs w:val="20"/>
                <w:color w:val="auto"/>
              </w:rPr>
            </w:pPr>
            <w:r>
              <w:rPr>
                <w:rFonts w:ascii="Arial" w:cs="Arial" w:eastAsia="Arial" w:hAnsi="Arial"/>
                <w:sz w:val="22"/>
                <w:szCs w:val="22"/>
                <w:color w:val="auto"/>
                <w:w w:val="89"/>
              </w:rPr>
              <w:t>Abstain</w:t>
            </w:r>
          </w:p>
        </w:tc>
      </w:tr>
      <w:tr>
        <w:trPr>
          <w:trHeight w:val="20"/>
        </w:trPr>
        <w:tc>
          <w:tcPr>
            <w:tcW w:w="4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74"/>
        </w:trPr>
        <w:tc>
          <w:tcPr>
            <w:tcW w:w="1880" w:type="dxa"/>
            <w:vAlign w:val="bottom"/>
            <w:gridSpan w:val="3"/>
          </w:tcPr>
          <w:p>
            <w:pPr>
              <w:jc w:val="right"/>
              <w:ind w:right="800"/>
              <w:spacing w:after="0"/>
              <w:rPr>
                <w:sz w:val="20"/>
                <w:szCs w:val="20"/>
                <w:color w:val="auto"/>
              </w:rPr>
            </w:pPr>
            <w:r>
              <w:rPr>
                <w:rFonts w:ascii="Arial" w:cs="Arial" w:eastAsia="Arial" w:hAnsi="Arial"/>
                <w:sz w:val="22"/>
                <w:szCs w:val="22"/>
                <w:color w:val="auto"/>
                <w:w w:val="86"/>
              </w:rPr>
              <w:t>105,704,421</w:t>
            </w:r>
          </w:p>
        </w:tc>
        <w:tc>
          <w:tcPr>
            <w:tcW w:w="2760" w:type="dxa"/>
            <w:vAlign w:val="bottom"/>
            <w:gridSpan w:val="3"/>
          </w:tcPr>
          <w:p>
            <w:pPr>
              <w:jc w:val="right"/>
              <w:ind w:right="880"/>
              <w:spacing w:after="0"/>
              <w:rPr>
                <w:sz w:val="20"/>
                <w:szCs w:val="20"/>
                <w:color w:val="auto"/>
              </w:rPr>
            </w:pPr>
            <w:r>
              <w:rPr>
                <w:rFonts w:ascii="Arial" w:cs="Arial" w:eastAsia="Arial" w:hAnsi="Arial"/>
                <w:sz w:val="22"/>
                <w:szCs w:val="22"/>
                <w:color w:val="auto"/>
              </w:rPr>
              <w:t>234,902,481</w:t>
            </w:r>
          </w:p>
        </w:tc>
        <w:tc>
          <w:tcPr>
            <w:tcW w:w="1720" w:type="dxa"/>
            <w:vAlign w:val="bottom"/>
            <w:gridSpan w:val="3"/>
          </w:tcPr>
          <w:p>
            <w:pPr>
              <w:jc w:val="right"/>
              <w:spacing w:after="0"/>
              <w:rPr>
                <w:sz w:val="20"/>
                <w:szCs w:val="20"/>
                <w:color w:val="auto"/>
              </w:rPr>
            </w:pPr>
            <w:r>
              <w:rPr>
                <w:rFonts w:ascii="Arial" w:cs="Arial" w:eastAsia="Arial" w:hAnsi="Arial"/>
                <w:sz w:val="22"/>
                <w:szCs w:val="22"/>
                <w:color w:val="auto"/>
              </w:rPr>
              <w:t>5,414,941</w:t>
            </w:r>
          </w:p>
        </w:tc>
      </w:tr>
    </w:tbl>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63765"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COMCAST CORPORATION AND SUBSIDIARIES</w:t>
      </w:r>
    </w:p>
    <w:p>
      <w:pPr>
        <w:jc w:val="center"/>
        <w:ind w:right="60"/>
        <w:spacing w:after="0" w:line="238" w:lineRule="auto"/>
        <w:rPr>
          <w:sz w:val="20"/>
          <w:szCs w:val="20"/>
          <w:color w:val="auto"/>
        </w:rPr>
      </w:pPr>
      <w:r>
        <w:rPr>
          <w:rFonts w:ascii="Arial" w:cs="Arial" w:eastAsia="Arial" w:hAnsi="Arial"/>
          <w:sz w:val="22"/>
          <w:szCs w:val="22"/>
          <w:color w:val="auto"/>
        </w:rPr>
        <w:t>FORM 10-Q</w:t>
      </w:r>
    </w:p>
    <w:p>
      <w:pPr>
        <w:jc w:val="center"/>
        <w:ind w:right="-19"/>
        <w:spacing w:after="0"/>
        <w:rPr>
          <w:sz w:val="20"/>
          <w:szCs w:val="20"/>
          <w:color w:val="auto"/>
        </w:rPr>
      </w:pPr>
      <w:r>
        <w:rPr>
          <w:rFonts w:ascii="Arial" w:cs="Arial" w:eastAsia="Arial" w:hAnsi="Arial"/>
          <w:sz w:val="22"/>
          <w:szCs w:val="22"/>
          <w:color w:val="auto"/>
        </w:rPr>
        <w:t>QUARTER ENDED JUNE 30, 2004</w:t>
      </w:r>
    </w:p>
    <w:p>
      <w:pPr>
        <w:spacing w:after="0" w:line="188"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color w:val="auto"/>
        </w:rPr>
        <w:t>ITEM 6.</w:t>
      </w:r>
      <w:r>
        <w:rPr>
          <w:sz w:val="20"/>
          <w:szCs w:val="20"/>
          <w:color w:val="auto"/>
        </w:rPr>
        <w:tab/>
      </w:r>
      <w:r>
        <w:rPr>
          <w:rFonts w:ascii="Arial" w:cs="Arial" w:eastAsia="Arial" w:hAnsi="Arial"/>
          <w:sz w:val="19"/>
          <w:szCs w:val="19"/>
          <w:color w:val="auto"/>
        </w:rPr>
        <w:t>EXHIBITS AND REPORTS ON FORM 8-K</w:t>
      </w:r>
    </w:p>
    <w:p>
      <w:pPr>
        <w:spacing w:after="0" w:line="233" w:lineRule="exact"/>
        <w:rPr>
          <w:sz w:val="20"/>
          <w:szCs w:val="20"/>
          <w:color w:val="auto"/>
        </w:rPr>
      </w:pPr>
    </w:p>
    <w:p>
      <w:pPr>
        <w:ind w:left="360"/>
        <w:spacing w:after="0"/>
        <w:rPr>
          <w:sz w:val="20"/>
          <w:szCs w:val="20"/>
          <w:color w:val="auto"/>
        </w:rPr>
      </w:pPr>
      <w:r>
        <w:rPr>
          <w:rFonts w:ascii="Arial" w:cs="Arial" w:eastAsia="Arial" w:hAnsi="Arial"/>
          <w:sz w:val="22"/>
          <w:szCs w:val="22"/>
          <w:color w:val="auto"/>
        </w:rPr>
        <w:t>(a) Exhibits required to be filed by Item 601 of Regulation S-K:</w:t>
      </w:r>
    </w:p>
    <w:p>
      <w:pPr>
        <w:spacing w:after="0" w:line="233" w:lineRule="exact"/>
        <w:rPr>
          <w:sz w:val="20"/>
          <w:szCs w:val="20"/>
          <w:color w:val="auto"/>
        </w:rPr>
      </w:pPr>
    </w:p>
    <w:p>
      <w:pPr>
        <w:ind w:left="1040"/>
        <w:spacing w:after="0"/>
        <w:tabs>
          <w:tab w:leader="none" w:pos="1700" w:val="left"/>
        </w:tabs>
        <w:rPr>
          <w:sz w:val="20"/>
          <w:szCs w:val="20"/>
          <w:color w:val="auto"/>
        </w:rPr>
      </w:pPr>
      <w:r>
        <w:rPr>
          <w:rFonts w:ascii="Arial" w:cs="Arial" w:eastAsia="Arial" w:hAnsi="Arial"/>
          <w:sz w:val="22"/>
          <w:szCs w:val="22"/>
          <w:color w:val="auto"/>
        </w:rPr>
        <w:t>3.1</w:t>
      </w:r>
      <w:r>
        <w:rPr>
          <w:sz w:val="20"/>
          <w:szCs w:val="20"/>
          <w:color w:val="auto"/>
        </w:rPr>
        <w:tab/>
      </w:r>
      <w:r>
        <w:rPr>
          <w:rFonts w:ascii="Arial" w:cs="Arial" w:eastAsia="Arial" w:hAnsi="Arial"/>
          <w:sz w:val="19"/>
          <w:szCs w:val="19"/>
          <w:color w:val="auto"/>
        </w:rPr>
        <w:t>Restated Articles of Incorporation of Comcast Corporation.</w:t>
      </w:r>
    </w:p>
    <w:p>
      <w:pPr>
        <w:spacing w:after="0" w:line="233" w:lineRule="exact"/>
        <w:rPr>
          <w:sz w:val="20"/>
          <w:szCs w:val="20"/>
          <w:color w:val="auto"/>
        </w:rPr>
      </w:pPr>
    </w:p>
    <w:p>
      <w:pPr>
        <w:ind w:left="1040"/>
        <w:spacing w:after="0"/>
        <w:tabs>
          <w:tab w:leader="none" w:pos="1700" w:val="left"/>
        </w:tabs>
        <w:rPr>
          <w:sz w:val="20"/>
          <w:szCs w:val="20"/>
          <w:color w:val="auto"/>
        </w:rPr>
      </w:pPr>
      <w:r>
        <w:rPr>
          <w:rFonts w:ascii="Arial" w:cs="Arial" w:eastAsia="Arial" w:hAnsi="Arial"/>
          <w:sz w:val="22"/>
          <w:szCs w:val="22"/>
          <w:color w:val="auto"/>
        </w:rPr>
        <w:t>3.2</w:t>
      </w:r>
      <w:r>
        <w:rPr>
          <w:sz w:val="20"/>
          <w:szCs w:val="20"/>
          <w:color w:val="auto"/>
        </w:rPr>
        <w:tab/>
      </w:r>
      <w:r>
        <w:rPr>
          <w:rFonts w:ascii="Arial" w:cs="Arial" w:eastAsia="Arial" w:hAnsi="Arial"/>
          <w:sz w:val="19"/>
          <w:szCs w:val="19"/>
          <w:color w:val="auto"/>
        </w:rPr>
        <w:t>Restated By-Laws of Comcast Corporation.</w:t>
      </w:r>
    </w:p>
    <w:p>
      <w:pPr>
        <w:spacing w:after="0" w:line="233" w:lineRule="exact"/>
        <w:rPr>
          <w:sz w:val="20"/>
          <w:szCs w:val="20"/>
          <w:color w:val="auto"/>
        </w:rPr>
      </w:pPr>
    </w:p>
    <w:p>
      <w:pPr>
        <w:ind w:left="1040"/>
        <w:spacing w:after="0"/>
        <w:tabs>
          <w:tab w:leader="none" w:pos="1700" w:val="left"/>
        </w:tabs>
        <w:rPr>
          <w:sz w:val="20"/>
          <w:szCs w:val="20"/>
          <w:color w:val="auto"/>
        </w:rPr>
      </w:pPr>
      <w:r>
        <w:rPr>
          <w:rFonts w:ascii="Arial" w:cs="Arial" w:eastAsia="Arial" w:hAnsi="Arial"/>
          <w:sz w:val="22"/>
          <w:szCs w:val="22"/>
          <w:color w:val="auto"/>
        </w:rPr>
        <w:t>10.1</w:t>
      </w:r>
      <w:r>
        <w:rPr>
          <w:sz w:val="20"/>
          <w:szCs w:val="20"/>
          <w:color w:val="auto"/>
        </w:rPr>
        <w:tab/>
      </w:r>
      <w:r>
        <w:rPr>
          <w:rFonts w:ascii="Arial" w:cs="Arial" w:eastAsia="Arial" w:hAnsi="Arial"/>
          <w:sz w:val="19"/>
          <w:szCs w:val="19"/>
          <w:color w:val="auto"/>
        </w:rPr>
        <w:t>Consulting Agreement between Comcast Corporation and C. Michael Armstrong, dated as of May 26, 2004.</w:t>
      </w:r>
    </w:p>
    <w:p>
      <w:pPr>
        <w:spacing w:after="0" w:line="233" w:lineRule="exact"/>
        <w:rPr>
          <w:sz w:val="20"/>
          <w:szCs w:val="20"/>
          <w:color w:val="auto"/>
        </w:rPr>
      </w:pPr>
    </w:p>
    <w:p>
      <w:pPr>
        <w:ind w:left="1720" w:right="80" w:hanging="674"/>
        <w:spacing w:after="0" w:line="251" w:lineRule="auto"/>
        <w:tabs>
          <w:tab w:leader="none" w:pos="1700" w:val="left"/>
        </w:tabs>
        <w:rPr>
          <w:sz w:val="20"/>
          <w:szCs w:val="20"/>
          <w:color w:val="auto"/>
        </w:rPr>
      </w:pPr>
      <w:r>
        <w:rPr>
          <w:rFonts w:ascii="Arial" w:cs="Arial" w:eastAsia="Arial" w:hAnsi="Arial"/>
          <w:sz w:val="22"/>
          <w:szCs w:val="22"/>
          <w:color w:val="auto"/>
        </w:rPr>
        <w:t>10.2</w:t>
        <w:tab/>
        <w:t>First Amendment to Consulting Agreement between Comcast Corporation and C. Michael Armstrong, dated as of May 26, 2004.</w:t>
      </w:r>
    </w:p>
    <w:p>
      <w:pPr>
        <w:spacing w:after="0" w:line="200" w:lineRule="exact"/>
        <w:rPr>
          <w:sz w:val="20"/>
          <w:szCs w:val="20"/>
          <w:color w:val="auto"/>
        </w:rPr>
      </w:pPr>
    </w:p>
    <w:p>
      <w:pPr>
        <w:ind w:left="1720" w:right="660" w:hanging="672"/>
        <w:spacing w:after="0" w:line="251" w:lineRule="auto"/>
        <w:tabs>
          <w:tab w:leader="none" w:pos="1720" w:val="left"/>
        </w:tabs>
        <w:numPr>
          <w:ilvl w:val="1"/>
          <w:numId w:val="18"/>
        </w:numPr>
        <w:rPr>
          <w:rFonts w:ascii="Arial" w:cs="Arial" w:eastAsia="Arial" w:hAnsi="Arial"/>
          <w:sz w:val="22"/>
          <w:szCs w:val="22"/>
          <w:color w:val="auto"/>
        </w:rPr>
      </w:pPr>
      <w:r>
        <w:rPr>
          <w:rFonts w:ascii="Arial" w:cs="Arial" w:eastAsia="Arial" w:hAnsi="Arial"/>
          <w:sz w:val="22"/>
          <w:szCs w:val="22"/>
          <w:color w:val="auto"/>
        </w:rPr>
        <w:t>Certifications of Chief Executive Officer and Co-Chief Financial Officers pursuant to Section 302 of the Sarbanes-Oxley Act of 2002.</w:t>
      </w:r>
    </w:p>
    <w:p>
      <w:pPr>
        <w:spacing w:after="0" w:line="200" w:lineRule="exact"/>
        <w:rPr>
          <w:rFonts w:ascii="Arial" w:cs="Arial" w:eastAsia="Arial" w:hAnsi="Arial"/>
          <w:sz w:val="22"/>
          <w:szCs w:val="22"/>
          <w:color w:val="auto"/>
        </w:rPr>
      </w:pPr>
    </w:p>
    <w:p>
      <w:pPr>
        <w:ind w:left="1720" w:right="660" w:hanging="672"/>
        <w:spacing w:after="0" w:line="251" w:lineRule="auto"/>
        <w:tabs>
          <w:tab w:leader="none" w:pos="1720" w:val="left"/>
        </w:tabs>
        <w:numPr>
          <w:ilvl w:val="1"/>
          <w:numId w:val="18"/>
        </w:numPr>
        <w:rPr>
          <w:rFonts w:ascii="Arial" w:cs="Arial" w:eastAsia="Arial" w:hAnsi="Arial"/>
          <w:sz w:val="22"/>
          <w:szCs w:val="22"/>
          <w:color w:val="auto"/>
        </w:rPr>
      </w:pPr>
      <w:r>
        <w:rPr>
          <w:rFonts w:ascii="Arial" w:cs="Arial" w:eastAsia="Arial" w:hAnsi="Arial"/>
          <w:sz w:val="22"/>
          <w:szCs w:val="22"/>
          <w:color w:val="auto"/>
        </w:rPr>
        <w:t>Certifications of Chief Executive Officer and Co-Chief Financial Officers pursuant to Section 906 of the Sarbanes-Oxley Act of 2002.</w:t>
      </w:r>
    </w:p>
    <w:p>
      <w:pPr>
        <w:spacing w:after="0" w:line="200" w:lineRule="exact"/>
        <w:rPr>
          <w:rFonts w:ascii="Arial" w:cs="Arial" w:eastAsia="Arial" w:hAnsi="Arial"/>
          <w:sz w:val="22"/>
          <w:szCs w:val="22"/>
          <w:color w:val="auto"/>
        </w:rPr>
      </w:pPr>
    </w:p>
    <w:p>
      <w:pPr>
        <w:ind w:left="700" w:hanging="341"/>
        <w:spacing w:after="0"/>
        <w:tabs>
          <w:tab w:leader="none" w:pos="700" w:val="left"/>
        </w:tabs>
        <w:numPr>
          <w:ilvl w:val="0"/>
          <w:numId w:val="19"/>
        </w:numPr>
        <w:rPr>
          <w:rFonts w:ascii="Arial" w:cs="Arial" w:eastAsia="Arial" w:hAnsi="Arial"/>
          <w:sz w:val="22"/>
          <w:szCs w:val="22"/>
          <w:color w:val="auto"/>
        </w:rPr>
      </w:pPr>
      <w:r>
        <w:rPr>
          <w:rFonts w:ascii="Arial" w:cs="Arial" w:eastAsia="Arial" w:hAnsi="Arial"/>
          <w:sz w:val="22"/>
          <w:szCs w:val="22"/>
          <w:color w:val="auto"/>
        </w:rPr>
        <w:t>Reports on Form 8-K:</w:t>
      </w:r>
    </w:p>
    <w:p>
      <w:pPr>
        <w:spacing w:after="0" w:line="233" w:lineRule="exact"/>
        <w:rPr>
          <w:sz w:val="20"/>
          <w:szCs w:val="20"/>
          <w:color w:val="auto"/>
        </w:rPr>
      </w:pPr>
    </w:p>
    <w:p>
      <w:pPr>
        <w:ind w:left="1720" w:right="220" w:hanging="672"/>
        <w:spacing w:after="0" w:line="251" w:lineRule="auto"/>
        <w:tabs>
          <w:tab w:leader="none" w:pos="1720" w:val="left"/>
        </w:tabs>
        <w:numPr>
          <w:ilvl w:val="0"/>
          <w:numId w:val="20"/>
        </w:numPr>
        <w:rPr>
          <w:rFonts w:ascii="Arial" w:cs="Arial" w:eastAsia="Arial" w:hAnsi="Arial"/>
          <w:sz w:val="22"/>
          <w:szCs w:val="22"/>
          <w:color w:val="auto"/>
        </w:rPr>
      </w:pPr>
      <w:r>
        <w:rPr>
          <w:rFonts w:ascii="Arial" w:cs="Arial" w:eastAsia="Arial" w:hAnsi="Arial"/>
          <w:sz w:val="22"/>
          <w:szCs w:val="22"/>
          <w:color w:val="auto"/>
        </w:rPr>
        <w:t>We filed a Current Report on Form 8-K under Items 5 and 7 (c) on April 28, 2004 announcing the withdrawal of our proposal to merge with The Walt Disney Company.</w:t>
      </w:r>
    </w:p>
    <w:p>
      <w:pPr>
        <w:spacing w:after="0" w:line="200" w:lineRule="exact"/>
        <w:rPr>
          <w:rFonts w:ascii="Arial" w:cs="Arial" w:eastAsia="Arial" w:hAnsi="Arial"/>
          <w:sz w:val="22"/>
          <w:szCs w:val="22"/>
          <w:color w:val="auto"/>
        </w:rPr>
      </w:pPr>
    </w:p>
    <w:p>
      <w:pPr>
        <w:ind w:left="1720" w:right="40" w:hanging="672"/>
        <w:spacing w:after="0" w:line="238" w:lineRule="auto"/>
        <w:tabs>
          <w:tab w:leader="none" w:pos="1720" w:val="left"/>
        </w:tabs>
        <w:numPr>
          <w:ilvl w:val="0"/>
          <w:numId w:val="20"/>
        </w:numPr>
        <w:rPr>
          <w:rFonts w:ascii="Arial" w:cs="Arial" w:eastAsia="Arial" w:hAnsi="Arial"/>
          <w:sz w:val="22"/>
          <w:szCs w:val="22"/>
          <w:color w:val="auto"/>
        </w:rPr>
      </w:pPr>
      <w:r>
        <w:rPr>
          <w:rFonts w:ascii="Arial" w:cs="Arial" w:eastAsia="Arial" w:hAnsi="Arial"/>
          <w:sz w:val="22"/>
          <w:szCs w:val="22"/>
          <w:color w:val="auto"/>
        </w:rPr>
        <w:t>We filed a Current Report on Form 8-K under Items 5 and 7 (c) on May 13, 2004 announcing that our President and Chief Executive Officer, Brian L. Roberts, sent a letter to Institutional Shareholder Services stating his intention to abstain from participation in the Governance and Directors Nominating Committee of the Board of Directors.</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63765"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COMCAST CORPORATION AND SUBSIDIARIES</w:t>
      </w:r>
    </w:p>
    <w:p>
      <w:pPr>
        <w:jc w:val="center"/>
        <w:ind w:right="60"/>
        <w:spacing w:after="0" w:line="238" w:lineRule="auto"/>
        <w:rPr>
          <w:sz w:val="20"/>
          <w:szCs w:val="20"/>
          <w:color w:val="auto"/>
        </w:rPr>
      </w:pPr>
      <w:r>
        <w:rPr>
          <w:rFonts w:ascii="Arial" w:cs="Arial" w:eastAsia="Arial" w:hAnsi="Arial"/>
          <w:sz w:val="22"/>
          <w:szCs w:val="22"/>
          <w:color w:val="auto"/>
        </w:rPr>
        <w:t>FORM 10-Q</w:t>
      </w:r>
    </w:p>
    <w:p>
      <w:pPr>
        <w:jc w:val="center"/>
        <w:ind w:right="-19"/>
        <w:spacing w:after="0"/>
        <w:rPr>
          <w:sz w:val="20"/>
          <w:szCs w:val="20"/>
          <w:color w:val="auto"/>
        </w:rPr>
      </w:pPr>
      <w:r>
        <w:rPr>
          <w:rFonts w:ascii="Arial" w:cs="Arial" w:eastAsia="Arial" w:hAnsi="Arial"/>
          <w:sz w:val="22"/>
          <w:szCs w:val="22"/>
          <w:color w:val="auto"/>
        </w:rPr>
        <w:t>QUARTER ENDED JUNE 30, 2004</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SIGNATURES</w:t>
      </w:r>
    </w:p>
    <w:p>
      <w:pPr>
        <w:spacing w:after="0" w:line="206" w:lineRule="exact"/>
        <w:rPr>
          <w:sz w:val="20"/>
          <w:szCs w:val="20"/>
          <w:color w:val="auto"/>
        </w:rPr>
      </w:pPr>
    </w:p>
    <w:p>
      <w:pPr>
        <w:ind w:firstLine="432"/>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ectPr>
          <w:pgSz w:w="11900" w:h="16892" w:orient="portrait"/>
          <w:cols w:equalWidth="0" w:num="1">
            <w:col w:w="11420"/>
          </w:cols>
          <w:pgMar w:left="240" w:top="118" w:right="239" w:bottom="0" w:gutter="0" w:footer="0" w:header="0"/>
        </w:sectPr>
      </w:pPr>
    </w:p>
    <w:bookmarkStart w:id="35" w:name="page36"/>
    <w:bookmarkEnd w:id="35"/>
    <w:p>
      <w:pPr>
        <w:ind w:left="5500"/>
        <w:spacing w:after="0"/>
        <w:rPr>
          <w:sz w:val="20"/>
          <w:szCs w:val="20"/>
          <w:color w:val="auto"/>
        </w:rPr>
      </w:pPr>
      <w:r>
        <w:rPr>
          <w:rFonts w:ascii="Arial" w:cs="Arial" w:eastAsia="Arial" w:hAnsi="Arial"/>
          <w:sz w:val="22"/>
          <w:szCs w:val="22"/>
          <w:color w:val="auto"/>
        </w:rPr>
        <w:t>COMCAST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76200</wp:posOffset>
            </wp:positionV>
            <wp:extent cx="291592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2915920" cy="889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left="5500"/>
        <w:spacing w:after="0"/>
        <w:rPr>
          <w:sz w:val="20"/>
          <w:szCs w:val="20"/>
          <w:color w:val="auto"/>
        </w:rPr>
      </w:pPr>
      <w:r>
        <w:rPr>
          <w:rFonts w:ascii="Arial" w:cs="Arial" w:eastAsia="Arial" w:hAnsi="Arial"/>
          <w:sz w:val="22"/>
          <w:szCs w:val="22"/>
          <w:color w:val="auto"/>
        </w:rPr>
        <w:t>/s/ Lawrence J. Salva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76200</wp:posOffset>
            </wp:positionV>
            <wp:extent cx="291592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2915920" cy="8890"/>
                    </a:xfrm>
                    <a:prstGeom prst="rect">
                      <a:avLst/>
                    </a:prstGeom>
                    <a:noFill/>
                  </pic:spPr>
                </pic:pic>
              </a:graphicData>
            </a:graphic>
          </wp:anchor>
        </w:drawing>
      </w:r>
    </w:p>
    <w:p>
      <w:pPr>
        <w:spacing w:after="0" w:line="200" w:lineRule="exact"/>
        <w:rPr>
          <w:sz w:val="20"/>
          <w:szCs w:val="20"/>
          <w:color w:val="auto"/>
        </w:rPr>
      </w:pPr>
    </w:p>
    <w:p>
      <w:pPr>
        <w:ind w:left="5500"/>
        <w:spacing w:after="0"/>
        <w:rPr>
          <w:sz w:val="20"/>
          <w:szCs w:val="20"/>
          <w:color w:val="auto"/>
        </w:rPr>
      </w:pPr>
      <w:r>
        <w:rPr>
          <w:rFonts w:ascii="Arial" w:cs="Arial" w:eastAsia="Arial" w:hAnsi="Arial"/>
          <w:sz w:val="22"/>
          <w:szCs w:val="22"/>
          <w:color w:val="auto"/>
        </w:rPr>
        <w:t>Lawrence J. Salva</w:t>
      </w:r>
    </w:p>
    <w:p>
      <w:pPr>
        <w:spacing w:after="0" w:line="8" w:lineRule="exact"/>
        <w:rPr>
          <w:sz w:val="20"/>
          <w:szCs w:val="20"/>
          <w:color w:val="auto"/>
        </w:rPr>
      </w:pPr>
    </w:p>
    <w:p>
      <w:pPr>
        <w:ind w:left="5500"/>
        <w:spacing w:after="0"/>
        <w:rPr>
          <w:sz w:val="20"/>
          <w:szCs w:val="20"/>
          <w:color w:val="auto"/>
        </w:rPr>
      </w:pPr>
      <w:r>
        <w:rPr>
          <w:rFonts w:ascii="Arial" w:cs="Arial" w:eastAsia="Arial" w:hAnsi="Arial"/>
          <w:sz w:val="19"/>
          <w:szCs w:val="19"/>
          <w:color w:val="auto"/>
        </w:rPr>
        <w:t>Senior Vice President, Chief Accounting Officer</w:t>
      </w:r>
    </w:p>
    <w:p>
      <w:pPr>
        <w:spacing w:after="0" w:line="25" w:lineRule="exact"/>
        <w:rPr>
          <w:sz w:val="20"/>
          <w:szCs w:val="20"/>
          <w:color w:val="auto"/>
        </w:rPr>
      </w:pPr>
    </w:p>
    <w:p>
      <w:pPr>
        <w:ind w:left="5500"/>
        <w:spacing w:after="0"/>
        <w:rPr>
          <w:sz w:val="20"/>
          <w:szCs w:val="20"/>
          <w:color w:val="auto"/>
        </w:rPr>
      </w:pPr>
      <w:r>
        <w:rPr>
          <w:rFonts w:ascii="Arial" w:cs="Arial" w:eastAsia="Arial" w:hAnsi="Arial"/>
          <w:sz w:val="21"/>
          <w:szCs w:val="21"/>
          <w:color w:val="auto"/>
        </w:rPr>
        <w:t>and Controller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2"/>
          <w:szCs w:val="22"/>
          <w:color w:val="auto"/>
        </w:rPr>
        <w:t>Date: July 30, 2004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5600"/>
        <w:spacing w:after="0"/>
        <w:rPr>
          <w:sz w:val="20"/>
          <w:szCs w:val="20"/>
          <w:color w:val="auto"/>
        </w:rPr>
      </w:pPr>
      <w:r>
        <w:rPr>
          <w:rFonts w:ascii="Arial" w:cs="Arial" w:eastAsia="Arial" w:hAnsi="Arial"/>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63765"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0219"/>
          </w:cols>
          <w:pgMar w:left="240" w:top="118" w:right="1440" w:bottom="1440" w:gutter="0" w:footer="0" w:header="0"/>
        </w:sectPr>
      </w:pPr>
    </w:p>
    <w:bookmarkStart w:id="36" w:name="page37"/>
    <w:bookmarkEnd w:id="36"/>
    <w:p>
      <w:pPr>
        <w:ind w:left="220" w:hanging="212"/>
        <w:spacing w:after="0"/>
        <w:tabs>
          <w:tab w:leader="none" w:pos="22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5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PENNSYLVANIA DEPARTMENT OF STATE</w:t>
      </w:r>
    </w:p>
    <w:p>
      <w:pPr>
        <w:ind w:left="32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CORPORATION BUREAU</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0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Articles of Amendment-Domestic Corporation</w:t>
      </w:r>
    </w:p>
    <w:tbl>
      <w:tblPr>
        <w:tblLayout w:type="fixed"/>
        <w:tblInd w:w="220" w:type="dxa"/>
        <w:tblCellMar>
          <w:top w:w="0" w:type="dxa"/>
          <w:left w:w="0" w:type="dxa"/>
          <w:bottom w:w="0" w:type="dxa"/>
          <w:right w:w="0" w:type="dxa"/>
        </w:tblCellMar>
      </w:tblPr>
      <w:tr>
        <w:trPr>
          <w:trHeight w:val="203"/>
        </w:trPr>
        <w:tc>
          <w:tcPr>
            <w:tcW w:w="4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(15</w:t>
            </w:r>
          </w:p>
        </w:tc>
        <w:tc>
          <w:tcPr>
            <w:tcW w:w="3420" w:type="dxa"/>
            <w:vAlign w:val="bottom"/>
          </w:tcPr>
          <w:p>
            <w:pPr>
              <w:ind w:left="60"/>
              <w:spacing w:after="0"/>
              <w:rPr>
                <w:sz w:val="20"/>
                <w:szCs w:val="20"/>
                <w:color w:val="auto"/>
              </w:rPr>
            </w:pPr>
            <w:r>
              <w:rPr>
                <w:rFonts w:ascii="Courier New" w:cs="Courier New" w:eastAsia="Courier New" w:hAnsi="Courier New"/>
                <w:sz w:val="18"/>
                <w:szCs w:val="18"/>
                <w:color w:val="auto"/>
              </w:rPr>
              <w:t>Pa.C.S.)</w:t>
            </w:r>
          </w:p>
        </w:tc>
      </w:tr>
      <w:tr>
        <w:trPr>
          <w:trHeight w:val="608"/>
        </w:trPr>
        <w:tc>
          <w:tcPr>
            <w:tcW w:w="2800" w:type="dxa"/>
            <w:vAlign w:val="bottom"/>
            <w:gridSpan w:val="3"/>
          </w:tcPr>
          <w:p>
            <w:pPr>
              <w:jc w:val="right"/>
              <w:ind w:right="192"/>
              <w:spacing w:after="0"/>
              <w:rPr>
                <w:sz w:val="20"/>
                <w:szCs w:val="20"/>
                <w:color w:val="auto"/>
              </w:rPr>
            </w:pPr>
            <w:r>
              <w:rPr>
                <w:rFonts w:ascii="Courier New" w:cs="Courier New" w:eastAsia="Courier New" w:hAnsi="Courier New"/>
                <w:sz w:val="18"/>
                <w:szCs w:val="18"/>
                <w:color w:val="auto"/>
                <w:w w:val="96"/>
              </w:rPr>
              <w:t>------------------------</w:t>
            </w:r>
          </w:p>
        </w:tc>
        <w:tc>
          <w:tcPr>
            <w:tcW w:w="94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03"/>
        </w:trPr>
        <w:tc>
          <w:tcPr>
            <w:tcW w:w="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73"/>
              </w:rPr>
              <w:t>|</w:t>
            </w:r>
          </w:p>
        </w:tc>
        <w:tc>
          <w:tcPr>
            <w:tcW w:w="1840" w:type="dxa"/>
            <w:vAlign w:val="bottom"/>
          </w:tcPr>
          <w:p>
            <w:pPr>
              <w:jc w:val="center"/>
              <w:ind w:left="72"/>
              <w:spacing w:after="0" w:line="203" w:lineRule="exact"/>
              <w:rPr>
                <w:sz w:val="20"/>
                <w:szCs w:val="20"/>
                <w:color w:val="auto"/>
              </w:rPr>
            </w:pPr>
            <w:r>
              <w:rPr>
                <w:rFonts w:ascii="Courier New" w:cs="Courier New" w:eastAsia="Courier New" w:hAnsi="Courier New"/>
                <w:sz w:val="18"/>
                <w:szCs w:val="18"/>
                <w:color w:val="auto"/>
                <w:w w:val="96"/>
              </w:rPr>
              <w:t>Entity Number</w:t>
            </w:r>
          </w:p>
        </w:tc>
        <w:tc>
          <w:tcPr>
            <w:tcW w:w="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__X__</w:t>
            </w:r>
          </w:p>
        </w:tc>
        <w:tc>
          <w:tcPr>
            <w:tcW w:w="3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Business Corporation (ss. 1915)</w:t>
            </w:r>
          </w:p>
        </w:tc>
      </w:tr>
      <w:tr>
        <w:trPr>
          <w:trHeight w:val="203"/>
        </w:trPr>
        <w:tc>
          <w:tcPr>
            <w:tcW w:w="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73"/>
              </w:rPr>
              <w:t>|</w:t>
            </w:r>
          </w:p>
        </w:tc>
        <w:tc>
          <w:tcPr>
            <w:tcW w:w="18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3039985</w:t>
            </w:r>
          </w:p>
        </w:tc>
        <w:tc>
          <w:tcPr>
            <w:tcW w:w="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_____</w:t>
            </w:r>
          </w:p>
        </w:tc>
        <w:tc>
          <w:tcPr>
            <w:tcW w:w="3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Nonprofit Corporation (ss. 5915)</w:t>
            </w:r>
          </w:p>
        </w:tc>
      </w:tr>
    </w:tbl>
    <w:p>
      <w:pPr>
        <w:spacing w:after="0" w:line="1" w:lineRule="exact"/>
        <w:rPr>
          <w:sz w:val="20"/>
          <w:szCs w:val="20"/>
          <w:color w:val="auto"/>
        </w:rPr>
      </w:pPr>
    </w:p>
    <w:tbl>
      <w:tblPr>
        <w:tblLayout w:type="fixed"/>
        <w:tblInd w:w="220" w:type="dxa"/>
        <w:tblCellMar>
          <w:top w:w="0" w:type="dxa"/>
          <w:left w:w="0" w:type="dxa"/>
          <w:bottom w:w="0" w:type="dxa"/>
          <w:right w:w="0" w:type="dxa"/>
        </w:tblCellMar>
      </w:tblP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3020" w:type="dxa"/>
            <w:vAlign w:val="bottom"/>
          </w:tcPr>
          <w:p>
            <w:pPr>
              <w:spacing w:after="0"/>
              <w:rPr>
                <w:sz w:val="17"/>
                <w:szCs w:val="17"/>
                <w:color w:val="auto"/>
              </w:rPr>
            </w:pPr>
          </w:p>
        </w:tc>
      </w:tr>
      <w:tr>
        <w:trPr>
          <w:trHeight w:val="203"/>
        </w:trPr>
        <w:tc>
          <w:tcPr>
            <w:tcW w:w="51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7"/>
              </w:rPr>
              <w:t>------------------------------------------------</w:t>
            </w:r>
          </w:p>
        </w:tc>
        <w:tc>
          <w:tcPr>
            <w:tcW w:w="3020" w:type="dxa"/>
            <w:vAlign w:val="bottom"/>
          </w:tcPr>
          <w:p>
            <w:pPr>
              <w:spacing w:after="0"/>
              <w:rPr>
                <w:sz w:val="17"/>
                <w:szCs w:val="17"/>
                <w:color w:val="auto"/>
              </w:rPr>
            </w:pP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|Name</w:t>
            </w:r>
          </w:p>
        </w:tc>
        <w:tc>
          <w:tcPr>
            <w:tcW w:w="840" w:type="dxa"/>
            <w:vAlign w:val="bottom"/>
          </w:tcPr>
          <w:p>
            <w:pPr>
              <w:spacing w:after="0"/>
              <w:rPr>
                <w:sz w:val="17"/>
                <w:szCs w:val="17"/>
                <w:color w:val="auto"/>
              </w:rPr>
            </w:pPr>
          </w:p>
        </w:tc>
        <w:tc>
          <w:tcPr>
            <w:tcW w:w="1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30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Document will be returned to</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spacing w:after="0"/>
              <w:rPr>
                <w:sz w:val="17"/>
                <w:szCs w:val="17"/>
                <w:color w:val="auto"/>
              </w:rPr>
            </w:pPr>
          </w:p>
        </w:tc>
        <w:tc>
          <w:tcPr>
            <w:tcW w:w="1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30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the name and address you</w:t>
            </w:r>
          </w:p>
        </w:tc>
      </w:tr>
      <w:tr>
        <w:trPr>
          <w:trHeight w:val="203"/>
        </w:trPr>
        <w:tc>
          <w:tcPr>
            <w:tcW w:w="3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71"/>
              </w:rPr>
              <w:t>|--------------------------------------------</w:t>
            </w:r>
          </w:p>
        </w:tc>
        <w:tc>
          <w:tcPr>
            <w:tcW w:w="1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30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enter to the left.</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|Address:</w:t>
            </w:r>
          </w:p>
        </w:tc>
        <w:tc>
          <w:tcPr>
            <w:tcW w:w="840" w:type="dxa"/>
            <w:vAlign w:val="bottom"/>
          </w:tcPr>
          <w:p>
            <w:pPr>
              <w:spacing w:after="0"/>
              <w:rPr>
                <w:sz w:val="17"/>
                <w:szCs w:val="17"/>
                <w:color w:val="auto"/>
              </w:rPr>
            </w:pPr>
          </w:p>
        </w:tc>
        <w:tc>
          <w:tcPr>
            <w:tcW w:w="1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30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&lt;---</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spacing w:after="0"/>
              <w:rPr>
                <w:sz w:val="17"/>
                <w:szCs w:val="17"/>
                <w:color w:val="auto"/>
              </w:rPr>
            </w:pPr>
          </w:p>
        </w:tc>
        <w:tc>
          <w:tcPr>
            <w:tcW w:w="1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3020" w:type="dxa"/>
            <w:vAlign w:val="bottom"/>
          </w:tcPr>
          <w:p>
            <w:pPr>
              <w:spacing w:after="0"/>
              <w:rPr>
                <w:sz w:val="17"/>
                <w:szCs w:val="17"/>
                <w:color w:val="auto"/>
              </w:rPr>
            </w:pPr>
          </w:p>
        </w:tc>
      </w:tr>
      <w:tr>
        <w:trPr>
          <w:trHeight w:val="203"/>
        </w:trPr>
        <w:tc>
          <w:tcPr>
            <w:tcW w:w="3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71"/>
              </w:rPr>
              <w:t>|--------------------------------------------</w:t>
            </w:r>
          </w:p>
        </w:tc>
        <w:tc>
          <w:tcPr>
            <w:tcW w:w="1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3020" w:type="dxa"/>
            <w:vAlign w:val="bottom"/>
          </w:tcPr>
          <w:p>
            <w:pPr>
              <w:spacing w:after="0"/>
              <w:rPr>
                <w:sz w:val="17"/>
                <w:szCs w:val="17"/>
                <w:color w:val="auto"/>
              </w:rPr>
            </w:pP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|City</w:t>
            </w:r>
          </w:p>
        </w:tc>
        <w:tc>
          <w:tcPr>
            <w:tcW w:w="840" w:type="dxa"/>
            <w:vAlign w:val="bottom"/>
          </w:tcPr>
          <w:p>
            <w:pPr>
              <w:spacing w:after="0" w:line="203" w:lineRule="exact"/>
              <w:rPr>
                <w:sz w:val="20"/>
                <w:szCs w:val="20"/>
                <w:color w:val="auto"/>
              </w:rPr>
            </w:pPr>
            <w:r>
              <w:rPr>
                <w:rFonts w:ascii="Courier New" w:cs="Courier New" w:eastAsia="Courier New" w:hAnsi="Courier New"/>
                <w:sz w:val="18"/>
                <w:szCs w:val="18"/>
                <w:color w:val="auto"/>
              </w:rPr>
              <w:t>State</w:t>
            </w:r>
          </w:p>
        </w:tc>
        <w:tc>
          <w:tcPr>
            <w:tcW w:w="1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Zip Code   |</w:t>
            </w:r>
          </w:p>
        </w:tc>
        <w:tc>
          <w:tcPr>
            <w:tcW w:w="3020" w:type="dxa"/>
            <w:vAlign w:val="bottom"/>
          </w:tcPr>
          <w:p>
            <w:pPr>
              <w:spacing w:after="0"/>
              <w:rPr>
                <w:sz w:val="17"/>
                <w:szCs w:val="17"/>
                <w:color w:val="auto"/>
              </w:rPr>
            </w:pP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spacing w:after="0"/>
              <w:rPr>
                <w:sz w:val="17"/>
                <w:szCs w:val="17"/>
                <w:color w:val="auto"/>
              </w:rPr>
            </w:pPr>
          </w:p>
        </w:tc>
        <w:tc>
          <w:tcPr>
            <w:tcW w:w="1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3020" w:type="dxa"/>
            <w:vAlign w:val="bottom"/>
          </w:tcPr>
          <w:p>
            <w:pPr>
              <w:spacing w:after="0"/>
              <w:rPr>
                <w:sz w:val="17"/>
                <w:szCs w:val="17"/>
                <w:color w:val="auto"/>
              </w:rPr>
            </w:pPr>
          </w:p>
        </w:tc>
      </w:tr>
      <w:tr>
        <w:trPr>
          <w:trHeight w:val="203"/>
        </w:trPr>
        <w:tc>
          <w:tcPr>
            <w:tcW w:w="3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71"/>
              </w:rPr>
              <w:t>|--------------------------------------------</w:t>
            </w:r>
          </w:p>
        </w:tc>
        <w:tc>
          <w:tcPr>
            <w:tcW w:w="1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3020" w:type="dxa"/>
            <w:vAlign w:val="bottom"/>
          </w:tcPr>
          <w:p>
            <w:pPr>
              <w:spacing w:after="0"/>
              <w:rPr>
                <w:sz w:val="17"/>
                <w:szCs w:val="17"/>
                <w:color w:val="auto"/>
              </w:rPr>
            </w:pPr>
          </w:p>
        </w:tc>
      </w:tr>
    </w:tbl>
    <w:p>
      <w:pPr>
        <w:ind w:left="22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220" w:hanging="212"/>
        <w:spacing w:after="0"/>
        <w:tabs>
          <w:tab w:leader="none" w:pos="22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Fee:  $52</w:t>
      </w:r>
      <w:r>
        <w:rPr>
          <w:rFonts w:ascii="Courier New" w:cs="Courier New" w:eastAsia="Courier New" w:hAnsi="Courier New"/>
          <w:sz w:val="16"/>
          <w:szCs w:val="16"/>
          <w:color w:val="auto"/>
        </w:rPr>
        <w:t>----------------------------------------------------</w:t>
      </w:r>
    </w:p>
    <w:p>
      <w:pPr>
        <w:ind w:left="2740"/>
        <w:spacing w:after="0"/>
        <w:tabs>
          <w:tab w:leader="none" w:pos="81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ind w:left="2740"/>
        <w:spacing w:after="0" w:line="237" w:lineRule="auto"/>
        <w:rPr>
          <w:sz w:val="20"/>
          <w:szCs w:val="20"/>
          <w:color w:val="auto"/>
        </w:rPr>
      </w:pPr>
      <w:r>
        <w:rPr>
          <w:rFonts w:ascii="Courier New" w:cs="Courier New" w:eastAsia="Courier New" w:hAnsi="Courier New"/>
          <w:sz w:val="18"/>
          <w:szCs w:val="18"/>
          <w:color w:val="auto"/>
        </w:rPr>
        <w:t>| Filed in the Department of State on May 28, 2004 |</w:t>
      </w:r>
    </w:p>
    <w:tbl>
      <w:tblPr>
        <w:tblLayout w:type="fixed"/>
        <w:tblInd w:w="2740" w:type="dxa"/>
        <w:tblCellMar>
          <w:top w:w="0" w:type="dxa"/>
          <w:left w:w="0" w:type="dxa"/>
          <w:bottom w:w="0" w:type="dxa"/>
          <w:right w:w="0" w:type="dxa"/>
        </w:tblCellMar>
      </w:tblPr>
      <w:tr>
        <w:trPr>
          <w:trHeight w:val="203"/>
        </w:trPr>
        <w:tc>
          <w:tcPr>
            <w:tcW w:w="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c>
          <w:tcPr>
            <w:tcW w:w="2740" w:type="dxa"/>
            <w:vAlign w:val="bottom"/>
          </w:tcPr>
          <w:p>
            <w:pPr>
              <w:spacing w:after="0"/>
              <w:rPr>
                <w:sz w:val="17"/>
                <w:szCs w:val="17"/>
                <w:color w:val="auto"/>
              </w:rPr>
            </w:pPr>
          </w:p>
        </w:tc>
        <w:tc>
          <w:tcPr>
            <w:tcW w:w="2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r>
      <w:tr>
        <w:trPr>
          <w:trHeight w:val="203"/>
        </w:trPr>
        <w:tc>
          <w:tcPr>
            <w:tcW w:w="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c>
          <w:tcPr>
            <w:tcW w:w="2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/s/ Pedro A. Cortes</w:t>
            </w:r>
          </w:p>
        </w:tc>
        <w:tc>
          <w:tcPr>
            <w:tcW w:w="2520" w:type="dxa"/>
            <w:vAlign w:val="bottom"/>
          </w:tcPr>
          <w:p>
            <w:pPr>
              <w:spacing w:after="0"/>
              <w:rPr>
                <w:sz w:val="17"/>
                <w:szCs w:val="17"/>
                <w:color w:val="auto"/>
              </w:rPr>
            </w:pP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r>
      <w:tr>
        <w:trPr>
          <w:trHeight w:val="203"/>
        </w:trPr>
        <w:tc>
          <w:tcPr>
            <w:tcW w:w="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c>
          <w:tcPr>
            <w:tcW w:w="5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7"/>
              </w:rPr>
              <w:t>--------------------------------------------------</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r>
      <w:tr>
        <w:trPr>
          <w:trHeight w:val="203"/>
        </w:trPr>
        <w:tc>
          <w:tcPr>
            <w:tcW w:w="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c>
          <w:tcPr>
            <w:tcW w:w="2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Secretary of the</w:t>
            </w:r>
          </w:p>
        </w:tc>
        <w:tc>
          <w:tcPr>
            <w:tcW w:w="2520" w:type="dxa"/>
            <w:vAlign w:val="bottom"/>
          </w:tcPr>
          <w:p>
            <w:pPr>
              <w:jc w:val="right"/>
              <w:ind w:right="1172"/>
              <w:spacing w:after="0" w:line="203" w:lineRule="exact"/>
              <w:rPr>
                <w:sz w:val="20"/>
                <w:szCs w:val="20"/>
                <w:color w:val="auto"/>
              </w:rPr>
            </w:pPr>
            <w:r>
              <w:rPr>
                <w:rFonts w:ascii="Courier New" w:cs="Courier New" w:eastAsia="Courier New" w:hAnsi="Courier New"/>
                <w:sz w:val="18"/>
                <w:szCs w:val="18"/>
                <w:color w:val="auto"/>
                <w:w w:val="95"/>
              </w:rPr>
              <w:t>Commonwealth</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r>
    </w:tbl>
    <w:p>
      <w:pPr>
        <w:ind w:left="274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jc w:val="both"/>
        <w:ind w:right="1779" w:firstLine="948"/>
        <w:spacing w:after="0" w:line="236" w:lineRule="auto"/>
        <w:rPr>
          <w:sz w:val="20"/>
          <w:szCs w:val="20"/>
          <w:color w:val="auto"/>
        </w:rPr>
      </w:pPr>
      <w:r>
        <w:rPr>
          <w:rFonts w:ascii="Courier New" w:cs="Courier New" w:eastAsia="Courier New" w:hAnsi="Courier New"/>
          <w:sz w:val="18"/>
          <w:szCs w:val="18"/>
          <w:color w:val="auto"/>
        </w:rPr>
        <w:t>In compliance with the requirements of the applicable provisions of 15 Pa.C.S. ss.1915 (relating to articles of amendment), the undersigned, desiring to amend its articles, hereby states that:</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640" w:right="6419" w:hanging="632"/>
        <w:spacing w:after="0" w:line="235" w:lineRule="auto"/>
        <w:tabs>
          <w:tab w:leader="none" w:pos="535"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name of the corporation is: Comcast Corporation</w:t>
      </w:r>
    </w:p>
    <w:p>
      <w:pPr>
        <w:ind w:left="54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540" w:right="1879" w:hanging="532"/>
        <w:spacing w:after="0" w:line="275" w:lineRule="auto"/>
        <w:tabs>
          <w:tab w:leader="none" w:pos="54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 address of this corporation's current registered office in this Commonwealth or (b) name of its commercial registered office provider and the county of venue is (the Department is hereby authorized to correct the following information to conform to the records of the Department):</w:t>
      </w:r>
    </w:p>
    <w:p>
      <w:pPr>
        <w:spacing w:after="0" w:line="182" w:lineRule="exact"/>
        <w:rPr>
          <w:sz w:val="20"/>
          <w:szCs w:val="20"/>
          <w:color w:val="auto"/>
        </w:rPr>
      </w:pPr>
    </w:p>
    <w:p>
      <w:pPr>
        <w:ind w:left="320" w:right="2519" w:firstLine="632"/>
        <w:spacing w:after="0" w:line="236" w:lineRule="auto"/>
        <w:rPr>
          <w:sz w:val="20"/>
          <w:szCs w:val="20"/>
          <w:color w:val="auto"/>
        </w:rPr>
      </w:pPr>
      <w:r>
        <w:rPr>
          <w:rFonts w:ascii="Courier New" w:cs="Courier New" w:eastAsia="Courier New" w:hAnsi="Courier New"/>
          <w:sz w:val="18"/>
          <w:szCs w:val="18"/>
          <w:color w:val="auto"/>
        </w:rPr>
        <w:t>(a) Number and Street City State Zip County 1500 Market Street, 35th Floor Phila., PA. 19102-2148 Phila. (b) Name of Commercial Registered Office Provider County</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w:t>
      </w:r>
    </w:p>
    <w:p>
      <w:pPr>
        <w:ind w:left="320"/>
        <w:spacing w:after="0" w:line="238" w:lineRule="auto"/>
        <w:rPr>
          <w:sz w:val="20"/>
          <w:szCs w:val="20"/>
          <w:color w:val="auto"/>
        </w:rPr>
      </w:pPr>
      <w:r>
        <w:rPr>
          <w:rFonts w:ascii="Courier New" w:cs="Courier New" w:eastAsia="Courier New" w:hAnsi="Courier New"/>
          <w:sz w:val="18"/>
          <w:szCs w:val="18"/>
          <w:color w:val="auto"/>
        </w:rPr>
        <w:t>c/o</w:t>
      </w:r>
    </w:p>
    <w:p>
      <w:pPr>
        <w:ind w:left="320"/>
        <w:spacing w:after="0"/>
        <w:rPr>
          <w:sz w:val="20"/>
          <w:szCs w:val="20"/>
          <w:color w:val="auto"/>
        </w:rPr>
      </w:pPr>
      <w:r>
        <w:rPr>
          <w:rFonts w:ascii="Courier New" w:cs="Courier New" w:eastAsia="Courier New" w:hAnsi="Courier New"/>
          <w:sz w:val="18"/>
          <w:szCs w:val="18"/>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540" w:hanging="532"/>
        <w:spacing w:after="0"/>
        <w:tabs>
          <w:tab w:leader="none" w:pos="54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statute by or under which it was incorporated:</w:t>
      </w:r>
    </w:p>
    <w:p>
      <w:pPr>
        <w:ind w:left="740"/>
        <w:spacing w:after="0" w:line="238" w:lineRule="auto"/>
        <w:rPr>
          <w:sz w:val="20"/>
          <w:szCs w:val="20"/>
          <w:color w:val="auto"/>
        </w:rPr>
      </w:pPr>
      <w:r>
        <w:rPr>
          <w:rFonts w:ascii="Courier New" w:cs="Courier New" w:eastAsia="Courier New" w:hAnsi="Courier New"/>
          <w:sz w:val="18"/>
          <w:szCs w:val="18"/>
          <w:color w:val="auto"/>
        </w:rPr>
        <w:t>Pennsylvania Business Corporation Law of 1988, as amended, 15 Pa.C.S.</w:t>
      </w:r>
    </w:p>
    <w:p>
      <w:pPr>
        <w:ind w:left="860"/>
        <w:spacing w:after="0"/>
        <w:rPr>
          <w:sz w:val="20"/>
          <w:szCs w:val="20"/>
          <w:color w:val="auto"/>
        </w:rPr>
      </w:pPr>
      <w:r>
        <w:rPr>
          <w:rFonts w:ascii="Courier New" w:cs="Courier New" w:eastAsia="Courier New" w:hAnsi="Courier New"/>
          <w:sz w:val="18"/>
          <w:szCs w:val="18"/>
          <w:color w:val="auto"/>
        </w:rPr>
        <w:t>ss.ss.1101 et seq.</w:t>
      </w:r>
    </w:p>
    <w:p>
      <w:pPr>
        <w:ind w:left="740"/>
        <w:spacing w:after="0" w:line="237"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540" w:hanging="532"/>
        <w:spacing w:after="0"/>
        <w:tabs>
          <w:tab w:leader="none" w:pos="54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date of its incorporation:</w:t>
      </w:r>
    </w:p>
    <w:p>
      <w:pPr>
        <w:ind w:left="960"/>
        <w:spacing w:after="0" w:line="238" w:lineRule="auto"/>
        <w:rPr>
          <w:sz w:val="20"/>
          <w:szCs w:val="20"/>
          <w:color w:val="auto"/>
        </w:rPr>
      </w:pPr>
      <w:r>
        <w:rPr>
          <w:rFonts w:ascii="Courier New" w:cs="Courier New" w:eastAsia="Courier New" w:hAnsi="Courier New"/>
          <w:sz w:val="18"/>
          <w:szCs w:val="18"/>
          <w:color w:val="auto"/>
        </w:rPr>
        <w:t>December 7, 2001</w:t>
      </w:r>
    </w:p>
    <w:p>
      <w:pPr>
        <w:ind w:left="540"/>
        <w:spacing w:after="0"/>
        <w:rPr>
          <w:sz w:val="20"/>
          <w:szCs w:val="20"/>
          <w:color w:val="auto"/>
        </w:rPr>
      </w:pPr>
      <w:r>
        <w:rPr>
          <w:rFonts w:ascii="Courier New" w:cs="Courier New" w:eastAsia="Courier New" w:hAnsi="Courier New"/>
          <w:sz w:val="18"/>
          <w:szCs w:val="18"/>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540" w:hanging="532"/>
        <w:spacing w:after="0"/>
        <w:tabs>
          <w:tab w:leader="none" w:pos="5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and if appropriate, complete one of the following:</w:t>
      </w:r>
    </w:p>
    <w:p>
      <w:pPr>
        <w:spacing w:after="0" w:line="207"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__X__ The amendment shall be effective upon filing these Articles of Amendment in the Department of State.</w:t>
      </w:r>
    </w:p>
    <w:p>
      <w:pPr>
        <w:spacing w:after="0" w:line="203" w:lineRule="exact"/>
        <w:rPr>
          <w:sz w:val="20"/>
          <w:szCs w:val="20"/>
          <w:color w:val="auto"/>
        </w:rPr>
      </w:pPr>
    </w:p>
    <w:p>
      <w:pPr>
        <w:ind w:left="860"/>
        <w:spacing w:after="0"/>
        <w:tabs>
          <w:tab w:leader="none" w:pos="6100" w:val="left"/>
        </w:tabs>
        <w:rPr>
          <w:sz w:val="20"/>
          <w:szCs w:val="20"/>
          <w:color w:val="auto"/>
        </w:rPr>
      </w:pPr>
      <w:r>
        <w:rPr>
          <w:rFonts w:ascii="Courier New" w:cs="Courier New" w:eastAsia="Courier New" w:hAnsi="Courier New"/>
          <w:sz w:val="18"/>
          <w:szCs w:val="18"/>
          <w:color w:val="auto"/>
        </w:rPr>
        <w:t>The amendment shall be effective on _________ at</w:t>
      </w:r>
      <w:r>
        <w:rPr>
          <w:sz w:val="20"/>
          <w:szCs w:val="20"/>
          <w:color w:val="auto"/>
        </w:rPr>
        <w:tab/>
      </w:r>
      <w:r>
        <w:rPr>
          <w:rFonts w:ascii="Courier New" w:cs="Courier New" w:eastAsia="Courier New" w:hAnsi="Courier New"/>
          <w:sz w:val="16"/>
          <w:szCs w:val="16"/>
          <w:color w:val="auto"/>
        </w:rPr>
        <w:t>_________</w:t>
      </w:r>
    </w:p>
    <w:p>
      <w:pPr>
        <w:ind w:left="4640"/>
        <w:spacing w:after="0" w:line="238" w:lineRule="auto"/>
        <w:tabs>
          <w:tab w:leader="none" w:pos="610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Hour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344" w:right="1440" w:bottom="1440" w:gutter="0" w:footer="0" w:header="0"/>
        </w:sectPr>
      </w:pPr>
    </w:p>
    <w:bookmarkStart w:id="37" w:name="page38"/>
    <w:bookmarkEnd w:id="37"/>
    <w:p>
      <w:pPr>
        <w:spacing w:after="0"/>
        <w:rPr>
          <w:sz w:val="20"/>
          <w:szCs w:val="20"/>
          <w:color w:val="auto"/>
        </w:rPr>
      </w:pPr>
      <w:r>
        <w:rPr>
          <w:rFonts w:ascii="Courier New" w:cs="Courier New" w:eastAsia="Courier New" w:hAnsi="Courier New"/>
          <w:sz w:val="18"/>
          <w:szCs w:val="18"/>
          <w:color w:val="auto"/>
        </w:rPr>
        <w:t>DSCB:15-1915/5915-2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540" w:hanging="532"/>
        <w:spacing w:after="0"/>
        <w:tabs>
          <w:tab w:leader="none" w:pos="54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one of the following:</w:t>
      </w:r>
    </w:p>
    <w:p>
      <w:pPr>
        <w:spacing w:after="0" w:line="4" w:lineRule="exact"/>
        <w:rPr>
          <w:sz w:val="20"/>
          <w:szCs w:val="20"/>
          <w:color w:val="auto"/>
        </w:rPr>
      </w:pPr>
    </w:p>
    <w:p>
      <w:pPr>
        <w:ind w:right="1999" w:firstLine="316"/>
        <w:spacing w:after="0" w:line="235" w:lineRule="auto"/>
        <w:rPr>
          <w:sz w:val="20"/>
          <w:szCs w:val="20"/>
          <w:color w:val="auto"/>
        </w:rPr>
      </w:pPr>
      <w:r>
        <w:rPr>
          <w:rFonts w:ascii="Courier New" w:cs="Courier New" w:eastAsia="Courier New" w:hAnsi="Courier New"/>
          <w:sz w:val="18"/>
          <w:szCs w:val="18"/>
          <w:color w:val="auto"/>
        </w:rPr>
        <w:t>___ The amendment was adopted by the shareholders or members pursuant to 15 Pa.C.S. ss. 1914(a) and (b) or ss. 5914(a).</w:t>
      </w:r>
    </w:p>
    <w:p>
      <w:pPr>
        <w:spacing w:after="0" w:line="203"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w:t>
      </w:r>
    </w:p>
    <w:p>
      <w:pPr>
        <w:spacing w:after="0"/>
        <w:tabs>
          <w:tab w:leader="none" w:pos="840" w:val="left"/>
        </w:tabs>
        <w:rPr>
          <w:sz w:val="20"/>
          <w:szCs w:val="20"/>
          <w:color w:val="auto"/>
        </w:rPr>
      </w:pPr>
      <w:r>
        <w:rPr>
          <w:rFonts w:ascii="Courier New" w:cs="Courier New" w:eastAsia="Courier New" w:hAnsi="Courier New"/>
          <w:sz w:val="18"/>
          <w:szCs w:val="18"/>
          <w:color w:val="auto"/>
        </w:rPr>
        <w:t>__X___</w:t>
      </w:r>
      <w:r>
        <w:rPr>
          <w:sz w:val="20"/>
          <w:szCs w:val="20"/>
          <w:color w:val="auto"/>
        </w:rPr>
        <w:tab/>
      </w:r>
      <w:r>
        <w:rPr>
          <w:rFonts w:ascii="Courier New" w:cs="Courier New" w:eastAsia="Courier New" w:hAnsi="Courier New"/>
          <w:sz w:val="16"/>
          <w:szCs w:val="16"/>
          <w:color w:val="auto"/>
        </w:rPr>
        <w:t>The amendment was adopted by the board of directors pursuant to 15 Pa.</w:t>
      </w:r>
    </w:p>
    <w:p>
      <w:pPr>
        <w:spacing w:after="0"/>
        <w:rPr>
          <w:sz w:val="20"/>
          <w:szCs w:val="20"/>
          <w:color w:val="auto"/>
        </w:rPr>
      </w:pPr>
      <w:r>
        <w:rPr>
          <w:rFonts w:ascii="Courier New" w:cs="Courier New" w:eastAsia="Courier New" w:hAnsi="Courier New"/>
          <w:sz w:val="18"/>
          <w:szCs w:val="18"/>
          <w:color w:val="auto"/>
        </w:rPr>
        <w:t>C.S. ss. 1914(c) or ss. 5914(b).</w:t>
      </w:r>
    </w:p>
    <w:p>
      <w:pPr>
        <w:ind w:left="120"/>
        <w:spacing w:after="0" w:line="237"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540" w:hanging="532"/>
        <w:spacing w:after="0"/>
        <w:tabs>
          <w:tab w:leader="none" w:pos="54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and if appropriate, complete one of the following:</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 The amendment adopted by the corporation, set forth in full, is as follows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1779" w:firstLine="211"/>
        <w:spacing w:after="0" w:line="235" w:lineRule="auto"/>
        <w:rPr>
          <w:sz w:val="20"/>
          <w:szCs w:val="20"/>
          <w:color w:val="auto"/>
        </w:rPr>
      </w:pPr>
      <w:r>
        <w:rPr>
          <w:rFonts w:ascii="Courier New" w:cs="Courier New" w:eastAsia="Courier New" w:hAnsi="Courier New"/>
          <w:sz w:val="18"/>
          <w:szCs w:val="18"/>
          <w:color w:val="auto"/>
        </w:rPr>
        <w:t>X__ The amendment adopted by the corporation is set forth in full in Exhibit A attached hereto and made a part hereof.</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8.</w:t>
      </w:r>
      <w:r>
        <w:rPr>
          <w:sz w:val="20"/>
          <w:szCs w:val="20"/>
          <w:color w:val="auto"/>
        </w:rPr>
        <w:tab/>
      </w:r>
      <w:r>
        <w:rPr>
          <w:rFonts w:ascii="Courier New" w:cs="Courier New" w:eastAsia="Courier New" w:hAnsi="Courier New"/>
          <w:sz w:val="18"/>
          <w:szCs w:val="18"/>
          <w:color w:val="auto"/>
        </w:rPr>
        <w:t>Check if the amendment restates the Articles:</w:t>
      </w:r>
    </w:p>
    <w:p>
      <w:pPr>
        <w:spacing w:after="0" w:line="207" w:lineRule="exact"/>
        <w:rPr>
          <w:sz w:val="20"/>
          <w:szCs w:val="20"/>
          <w:color w:val="auto"/>
        </w:rPr>
      </w:pPr>
    </w:p>
    <w:p>
      <w:pPr>
        <w:ind w:right="1779" w:firstLine="211"/>
        <w:spacing w:after="0" w:line="235" w:lineRule="auto"/>
        <w:rPr>
          <w:sz w:val="20"/>
          <w:szCs w:val="20"/>
          <w:color w:val="auto"/>
        </w:rPr>
      </w:pPr>
      <w:r>
        <w:rPr>
          <w:rFonts w:ascii="Courier New" w:cs="Courier New" w:eastAsia="Courier New" w:hAnsi="Courier New"/>
          <w:sz w:val="18"/>
          <w:szCs w:val="18"/>
          <w:color w:val="auto"/>
        </w:rPr>
        <w:t>X_ The restated Articles of Incorporation supersede the original articles and all amendments thereto.</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w:t>
      </w:r>
    </w:p>
    <w:p>
      <w:pPr>
        <w:ind w:left="1700"/>
        <w:spacing w:after="0" w:line="238" w:lineRule="auto"/>
        <w:rPr>
          <w:sz w:val="20"/>
          <w:szCs w:val="20"/>
          <w:color w:val="auto"/>
        </w:rPr>
      </w:pPr>
      <w:r>
        <w:rPr>
          <w:rFonts w:ascii="Courier New" w:cs="Courier New" w:eastAsia="Courier New" w:hAnsi="Courier New"/>
          <w:sz w:val="18"/>
          <w:szCs w:val="18"/>
          <w:color w:val="auto"/>
        </w:rPr>
        <w:t>|IN TESTIMONY WHEREOF, the undersigned corporation has caused|</w:t>
      </w:r>
    </w:p>
    <w:tbl>
      <w:tblPr>
        <w:tblLayout w:type="fixed"/>
        <w:tblInd w:w="1700" w:type="dxa"/>
        <w:tblCellMar>
          <w:top w:w="0" w:type="dxa"/>
          <w:left w:w="0" w:type="dxa"/>
          <w:bottom w:w="0" w:type="dxa"/>
          <w:right w:w="0" w:type="dxa"/>
        </w:tblCellMar>
      </w:tblPr>
      <w:tr>
        <w:trPr>
          <w:trHeight w:val="203"/>
        </w:trPr>
        <w:tc>
          <w:tcPr>
            <w:tcW w:w="6360" w:type="dxa"/>
            <w:vAlign w:val="bottom"/>
            <w:gridSpan w:val="2"/>
          </w:tcPr>
          <w:p>
            <w:pPr>
              <w:spacing w:after="0"/>
              <w:rPr>
                <w:sz w:val="20"/>
                <w:szCs w:val="20"/>
                <w:color w:val="auto"/>
              </w:rPr>
            </w:pPr>
            <w:r>
              <w:rPr>
                <w:rFonts w:ascii="Courier New" w:cs="Courier New" w:eastAsia="Courier New" w:hAnsi="Courier New"/>
                <w:sz w:val="18"/>
                <w:szCs w:val="18"/>
                <w:color w:val="auto"/>
              </w:rPr>
              <w:t>|these Articles of Amendment to be signed by a duly</w:t>
            </w:r>
          </w:p>
        </w:tc>
        <w:tc>
          <w:tcPr>
            <w:tcW w:w="1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63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|authorized officer thereof this</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00" w:type="dxa"/>
            <w:vAlign w:val="bottom"/>
          </w:tcPr>
          <w:p>
            <w:pPr>
              <w:spacing w:after="0" w:line="203" w:lineRule="exact"/>
              <w:rPr>
                <w:sz w:val="20"/>
                <w:szCs w:val="20"/>
                <w:color w:val="auto"/>
              </w:rPr>
            </w:pPr>
            <w:r>
              <w:rPr>
                <w:rFonts w:ascii="Courier New" w:cs="Courier New" w:eastAsia="Courier New" w:hAnsi="Courier New"/>
                <w:sz w:val="18"/>
                <w:szCs w:val="18"/>
                <w:color w:val="auto"/>
                <w:w w:val="73"/>
              </w:rPr>
              <w:t>|</w:t>
            </w:r>
          </w:p>
        </w:tc>
        <w:tc>
          <w:tcPr>
            <w:tcW w:w="6260" w:type="dxa"/>
            <w:vAlign w:val="bottom"/>
          </w:tcPr>
          <w:p>
            <w:pPr>
              <w:spacing w:after="0"/>
              <w:rPr>
                <w:sz w:val="17"/>
                <w:szCs w:val="17"/>
                <w:color w:val="auto"/>
              </w:rPr>
            </w:pP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3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|Twenty-Eighth day of May, 2004.</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00" w:type="dxa"/>
            <w:vAlign w:val="bottom"/>
          </w:tcPr>
          <w:p>
            <w:pPr>
              <w:spacing w:after="0" w:line="203" w:lineRule="exact"/>
              <w:rPr>
                <w:sz w:val="20"/>
                <w:szCs w:val="20"/>
                <w:color w:val="auto"/>
              </w:rPr>
            </w:pPr>
            <w:r>
              <w:rPr>
                <w:rFonts w:ascii="Courier New" w:cs="Courier New" w:eastAsia="Courier New" w:hAnsi="Courier New"/>
                <w:sz w:val="18"/>
                <w:szCs w:val="18"/>
                <w:color w:val="auto"/>
                <w:w w:val="73"/>
              </w:rPr>
              <w:t>|</w:t>
            </w:r>
          </w:p>
        </w:tc>
        <w:tc>
          <w:tcPr>
            <w:tcW w:w="6260" w:type="dxa"/>
            <w:vAlign w:val="bottom"/>
          </w:tcPr>
          <w:p>
            <w:pPr>
              <w:spacing w:after="0"/>
              <w:rPr>
                <w:sz w:val="17"/>
                <w:szCs w:val="17"/>
                <w:color w:val="auto"/>
              </w:rPr>
            </w:pP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00" w:type="dxa"/>
            <w:vAlign w:val="bottom"/>
          </w:tcPr>
          <w:p>
            <w:pPr>
              <w:spacing w:after="0" w:line="203" w:lineRule="exact"/>
              <w:rPr>
                <w:sz w:val="20"/>
                <w:szCs w:val="20"/>
                <w:color w:val="auto"/>
              </w:rPr>
            </w:pPr>
            <w:r>
              <w:rPr>
                <w:rFonts w:ascii="Courier New" w:cs="Courier New" w:eastAsia="Courier New" w:hAnsi="Courier New"/>
                <w:sz w:val="18"/>
                <w:szCs w:val="18"/>
                <w:color w:val="auto"/>
                <w:w w:val="73"/>
              </w:rPr>
              <w:t>|</w:t>
            </w:r>
          </w:p>
        </w:tc>
        <w:tc>
          <w:tcPr>
            <w:tcW w:w="6260" w:type="dxa"/>
            <w:vAlign w:val="bottom"/>
          </w:tcPr>
          <w:p>
            <w:pPr>
              <w:spacing w:after="0"/>
              <w:rPr>
                <w:sz w:val="17"/>
                <w:szCs w:val="17"/>
                <w:color w:val="auto"/>
              </w:rPr>
            </w:pP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00" w:type="dxa"/>
            <w:vAlign w:val="bottom"/>
          </w:tcPr>
          <w:p>
            <w:pPr>
              <w:spacing w:after="0" w:line="203" w:lineRule="exact"/>
              <w:rPr>
                <w:sz w:val="20"/>
                <w:szCs w:val="20"/>
                <w:color w:val="auto"/>
              </w:rPr>
            </w:pPr>
            <w:r>
              <w:rPr>
                <w:rFonts w:ascii="Courier New" w:cs="Courier New" w:eastAsia="Courier New" w:hAnsi="Courier New"/>
                <w:sz w:val="18"/>
                <w:szCs w:val="18"/>
                <w:color w:val="auto"/>
                <w:w w:val="73"/>
              </w:rPr>
              <w:t>|</w:t>
            </w:r>
          </w:p>
        </w:tc>
        <w:tc>
          <w:tcPr>
            <w:tcW w:w="6260" w:type="dxa"/>
            <w:vAlign w:val="bottom"/>
          </w:tcPr>
          <w:p>
            <w:pPr>
              <w:jc w:val="right"/>
              <w:ind w:right="2272"/>
              <w:spacing w:after="0" w:line="203" w:lineRule="exact"/>
              <w:rPr>
                <w:sz w:val="20"/>
                <w:szCs w:val="20"/>
                <w:color w:val="auto"/>
              </w:rPr>
            </w:pPr>
            <w:r>
              <w:rPr>
                <w:rFonts w:ascii="Courier New" w:cs="Courier New" w:eastAsia="Courier New" w:hAnsi="Courier New"/>
                <w:sz w:val="18"/>
                <w:szCs w:val="18"/>
                <w:color w:val="auto"/>
              </w:rPr>
              <w:t>Comcast Corporation</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00" w:type="dxa"/>
            <w:vAlign w:val="bottom"/>
          </w:tcPr>
          <w:p>
            <w:pPr>
              <w:spacing w:after="0" w:line="203" w:lineRule="exact"/>
              <w:rPr>
                <w:sz w:val="20"/>
                <w:szCs w:val="20"/>
                <w:color w:val="auto"/>
              </w:rPr>
            </w:pPr>
            <w:r>
              <w:rPr>
                <w:rFonts w:ascii="Courier New" w:cs="Courier New" w:eastAsia="Courier New" w:hAnsi="Courier New"/>
                <w:sz w:val="18"/>
                <w:szCs w:val="18"/>
                <w:color w:val="auto"/>
                <w:w w:val="73"/>
              </w:rPr>
              <w:t>|</w:t>
            </w:r>
          </w:p>
        </w:tc>
        <w:tc>
          <w:tcPr>
            <w:tcW w:w="6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00" w:type="dxa"/>
            <w:vAlign w:val="bottom"/>
          </w:tcPr>
          <w:p>
            <w:pPr>
              <w:spacing w:after="0" w:line="203" w:lineRule="exact"/>
              <w:rPr>
                <w:sz w:val="20"/>
                <w:szCs w:val="20"/>
                <w:color w:val="auto"/>
              </w:rPr>
            </w:pPr>
            <w:r>
              <w:rPr>
                <w:rFonts w:ascii="Courier New" w:cs="Courier New" w:eastAsia="Courier New" w:hAnsi="Courier New"/>
                <w:sz w:val="18"/>
                <w:szCs w:val="18"/>
                <w:color w:val="auto"/>
                <w:w w:val="73"/>
              </w:rPr>
              <w:t>|</w:t>
            </w:r>
          </w:p>
        </w:tc>
        <w:tc>
          <w:tcPr>
            <w:tcW w:w="6260" w:type="dxa"/>
            <w:vAlign w:val="bottom"/>
          </w:tcPr>
          <w:p>
            <w:pPr>
              <w:jc w:val="right"/>
              <w:ind w:right="2272"/>
              <w:spacing w:after="0" w:line="203" w:lineRule="exact"/>
              <w:rPr>
                <w:sz w:val="20"/>
                <w:szCs w:val="20"/>
                <w:color w:val="auto"/>
              </w:rPr>
            </w:pPr>
            <w:r>
              <w:rPr>
                <w:rFonts w:ascii="Courier New" w:cs="Courier New" w:eastAsia="Courier New" w:hAnsi="Courier New"/>
                <w:sz w:val="18"/>
                <w:szCs w:val="18"/>
                <w:color w:val="auto"/>
              </w:rPr>
              <w:t>Name of Corporation</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00" w:type="dxa"/>
            <w:vAlign w:val="bottom"/>
          </w:tcPr>
          <w:p>
            <w:pPr>
              <w:spacing w:after="0" w:line="203" w:lineRule="exact"/>
              <w:rPr>
                <w:sz w:val="20"/>
                <w:szCs w:val="20"/>
                <w:color w:val="auto"/>
              </w:rPr>
            </w:pPr>
            <w:r>
              <w:rPr>
                <w:rFonts w:ascii="Courier New" w:cs="Courier New" w:eastAsia="Courier New" w:hAnsi="Courier New"/>
                <w:sz w:val="18"/>
                <w:szCs w:val="18"/>
                <w:color w:val="auto"/>
                <w:w w:val="73"/>
              </w:rPr>
              <w:t>|</w:t>
            </w:r>
          </w:p>
        </w:tc>
        <w:tc>
          <w:tcPr>
            <w:tcW w:w="6260" w:type="dxa"/>
            <w:vAlign w:val="bottom"/>
          </w:tcPr>
          <w:p>
            <w:pPr>
              <w:spacing w:after="0"/>
              <w:rPr>
                <w:sz w:val="17"/>
                <w:szCs w:val="17"/>
                <w:color w:val="auto"/>
              </w:rPr>
            </w:pP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00" w:type="dxa"/>
            <w:vAlign w:val="bottom"/>
          </w:tcPr>
          <w:p>
            <w:pPr>
              <w:spacing w:after="0" w:line="203" w:lineRule="exact"/>
              <w:rPr>
                <w:sz w:val="20"/>
                <w:szCs w:val="20"/>
                <w:color w:val="auto"/>
              </w:rPr>
            </w:pPr>
            <w:r>
              <w:rPr>
                <w:rFonts w:ascii="Courier New" w:cs="Courier New" w:eastAsia="Courier New" w:hAnsi="Courier New"/>
                <w:sz w:val="18"/>
                <w:szCs w:val="18"/>
                <w:color w:val="auto"/>
                <w:w w:val="73"/>
              </w:rPr>
              <w:t>|</w:t>
            </w:r>
          </w:p>
        </w:tc>
        <w:tc>
          <w:tcPr>
            <w:tcW w:w="6260" w:type="dxa"/>
            <w:vAlign w:val="bottom"/>
          </w:tcPr>
          <w:p>
            <w:pPr>
              <w:jc w:val="right"/>
              <w:ind w:right="3112"/>
              <w:spacing w:after="0" w:line="203" w:lineRule="exact"/>
              <w:rPr>
                <w:sz w:val="20"/>
                <w:szCs w:val="20"/>
                <w:color w:val="auto"/>
              </w:rPr>
            </w:pPr>
            <w:r>
              <w:rPr>
                <w:rFonts w:ascii="Courier New" w:cs="Courier New" w:eastAsia="Courier New" w:hAnsi="Courier New"/>
                <w:sz w:val="18"/>
                <w:szCs w:val="18"/>
                <w:color w:val="auto"/>
              </w:rPr>
              <w:t>/s/ Arthur R. Block</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00" w:type="dxa"/>
            <w:vAlign w:val="bottom"/>
          </w:tcPr>
          <w:p>
            <w:pPr>
              <w:spacing w:after="0" w:line="203" w:lineRule="exact"/>
              <w:rPr>
                <w:sz w:val="20"/>
                <w:szCs w:val="20"/>
                <w:color w:val="auto"/>
              </w:rPr>
            </w:pPr>
            <w:r>
              <w:rPr>
                <w:rFonts w:ascii="Courier New" w:cs="Courier New" w:eastAsia="Courier New" w:hAnsi="Courier New"/>
                <w:sz w:val="18"/>
                <w:szCs w:val="18"/>
                <w:color w:val="auto"/>
                <w:w w:val="73"/>
              </w:rPr>
              <w:t>|</w:t>
            </w:r>
          </w:p>
        </w:tc>
        <w:tc>
          <w:tcPr>
            <w:tcW w:w="6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00" w:type="dxa"/>
            <w:vAlign w:val="bottom"/>
          </w:tcPr>
          <w:p>
            <w:pPr>
              <w:spacing w:after="0" w:line="203" w:lineRule="exact"/>
              <w:rPr>
                <w:sz w:val="20"/>
                <w:szCs w:val="20"/>
                <w:color w:val="auto"/>
              </w:rPr>
            </w:pPr>
            <w:r>
              <w:rPr>
                <w:rFonts w:ascii="Courier New" w:cs="Courier New" w:eastAsia="Courier New" w:hAnsi="Courier New"/>
                <w:sz w:val="18"/>
                <w:szCs w:val="18"/>
                <w:color w:val="auto"/>
                <w:w w:val="73"/>
              </w:rPr>
              <w:t>|</w:t>
            </w:r>
          </w:p>
        </w:tc>
        <w:tc>
          <w:tcPr>
            <w:tcW w:w="6260" w:type="dxa"/>
            <w:vAlign w:val="bottom"/>
          </w:tcPr>
          <w:p>
            <w:pPr>
              <w:jc w:val="center"/>
              <w:ind w:right="592"/>
              <w:spacing w:after="0" w:line="203" w:lineRule="exact"/>
              <w:rPr>
                <w:sz w:val="20"/>
                <w:szCs w:val="20"/>
                <w:color w:val="auto"/>
              </w:rPr>
            </w:pPr>
            <w:r>
              <w:rPr>
                <w:rFonts w:ascii="Courier New" w:cs="Courier New" w:eastAsia="Courier New" w:hAnsi="Courier New"/>
                <w:sz w:val="18"/>
                <w:szCs w:val="18"/>
                <w:color w:val="auto"/>
                <w:w w:val="96"/>
              </w:rPr>
              <w:t>Signature</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00" w:type="dxa"/>
            <w:vAlign w:val="bottom"/>
          </w:tcPr>
          <w:p>
            <w:pPr>
              <w:spacing w:after="0" w:line="203" w:lineRule="exact"/>
              <w:rPr>
                <w:sz w:val="20"/>
                <w:szCs w:val="20"/>
                <w:color w:val="auto"/>
              </w:rPr>
            </w:pPr>
            <w:r>
              <w:rPr>
                <w:rFonts w:ascii="Courier New" w:cs="Courier New" w:eastAsia="Courier New" w:hAnsi="Courier New"/>
                <w:sz w:val="18"/>
                <w:szCs w:val="18"/>
                <w:color w:val="auto"/>
                <w:w w:val="73"/>
              </w:rPr>
              <w:t>|</w:t>
            </w:r>
          </w:p>
        </w:tc>
        <w:tc>
          <w:tcPr>
            <w:tcW w:w="6260" w:type="dxa"/>
            <w:vAlign w:val="bottom"/>
          </w:tcPr>
          <w:p>
            <w:pPr>
              <w:spacing w:after="0"/>
              <w:rPr>
                <w:sz w:val="17"/>
                <w:szCs w:val="17"/>
                <w:color w:val="auto"/>
              </w:rPr>
            </w:pP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00" w:type="dxa"/>
            <w:vAlign w:val="bottom"/>
          </w:tcPr>
          <w:p>
            <w:pPr>
              <w:spacing w:after="0" w:line="203" w:lineRule="exact"/>
              <w:rPr>
                <w:sz w:val="20"/>
                <w:szCs w:val="20"/>
                <w:color w:val="auto"/>
              </w:rPr>
            </w:pPr>
            <w:r>
              <w:rPr>
                <w:rFonts w:ascii="Courier New" w:cs="Courier New" w:eastAsia="Courier New" w:hAnsi="Courier New"/>
                <w:sz w:val="18"/>
                <w:szCs w:val="18"/>
                <w:color w:val="auto"/>
                <w:w w:val="73"/>
              </w:rPr>
              <w:t>|</w:t>
            </w:r>
          </w:p>
        </w:tc>
        <w:tc>
          <w:tcPr>
            <w:tcW w:w="6260" w:type="dxa"/>
            <w:vAlign w:val="bottom"/>
          </w:tcPr>
          <w:p>
            <w:pPr>
              <w:jc w:val="center"/>
              <w:ind w:right="592"/>
              <w:spacing w:after="0" w:line="203" w:lineRule="exact"/>
              <w:rPr>
                <w:sz w:val="20"/>
                <w:szCs w:val="20"/>
                <w:color w:val="auto"/>
              </w:rPr>
            </w:pPr>
            <w:r>
              <w:rPr>
                <w:rFonts w:ascii="Courier New" w:cs="Courier New" w:eastAsia="Courier New" w:hAnsi="Courier New"/>
                <w:sz w:val="18"/>
                <w:szCs w:val="18"/>
                <w:color w:val="auto"/>
                <w:w w:val="97"/>
              </w:rPr>
              <w:t>Arthur R. Block</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3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   Senior Vice President, General Counsel and Secretary</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00" w:type="dxa"/>
            <w:vAlign w:val="bottom"/>
          </w:tcPr>
          <w:p>
            <w:pPr>
              <w:spacing w:after="0" w:line="203" w:lineRule="exact"/>
              <w:rPr>
                <w:sz w:val="20"/>
                <w:szCs w:val="20"/>
                <w:color w:val="auto"/>
              </w:rPr>
            </w:pPr>
            <w:r>
              <w:rPr>
                <w:rFonts w:ascii="Courier New" w:cs="Courier New" w:eastAsia="Courier New" w:hAnsi="Courier New"/>
                <w:sz w:val="18"/>
                <w:szCs w:val="18"/>
                <w:color w:val="auto"/>
                <w:w w:val="73"/>
              </w:rPr>
              <w:t>|</w:t>
            </w:r>
          </w:p>
        </w:tc>
        <w:tc>
          <w:tcPr>
            <w:tcW w:w="6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00" w:type="dxa"/>
            <w:vAlign w:val="bottom"/>
          </w:tcPr>
          <w:p>
            <w:pPr>
              <w:spacing w:after="0" w:line="203" w:lineRule="exact"/>
              <w:rPr>
                <w:sz w:val="20"/>
                <w:szCs w:val="20"/>
                <w:color w:val="auto"/>
              </w:rPr>
            </w:pPr>
            <w:r>
              <w:rPr>
                <w:rFonts w:ascii="Courier New" w:cs="Courier New" w:eastAsia="Courier New" w:hAnsi="Courier New"/>
                <w:sz w:val="18"/>
                <w:szCs w:val="18"/>
                <w:color w:val="auto"/>
                <w:w w:val="73"/>
              </w:rPr>
              <w:t>|</w:t>
            </w:r>
          </w:p>
        </w:tc>
        <w:tc>
          <w:tcPr>
            <w:tcW w:w="6260" w:type="dxa"/>
            <w:vAlign w:val="bottom"/>
          </w:tcPr>
          <w:p>
            <w:pPr>
              <w:jc w:val="center"/>
              <w:ind w:right="592"/>
              <w:spacing w:after="0" w:line="203" w:lineRule="exact"/>
              <w:rPr>
                <w:sz w:val="20"/>
                <w:szCs w:val="20"/>
                <w:color w:val="auto"/>
              </w:rPr>
            </w:pPr>
            <w:r>
              <w:rPr>
                <w:rFonts w:ascii="Courier New" w:cs="Courier New" w:eastAsia="Courier New" w:hAnsi="Courier New"/>
                <w:sz w:val="18"/>
                <w:szCs w:val="18"/>
                <w:color w:val="auto"/>
                <w:w w:val="99"/>
              </w:rPr>
              <w:t>Title</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00" w:type="dxa"/>
            <w:vAlign w:val="bottom"/>
          </w:tcPr>
          <w:p>
            <w:pPr>
              <w:spacing w:after="0" w:line="203" w:lineRule="exact"/>
              <w:rPr>
                <w:sz w:val="20"/>
                <w:szCs w:val="20"/>
                <w:color w:val="auto"/>
              </w:rPr>
            </w:pPr>
            <w:r>
              <w:rPr>
                <w:rFonts w:ascii="Courier New" w:cs="Courier New" w:eastAsia="Courier New" w:hAnsi="Courier New"/>
                <w:sz w:val="18"/>
                <w:szCs w:val="18"/>
                <w:color w:val="auto"/>
                <w:w w:val="73"/>
              </w:rPr>
              <w:t>|</w:t>
            </w:r>
          </w:p>
        </w:tc>
        <w:tc>
          <w:tcPr>
            <w:tcW w:w="6260" w:type="dxa"/>
            <w:vAlign w:val="bottom"/>
          </w:tcPr>
          <w:p>
            <w:pPr>
              <w:spacing w:after="0"/>
              <w:rPr>
                <w:sz w:val="17"/>
                <w:szCs w:val="17"/>
                <w:color w:val="auto"/>
              </w:rPr>
            </w:pP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ind w:left="1700"/>
        <w:spacing w:after="0" w:line="238" w:lineRule="auto"/>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136" w:right="1440" w:bottom="1440" w:gutter="0" w:footer="0" w:header="0"/>
        </w:sectPr>
      </w:pPr>
    </w:p>
    <w:bookmarkStart w:id="38" w:name="page39"/>
    <w:bookmarkEnd w:id="38"/>
    <w:p>
      <w:pPr>
        <w:jc w:val="right"/>
        <w:ind w:right="1779"/>
        <w:spacing w:after="0"/>
        <w:rPr>
          <w:sz w:val="20"/>
          <w:szCs w:val="20"/>
          <w:color w:val="auto"/>
        </w:rPr>
      </w:pPr>
      <w:r>
        <w:rPr>
          <w:rFonts w:ascii="Courier New" w:cs="Courier New" w:eastAsia="Courier New" w:hAnsi="Courier New"/>
          <w:sz w:val="18"/>
          <w:szCs w:val="18"/>
          <w:color w:val="auto"/>
        </w:rPr>
        <w:t>Exhibit A</w:t>
      </w:r>
    </w:p>
    <w:p>
      <w:pPr>
        <w:ind w:left="1280"/>
        <w:spacing w:after="0" w:line="238" w:lineRule="auto"/>
        <w:rPr>
          <w:sz w:val="20"/>
          <w:szCs w:val="20"/>
          <w:color w:val="auto"/>
        </w:rPr>
      </w:pPr>
      <w:r>
        <w:rPr>
          <w:rFonts w:ascii="Courier New" w:cs="Courier New" w:eastAsia="Courier New" w:hAnsi="Courier New"/>
          <w:sz w:val="18"/>
          <w:szCs w:val="18"/>
          <w:color w:val="auto"/>
        </w:rPr>
        <w:t>Restated Articles of Incorporation of Comcast Corporation</w:t>
      </w:r>
    </w:p>
    <w:p>
      <w:pPr>
        <w:spacing w:after="0" w:line="207"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6"/>
          <w:szCs w:val="16"/>
          <w:color w:val="auto"/>
        </w:rPr>
        <w:t>The Articles of Incorporation of the Corporation are restated in their</w:t>
      </w:r>
    </w:p>
    <w:p>
      <w:pPr>
        <w:spacing w:after="0" w:line="16"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entirety so as to read as follows:</w:t>
      </w:r>
    </w:p>
    <w:p>
      <w:pPr>
        <w:sectPr>
          <w:pgSz w:w="11900" w:h="16838" w:orient="portrait"/>
          <w:cols w:equalWidth="0" w:num="1">
            <w:col w:w="10219"/>
          </w:cols>
          <w:pgMar w:left="240" w:top="1325" w:right="1440" w:bottom="570" w:gutter="0" w:footer="0" w:header="0"/>
        </w:sectPr>
      </w:pPr>
    </w:p>
    <w:p>
      <w:pPr>
        <w:spacing w:after="0" w:line="207" w:lineRule="exact"/>
        <w:rPr>
          <w:sz w:val="20"/>
          <w:szCs w:val="20"/>
          <w:color w:val="auto"/>
        </w:rPr>
      </w:pPr>
    </w:p>
    <w:p>
      <w:pPr>
        <w:ind w:left="540"/>
        <w:spacing w:after="0"/>
        <w:tabs>
          <w:tab w:leader="none" w:pos="1460" w:val="left"/>
        </w:tabs>
        <w:rPr>
          <w:sz w:val="20"/>
          <w:szCs w:val="20"/>
          <w:color w:val="auto"/>
        </w:rPr>
      </w:pPr>
      <w:r>
        <w:rPr>
          <w:rFonts w:ascii="Courier New" w:cs="Courier New" w:eastAsia="Courier New" w:hAnsi="Courier New"/>
          <w:sz w:val="16"/>
          <w:szCs w:val="16"/>
          <w:color w:val="auto"/>
        </w:rPr>
        <w:t>FIRST:</w:t>
      </w:r>
      <w:r>
        <w:rPr>
          <w:sz w:val="20"/>
          <w:szCs w:val="20"/>
          <w:color w:val="auto"/>
        </w:rPr>
        <w:tab/>
      </w:r>
      <w:r>
        <w:rPr>
          <w:rFonts w:ascii="Courier New" w:cs="Courier New" w:eastAsia="Courier New" w:hAnsi="Courier New"/>
          <w:sz w:val="16"/>
          <w:szCs w:val="16"/>
          <w:color w:val="auto"/>
        </w:rPr>
        <w:t>The</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jc w:val="center"/>
        <w:spacing w:after="0"/>
        <w:rPr>
          <w:sz w:val="20"/>
          <w:szCs w:val="20"/>
          <w:color w:val="auto"/>
        </w:rPr>
      </w:pPr>
      <w:r>
        <w:rPr>
          <w:rFonts w:ascii="Courier New" w:cs="Courier New" w:eastAsia="Courier New" w:hAnsi="Courier New"/>
          <w:sz w:val="18"/>
          <w:szCs w:val="18"/>
          <w:color w:val="auto"/>
        </w:rPr>
        <w:t>name</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jc w:val="center"/>
        <w:spacing w:after="0"/>
        <w:rPr>
          <w:sz w:val="20"/>
          <w:szCs w:val="20"/>
          <w:color w:val="auto"/>
        </w:rPr>
      </w:pPr>
      <w:r>
        <w:rPr>
          <w:rFonts w:ascii="Courier New" w:cs="Courier New" w:eastAsia="Courier New" w:hAnsi="Courier New"/>
          <w:sz w:val="18"/>
          <w:szCs w:val="18"/>
          <w:color w:val="auto"/>
        </w:rPr>
        <w:t>of</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Corporation</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jc w:val="center"/>
        <w:spacing w:after="0"/>
        <w:rPr>
          <w:sz w:val="20"/>
          <w:szCs w:val="20"/>
          <w:color w:val="auto"/>
        </w:rPr>
      </w:pPr>
      <w:r>
        <w:rPr>
          <w:rFonts w:ascii="Courier New" w:cs="Courier New" w:eastAsia="Courier New" w:hAnsi="Courier New"/>
          <w:sz w:val="18"/>
          <w:szCs w:val="18"/>
          <w:color w:val="auto"/>
        </w:rPr>
        <w:t>is</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Comcast</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Corporation</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w:t>
      </w:r>
    </w:p>
    <w:p>
      <w:pPr>
        <w:spacing w:after="0" w:line="20" w:lineRule="exact"/>
        <w:rPr>
          <w:sz w:val="20"/>
          <w:szCs w:val="20"/>
          <w:color w:val="auto"/>
        </w:rPr>
      </w:pPr>
    </w:p>
    <w:p>
      <w:pPr>
        <w:sectPr>
          <w:pgSz w:w="11900" w:h="16838" w:orient="portrait"/>
          <w:cols w:equalWidth="0" w:num="9">
            <w:col w:w="1800" w:space="200"/>
            <w:col w:w="440" w:space="200"/>
            <w:col w:w="220" w:space="200"/>
            <w:col w:w="320" w:space="320"/>
            <w:col w:w="1160" w:space="200"/>
            <w:col w:w="220" w:space="200"/>
            <w:col w:w="740" w:space="320"/>
            <w:col w:w="1160" w:space="320"/>
            <w:col w:w="2199"/>
          </w:cols>
          <w:pgMar w:left="240" w:top="1325" w:right="1440" w:bottom="57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"Corporation").</w:t>
      </w:r>
    </w:p>
    <w:p>
      <w:pPr>
        <w:sectPr>
          <w:pgSz w:w="11900" w:h="16838" w:orient="portrait"/>
          <w:cols w:equalWidth="0" w:num="1">
            <w:col w:w="10219"/>
          </w:cols>
          <w:pgMar w:left="240" w:top="1325" w:right="1440" w:bottom="570" w:gutter="0" w:footer="0" w:header="0"/>
          <w:type w:val="continuous"/>
        </w:sectPr>
      </w:pPr>
    </w:p>
    <w:p>
      <w:pPr>
        <w:spacing w:after="0" w:line="224" w:lineRule="exact"/>
        <w:rPr>
          <w:sz w:val="20"/>
          <w:szCs w:val="20"/>
          <w:color w:val="auto"/>
        </w:rPr>
      </w:pPr>
    </w:p>
    <w:p>
      <w:pPr>
        <w:ind w:firstLine="527"/>
        <w:spacing w:after="0" w:line="235" w:lineRule="auto"/>
        <w:rPr>
          <w:sz w:val="20"/>
          <w:szCs w:val="20"/>
          <w:color w:val="auto"/>
        </w:rPr>
      </w:pPr>
      <w:r>
        <w:rPr>
          <w:rFonts w:ascii="Courier New" w:cs="Courier New" w:eastAsia="Courier New" w:hAnsi="Courier New"/>
          <w:sz w:val="18"/>
          <w:szCs w:val="18"/>
          <w:color w:val="auto"/>
        </w:rPr>
        <w:t>SECOND: The location and post office address of the Corporation's registered office in this Commonwealth is:</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current</w:t>
      </w:r>
    </w:p>
    <w:p>
      <w:pPr>
        <w:spacing w:after="0" w:line="418" w:lineRule="exact"/>
        <w:rPr>
          <w:sz w:val="20"/>
          <w:szCs w:val="20"/>
          <w:color w:val="auto"/>
        </w:rPr>
      </w:pPr>
    </w:p>
    <w:p>
      <w:pPr>
        <w:sectPr>
          <w:pgSz w:w="11900" w:h="16838" w:orient="portrait"/>
          <w:cols w:equalWidth="0" w:num="2">
            <w:col w:w="7480" w:space="220"/>
            <w:col w:w="2519"/>
          </w:cols>
          <w:pgMar w:left="240" w:top="1325" w:right="1440" w:bottom="570" w:gutter="0" w:footer="0" w:header="0"/>
          <w:type w:val="continuous"/>
        </w:sectPr>
      </w:pPr>
    </w:p>
    <w:p>
      <w:pPr>
        <w:spacing w:after="0" w:line="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1500 Market Street, 35th Floor</w:t>
      </w:r>
    </w:p>
    <w:p>
      <w:pPr>
        <w:ind w:left="960"/>
        <w:spacing w:after="0" w:line="238" w:lineRule="auto"/>
        <w:rPr>
          <w:sz w:val="20"/>
          <w:szCs w:val="20"/>
          <w:color w:val="auto"/>
        </w:rPr>
      </w:pPr>
      <w:r>
        <w:rPr>
          <w:rFonts w:ascii="Courier New" w:cs="Courier New" w:eastAsia="Courier New" w:hAnsi="Courier New"/>
          <w:sz w:val="18"/>
          <w:szCs w:val="18"/>
          <w:color w:val="auto"/>
        </w:rPr>
        <w:t>Philadelphia, PA 19102-2148</w:t>
      </w:r>
    </w:p>
    <w:p>
      <w:pPr>
        <w:spacing w:after="0" w:line="207"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THIRD: The Corporation is incorporated under the provisions of the Business Corporation Law of 1988. The purpose or purposes for which the Corporation is organized are:</w:t>
      </w:r>
    </w:p>
    <w:p>
      <w:pPr>
        <w:spacing w:after="0" w:line="209" w:lineRule="exact"/>
        <w:rPr>
          <w:sz w:val="20"/>
          <w:szCs w:val="20"/>
          <w:color w:val="auto"/>
        </w:rPr>
      </w:pPr>
    </w:p>
    <w:p>
      <w:pPr>
        <w:ind w:right="1779" w:firstLine="948"/>
        <w:spacing w:after="0" w:line="236" w:lineRule="auto"/>
        <w:rPr>
          <w:sz w:val="20"/>
          <w:szCs w:val="20"/>
          <w:color w:val="auto"/>
        </w:rPr>
      </w:pPr>
      <w:r>
        <w:rPr>
          <w:rFonts w:ascii="Courier New" w:cs="Courier New" w:eastAsia="Courier New" w:hAnsi="Courier New"/>
          <w:sz w:val="18"/>
          <w:szCs w:val="18"/>
          <w:color w:val="auto"/>
        </w:rPr>
        <w:t>To have unlimited power to engage in and to do any lawful act concerning any or all lawful business for which corporations may be incorporated under the Business Corporation Law.</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FOURTH: The term of its existence is perpetual.</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FIFTH: A. The aggregate number of shares which the Corporation shall have authority to issue is SEVEN BILLION FIVE HUNDRED MILLION (7,500,000,000) shares of Class A Common Stock, par value $0.01 per share, SEVEN BILLION FIVE HUNDRED MILLION (7,500,000,000) shares of Class A Special Common Stock, par value $0.01 per share, SEVENTY FIVE MILLION (75,000,000) shares of Class B Common Stock, par value $0.01 per share, and TWENTY MILLION (20,000,000) shares of Preferred Stock, which the Board of Directors may issue, in one or more series, without par value, with full, limited, multiple, fractional, or no voting rights, and with such designations, preferences, qualifications, privileges, limitations, restrictions, options, conversion rights and other special or relative rights as shall be fixed by the Board of Directors.</w:t>
      </w:r>
    </w:p>
    <w:p>
      <w:pPr>
        <w:spacing w:after="0" w:line="216"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B. The descriptions, preferences, qualifications, limitations, restrictions and the voting, special or relative rights in respect of the shares of each class of Common Stock are as follows:</w:t>
      </w:r>
    </w:p>
    <w:p>
      <w:pPr>
        <w:spacing w:after="0" w:line="209" w:lineRule="exact"/>
        <w:rPr>
          <w:sz w:val="20"/>
          <w:szCs w:val="20"/>
          <w:color w:val="auto"/>
        </w:rPr>
      </w:pPr>
    </w:p>
    <w:p>
      <w:pPr>
        <w:jc w:val="both"/>
        <w:ind w:left="540" w:right="1779" w:firstLine="521"/>
        <w:spacing w:after="0" w:line="268" w:lineRule="auto"/>
        <w:tabs>
          <w:tab w:leader="none" w:pos="1383" w:val="left"/>
        </w:tabs>
        <w:numPr>
          <w:ilvl w:val="1"/>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Subject to paragraph (B)(1)(c) of this Article FIFTH, each share of Class A Common Stock shall entitle the holder thereof to the number of votes equal to a quotient the numerator of which is the excess of</w:t>
      </w:r>
    </w:p>
    <w:p>
      <w:pPr>
        <w:jc w:val="both"/>
        <w:ind w:left="540" w:right="1779" w:hanging="5"/>
        <w:spacing w:after="0" w:line="238" w:lineRule="auto"/>
        <w:tabs>
          <w:tab w:leader="none" w:pos="961"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Total Number of Votes (as defined below) over (ii) the sum of (A) the Total Number of B Votes (as defined below) and (B) the Total Number of Other Votes (as defined below) and the denominator of which is the number of outstanding shares of Class A Common Stock (provided that if at any time there are no outstanding shares of Class B Common Stock, each share of Class A Common Stock shall entitle the holder thereof to one (1) vote) and each share of Class B Common Stock shall entitle the holder thereof to fifteen (15) votes. Holders of shares of Class A Special Common Stock shall not be entitled to vote for the election of Directors (as defined below in Article SIXTH) or any other matter except as may be required by applicable law, in which case each share of Class A Special Common Stock shall entitle the holder thereof to the same number of votes to which each holder of Class A Common Stock is entitled for each of such holder's shares of Class A Common Stock. "Total Number of Votes" on any record date is equal to a quotient the numerator of which is the Total Number of B Votes on such record date and the denominator of which is the B Voting Percentage (as defined below) on such record date. "Total Number of B Votes" on any record date is equal to the product of (i) 15 and (ii) the number of outstanding shares of Class B Common Stock on such record date. "Total Number of Other Votes" on any record date means the aggregate number of votes to which holders of all classes of capital stock of the Corporation other than holders of Class A Common Stock and Class B Common Stock are entitled to cast on such record date in an election of Directors. "B Voting Percentage" on any record date means the portion (expressed as a percentage) of the total number of votes entitled to be cast in an election of Directors by the holders of capital stock of the Corporation to which all holders of Class B</w:t>
      </w:r>
    </w:p>
    <w:p>
      <w:pPr>
        <w:sectPr>
          <w:pgSz w:w="11900" w:h="16838" w:orient="portrait"/>
          <w:cols w:equalWidth="0" w:num="1">
            <w:col w:w="10219"/>
          </w:cols>
          <w:pgMar w:left="240" w:top="1325" w:right="1440" w:bottom="570" w:gutter="0" w:footer="0" w:header="0"/>
          <w:type w:val="continuous"/>
        </w:sectPr>
      </w:pPr>
    </w:p>
    <w:bookmarkStart w:id="39" w:name="page40"/>
    <w:bookmarkEnd w:id="39"/>
    <w:p>
      <w:pPr>
        <w:jc w:val="both"/>
        <w:ind w:right="1779"/>
        <w:spacing w:after="0" w:line="236" w:lineRule="auto"/>
        <w:rPr>
          <w:sz w:val="20"/>
          <w:szCs w:val="20"/>
          <w:color w:val="auto"/>
        </w:rPr>
      </w:pPr>
      <w:r>
        <w:rPr>
          <w:rFonts w:ascii="Courier New" w:cs="Courier New" w:eastAsia="Courier New" w:hAnsi="Courier New"/>
          <w:sz w:val="18"/>
          <w:szCs w:val="18"/>
          <w:color w:val="auto"/>
        </w:rPr>
        <w:t>Common Stock are entitled to cast on such record date in an election of Directors, as specified and determined pursuant to paragraph (B)(1)(c) of this Article FIFTH.</w:t>
      </w:r>
    </w:p>
    <w:p>
      <w:pPr>
        <w:spacing w:after="0" w:line="209" w:lineRule="exact"/>
        <w:rPr>
          <w:sz w:val="20"/>
          <w:szCs w:val="20"/>
          <w:color w:val="auto"/>
        </w:rPr>
      </w:pPr>
    </w:p>
    <w:p>
      <w:pPr>
        <w:jc w:val="both"/>
        <w:ind w:right="1779" w:firstLine="521"/>
        <w:spacing w:after="0" w:line="238" w:lineRule="auto"/>
        <w:tabs>
          <w:tab w:leader="none" w:pos="948"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provided in Article SEVENTH or required by applicable law, only the holders of Class A Common Stock, the holders of Class B Common Stock and the holders of any other class or series of Common Stock, Preferred Stock or other class of capital stock of the Corporation (if any) with voting rights shall be entitled to vote and shall vote as a single class on all matters with respect to which a vote of the shareholders of the Corporation is required or permitted under applicable law, these Articles of Incorporation, or the By-Laws of the Corporation. Whenever applicable law, these Articles of Incorporation or the By-Laws of the Corporation provide for a vote of the shareholders of the Corporation on any matter, approval of such matter shall require the affirmative vote of a majority of the votes cast by the holders entitled to vote thereon unless otherwise expressly provided under applicable law, these Articles of Incorporation or the By-Laws of the Corporation.</w:t>
      </w:r>
    </w:p>
    <w:p>
      <w:pPr>
        <w:spacing w:after="0" w:line="207" w:lineRule="exact"/>
        <w:rPr>
          <w:rFonts w:ascii="Courier New" w:cs="Courier New" w:eastAsia="Courier New" w:hAnsi="Courier New"/>
          <w:sz w:val="18"/>
          <w:szCs w:val="18"/>
          <w:color w:val="auto"/>
        </w:rPr>
      </w:pPr>
    </w:p>
    <w:p>
      <w:pPr>
        <w:jc w:val="both"/>
        <w:ind w:right="1779" w:firstLine="521"/>
        <w:spacing w:after="0" w:line="238" w:lineRule="auto"/>
        <w:tabs>
          <w:tab w:leader="none" w:pos="1159"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any other provision of these Articles of Incorporation, including paragraph (B)(1)(a) of this Article FIFTH, but subject to Article SEVENTH, with respect to any matter on which the holders of Class B Common Stock and the holders of one or more classes or series of Common Stock, Preferred Stock or any other class of capital stock of the Corporation (if any) vote as a single class, each share of Class B Common Stock shall entitle the holder thereof to the number of votes necessary so that, if all holders of Class B Common Stock and all holders of each such other class or series of Common Stock, Preferred Stock and other class of capital stock of the Corporation (if any) were to cast all votes they are entitled to cast on such matter, the holders of the Class B Common Stock in the aggregate would cast thirty three and one-third (33 1/3) per cent of the total votes cast by all such holders, subject to reduction as set forth in the following sentence. If at any time after the Effective Time for any reason whatsoever the number of shares of Class B Common Stock outstanding at such time is reduced below the number of shares of Class B Common Stock outstanding at the Effective Time (appropriately adjusted for any stock dividend paid in Class B Common Stock, stock splits or reverse stock splits of the Class B Common Stock or combinations, consolidations or reclassifications of the Class B Common Stock), the percentage specified in the preceding sentence shall be reduced to a percentage equal to the product of (i) thirty three and one-third (33 1/3) and (ii) the fraction obtained by dividing the number of shares of Class B Common Stock outstanding at such time by the number of shares of Class B Common Stock outstanding at the Effective Time (appropriately adjusted for any stock dividend paid in Class B Common Stock, stock splits or reverse stock splits of the Class B Common Stock or combinations, consolidations or reclassifications of the Class B Common Stock). No reduction in the percentage of the voting power of the Class B Common Stock pursuant to the preceding sentence shall be reversed by any issuance of Class B Common Stock that occurs after such reduction.</w:t>
      </w:r>
    </w:p>
    <w:p>
      <w:pPr>
        <w:spacing w:after="0" w:line="214" w:lineRule="exact"/>
        <w:rPr>
          <w:sz w:val="20"/>
          <w:szCs w:val="20"/>
          <w:color w:val="auto"/>
        </w:rPr>
      </w:pPr>
    </w:p>
    <w:p>
      <w:pPr>
        <w:jc w:val="both"/>
        <w:ind w:right="1779" w:firstLine="521"/>
        <w:spacing w:after="0" w:line="237" w:lineRule="auto"/>
        <w:tabs>
          <w:tab w:leader="none" w:pos="843"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holders of Class A Common Stock, the holders of Class A Special Common Stock and the holders of Class B Common Stock shall be entitled to receive, from time to time, when and as declared, in the discretion of the Board of Directors, such cash dividends as the Board of Directors may from time to time determine, out of such funds as are legally available therefore, in proportion to the number of shares held by them, respectively, without regard to class.</w:t>
      </w:r>
    </w:p>
    <w:p>
      <w:pPr>
        <w:spacing w:after="0" w:line="211" w:lineRule="exact"/>
        <w:rPr>
          <w:rFonts w:ascii="Courier New" w:cs="Courier New" w:eastAsia="Courier New" w:hAnsi="Courier New"/>
          <w:sz w:val="18"/>
          <w:szCs w:val="18"/>
          <w:color w:val="auto"/>
        </w:rPr>
      </w:pPr>
    </w:p>
    <w:p>
      <w:pPr>
        <w:jc w:val="both"/>
        <w:ind w:right="1779" w:firstLine="521"/>
        <w:spacing w:after="0" w:line="269" w:lineRule="auto"/>
        <w:tabs>
          <w:tab w:leader="none" w:pos="843"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holders of Class A Common Stock, the holders of Class A Special Common Stock, and the holders of Class B Common Stock shall be entitled to receive, from time to time, when and as declared by the Board of Directors, such dividends of stock of the Corporation or other property as the Board of Directors may determine, out of such funds as are legally available therefore. Stock dividends on, or stock splits of, any class of Common Stock shall not be paid or issued unless paid or issued on all classes of Common Stock, in which case they shall be paid or issued only in shares of that class; provided, however, that stock dividends on, or stock splits of, Class B Common Stock may be paid or issued in shares of Class A Special Common Stock. Any decrease in the number of shares of any class of Common Stock resulting from a combination or consolidation of shares or other capital reclassification shall not be permitted unless parallel action is taken with respect to each other class of Common Stock, so that the number of shares of each class of Common Stock outstanding shall be decreased proportionately. Notwithstanding anything to the contrary contained herein, in the event of a distribution of property, plan of merger or</w:t>
      </w:r>
    </w:p>
    <w:p>
      <w:pPr>
        <w:sectPr>
          <w:pgSz w:w="11900" w:h="16838" w:orient="portrait"/>
          <w:cols w:equalWidth="0" w:num="1">
            <w:col w:w="9679"/>
          </w:cols>
          <w:pgMar w:left="780" w:top="1128" w:right="1440" w:bottom="0" w:gutter="0" w:footer="0" w:header="0"/>
        </w:sectPr>
      </w:pPr>
    </w:p>
    <w:bookmarkStart w:id="40" w:name="page41"/>
    <w:bookmarkEnd w:id="40"/>
    <w:p>
      <w:pPr>
        <w:jc w:val="both"/>
        <w:ind w:right="1779"/>
        <w:spacing w:after="0" w:line="237" w:lineRule="auto"/>
        <w:rPr>
          <w:sz w:val="20"/>
          <w:szCs w:val="20"/>
          <w:color w:val="auto"/>
        </w:rPr>
      </w:pPr>
      <w:r>
        <w:rPr>
          <w:rFonts w:ascii="Courier New" w:cs="Courier New" w:eastAsia="Courier New" w:hAnsi="Courier New"/>
          <w:sz w:val="18"/>
          <w:szCs w:val="18"/>
          <w:color w:val="auto"/>
        </w:rPr>
        <w:t>consolidation, plan of asset transfer, plan of division, plan of exchange, or recapitalization pursuant to which the holders of Class A Common Stock, the holders of Class A Special Common Stock and the holders of Class B Common Stock would be entitled to</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9679"/>
          </w:cols>
          <w:pgMar w:left="780" w:top="142" w:right="1440" w:bottom="1440" w:gutter="0" w:footer="0" w:header="0"/>
        </w:sectPr>
      </w:pPr>
    </w:p>
    <w:bookmarkStart w:id="41" w:name="page42"/>
    <w:bookmarkEnd w:id="41"/>
    <w:p>
      <w:pPr>
        <w:jc w:val="both"/>
        <w:ind w:right="1779"/>
        <w:spacing w:after="0" w:line="268" w:lineRule="auto"/>
        <w:rPr>
          <w:sz w:val="20"/>
          <w:szCs w:val="20"/>
          <w:color w:val="auto"/>
        </w:rPr>
      </w:pPr>
      <w:r>
        <w:rPr>
          <w:rFonts w:ascii="Courier New" w:cs="Courier New" w:eastAsia="Courier New" w:hAnsi="Courier New"/>
          <w:sz w:val="16"/>
          <w:szCs w:val="16"/>
          <w:color w:val="auto"/>
        </w:rPr>
        <w:t>receive equity interests of one or more corporations (including, without limitation, the Corporation) or other entities, or rights to acquire such equity interests, then the Board of Directors may, by resolution duly adopted, provide that the holders of Class A Common Stock, the holders of Class A Special Common Stock, and the holders of Class B Common Stock, respectively and as separate classes, shall receive with respect to their Class A Common Stock, Class A Special Common Stock, or Class B Common Stock (whether by distribution, exchange, redemption or otherwise), in proportion to the number of shares held by them, equity interests (or rights to acquire such equity interests) of separate classes or series having</w:t>
      </w:r>
    </w:p>
    <w:p>
      <w:pPr>
        <w:spacing w:after="0" w:line="2" w:lineRule="exact"/>
        <w:rPr>
          <w:sz w:val="20"/>
          <w:szCs w:val="20"/>
          <w:color w:val="auto"/>
        </w:rPr>
      </w:pPr>
    </w:p>
    <w:p>
      <w:pPr>
        <w:jc w:val="both"/>
        <w:ind w:right="1779"/>
        <w:spacing w:after="0" w:line="235" w:lineRule="auto"/>
        <w:rPr>
          <w:sz w:val="20"/>
          <w:szCs w:val="20"/>
          <w:color w:val="auto"/>
        </w:rPr>
      </w:pPr>
      <w:r>
        <w:rPr>
          <w:rFonts w:ascii="Courier New" w:cs="Courier New" w:eastAsia="Courier New" w:hAnsi="Courier New"/>
          <w:sz w:val="18"/>
          <w:szCs w:val="18"/>
          <w:color w:val="auto"/>
        </w:rPr>
        <w:t>substantially equivalent relative designations, preferences, qualifications, privileges, limitations, restrictions and rights as the</w:t>
      </w:r>
    </w:p>
    <w:p>
      <w:pPr>
        <w:spacing w:after="0" w:line="6" w:lineRule="exact"/>
        <w:rPr>
          <w:sz w:val="20"/>
          <w:szCs w:val="20"/>
          <w:color w:val="auto"/>
        </w:rPr>
      </w:pPr>
    </w:p>
    <w:p>
      <w:pPr>
        <w:jc w:val="both"/>
        <w:ind w:right="1779"/>
        <w:spacing w:after="0" w:line="270" w:lineRule="auto"/>
        <w:rPr>
          <w:sz w:val="20"/>
          <w:szCs w:val="20"/>
          <w:color w:val="auto"/>
        </w:rPr>
      </w:pPr>
      <w:r>
        <w:rPr>
          <w:rFonts w:ascii="Courier New" w:cs="Courier New" w:eastAsia="Courier New" w:hAnsi="Courier New"/>
          <w:sz w:val="16"/>
          <w:szCs w:val="16"/>
          <w:color w:val="auto"/>
        </w:rPr>
        <w:t>relative designations, preferences, qualifications, privileges, limitations, restrictions and rights of the Class A Common Stock, Class A Special Common Stock and Class B Common Stock. Except as provided above, if there should be any distribution of property, merger, consolidation, purchase or acquisition of property or stock, asset transfer, division, share exchange, recapitalization or reorganization of the Corporation, the holders of Class A Common Stock, the holders of Class A Special Common Stock, and the holders of Class B Common Stock shall receive the shares of stock, other securities or rights or other assets as would be issuable or payable upon such distribution, merger, consolidation, purchase or acquisition of such property or stock, asset transfer, division, share exchange, recapitalization or reorganization in proportion to the number of shares held by them, respectively, without regard to class.</w:t>
      </w:r>
    </w:p>
    <w:p>
      <w:pPr>
        <w:spacing w:after="0" w:line="389" w:lineRule="exact"/>
        <w:rPr>
          <w:sz w:val="20"/>
          <w:szCs w:val="20"/>
          <w:color w:val="auto"/>
        </w:rPr>
      </w:pPr>
    </w:p>
    <w:p>
      <w:pPr>
        <w:jc w:val="both"/>
        <w:ind w:right="1779" w:firstLine="521"/>
        <w:spacing w:after="0" w:line="237" w:lineRule="auto"/>
        <w:tabs>
          <w:tab w:leader="none" w:pos="843"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share of Class B Common Stock shall be convertible at the option of the holder thereof into one share of Class A Common Stock or one share of Class A Special Common Stock. Each share of Class B Common Stock shall be cancelled after it has been converted as provided herein.</w:t>
      </w:r>
    </w:p>
    <w:p>
      <w:pPr>
        <w:spacing w:after="0" w:line="207" w:lineRule="exact"/>
        <w:rPr>
          <w:rFonts w:ascii="Courier New" w:cs="Courier New" w:eastAsia="Courier New" w:hAnsi="Courier New"/>
          <w:sz w:val="18"/>
          <w:szCs w:val="18"/>
          <w:color w:val="auto"/>
        </w:rPr>
      </w:pPr>
    </w:p>
    <w:p>
      <w:pPr>
        <w:jc w:val="both"/>
        <w:ind w:right="1779" w:firstLine="521"/>
        <w:spacing w:after="0" w:line="237" w:lineRule="auto"/>
        <w:tabs>
          <w:tab w:leader="none" w:pos="948"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Article SEVENTH and except as otherwise permitted by applicable law, each and any provision of these Articles of Incorporation may from time to time, when and as desired, be amended by a resolution of the Board of Directors and the affirmative vote of a majority of the votes cast by all shareholders entitled to vote thereon, as determined in accordance with the provisions of this Article FIFTH. There shall be no class voting on any such amendments or on any other matter except as shall be required by Article SEVENTH or by applicable law, in which case there shall be required the affirmative vote of a majority of the votes cast by the holders of the outstanding shares of each class entitled to vote by Article SEVENTH or by applicable law, voting as a separate class.</w:t>
      </w:r>
    </w:p>
    <w:p>
      <w:pPr>
        <w:spacing w:after="0" w:line="215" w:lineRule="exact"/>
        <w:rPr>
          <w:rFonts w:ascii="Courier New" w:cs="Courier New" w:eastAsia="Courier New" w:hAnsi="Courier New"/>
          <w:sz w:val="18"/>
          <w:szCs w:val="18"/>
          <w:color w:val="auto"/>
        </w:rPr>
      </w:pPr>
    </w:p>
    <w:p>
      <w:pPr>
        <w:jc w:val="both"/>
        <w:ind w:right="1779" w:firstLine="521"/>
        <w:spacing w:after="0" w:line="238" w:lineRule="auto"/>
        <w:tabs>
          <w:tab w:leader="none" w:pos="948"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there should be any merger, consolidation, purchase or acquisition of property or stock, separation, reorganization, division or share exchange, the Board of Directors shall take such action as may be necessary to enable the holders of the Class B Common Stock to receive upon any subsequent conversion of their stock into Class A Common Stock or Class A Special Common Stock (as the case may be), in whole or in part, in lieu of any shares of Class A Common Stock or Class A Special Common Stock (as the case may be) of the Corporation, the shares of stock, securities, or other assets as would be issuable or payable upon such merger, consolidation, purchase, or acquisition of property or stock, separation, reorganization, division or share exchange in respect of or in exchange for such share or shares of Class A Common Stock or Class A Special Common Stock (as the case may be).</w:t>
      </w:r>
    </w:p>
    <w:p>
      <w:pPr>
        <w:spacing w:after="0" w:line="207" w:lineRule="exact"/>
        <w:rPr>
          <w:rFonts w:ascii="Courier New" w:cs="Courier New" w:eastAsia="Courier New" w:hAnsi="Courier New"/>
          <w:sz w:val="18"/>
          <w:szCs w:val="18"/>
          <w:color w:val="auto"/>
        </w:rPr>
      </w:pPr>
    </w:p>
    <w:p>
      <w:pPr>
        <w:jc w:val="both"/>
        <w:ind w:right="1779" w:firstLine="521"/>
        <w:spacing w:after="0" w:line="237" w:lineRule="auto"/>
        <w:tabs>
          <w:tab w:leader="none" w:pos="843"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of any liquidation, dissolution or winding up (either voluntary or involuntary) of the Corporation, the holders of Class A Common Stock, the holders of Class A Special Common Stock and the holders of Class B Common Stock shall be entitled to receive the assets and funds of the Corporation in proportion to the number of shares held by them, respectively, without regard to class.</w:t>
      </w:r>
    </w:p>
    <w:p>
      <w:pPr>
        <w:spacing w:after="0" w:line="209" w:lineRule="exact"/>
        <w:rPr>
          <w:rFonts w:ascii="Courier New" w:cs="Courier New" w:eastAsia="Courier New" w:hAnsi="Courier New"/>
          <w:sz w:val="18"/>
          <w:szCs w:val="18"/>
          <w:color w:val="auto"/>
        </w:rPr>
      </w:pPr>
    </w:p>
    <w:p>
      <w:pPr>
        <w:jc w:val="both"/>
        <w:ind w:right="1779" w:firstLine="521"/>
        <w:spacing w:after="0" w:line="237" w:lineRule="auto"/>
        <w:tabs>
          <w:tab w:leader="none" w:pos="843"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all times the Board of Directors shall take such action to adjust the conversion privileges of the Class B Common Stock and the number of shares of Class B Common Stock to be outstanding after any particular transaction to prevent the dilution of the conversion rights of the holders of Class B Common Stock.</w:t>
      </w:r>
    </w:p>
    <w:p>
      <w:pPr>
        <w:spacing w:after="0" w:line="208" w:lineRule="exact"/>
        <w:rPr>
          <w:rFonts w:ascii="Courier New" w:cs="Courier New" w:eastAsia="Courier New" w:hAnsi="Courier New"/>
          <w:sz w:val="18"/>
          <w:szCs w:val="18"/>
          <w:color w:val="auto"/>
        </w:rPr>
      </w:pPr>
    </w:p>
    <w:p>
      <w:pPr>
        <w:jc w:val="both"/>
        <w:ind w:right="1779" w:firstLine="521"/>
        <w:spacing w:after="0" w:line="237" w:lineRule="auto"/>
        <w:tabs>
          <w:tab w:leader="none" w:pos="843"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expressly set forth in these Articles of Incorporation (including, without limitation, this Article FIFTH and Article SEVENTH), the rights of the holders of Class A Common Stock, the rights of the holders of Class A Special Common Stock and the rights of the holders of Class B Common Stock shall be in all respects identical.</w:t>
      </w:r>
    </w:p>
    <w:p>
      <w:pPr>
        <w:sectPr>
          <w:pgSz w:w="11900" w:h="16838" w:orient="portrait"/>
          <w:cols w:equalWidth="0" w:num="1">
            <w:col w:w="9679"/>
          </w:cols>
          <w:pgMar w:left="780" w:top="1330" w:right="1440" w:bottom="0" w:gutter="0" w:footer="0" w:header="0"/>
        </w:sectPr>
      </w:pPr>
    </w:p>
    <w:bookmarkStart w:id="42" w:name="page43"/>
    <w:bookmarkEnd w:id="42"/>
    <w:p>
      <w:pPr>
        <w:ind w:left="282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9019"/>
          </w:cols>
          <w:pgMar w:left="1440" w:top="750" w:right="1440" w:bottom="1440" w:gutter="0" w:footer="0" w:header="0"/>
        </w:sectPr>
      </w:pPr>
    </w:p>
    <w:bookmarkStart w:id="43" w:name="page44"/>
    <w:bookmarkEnd w:id="43"/>
    <w:p>
      <w:pPr>
        <w:jc w:val="both"/>
        <w:ind w:left="540" w:right="1779" w:firstLine="521"/>
        <w:spacing w:after="0" w:line="237" w:lineRule="auto"/>
        <w:tabs>
          <w:tab w:leader="none" w:pos="1488" w:val="left"/>
        </w:tabs>
        <w:numPr>
          <w:ilvl w:val="1"/>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the holders of the Class A Common Stock nor the holders of the Class B Common Stock nor the holders of any other class or series of Common Stock, Preferred Stock or other class of capital stock of the Corporation, whether issued prior to or after the Effective Time, shall have cumulative voting rights.</w:t>
      </w:r>
    </w:p>
    <w:p>
      <w:pPr>
        <w:spacing w:after="0" w:line="208" w:lineRule="exact"/>
        <w:rPr>
          <w:rFonts w:ascii="Courier New" w:cs="Courier New" w:eastAsia="Courier New" w:hAnsi="Courier New"/>
          <w:sz w:val="18"/>
          <w:szCs w:val="18"/>
          <w:color w:val="auto"/>
        </w:rPr>
      </w:pPr>
    </w:p>
    <w:p>
      <w:pPr>
        <w:jc w:val="both"/>
        <w:ind w:right="1779" w:firstLine="535"/>
        <w:spacing w:after="0" w:line="268" w:lineRule="auto"/>
        <w:tabs>
          <w:tab w:leader="none" w:pos="843"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Pursuant to the authority granted to the Board of Directors in paragraph A of this Article FIFTH, the Board of Directors has fixed and designated a Series A Participating Cumulative Preferred Stock having the voting rights and</w:t>
      </w:r>
    </w:p>
    <w:p>
      <w:pPr>
        <w:jc w:val="both"/>
        <w:ind w:right="1779"/>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designations, preferences, qualifications, privileges, limitations, restrictions, and other special and relative rights as are hereinafter set forth:</w:t>
      </w:r>
    </w:p>
    <w:p>
      <w:pPr>
        <w:spacing w:after="0" w:line="208" w:lineRule="exact"/>
        <w:rPr>
          <w:rFonts w:ascii="Courier New" w:cs="Courier New" w:eastAsia="Courier New" w:hAnsi="Courier New"/>
          <w:sz w:val="16"/>
          <w:szCs w:val="16"/>
          <w:color w:val="auto"/>
        </w:rPr>
      </w:pPr>
    </w:p>
    <w:p>
      <w:pPr>
        <w:jc w:val="both"/>
        <w:ind w:left="540" w:right="1779" w:firstLine="521"/>
        <w:spacing w:after="0" w:line="237" w:lineRule="auto"/>
        <w:tabs>
          <w:tab w:leader="none" w:pos="1488" w:val="left"/>
        </w:tabs>
        <w:numPr>
          <w:ilvl w:val="1"/>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shares of such series shall be designated as "Series A Participating Cumulative Preferred Stock" (the "Series A Preferred Stock"), and the number of shares constituting such series shall be 2,500,000. Such number of shares of the Series A Preferred Stock may be increased or decreased by resolution of the Board of Directors; provided that no decrease shall reduce the number of shares of Series A Preferred Stock to a number less than the number of shares then outstanding plus the number of shares issuable upon exercise or conversion of outstanding rights, options or other securities issued by the Corporation.</w:t>
      </w:r>
    </w:p>
    <w:p>
      <w:pPr>
        <w:spacing w:after="0" w:line="213" w:lineRule="exact"/>
        <w:rPr>
          <w:rFonts w:ascii="Courier New" w:cs="Courier New" w:eastAsia="Courier New" w:hAnsi="Courier New"/>
          <w:sz w:val="18"/>
          <w:szCs w:val="18"/>
          <w:color w:val="auto"/>
        </w:rPr>
      </w:pPr>
    </w:p>
    <w:p>
      <w:pPr>
        <w:jc w:val="both"/>
        <w:ind w:left="540" w:right="1779" w:firstLine="521"/>
        <w:spacing w:after="0" w:line="238" w:lineRule="auto"/>
        <w:tabs>
          <w:tab w:leader="none" w:pos="1383" w:val="left"/>
        </w:tabs>
        <w:numPr>
          <w:ilvl w:val="1"/>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The holders of shares of Series A Preferred Stock shall be entitled to receive, when, as and if declared by the Board of Directors out of funds legally available for the purpose, quarterly dividends payable on March 31, June 30, September 30 and December 31 of each year (each such date being referred to herein as a "Quarterly Dividend Payment Date"), commencing on the first Quarterly Dividend Payment Date after the first issuance of any share or fraction of a share of Series A Preferred Stock, in an amount per share (rounded to the nearest cent) equal to the greater of (i) $10.00 and (ii) subject to the provision for adjustment hereinafter set forth, 1000 times the aggregate per share amount of all cash dividends or other distributions and 1000 times the aggregate per share amount of all non-cash dividends or other distributions (other than (A) a dividend payable in shares of Common Stock, par value $0.01 per share, of the Corporation (the "Common Stock") or (B) a subdivision of the outstanding shares of Common Stock (by reclassification or otherwise)) declared on the Common Stock since the immediately preceding Quarterly Dividend Payment Date, or, with respect to the first Quarterly Dividend Payment Date, since the first issuance of any share or fraction of a share of Series A Preferred Stock. If the Corporation, at any time after November 18, 2002 (the "Rights Declaration Date"), pays any dividend on Common Stock payable in shares of Common Stock or effects a subdivision or combination of the outstanding shares of Common Stock (by reclassification or otherwise) into a greater or lesser number of shares of Common Stock, then in each such case the amount to which holders of shares of Series A Preferred Stock were entitled immediately prior to such event under clause (ii) of the preceding sentence shall be adjusted by multiplying such amount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214" w:lineRule="exact"/>
        <w:rPr>
          <w:sz w:val="20"/>
          <w:szCs w:val="20"/>
          <w:color w:val="auto"/>
        </w:rPr>
      </w:pPr>
    </w:p>
    <w:p>
      <w:pPr>
        <w:jc w:val="both"/>
        <w:ind w:left="540" w:right="1779" w:firstLine="521"/>
        <w:spacing w:after="0" w:line="270" w:lineRule="auto"/>
        <w:tabs>
          <w:tab w:leader="none" w:pos="1488"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Corporation shall declare a dividend or distribution on the Series A Preferred Stock as provided in paragraph (C)(2)(a) of this Article FIFTH immediately after it declares a dividend or distribution on the Common Stock (other than as described in clauses (ii)(A) and (ii)(B) of the first sentence of paragraph (C)(2) (a) of this Article FIFTH); provided that if no dividend or distribution shall have been declared on the Common Stock during the period between any Quarterly Dividend Payment Date and the next subsequent Quarterly Dividend Payment Date (or, with respect to the first Quarterly Dividend Payment Date, the period between the first issuance of any share or fraction of a share of Series A Preferred Stock and such first Quarterly Dividend Payment Date), a dividend of $10.00 per share on the Series A Preferred Stock shall nevertheless be payable on such subsequent Quarterly Dividend Payment Date.</w:t>
      </w:r>
    </w:p>
    <w:p>
      <w:pPr>
        <w:spacing w:after="0" w:line="389" w:lineRule="exact"/>
        <w:rPr>
          <w:rFonts w:ascii="Courier New" w:cs="Courier New" w:eastAsia="Courier New" w:hAnsi="Courier New"/>
          <w:sz w:val="16"/>
          <w:szCs w:val="16"/>
          <w:color w:val="auto"/>
        </w:rPr>
      </w:pPr>
    </w:p>
    <w:p>
      <w:pPr>
        <w:jc w:val="both"/>
        <w:ind w:left="540" w:right="1779" w:firstLine="521"/>
        <w:spacing w:after="0" w:line="271" w:lineRule="auto"/>
        <w:tabs>
          <w:tab w:leader="none" w:pos="1488"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Dividends shall begin to accrue and be cumulative on outstanding shares of Series A Preferred Stock from the Quarterly Dividend Payment Date next preceding the date of issuance of such shares of Series A Preferred Stock, unless the date of issuance of such shares is on or before the record date for the first Quarterly Dividend Payment Date, in which case dividends on such shares shall begin to accrue and be cumulative from the date of issue of such shares, or unless the date of issue is a date after</w:t>
      </w:r>
    </w:p>
    <w:p>
      <w:pPr>
        <w:sectPr>
          <w:pgSz w:w="11900" w:h="16838" w:orient="portrait"/>
          <w:cols w:equalWidth="0" w:num="1">
            <w:col w:w="10219"/>
          </w:cols>
          <w:pgMar w:left="240" w:top="1330" w:right="1440" w:bottom="0" w:gutter="0" w:footer="0" w:header="0"/>
        </w:sectPr>
      </w:pPr>
    </w:p>
    <w:bookmarkStart w:id="44" w:name="page45"/>
    <w:bookmarkEnd w:id="44"/>
    <w:p>
      <w:pPr>
        <w:jc w:val="both"/>
        <w:ind w:right="1779"/>
        <w:spacing w:after="0" w:line="237" w:lineRule="auto"/>
        <w:rPr>
          <w:sz w:val="20"/>
          <w:szCs w:val="20"/>
          <w:color w:val="auto"/>
        </w:rPr>
      </w:pPr>
      <w:r>
        <w:rPr>
          <w:rFonts w:ascii="Courier New" w:cs="Courier New" w:eastAsia="Courier New" w:hAnsi="Courier New"/>
          <w:sz w:val="18"/>
          <w:szCs w:val="18"/>
          <w:color w:val="auto"/>
        </w:rPr>
        <w:t>the record date for the determination of holders of shares of Series A Preferred Stock entitled to receive a quarterly dividend and on or before such Quarterly Dividend Payment Date, in which case dividends shall begin to accrue and be cumulative from such Quarterly Dividend Payment Date. Accrued but unpaid dividends shall not bear interest. Dividends paid on shares of Series A Preferred Stock in an amount less than the total amount of such dividends at the time</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9679"/>
          </w:cols>
          <w:pgMar w:left="780" w:top="142" w:right="1440" w:bottom="1440" w:gutter="0" w:footer="0" w:header="0"/>
        </w:sectPr>
      </w:pPr>
    </w:p>
    <w:bookmarkStart w:id="45" w:name="page46"/>
    <w:bookmarkEnd w:id="45"/>
    <w:p>
      <w:pPr>
        <w:jc w:val="both"/>
        <w:ind w:right="1779"/>
        <w:spacing w:after="0" w:line="237" w:lineRule="auto"/>
        <w:rPr>
          <w:sz w:val="20"/>
          <w:szCs w:val="20"/>
          <w:color w:val="auto"/>
        </w:rPr>
      </w:pPr>
      <w:r>
        <w:rPr>
          <w:rFonts w:ascii="Courier New" w:cs="Courier New" w:eastAsia="Courier New" w:hAnsi="Courier New"/>
          <w:sz w:val="18"/>
          <w:szCs w:val="18"/>
          <w:color w:val="auto"/>
        </w:rPr>
        <w:t>accrued and payable on such shares shall be allocated pro rata on a share-by-share basis among all such shares at the time outstanding. The Board of Directors may fix a record date for the determination of holders of shares of Series A Preferred Stock entitled to receive payment of a dividend or distribution declared thereon, which record date shall not be more than 60 days prior to the date fixed for the payment thereof.</w:t>
      </w:r>
    </w:p>
    <w:p>
      <w:pPr>
        <w:spacing w:after="0" w:line="210" w:lineRule="exact"/>
        <w:rPr>
          <w:sz w:val="20"/>
          <w:szCs w:val="20"/>
          <w:color w:val="auto"/>
        </w:rPr>
      </w:pPr>
    </w:p>
    <w:p>
      <w:pPr>
        <w:jc w:val="both"/>
        <w:ind w:right="1779" w:firstLine="521"/>
        <w:spacing w:after="0" w:line="236" w:lineRule="auto"/>
        <w:tabs>
          <w:tab w:leader="none" w:pos="843"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addition to any other voting rights required by law, the holders of shares of Series A Preferred Stock shall have the following voting rights:</w:t>
      </w:r>
    </w:p>
    <w:p>
      <w:pPr>
        <w:spacing w:after="0" w:line="209" w:lineRule="exact"/>
        <w:rPr>
          <w:sz w:val="20"/>
          <w:szCs w:val="20"/>
          <w:color w:val="auto"/>
        </w:rPr>
      </w:pPr>
    </w:p>
    <w:p>
      <w:pPr>
        <w:jc w:val="both"/>
        <w:ind w:right="1779" w:firstLine="521"/>
        <w:spacing w:after="0" w:line="269" w:lineRule="auto"/>
        <w:tabs>
          <w:tab w:leader="none" w:pos="948"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share of Series A Preferred Stock shall entitle the holder thereof to a number of votes equal to 1000 (as adjusted as described below, the "Adjustable Factor") times the number of votes a share of Class A Common Stock is entitled to cast on all matters submitted to a vote of stockholders of the Corporation. For purposes of calculating the number of votes a share of Class A Common Stock is entitled to cast on all matters submitted to a vote of stockholders of the Corporation, as set forth in the Corporation's articles of incorporation, votes represented by shares of Series A Preferred Stock shall be included in the "Total Number of Other Votes" (as defined in the Corporation's articles of incorporation). If the Corporation shall at any time after the Rights Declaration Date pay any dividend on Common Stock payable in shares of Common Stock or effect a subdivision or combination of the outstanding shares of Common Stock (by reclassification or otherwise) into a greater or lesser number of shares of Common Stock, then in each such case the number of votes per share to which holders of shares of Series A Preferred Stock were entitled immediately prior to such event shall be adjusted by multiplying the Adjustable Factor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200" w:lineRule="exact"/>
        <w:rPr>
          <w:rFonts w:ascii="Courier New" w:cs="Courier New" w:eastAsia="Courier New" w:hAnsi="Courier New"/>
          <w:sz w:val="16"/>
          <w:szCs w:val="16"/>
          <w:color w:val="auto"/>
        </w:rPr>
      </w:pPr>
    </w:p>
    <w:p>
      <w:pPr>
        <w:spacing w:after="0" w:line="396" w:lineRule="exact"/>
        <w:rPr>
          <w:rFonts w:ascii="Courier New" w:cs="Courier New" w:eastAsia="Courier New" w:hAnsi="Courier New"/>
          <w:sz w:val="16"/>
          <w:szCs w:val="16"/>
          <w:color w:val="auto"/>
        </w:rPr>
      </w:pPr>
    </w:p>
    <w:p>
      <w:pPr>
        <w:jc w:val="both"/>
        <w:ind w:right="1779" w:firstLine="521"/>
        <w:spacing w:after="0" w:line="237" w:lineRule="auto"/>
        <w:tabs>
          <w:tab w:leader="none" w:pos="948"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otherwise provided herein or by law, the holders of shares of Series A Preferred Stock and the holders of shares of Common Stock shall vote together as a single class on all matters submitted to a vote of stockholders of the Corporation.</w:t>
      </w:r>
    </w:p>
    <w:p>
      <w:pPr>
        <w:spacing w:after="0" w:line="207" w:lineRule="exact"/>
        <w:rPr>
          <w:rFonts w:ascii="Courier New" w:cs="Courier New" w:eastAsia="Courier New" w:hAnsi="Courier New"/>
          <w:sz w:val="18"/>
          <w:szCs w:val="18"/>
          <w:color w:val="auto"/>
        </w:rPr>
      </w:pPr>
    </w:p>
    <w:p>
      <w:pPr>
        <w:jc w:val="both"/>
        <w:ind w:right="1779" w:firstLine="521"/>
        <w:spacing w:after="0" w:line="238" w:lineRule="auto"/>
        <w:tabs>
          <w:tab w:leader="none" w:pos="948"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If at any time dividends on any Series A Preferred Stock shall be in arrears in an amount equal to six quarterly dividends thereon, the occurrence of such contingency shall mark the beginning of a period (herein called a "default period") which shall extend until such time when all accrued and unpaid dividends for all previous quarterly dividend periods and for the current quarterly dividend period on all shares of Series A Preferred Stock then outstanding shall have been declared and paid or set apart for payment. During each default period, all holders of Preferred Stock and any other series of Preferred Stock then entitled as a class to elect directors, voting together as a single class, irrespective of series, shall have the right to elect two additional Directors to the Board of Directors.</w:t>
      </w:r>
    </w:p>
    <w:p>
      <w:pPr>
        <w:spacing w:after="0" w:line="207" w:lineRule="exact"/>
        <w:rPr>
          <w:sz w:val="20"/>
          <w:szCs w:val="20"/>
          <w:color w:val="auto"/>
        </w:rPr>
      </w:pPr>
    </w:p>
    <w:p>
      <w:pPr>
        <w:jc w:val="both"/>
        <w:ind w:right="1779" w:firstLine="521"/>
        <w:spacing w:after="0" w:line="238" w:lineRule="auto"/>
        <w:tabs>
          <w:tab w:leader="none" w:pos="1053"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During any default period, such voting right of the holders of Series A Preferred Stock may be exercised initially at a special meeting called pursuant to paragraph (C)(3)(c)(iii) of this Article FIFTH or at any annual meeting of stockholders, and thereafter at annual meetings of stockholders; provided that neither such voting right nor the right of the holders of any other series of Preferred Stock, if any, to increase, in certain cases, the authorized number of Directors shall be exercised unless the holders of 10% in number of shares of Preferred Stock outstanding shall be present in person or by proxy. The absence of a quorum of holders of Common Stock shall not affect the exercise by holders of Preferred Stock of such voting right. If at any meeting at which holders of Preferred Stock shall initially exercise such voting right the number of additional Directors which may be so elected does not amount to the required number, the holders of the Preferred Stock shall have the right to make such increase in the number of Directors as shall be necessary to permit the election by them of the required number. After the holders of the Preferred Stock shall have initially exercised their right to elect two additional Directors in any default period and during the continuance of such period, the number of Directors shall not be increased or decreased except by vote of the holders of Preferred Stock as herein provided or pursuant to the rights of any equity securities ranking senior to or pari passu with the Series A Preferred Stock.</w:t>
      </w:r>
    </w:p>
    <w:p>
      <w:pPr>
        <w:spacing w:after="0" w:line="210" w:lineRule="exact"/>
        <w:rPr>
          <w:rFonts w:ascii="Courier New" w:cs="Courier New" w:eastAsia="Courier New" w:hAnsi="Courier New"/>
          <w:sz w:val="18"/>
          <w:szCs w:val="18"/>
          <w:color w:val="auto"/>
        </w:rPr>
      </w:pPr>
    </w:p>
    <w:p>
      <w:pPr>
        <w:ind w:left="1260" w:hanging="739"/>
        <w:spacing w:after="0"/>
        <w:tabs>
          <w:tab w:leader="none" w:pos="1260"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Unless the holders of  Preferred  Stock  shall have  previously</w:t>
      </w:r>
    </w:p>
    <w:p>
      <w:pPr>
        <w:sectPr>
          <w:pgSz w:w="11900" w:h="16838" w:orient="portrait"/>
          <w:cols w:equalWidth="0" w:num="1">
            <w:col w:w="9679"/>
          </w:cols>
          <w:pgMar w:left="780" w:top="1330" w:right="1440" w:bottom="0" w:gutter="0" w:footer="0" w:header="0"/>
        </w:sectPr>
      </w:pPr>
    </w:p>
    <w:bookmarkStart w:id="46" w:name="page47"/>
    <w:bookmarkEnd w:id="46"/>
    <w:p>
      <w:pPr>
        <w:jc w:val="both"/>
        <w:ind w:right="1779"/>
        <w:spacing w:after="0" w:line="237" w:lineRule="auto"/>
        <w:rPr>
          <w:sz w:val="20"/>
          <w:szCs w:val="20"/>
          <w:color w:val="auto"/>
        </w:rPr>
      </w:pPr>
      <w:r>
        <w:rPr>
          <w:rFonts w:ascii="Courier New" w:cs="Courier New" w:eastAsia="Courier New" w:hAnsi="Courier New"/>
          <w:sz w:val="18"/>
          <w:szCs w:val="18"/>
          <w:color w:val="auto"/>
        </w:rPr>
        <w:t>exercised their right to elect Directors during an existing default period, the Board of Directors may order, or any stockholder or stockholders owning in the aggregate not less than 10% of the total number of shares of Preferred Stock outstanding, irrespective of series, may request, the calling of a special meeting of holders of Preferred Stock, which meeting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9679"/>
          </w:cols>
          <w:pgMar w:left="780" w:top="142" w:right="1440" w:bottom="1440" w:gutter="0" w:footer="0" w:header="0"/>
        </w:sectPr>
      </w:pPr>
    </w:p>
    <w:bookmarkStart w:id="47" w:name="page48"/>
    <w:bookmarkEnd w:id="47"/>
    <w:p>
      <w:pPr>
        <w:jc w:val="both"/>
        <w:ind w:right="1779"/>
        <w:spacing w:after="0" w:line="238" w:lineRule="auto"/>
        <w:rPr>
          <w:sz w:val="20"/>
          <w:szCs w:val="20"/>
          <w:color w:val="auto"/>
        </w:rPr>
      </w:pPr>
      <w:r>
        <w:rPr>
          <w:rFonts w:ascii="Courier New" w:cs="Courier New" w:eastAsia="Courier New" w:hAnsi="Courier New"/>
          <w:sz w:val="18"/>
          <w:szCs w:val="18"/>
          <w:color w:val="auto"/>
        </w:rPr>
        <w:t>thereupon be called by the Chief Executive Officer, the President, a Vice President or the Secretary of the Corporation. Notice of such meeting and of any annual meeting at which holders of Preferred Stock are entitled to vote pursuant to this paragraph (C)(3)(c) (iii) of this Article FIFTH shall be given to each holder of record of Preferred Stock by mailing a copy of such notice to him at the address of such holder shown on the registry books of the Corporation. Such meeting shall be called for a time not earlier than 20 days and not later than 60 days after such order or request or in default of the calling of such meeting within 60 days after such order or request, such meeting may be called on similar notice by any stockholder or stockholders owning in the aggregate not less than 10% of the total number of shares of Preferred Stock outstanding, irrespective of series. Notwithstanding the provisions of this paragraph (C)(3)(c) (iii) of this Article FIFTH , no such special meeting shall be called during the period within 60 days immediately preceding the date fixed for the next annual meeting of stockholders.</w:t>
      </w:r>
    </w:p>
    <w:p>
      <w:pPr>
        <w:spacing w:after="0" w:line="208" w:lineRule="exact"/>
        <w:rPr>
          <w:sz w:val="20"/>
          <w:szCs w:val="20"/>
          <w:color w:val="auto"/>
        </w:rPr>
      </w:pPr>
    </w:p>
    <w:p>
      <w:pPr>
        <w:jc w:val="both"/>
        <w:ind w:right="1779" w:firstLine="521"/>
        <w:spacing w:after="0" w:line="238" w:lineRule="auto"/>
        <w:tabs>
          <w:tab w:leader="none" w:pos="1053"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any default period, the holders of Common Stock, and other classes of stock of the Corporation if applicable, shall continue to be entitled to elect the whole number of Directors until the holders of Preferred Stock shall have exercised their right to elect two Directors voting as a class, after the exercise of which right (x) the Directors so elected by the holders of Preferred Stock shall continue in office until their successors shall have been elected by such holders or until the expiration of the default period, and (y) any vacancy in the Board of Directors may (except as provided in paragraph (C)(3)(c)(ii) of this Article FIFTH) be filled by vote of a majority of the remaining Directors theretofore elected by the holders of the class of stock which elected the Director whose office shall have become vacant. References in this paragraph (C)(3)(c) of this Article FIFTH to Directors elected by the holders of a particular class of stock shall include Directors elected by such Directors to fill vacancies as provided in clause (y) of the foregoing sentence.</w:t>
      </w:r>
    </w:p>
    <w:p>
      <w:pPr>
        <w:spacing w:after="0" w:line="208" w:lineRule="exact"/>
        <w:rPr>
          <w:rFonts w:ascii="Courier New" w:cs="Courier New" w:eastAsia="Courier New" w:hAnsi="Courier New"/>
          <w:sz w:val="18"/>
          <w:szCs w:val="18"/>
          <w:color w:val="auto"/>
        </w:rPr>
      </w:pPr>
    </w:p>
    <w:p>
      <w:pPr>
        <w:jc w:val="both"/>
        <w:ind w:right="1779" w:firstLine="521"/>
        <w:spacing w:after="0" w:line="237" w:lineRule="auto"/>
        <w:tabs>
          <w:tab w:leader="none" w:pos="948"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Immediately upon the expiration of a default period, (x) the right of the holders of Preferred Stock as a class to elect Directors shall cease, (y) the term of any Directors elected by the holders of Preferred Stock as a class shall terminate, and (z) the number of Directors shall be such number as may be provided for in the articles of incorporation or by-laws irrespective of any increase made pursuant to the provisions of Section 3(c)(ii) (such number being subject, however, to change thereafter in any manner provided by law or in the articles of incorporation or by-laws). Any vacancies in the Board of Directors effected by the provisions of clauses (y) and (z) in the preceding sentence may be filled by a majority of the remaining Directors.</w:t>
      </w:r>
    </w:p>
    <w:p>
      <w:pPr>
        <w:spacing w:after="0" w:line="216" w:lineRule="exact"/>
        <w:rPr>
          <w:sz w:val="20"/>
          <w:szCs w:val="20"/>
          <w:color w:val="auto"/>
        </w:rPr>
      </w:pPr>
    </w:p>
    <w:p>
      <w:pPr>
        <w:jc w:val="both"/>
        <w:ind w:right="1779" w:firstLine="521"/>
        <w:spacing w:after="0" w:line="237" w:lineRule="auto"/>
        <w:tabs>
          <w:tab w:leader="none" w:pos="948"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articles of incorporation of the Corporation shall not be amended in any manner (whether by merger or otherwise) so as to adversely affect the powers, preferences or special rights of the Series A Preferred Stock without the affirmative vote of the holders of a majority of the outstanding shares of Series A Preferred Stock, voting separately as a class.</w:t>
      </w:r>
    </w:p>
    <w:p>
      <w:pPr>
        <w:spacing w:after="0" w:line="209" w:lineRule="exact"/>
        <w:rPr>
          <w:rFonts w:ascii="Courier New" w:cs="Courier New" w:eastAsia="Courier New" w:hAnsi="Courier New"/>
          <w:sz w:val="18"/>
          <w:szCs w:val="18"/>
          <w:color w:val="auto"/>
        </w:rPr>
      </w:pPr>
    </w:p>
    <w:p>
      <w:pPr>
        <w:jc w:val="both"/>
        <w:ind w:right="1779" w:firstLine="521"/>
        <w:spacing w:after="0" w:line="236" w:lineRule="auto"/>
        <w:tabs>
          <w:tab w:leader="none" w:pos="948"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otherwise provided herein, holders of Series A Preferred Stock shall have no special voting rights, and their consent shall not be required for taking any corporate action.</w:t>
      </w:r>
    </w:p>
    <w:p>
      <w:pPr>
        <w:spacing w:after="0" w:line="209" w:lineRule="exact"/>
        <w:rPr>
          <w:sz w:val="20"/>
          <w:szCs w:val="20"/>
          <w:color w:val="auto"/>
        </w:rPr>
      </w:pPr>
    </w:p>
    <w:p>
      <w:pPr>
        <w:jc w:val="both"/>
        <w:ind w:right="1779" w:firstLine="521"/>
        <w:spacing w:after="0" w:line="237" w:lineRule="auto"/>
        <w:tabs>
          <w:tab w:leader="none" w:pos="948"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Whenever quarterly dividends or other dividends or distributions payable on the Series A Preferred Stock as provided in paragraph (C)(2) of this Article FIFTH are in arrears, thereafter and until all accrued and unpaid dividends and distributions, whether or not declared, on outstanding shares of Series A Preferred Stock shall have been paid in full, the Corporation shall not:</w:t>
      </w:r>
    </w:p>
    <w:p>
      <w:pPr>
        <w:spacing w:after="0" w:line="210" w:lineRule="exact"/>
        <w:rPr>
          <w:sz w:val="20"/>
          <w:szCs w:val="20"/>
          <w:color w:val="auto"/>
        </w:rPr>
      </w:pPr>
    </w:p>
    <w:p>
      <w:pPr>
        <w:jc w:val="both"/>
        <w:ind w:right="1779" w:firstLine="521"/>
        <w:spacing w:after="0" w:line="236" w:lineRule="auto"/>
        <w:tabs>
          <w:tab w:leader="none" w:pos="948"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declare or pay dividends on, or make any other distributions on, any shares of stock ranking junior (either as to dividends or upon liquidation, dissolution or winding up) to the Series A Preferred Stock;</w:t>
      </w:r>
    </w:p>
    <w:p>
      <w:pPr>
        <w:spacing w:after="0" w:line="208" w:lineRule="exact"/>
        <w:rPr>
          <w:rFonts w:ascii="Courier New" w:cs="Courier New" w:eastAsia="Courier New" w:hAnsi="Courier New"/>
          <w:sz w:val="18"/>
          <w:szCs w:val="18"/>
          <w:color w:val="auto"/>
        </w:rPr>
      </w:pPr>
    </w:p>
    <w:p>
      <w:pPr>
        <w:jc w:val="both"/>
        <w:ind w:right="1779" w:firstLine="521"/>
        <w:spacing w:after="0" w:line="237" w:lineRule="auto"/>
        <w:tabs>
          <w:tab w:leader="none" w:pos="1053"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declare or pay dividends on, or make any other distributions on, any shares of stock ranking on a parity (either as to dividends or upon liquidation, dissolution or winding up) with the Series A Preferred Stock, except dividends paid ratably on the Series A Preferred Stock and all such other parity stock on which dividends are payable or in arrears in proportion to the total amounts to which the holders of all such shares are then entitled;</w:t>
      </w:r>
    </w:p>
    <w:p>
      <w:pPr>
        <w:sectPr>
          <w:pgSz w:w="11900" w:h="16838" w:orient="portrait"/>
          <w:cols w:equalWidth="0" w:num="1">
            <w:col w:w="9679"/>
          </w:cols>
          <w:pgMar w:left="780" w:top="1128" w:right="1440" w:bottom="0" w:gutter="0" w:footer="0" w:header="0"/>
        </w:sectPr>
      </w:pPr>
    </w:p>
    <w:bookmarkStart w:id="48" w:name="page49"/>
    <w:bookmarkEnd w:id="48"/>
    <w:p>
      <w:pPr>
        <w:jc w:val="both"/>
        <w:ind w:left="-521" w:right="1779" w:firstLine="521"/>
        <w:spacing w:after="0" w:line="237" w:lineRule="auto"/>
        <w:tabs>
          <w:tab w:leader="none" w:pos="743"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redeem, purchase or otherwise acquire for value any shares of stock ranking junior (either as to dividends or upon liquidation, dissolution or winding up) to the Series A Preferred Stock; provided that the Corporation may at any time redeem, purchase or otherwise acquire shares of any such junior stock in</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959"/>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9158"/>
          </w:cols>
          <w:pgMar w:left="1301" w:top="142" w:right="1440" w:bottom="1440" w:gutter="0" w:footer="0" w:header="0"/>
        </w:sectPr>
      </w:pPr>
    </w:p>
    <w:bookmarkStart w:id="49" w:name="page50"/>
    <w:bookmarkEnd w:id="49"/>
    <w:p>
      <w:pPr>
        <w:jc w:val="both"/>
        <w:ind w:left="5" w:right="1779"/>
        <w:spacing w:after="0" w:line="236" w:lineRule="auto"/>
        <w:rPr>
          <w:sz w:val="20"/>
          <w:szCs w:val="20"/>
          <w:color w:val="auto"/>
        </w:rPr>
      </w:pPr>
      <w:r>
        <w:rPr>
          <w:rFonts w:ascii="Courier New" w:cs="Courier New" w:eastAsia="Courier New" w:hAnsi="Courier New"/>
          <w:sz w:val="18"/>
          <w:szCs w:val="18"/>
          <w:color w:val="auto"/>
        </w:rPr>
        <w:t>exchange for shares of stock of the Corporation ranking junior (as to dividends and upon dissolution, liquidation or winding up) to the Series A Preferred Stock; or</w:t>
      </w:r>
    </w:p>
    <w:p>
      <w:pPr>
        <w:spacing w:after="0" w:line="209" w:lineRule="exact"/>
        <w:rPr>
          <w:sz w:val="20"/>
          <w:szCs w:val="20"/>
          <w:color w:val="auto"/>
        </w:rPr>
      </w:pPr>
    </w:p>
    <w:p>
      <w:pPr>
        <w:jc w:val="both"/>
        <w:ind w:left="5" w:right="1779" w:firstLine="521"/>
        <w:spacing w:after="0" w:line="237" w:lineRule="auto"/>
        <w:tabs>
          <w:tab w:leader="none" w:pos="1164"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redeem, purchase or otherwise acquire for value any shares of Series A Preferred Stock, or any shares of stock ranking on a parity (either as to dividends or upon liquidation, dissolution or winding up) with the Series A Preferred Stock, except in accordance with a purchase offer made in writing or by publication (as determined by the Board of Directors) to all holders of Series A Preferred Stock and all such other parity stock upon such terms as the Board of Directors, after consideration of the respective annual dividend rates and other relative rights and preferences of the respective series and classes, shall determine in good faith will result in fair and equitable treatment among the respective series or classes.</w:t>
      </w:r>
    </w:p>
    <w:p>
      <w:pPr>
        <w:spacing w:after="0" w:line="216" w:lineRule="exact"/>
        <w:rPr>
          <w:sz w:val="20"/>
          <w:szCs w:val="20"/>
          <w:color w:val="auto"/>
        </w:rPr>
      </w:pPr>
    </w:p>
    <w:p>
      <w:pPr>
        <w:jc w:val="both"/>
        <w:ind w:left="5" w:right="1779" w:firstLine="521"/>
        <w:spacing w:after="0" w:line="275" w:lineRule="auto"/>
        <w:tabs>
          <w:tab w:leader="none" w:pos="953"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Corporation shall not permit any subsidiary of the Corporation to purchase or otherwise acquire for value any shares of stock of the Corporation unless the Corporation could, under paragraph 4(a), purchase or otherwise acquire such shares at such time and in such manner.</w:t>
      </w:r>
    </w:p>
    <w:p>
      <w:pPr>
        <w:spacing w:after="0" w:line="182" w:lineRule="exact"/>
        <w:rPr>
          <w:sz w:val="20"/>
          <w:szCs w:val="20"/>
          <w:color w:val="auto"/>
        </w:rPr>
      </w:pPr>
    </w:p>
    <w:p>
      <w:pPr>
        <w:jc w:val="both"/>
        <w:ind w:left="5" w:right="1779" w:firstLine="521"/>
        <w:spacing w:after="0" w:line="271" w:lineRule="auto"/>
        <w:tabs>
          <w:tab w:leader="none" w:pos="848" w:val="left"/>
        </w:tabs>
        <w:numPr>
          <w:ilvl w:val="1"/>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shares of Series A Preferred Stock redeemed, purchased or otherwise acquired by the Corporation in any manner whatsoever shall be retired and canceled promptly after the acquisition thereof. All such shares shall upon their cancellation become authorized but unissued shares of Preferred Stock without designation as to series and may be reissued as part of a new series of Preferred Stock to be created by resolution or resolutions of the Board of Directors as permitted by the articles of incorporation or as otherwise permitted under Pennsylvania Law.</w:t>
      </w:r>
    </w:p>
    <w:p>
      <w:pPr>
        <w:spacing w:after="0" w:line="185" w:lineRule="exact"/>
        <w:rPr>
          <w:rFonts w:ascii="Courier New" w:cs="Courier New" w:eastAsia="Courier New" w:hAnsi="Courier New"/>
          <w:sz w:val="16"/>
          <w:szCs w:val="16"/>
          <w:color w:val="auto"/>
        </w:rPr>
      </w:pPr>
    </w:p>
    <w:p>
      <w:pPr>
        <w:jc w:val="both"/>
        <w:ind w:left="5" w:right="1779" w:firstLine="521"/>
        <w:spacing w:after="0" w:line="269" w:lineRule="auto"/>
        <w:tabs>
          <w:tab w:leader="none" w:pos="848" w:val="left"/>
        </w:tabs>
        <w:numPr>
          <w:ilvl w:val="1"/>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any liquidation, dissolution or winding up of the Corporation, no distribution shall be made (a) to the holders of shares of stock ranking junior (either as to dividends or upon liquidation, dissolution or winding up) to the Series A Preferred Stock unless, prior thereto, the holders of shares of Series A Preferred Stock shall have received $10.00 per share, plus an amount equal to accrued and unpaid dividends and distributions thereon, whether or not declared, to the date of such payment; provided that the holders of shares of Series A Preferred Stock shall be entitled to receive an aggregate amount per share, subject to the provision for adjustment hereinafter set forth, equal to 1000 times the aggregate amount to be distributed per share to holders of Common Stock, or (b) to the holders of stock ranking on a parity (either as to dividends or upon liquidation, dissolution or winding up) with the Series A Preferred Stock, except distributions made ratably on the Series A Preferred Stock and all such other parity stock in proportion to the total amounts to which the holders of all such shares are entitled upon such liquidation, dissolution or winding up. If the Corporation shall at any time after the Rights Declaration Date pay any dividend on Common Stock payable in shares of Common Stock or effect a subdivision or combination of the outstanding shares of Common Stock (by reclassification or otherwise) into a greater or lesser number of shares of Common Stock, then in each such case the aggregate amount to which holders of shares of Series A Preferred Stock were entitled immediately prior to such event under the proviso in clause</w:t>
      </w:r>
    </w:p>
    <w:p>
      <w:pPr>
        <w:spacing w:after="0" w:line="393" w:lineRule="exact"/>
        <w:rPr>
          <w:rFonts w:ascii="Courier New" w:cs="Courier New" w:eastAsia="Courier New" w:hAnsi="Courier New"/>
          <w:sz w:val="16"/>
          <w:szCs w:val="16"/>
          <w:color w:val="auto"/>
        </w:rPr>
      </w:pPr>
    </w:p>
    <w:p>
      <w:pPr>
        <w:jc w:val="both"/>
        <w:ind w:left="5" w:right="1779" w:hanging="5"/>
        <w:spacing w:after="0" w:line="237" w:lineRule="auto"/>
        <w:tabs>
          <w:tab w:leader="none" w:pos="427"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of the preceding sentence shall be adjusted by multiplying such amount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208" w:lineRule="exact"/>
        <w:rPr>
          <w:rFonts w:ascii="Courier New" w:cs="Courier New" w:eastAsia="Courier New" w:hAnsi="Courier New"/>
          <w:sz w:val="18"/>
          <w:szCs w:val="18"/>
          <w:color w:val="auto"/>
        </w:rPr>
      </w:pPr>
    </w:p>
    <w:p>
      <w:pPr>
        <w:jc w:val="both"/>
        <w:ind w:left="5" w:right="1779" w:firstLine="521"/>
        <w:spacing w:after="0" w:line="269" w:lineRule="auto"/>
        <w:tabs>
          <w:tab w:leader="none" w:pos="848" w:val="left"/>
        </w:tabs>
        <w:numPr>
          <w:ilvl w:val="1"/>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Corporation shall enter into any consolidation, merger, combination or other transaction in which the shares of Common Stock are exchanged for or changed into other stock or securities, cash or any other property, then in any such case the shares of Series A Preferred Stock shall at the same time be similarly exchanged for or changed into an amount per share, subject to the provision for adjustment hereinafter set forth, equal to 1000 times the aggregate amount of stock, securities, cash or any other property, as the case may be, into which or for which each share of Common Stock is changed or exchanged. If the Corporation shall at any time after the Rights Declaration Date pay any dividend on Common Stock payable in shares of Common Stock or effect a subdivision or combination of the outstanding shares of Common Stock (by reclassification or otherwise) into a greater or lesser number of shares of Common Stock, then in each such case the amount set forth in the preceding sentence with respect to the exchange or change of shares of Series A Preferred Stock shall be adjusted by multiplying such amount by a fraction the numerator of which is the number of shares of Common Stock outstanding immediately after such event</w:t>
      </w:r>
    </w:p>
    <w:p>
      <w:pPr>
        <w:sectPr>
          <w:pgSz w:w="11900" w:h="16838" w:orient="portrait"/>
          <w:cols w:equalWidth="0" w:num="1">
            <w:col w:w="9684"/>
          </w:cols>
          <w:pgMar w:left="775" w:top="1128" w:right="1440" w:bottom="0" w:gutter="0" w:footer="0" w:header="0"/>
        </w:sectPr>
      </w:pPr>
    </w:p>
    <w:bookmarkStart w:id="50" w:name="page51"/>
    <w:bookmarkEnd w:id="50"/>
    <w:p>
      <w:pPr>
        <w:ind w:right="1779"/>
        <w:spacing w:after="0" w:line="235" w:lineRule="auto"/>
        <w:rPr>
          <w:sz w:val="20"/>
          <w:szCs w:val="20"/>
          <w:color w:val="auto"/>
        </w:rPr>
      </w:pPr>
      <w:r>
        <w:rPr>
          <w:rFonts w:ascii="Courier New" w:cs="Courier New" w:eastAsia="Courier New" w:hAnsi="Courier New"/>
          <w:sz w:val="18"/>
          <w:szCs w:val="18"/>
          <w:color w:val="auto"/>
        </w:rPr>
        <w:t>and the denominator of which is the number of shares of Common Stock that were outstanding immediately prior to such event.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9679"/>
          </w:cols>
          <w:pgMar w:left="780" w:top="142" w:right="1440" w:bottom="1440" w:gutter="0" w:footer="0" w:header="0"/>
        </w:sectPr>
      </w:pPr>
    </w:p>
    <w:bookmarkStart w:id="51" w:name="page52"/>
    <w:bookmarkEnd w:id="51"/>
    <w:p>
      <w:pPr>
        <w:ind w:left="845" w:hanging="319"/>
        <w:spacing w:after="0"/>
        <w:tabs>
          <w:tab w:leader="none" w:pos="845"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Series A Preferred Stock shall not be redeemable.</w:t>
      </w:r>
    </w:p>
    <w:p>
      <w:pPr>
        <w:spacing w:after="0" w:line="206" w:lineRule="exact"/>
        <w:rPr>
          <w:rFonts w:ascii="Courier New" w:cs="Courier New" w:eastAsia="Courier New" w:hAnsi="Courier New"/>
          <w:sz w:val="18"/>
          <w:szCs w:val="18"/>
          <w:color w:val="auto"/>
        </w:rPr>
      </w:pPr>
    </w:p>
    <w:p>
      <w:pPr>
        <w:jc w:val="both"/>
        <w:ind w:left="5" w:right="1779" w:firstLine="521"/>
        <w:spacing w:after="0" w:line="237" w:lineRule="auto"/>
        <w:tabs>
          <w:tab w:leader="none" w:pos="848"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Series A Preferred Stock shall rank junior (as to dividends and upon liquidation, dissolution and winding up) to all other series of the Corporation's preferred stock except any series that specifically provides that such series shall rank junior to or on a parity with the Series A Preferred Stock.</w:t>
      </w:r>
    </w:p>
    <w:p>
      <w:pPr>
        <w:spacing w:after="0" w:line="208" w:lineRule="exact"/>
        <w:rPr>
          <w:rFonts w:ascii="Courier New" w:cs="Courier New" w:eastAsia="Courier New" w:hAnsi="Courier New"/>
          <w:sz w:val="18"/>
          <w:szCs w:val="18"/>
          <w:color w:val="auto"/>
        </w:rPr>
      </w:pPr>
    </w:p>
    <w:p>
      <w:pPr>
        <w:jc w:val="both"/>
        <w:ind w:left="5" w:right="1779" w:firstLine="521"/>
        <w:spacing w:after="0" w:line="237" w:lineRule="auto"/>
        <w:tabs>
          <w:tab w:leader="none" w:pos="1059"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Series A Preferred Stock may be issued in fractions of a share which shall entitle the holder, in proportion to such holder's fractional shares, to exercise voting rights, receive dividends, participate in distributions and to have the benefit of all other rights of holders of Series A Preferred Stock.</w:t>
      </w:r>
    </w:p>
    <w:p>
      <w:pPr>
        <w:spacing w:after="0" w:line="203" w:lineRule="exact"/>
        <w:rPr>
          <w:sz w:val="20"/>
          <w:szCs w:val="20"/>
          <w:color w:val="auto"/>
        </w:rPr>
      </w:pPr>
    </w:p>
    <w:p>
      <w:pPr>
        <w:ind w:left="5"/>
        <w:spacing w:after="0"/>
        <w:rPr>
          <w:sz w:val="20"/>
          <w:szCs w:val="20"/>
          <w:color w:val="auto"/>
        </w:rPr>
      </w:pPr>
      <w:r>
        <w:rPr>
          <w:rFonts w:ascii="Courier New" w:cs="Courier New" w:eastAsia="Courier New" w:hAnsi="Courier New"/>
          <w:sz w:val="18"/>
          <w:szCs w:val="18"/>
          <w:color w:val="auto"/>
        </w:rPr>
        <w:t>SIXTH: Governance</w:t>
      </w:r>
    </w:p>
    <w:p>
      <w:pPr>
        <w:spacing w:after="0" w:line="201" w:lineRule="exact"/>
        <w:rPr>
          <w:sz w:val="20"/>
          <w:szCs w:val="20"/>
          <w:color w:val="auto"/>
        </w:rPr>
      </w:pPr>
    </w:p>
    <w:p>
      <w:pPr>
        <w:ind w:left="325" w:hanging="325"/>
        <w:spacing w:after="0"/>
        <w:tabs>
          <w:tab w:leader="none" w:pos="325"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Definitions</w:t>
      </w:r>
    </w:p>
    <w:p>
      <w:pPr>
        <w:spacing w:after="0" w:line="206" w:lineRule="exact"/>
        <w:rPr>
          <w:rFonts w:ascii="Courier New" w:cs="Courier New" w:eastAsia="Courier New" w:hAnsi="Courier New"/>
          <w:sz w:val="18"/>
          <w:szCs w:val="18"/>
          <w:color w:val="auto"/>
        </w:rPr>
      </w:pPr>
    </w:p>
    <w:p>
      <w:pPr>
        <w:ind w:left="5" w:right="1779" w:firstLine="521"/>
        <w:spacing w:after="0" w:line="235" w:lineRule="auto"/>
        <w:tabs>
          <w:tab w:leader="none" w:pos="953" w:val="left"/>
        </w:tabs>
        <w:numPr>
          <w:ilvl w:val="1"/>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"Additional Independent Director" has the meaning specified in paragraph (B)(1) of this Article SIXTH.</w:t>
      </w:r>
    </w:p>
    <w:p>
      <w:pPr>
        <w:spacing w:after="0" w:line="202" w:lineRule="exact"/>
        <w:rPr>
          <w:rFonts w:ascii="Courier New" w:cs="Courier New" w:eastAsia="Courier New" w:hAnsi="Courier New"/>
          <w:sz w:val="18"/>
          <w:szCs w:val="18"/>
          <w:color w:val="auto"/>
        </w:rPr>
      </w:pPr>
    </w:p>
    <w:p>
      <w:pPr>
        <w:ind w:left="845" w:hanging="319"/>
        <w:spacing w:after="0"/>
        <w:tabs>
          <w:tab w:leader="none" w:pos="845" w:val="left"/>
        </w:tabs>
        <w:numPr>
          <w:ilvl w:val="1"/>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 means AT&amp;T Corp., a New York corporation.</w:t>
      </w:r>
    </w:p>
    <w:p>
      <w:pPr>
        <w:spacing w:after="0" w:line="206" w:lineRule="exact"/>
        <w:rPr>
          <w:rFonts w:ascii="Courier New" w:cs="Courier New" w:eastAsia="Courier New" w:hAnsi="Courier New"/>
          <w:sz w:val="18"/>
          <w:szCs w:val="18"/>
          <w:color w:val="auto"/>
        </w:rPr>
      </w:pPr>
    </w:p>
    <w:p>
      <w:pPr>
        <w:jc w:val="both"/>
        <w:ind w:left="5" w:right="1779" w:firstLine="521"/>
        <w:spacing w:after="0" w:line="237" w:lineRule="auto"/>
        <w:tabs>
          <w:tab w:leader="none" w:pos="848" w:val="left"/>
        </w:tabs>
        <w:numPr>
          <w:ilvl w:val="1"/>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 Directors" means (i) those five (5) Directors designated by AT&amp;T to serve as members of the Board of Directors pursuant to a contractual right of AT&amp;T to designate such Directors and (ii) any Replacement AT&amp;T Director.</w:t>
      </w:r>
    </w:p>
    <w:p>
      <w:pPr>
        <w:spacing w:after="0" w:line="207" w:lineRule="exact"/>
        <w:rPr>
          <w:rFonts w:ascii="Courier New" w:cs="Courier New" w:eastAsia="Courier New" w:hAnsi="Courier New"/>
          <w:sz w:val="18"/>
          <w:szCs w:val="18"/>
          <w:color w:val="auto"/>
        </w:rPr>
      </w:pPr>
    </w:p>
    <w:p>
      <w:pPr>
        <w:ind w:left="5" w:right="1779" w:firstLine="521"/>
        <w:spacing w:after="0" w:line="235" w:lineRule="auto"/>
        <w:tabs>
          <w:tab w:leader="none" w:pos="953" w:val="left"/>
        </w:tabs>
        <w:numPr>
          <w:ilvl w:val="1"/>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"Board of Directors" means the Board of Directors of the Corporation.</w:t>
      </w:r>
    </w:p>
    <w:p>
      <w:pPr>
        <w:spacing w:after="0" w:line="202" w:lineRule="exact"/>
        <w:rPr>
          <w:rFonts w:ascii="Courier New" w:cs="Courier New" w:eastAsia="Courier New" w:hAnsi="Courier New"/>
          <w:sz w:val="18"/>
          <w:szCs w:val="18"/>
          <w:color w:val="auto"/>
        </w:rPr>
      </w:pPr>
    </w:p>
    <w:p>
      <w:pPr>
        <w:ind w:left="845" w:hanging="319"/>
        <w:spacing w:after="0"/>
        <w:tabs>
          <w:tab w:leader="none" w:pos="845" w:val="left"/>
        </w:tabs>
        <w:numPr>
          <w:ilvl w:val="1"/>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"CEO" means the Chief Executive Officer of the Corporation.</w:t>
      </w:r>
    </w:p>
    <w:p>
      <w:pPr>
        <w:spacing w:after="0" w:line="201" w:lineRule="exact"/>
        <w:rPr>
          <w:rFonts w:ascii="Courier New" w:cs="Courier New" w:eastAsia="Courier New" w:hAnsi="Courier New"/>
          <w:sz w:val="18"/>
          <w:szCs w:val="18"/>
          <w:color w:val="auto"/>
        </w:rPr>
      </w:pPr>
    </w:p>
    <w:p>
      <w:pPr>
        <w:ind w:left="845" w:hanging="319"/>
        <w:spacing w:after="0"/>
        <w:tabs>
          <w:tab w:leader="none" w:pos="845" w:val="left"/>
        </w:tabs>
        <w:numPr>
          <w:ilvl w:val="1"/>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"Chairman" means the Chairman of the Board of Directors.</w:t>
      </w:r>
    </w:p>
    <w:p>
      <w:pPr>
        <w:spacing w:after="0" w:line="206" w:lineRule="exact"/>
        <w:rPr>
          <w:rFonts w:ascii="Courier New" w:cs="Courier New" w:eastAsia="Courier New" w:hAnsi="Courier New"/>
          <w:sz w:val="18"/>
          <w:szCs w:val="18"/>
          <w:color w:val="auto"/>
        </w:rPr>
      </w:pPr>
    </w:p>
    <w:p>
      <w:pPr>
        <w:ind w:left="5" w:right="1779" w:firstLine="521"/>
        <w:spacing w:after="0" w:line="235" w:lineRule="auto"/>
        <w:tabs>
          <w:tab w:leader="none" w:pos="848" w:val="left"/>
        </w:tabs>
        <w:numPr>
          <w:ilvl w:val="1"/>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"Class of Director" means the Comcast Directors, the AT&amp;T Directors or the Independent Directors, as the case may be.</w:t>
      </w:r>
    </w:p>
    <w:p>
      <w:pPr>
        <w:spacing w:after="0" w:line="202" w:lineRule="exact"/>
        <w:rPr>
          <w:rFonts w:ascii="Courier New" w:cs="Courier New" w:eastAsia="Courier New" w:hAnsi="Courier New"/>
          <w:sz w:val="18"/>
          <w:szCs w:val="18"/>
          <w:color w:val="auto"/>
        </w:rPr>
      </w:pPr>
    </w:p>
    <w:p>
      <w:pPr>
        <w:ind w:left="845" w:hanging="319"/>
        <w:spacing w:after="0"/>
        <w:tabs>
          <w:tab w:leader="none" w:pos="845" w:val="left"/>
        </w:tabs>
        <w:numPr>
          <w:ilvl w:val="1"/>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"Comcast" means Comcast Corporation, a Pennsylvania corporation.</w:t>
      </w:r>
    </w:p>
    <w:p>
      <w:pPr>
        <w:spacing w:after="0" w:line="206" w:lineRule="exact"/>
        <w:rPr>
          <w:rFonts w:ascii="Courier New" w:cs="Courier New" w:eastAsia="Courier New" w:hAnsi="Courier New"/>
          <w:sz w:val="18"/>
          <w:szCs w:val="18"/>
          <w:color w:val="auto"/>
        </w:rPr>
      </w:pPr>
    </w:p>
    <w:p>
      <w:pPr>
        <w:jc w:val="both"/>
        <w:ind w:left="5" w:right="1779" w:firstLine="521"/>
        <w:spacing w:after="0" w:line="237" w:lineRule="auto"/>
        <w:tabs>
          <w:tab w:leader="none" w:pos="848" w:val="left"/>
        </w:tabs>
        <w:numPr>
          <w:ilvl w:val="1"/>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"Comcast Directors" means (i) those five (5) Directors designated by Comcast to serve as members of the Board of Directors pursuant to a contractual right of Comcast to designate such Directors and (ii) any Replacement Comcast Director.</w:t>
      </w:r>
    </w:p>
    <w:p>
      <w:pPr>
        <w:spacing w:after="0" w:line="201" w:lineRule="exact"/>
        <w:rPr>
          <w:rFonts w:ascii="Courier New" w:cs="Courier New" w:eastAsia="Courier New" w:hAnsi="Courier New"/>
          <w:sz w:val="18"/>
          <w:szCs w:val="18"/>
          <w:color w:val="auto"/>
        </w:rPr>
      </w:pPr>
    </w:p>
    <w:p>
      <w:pPr>
        <w:ind w:left="945" w:hanging="419"/>
        <w:spacing w:after="0"/>
        <w:tabs>
          <w:tab w:leader="none" w:pos="945" w:val="left"/>
        </w:tabs>
        <w:numPr>
          <w:ilvl w:val="1"/>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"Director" means a director of the Corporation.</w:t>
      </w:r>
    </w:p>
    <w:p>
      <w:pPr>
        <w:spacing w:after="0" w:line="206" w:lineRule="exact"/>
        <w:rPr>
          <w:rFonts w:ascii="Courier New" w:cs="Courier New" w:eastAsia="Courier New" w:hAnsi="Courier New"/>
          <w:sz w:val="18"/>
          <w:szCs w:val="18"/>
          <w:color w:val="auto"/>
        </w:rPr>
      </w:pPr>
    </w:p>
    <w:p>
      <w:pPr>
        <w:jc w:val="both"/>
        <w:ind w:left="5" w:right="1779" w:firstLine="521"/>
        <w:spacing w:after="0" w:line="236" w:lineRule="auto"/>
        <w:tabs>
          <w:tab w:leader="none" w:pos="1059" w:val="left"/>
        </w:tabs>
        <w:numPr>
          <w:ilvl w:val="1"/>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"Effective Time" means the date and time at which these Amended and Restated Articles of Incorporation become effective with the Department of State of the Commonwealth of Pennsylvania.</w:t>
      </w:r>
    </w:p>
    <w:p>
      <w:pPr>
        <w:spacing w:after="0" w:line="208" w:lineRule="exact"/>
        <w:rPr>
          <w:rFonts w:ascii="Courier New" w:cs="Courier New" w:eastAsia="Courier New" w:hAnsi="Courier New"/>
          <w:sz w:val="18"/>
          <w:szCs w:val="18"/>
          <w:color w:val="auto"/>
        </w:rPr>
      </w:pPr>
    </w:p>
    <w:p>
      <w:pPr>
        <w:ind w:left="5" w:right="1779" w:firstLine="521"/>
        <w:spacing w:after="0" w:line="235" w:lineRule="auto"/>
        <w:tabs>
          <w:tab w:leader="none" w:pos="1059" w:val="left"/>
        </w:tabs>
        <w:numPr>
          <w:ilvl w:val="1"/>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"Holiday" has the meaning specified in paragraph (B)(6) of this Article SIXTH.</w:t>
      </w:r>
    </w:p>
    <w:p>
      <w:pPr>
        <w:spacing w:after="0" w:line="208" w:lineRule="exact"/>
        <w:rPr>
          <w:rFonts w:ascii="Courier New" w:cs="Courier New" w:eastAsia="Courier New" w:hAnsi="Courier New"/>
          <w:sz w:val="18"/>
          <w:szCs w:val="18"/>
          <w:color w:val="auto"/>
        </w:rPr>
      </w:pPr>
    </w:p>
    <w:p>
      <w:pPr>
        <w:jc w:val="both"/>
        <w:ind w:left="5" w:right="1779" w:firstLine="521"/>
        <w:spacing w:after="0" w:line="237" w:lineRule="auto"/>
        <w:tabs>
          <w:tab w:leader="none" w:pos="953" w:val="left"/>
        </w:tabs>
        <w:numPr>
          <w:ilvl w:val="1"/>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"Independent Director" means (i) those two (2) Independent Persons jointly designated by AT&amp;T and Comcast to serve as members of the Board of Directors pursuant to a contractual right of AT&amp;T and Comcast to designate such Directors, (ii) any Additional Independent Director and (iii) any Replacement Independent Director.</w:t>
      </w:r>
    </w:p>
    <w:p>
      <w:pPr>
        <w:spacing w:after="0" w:line="208" w:lineRule="exact"/>
        <w:rPr>
          <w:rFonts w:ascii="Courier New" w:cs="Courier New" w:eastAsia="Courier New" w:hAnsi="Courier New"/>
          <w:sz w:val="18"/>
          <w:szCs w:val="18"/>
          <w:color w:val="auto"/>
        </w:rPr>
      </w:pPr>
    </w:p>
    <w:p>
      <w:pPr>
        <w:jc w:val="both"/>
        <w:ind w:left="5" w:right="1779" w:firstLine="521"/>
        <w:spacing w:after="0" w:line="237" w:lineRule="auto"/>
        <w:tabs>
          <w:tab w:leader="none" w:pos="1059" w:val="left"/>
        </w:tabs>
        <w:numPr>
          <w:ilvl w:val="1"/>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"Independent Person" means an independent person (determined in accordance with the rules of the principal stock exchange or interdealer quotation system on which the class of Corporation common stock with the greatest aggregate market capitalization (as determined in good faith by the Board of Directors) is traded), it being understood that (i) each individual who was a member of the Board of Directors of AT&amp;T as of December 19, 2001 (other than Mr. C. Michael Armstrong) was deemed to be an Independent Person as of</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485"/>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9684"/>
          </w:cols>
          <w:pgMar w:left="775" w:top="1325" w:right="1440" w:bottom="362" w:gutter="0" w:footer="0" w:header="0"/>
        </w:sectPr>
      </w:pPr>
    </w:p>
    <w:bookmarkStart w:id="52" w:name="page53"/>
    <w:bookmarkEnd w:id="52"/>
    <w:p>
      <w:pPr>
        <w:spacing w:after="0" w:line="93" w:lineRule="exact"/>
        <w:rPr>
          <w:sz w:val="20"/>
          <w:szCs w:val="20"/>
          <w:color w:val="auto"/>
        </w:rPr>
      </w:pPr>
    </w:p>
    <w:p>
      <w:pPr>
        <w:jc w:val="both"/>
        <w:ind w:left="5" w:right="1779"/>
        <w:spacing w:after="0" w:line="269" w:lineRule="auto"/>
        <w:rPr>
          <w:sz w:val="20"/>
          <w:szCs w:val="20"/>
          <w:color w:val="auto"/>
        </w:rPr>
      </w:pPr>
      <w:r>
        <w:rPr>
          <w:rFonts w:ascii="Courier New" w:cs="Courier New" w:eastAsia="Courier New" w:hAnsi="Courier New"/>
          <w:sz w:val="16"/>
          <w:szCs w:val="16"/>
          <w:color w:val="auto"/>
        </w:rPr>
        <w:t>December 19, 2001, (ii) subject to clauses (iii) and (iv) of this definition, none of the members of the Board of Directors of Comcast as of December 19, 2001 was deemed to be an Independent Person as of December 19, 2001, (iii) Mr. Decker Anstrom was deemed to be an Independent Person as of December 19, 2001, (iv) for any period during which Mr. Decker Anstrom is not a Director, one person (other than Mr. Ralph J. Roberts, Mr. Brian L. Roberts, Mr. Julian A. Brodsky or Mr. Sheldon M. Bonovitz) designated by the CEO (which designation may be changed at any time by the CEO) who was a member of the Board of Directors of Comcast on December 19, 2001 and who would qualify as an Independent Person under this definition not taking into account clause (ii) of this definition shall be deemed to be an Independent Person; provided that such person shall not be eligible to be an AT&amp;T Director or an Independent Director (any such designee, a "Comcast Independent Designee") and (v) none of the spouse, parents, siblings, lineal descendants, aunts, uncles, cousins and other close relatives (or their respective spouses) of Mr. Brian L. Roberts will be deemed Independent Persons at any time.</w:t>
      </w:r>
    </w:p>
    <w:p>
      <w:pPr>
        <w:spacing w:after="0" w:line="200" w:lineRule="exact"/>
        <w:rPr>
          <w:sz w:val="20"/>
          <w:szCs w:val="20"/>
          <w:color w:val="auto"/>
        </w:rPr>
      </w:pPr>
    </w:p>
    <w:p>
      <w:pPr>
        <w:spacing w:after="0" w:line="399" w:lineRule="exact"/>
        <w:rPr>
          <w:sz w:val="20"/>
          <w:szCs w:val="20"/>
          <w:color w:val="auto"/>
        </w:rPr>
      </w:pPr>
    </w:p>
    <w:p>
      <w:pPr>
        <w:ind w:left="5" w:right="1779" w:firstLine="521"/>
        <w:spacing w:after="0" w:line="235" w:lineRule="auto"/>
        <w:tabs>
          <w:tab w:leader="none" w:pos="1059" w:val="left"/>
        </w:tabs>
        <w:numPr>
          <w:ilvl w:val="1"/>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"Initial Term" means the period beginning at the Effective Time and ending at the 2004 annual meeting of shareholders of the Corporation.</w:t>
      </w:r>
    </w:p>
    <w:p>
      <w:pPr>
        <w:spacing w:after="0" w:line="208" w:lineRule="exact"/>
        <w:rPr>
          <w:rFonts w:ascii="Courier New" w:cs="Courier New" w:eastAsia="Courier New" w:hAnsi="Courier New"/>
          <w:sz w:val="18"/>
          <w:szCs w:val="18"/>
          <w:color w:val="auto"/>
        </w:rPr>
      </w:pPr>
    </w:p>
    <w:p>
      <w:pPr>
        <w:ind w:left="5" w:right="1779" w:firstLine="521"/>
        <w:spacing w:after="0" w:line="235" w:lineRule="auto"/>
        <w:tabs>
          <w:tab w:leader="none" w:pos="953" w:val="left"/>
        </w:tabs>
        <w:numPr>
          <w:ilvl w:val="1"/>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"Replacement AT&amp;T Director" has the meaning specified in paragraph (B)(3) of this Article SIXTH.</w:t>
      </w:r>
    </w:p>
    <w:p>
      <w:pPr>
        <w:spacing w:after="0" w:line="208" w:lineRule="exact"/>
        <w:rPr>
          <w:rFonts w:ascii="Courier New" w:cs="Courier New" w:eastAsia="Courier New" w:hAnsi="Courier New"/>
          <w:sz w:val="18"/>
          <w:szCs w:val="18"/>
          <w:color w:val="auto"/>
        </w:rPr>
      </w:pPr>
    </w:p>
    <w:p>
      <w:pPr>
        <w:ind w:left="5" w:right="1779" w:firstLine="521"/>
        <w:spacing w:after="0" w:line="235" w:lineRule="auto"/>
        <w:tabs>
          <w:tab w:leader="none" w:pos="1059" w:val="left"/>
        </w:tabs>
        <w:numPr>
          <w:ilvl w:val="1"/>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"Replacement Comcast Director" has the meaning specified in paragraph (B)(3) of this Article SIXTH.</w:t>
      </w:r>
    </w:p>
    <w:p>
      <w:pPr>
        <w:spacing w:after="0" w:line="208" w:lineRule="exact"/>
        <w:rPr>
          <w:rFonts w:ascii="Courier New" w:cs="Courier New" w:eastAsia="Courier New" w:hAnsi="Courier New"/>
          <w:sz w:val="18"/>
          <w:szCs w:val="18"/>
          <w:color w:val="auto"/>
        </w:rPr>
      </w:pPr>
    </w:p>
    <w:p>
      <w:pPr>
        <w:ind w:left="5" w:right="1779" w:firstLine="521"/>
        <w:spacing w:after="0" w:line="235" w:lineRule="auto"/>
        <w:tabs>
          <w:tab w:leader="none" w:pos="1059" w:val="left"/>
        </w:tabs>
        <w:numPr>
          <w:ilvl w:val="1"/>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"Replacement Director" has the meaning specified in paragraph (B)(3) of this Article SIXTH.</w:t>
      </w:r>
    </w:p>
    <w:p>
      <w:pPr>
        <w:spacing w:after="0" w:line="208" w:lineRule="exact"/>
        <w:rPr>
          <w:rFonts w:ascii="Courier New" w:cs="Courier New" w:eastAsia="Courier New" w:hAnsi="Courier New"/>
          <w:sz w:val="18"/>
          <w:szCs w:val="18"/>
          <w:color w:val="auto"/>
        </w:rPr>
      </w:pPr>
    </w:p>
    <w:p>
      <w:pPr>
        <w:ind w:left="5" w:right="1779" w:firstLine="521"/>
        <w:spacing w:after="0" w:line="235" w:lineRule="auto"/>
        <w:tabs>
          <w:tab w:leader="none" w:pos="1059" w:val="left"/>
        </w:tabs>
        <w:numPr>
          <w:ilvl w:val="1"/>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"Replacement Independent Director" has the meaning specified in paragraph (B)(3) of this Article SIXTH.</w:t>
      </w:r>
    </w:p>
    <w:p>
      <w:pPr>
        <w:spacing w:after="0" w:line="208" w:lineRule="exact"/>
        <w:rPr>
          <w:rFonts w:ascii="Courier New" w:cs="Courier New" w:eastAsia="Courier New" w:hAnsi="Courier New"/>
          <w:sz w:val="18"/>
          <w:szCs w:val="18"/>
          <w:color w:val="auto"/>
        </w:rPr>
      </w:pPr>
    </w:p>
    <w:p>
      <w:pPr>
        <w:jc w:val="both"/>
        <w:ind w:left="5" w:right="1779" w:firstLine="521"/>
        <w:spacing w:after="0" w:line="237" w:lineRule="auto"/>
        <w:tabs>
          <w:tab w:leader="none" w:pos="1059" w:val="left"/>
        </w:tabs>
        <w:numPr>
          <w:ilvl w:val="1"/>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"Specified Period" means the period beginning at the Effective Time and ending at the 2005 annual meeting of shareholders of the Corporation or, if earlier, the date on which Mr. C. Michael Armstrong ceases to be the Chairman.</w:t>
      </w:r>
    </w:p>
    <w:p>
      <w:pPr>
        <w:spacing w:after="0" w:line="207" w:lineRule="exact"/>
        <w:rPr>
          <w:rFonts w:ascii="Courier New" w:cs="Courier New" w:eastAsia="Courier New" w:hAnsi="Courier New"/>
          <w:sz w:val="18"/>
          <w:szCs w:val="18"/>
          <w:color w:val="auto"/>
        </w:rPr>
      </w:pPr>
    </w:p>
    <w:p>
      <w:pPr>
        <w:jc w:val="both"/>
        <w:ind w:left="5" w:right="1779" w:firstLine="521"/>
        <w:spacing w:after="0" w:line="236" w:lineRule="auto"/>
        <w:tabs>
          <w:tab w:leader="none" w:pos="953" w:val="left"/>
        </w:tabs>
        <w:numPr>
          <w:ilvl w:val="1"/>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"2004 Term" means the period beginning at the 2004 annual meeting of shareholders of the Corporation and ending at the 2005 annual meeting of shareholders of the Corporation.</w:t>
      </w:r>
    </w:p>
    <w:p>
      <w:pPr>
        <w:spacing w:after="0" w:line="203" w:lineRule="exact"/>
        <w:rPr>
          <w:rFonts w:ascii="Courier New" w:cs="Courier New" w:eastAsia="Courier New" w:hAnsi="Courier New"/>
          <w:sz w:val="18"/>
          <w:szCs w:val="18"/>
          <w:color w:val="auto"/>
        </w:rPr>
      </w:pPr>
    </w:p>
    <w:p>
      <w:pPr>
        <w:ind w:left="325" w:hanging="325"/>
        <w:spacing w:after="0"/>
        <w:tabs>
          <w:tab w:leader="none" w:pos="325"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Directors</w:t>
      </w:r>
    </w:p>
    <w:p>
      <w:pPr>
        <w:spacing w:after="0" w:line="206" w:lineRule="exact"/>
        <w:rPr>
          <w:rFonts w:ascii="Courier New" w:cs="Courier New" w:eastAsia="Courier New" w:hAnsi="Courier New"/>
          <w:sz w:val="18"/>
          <w:szCs w:val="18"/>
          <w:color w:val="auto"/>
        </w:rPr>
      </w:pPr>
    </w:p>
    <w:p>
      <w:pPr>
        <w:jc w:val="both"/>
        <w:ind w:left="5" w:right="1779" w:firstLine="521"/>
        <w:spacing w:after="0" w:line="269" w:lineRule="auto"/>
        <w:tabs>
          <w:tab w:leader="none" w:pos="848" w:val="left"/>
        </w:tabs>
        <w:numPr>
          <w:ilvl w:val="1"/>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From the Effective Time until the expiration of the 2004 Term, subject to the fourth sentence of this paragraph (B)(1) of Article SIXTH and the second to last sentence of paragraph (B)(3) of Article SIXTH, the Board of Directors shall consist of five (5) Comcast Directors (at least one (1) of whom shall be an Independent Person), five (5) AT&amp;T Directors and two (2) Independent Directors. If the size of the Board of Directors is increased as described in the fourth sentence of this paragraph (B)(1) of Article SIXTH or there is a vacancy in the Comcast or AT&amp;T Class of Directors that pursuant to the second to last sentence of paragraph (B)(3) of Article SIXTH the applicable Class of Directors is not required to fill, the size of the Board of Directors shall be fixed at the number of Directors in place after such increase or vacancy and shall remain fixed at such number unless subsequently increased again pursuant to the fourth sentence of this paragraph (B)(1) of Article SIXTH or such vacancy is filled pursuant to paragraph (B)(3) of Article SIXTH (in either of such events the size of the Board of Directors shall be fixed at such increased number until subsequently changed as provided in this paragraph (B)(1) and paragraph (B)(3) of this Article SIXTH). At all times, the Board of Directors shall consist of a majority of Independent Persons. From the Effective Time until the expiration of the 2004 Term, a majority of the Directors may increase the size of the Board of Directors by up to two (2) members. The Board of Directors shall take all action necessary to ensure that any vacancy on the Board of Directors created as a result of any such increase shall be filled promptly by an Independent Person nominated by the governance and directors nominating committee of the Board of Directors and approved by the Board of Directors (an "Additional Independent Director"). After the election of an Additional Independent Director, such Additional Independent Director shall be considered an Independent Director for</w:t>
      </w:r>
    </w:p>
    <w:p>
      <w:pPr>
        <w:sectPr>
          <w:pgSz w:w="11900" w:h="16838" w:orient="portrait"/>
          <w:cols w:equalWidth="0" w:num="1">
            <w:col w:w="9684"/>
          </w:cols>
          <w:pgMar w:left="775" w:top="1440" w:right="1440" w:bottom="545" w:gutter="0" w:footer="0" w:header="0"/>
        </w:sectPr>
      </w:pPr>
    </w:p>
    <w:bookmarkStart w:id="53" w:name="page54"/>
    <w:bookmarkEnd w:id="53"/>
    <w:p>
      <w:pPr>
        <w:ind w:left="282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9019"/>
          </w:cols>
          <w:pgMar w:left="1440" w:top="344" w:right="1440" w:bottom="1440" w:gutter="0" w:footer="0" w:header="0"/>
        </w:sectPr>
      </w:pPr>
    </w:p>
    <w:bookmarkStart w:id="54" w:name="page55"/>
    <w:bookmarkEnd w:id="54"/>
    <w:p>
      <w:pPr>
        <w:jc w:val="both"/>
        <w:ind w:right="1779"/>
        <w:spacing w:after="0" w:line="275" w:lineRule="auto"/>
        <w:rPr>
          <w:sz w:val="20"/>
          <w:szCs w:val="20"/>
          <w:color w:val="auto"/>
        </w:rPr>
      </w:pPr>
      <w:r>
        <w:rPr>
          <w:rFonts w:ascii="Courier New" w:cs="Courier New" w:eastAsia="Courier New" w:hAnsi="Courier New"/>
          <w:sz w:val="16"/>
          <w:szCs w:val="16"/>
          <w:color w:val="auto"/>
        </w:rPr>
        <w:t>all purposes of this Article SIXTH. After the expiration of the 2004 Term, the size of the Board of Directors shall be determined in accordance with the By-Laws of the Corporation and the provisions of these Articles of Incorporation relating to Classes of Directors shall no longer apply.</w:t>
      </w:r>
    </w:p>
    <w:p>
      <w:pPr>
        <w:spacing w:after="0" w:line="182" w:lineRule="exact"/>
        <w:rPr>
          <w:sz w:val="20"/>
          <w:szCs w:val="20"/>
          <w:color w:val="auto"/>
        </w:rPr>
      </w:pPr>
    </w:p>
    <w:p>
      <w:pPr>
        <w:jc w:val="both"/>
        <w:ind w:right="1779" w:firstLine="521"/>
        <w:spacing w:after="0" w:line="238" w:lineRule="auto"/>
        <w:tabs>
          <w:tab w:leader="none" w:pos="948"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Following the occurrence of a vacancy on the Board of Directors that results in the absence of one or more of (i) a majority of Independent Persons on the Board of Directors, (ii) at least one Comcast Director who is an Independent Person, (iii) the then required number of Independent Directors, (iv) four (4) Comcast Directors or (v) four (4) AT&amp;T Directors, and notwithstanding the occurrence of such vacancy, the applicable Directors specified in paragraph (B)(3) of this Article SIXTH shall be authorized to take the actions contemplated by such paragraph to permit the Board of Directors to fill such vacancy (which vacancy shall be filled by an Independent Person in the case of clauses (i), (ii) and (iii)) and the Board of Directors shall be authorized to fill the vacancy in accordance with such paragraph. In addition to the foregoing and subject to the last sentence of paragraph (B)(3) of Article SIXTH, for a ninety (90) day period following the occurrence of a vacancy in the Board of Directors that results in one or more of the circumstances described in clauses (i), (ii), (iii), (iv) and (v) of the preceding sentence, the Directors then in office shall have and may exercise all of the powers of the Board of Directors to the extent provided under these Articles of Incorporation, the By-Laws of the Corporation and applicable law.</w:t>
      </w:r>
    </w:p>
    <w:p>
      <w:pPr>
        <w:spacing w:after="0" w:line="209" w:lineRule="exact"/>
        <w:rPr>
          <w:rFonts w:ascii="Courier New" w:cs="Courier New" w:eastAsia="Courier New" w:hAnsi="Courier New"/>
          <w:sz w:val="18"/>
          <w:szCs w:val="18"/>
          <w:color w:val="auto"/>
        </w:rPr>
      </w:pPr>
    </w:p>
    <w:p>
      <w:pPr>
        <w:jc w:val="both"/>
        <w:ind w:right="1779" w:firstLine="521"/>
        <w:spacing w:after="0" w:line="269" w:lineRule="auto"/>
        <w:tabs>
          <w:tab w:leader="none" w:pos="843"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From the Effective Time until the expiration of the 2004 Term, the Board of Directors shall take all action necessary to ensure that any seat on the Board of Directors held by (i) a Comcast Director which becomes vacant is filled promptly by a person designated by a majority of the Comcast Directors remaining on the Board of Directors (such person, a "Replacement Comcast Director"), (ii) an AT&amp;T Director which becomes vacant is filled promptly by a person designated by a majority of the AT&amp;T Directors remaining on the Board of Directors (such person, a "Replacement AT&amp;T Director") and (iii) an Independent Director which becomes vacant is filled promptly by an Independent Person designated by the governance and directors nominating committee of the Board of Directors (such person, a "Replacement Independent Director" and, together with any Replacement Comcast Director and any Replacement AT&amp;T Director, a "Replacement Director"); provided that the designation of any Replacement Independent Director by the governance and directors nominating committee of the Board of Directors shall be subject to the approval of the Board of Directors prior to such person becoming a Replacement Independent Director. Notwithstanding anything to the contrary contained herein, the remaining Comcast Directors or the remaining AT&amp;T Directors, as the case may be, shall be under no obligation to designate a person to fill a vacancy in its Class of Directors (and during the pendency of any such vacancy the Board of Directors shall continue to exercise all of its powers to the extent provided under these Articles of Incorporation, the By-Laws of the Corporation and applicable law), except to the extent such vacancy results in fewer than four (4) Directors in the affected Class of Directors or, in the case of the Comcast Directors, the absence of one Comcast Director who is an Independent Person. In the absence of a designation by the Comcast Directors, the AT&amp;T Directors or the governance and directors nominating committee of the Board of Directors, as the case may be, of a person to fill a vacancy in the relevant Class of Directors, the Board of Directors shall have no authority to fill a vacancy in the applicable Class of Directors.</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393" w:lineRule="exact"/>
        <w:rPr>
          <w:rFonts w:ascii="Courier New" w:cs="Courier New" w:eastAsia="Courier New" w:hAnsi="Courier New"/>
          <w:sz w:val="16"/>
          <w:szCs w:val="16"/>
          <w:color w:val="auto"/>
        </w:rPr>
      </w:pPr>
    </w:p>
    <w:p>
      <w:pPr>
        <w:jc w:val="both"/>
        <w:ind w:right="1779" w:firstLine="521"/>
        <w:spacing w:after="0" w:line="271" w:lineRule="auto"/>
        <w:tabs>
          <w:tab w:leader="none" w:pos="843"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paragraph (B)(7) of this Article SIXTH, each of the Comcast Directors, AT&amp;T Directors and Independent Directors at the Effective Time, and each Replacement Director and Additional Independent Director elected to the Board of Directors in accordance with this Article SIXTH during the Initial Term, shall hold office until the expiration of the Initial Term and until such Director's successor has been selected and qualified or until such Director's earlier death, resignation or removal.</w:t>
      </w:r>
    </w:p>
    <w:p>
      <w:pPr>
        <w:spacing w:after="0" w:line="187" w:lineRule="exact"/>
        <w:rPr>
          <w:rFonts w:ascii="Courier New" w:cs="Courier New" w:eastAsia="Courier New" w:hAnsi="Courier New"/>
          <w:sz w:val="16"/>
          <w:szCs w:val="16"/>
          <w:color w:val="auto"/>
        </w:rPr>
      </w:pPr>
    </w:p>
    <w:p>
      <w:pPr>
        <w:jc w:val="both"/>
        <w:ind w:right="1779" w:firstLine="521"/>
        <w:spacing w:after="0" w:line="237" w:lineRule="auto"/>
        <w:tabs>
          <w:tab w:leader="none" w:pos="843"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paragraph (B)(7) of this Article SIXTH, each of the Comcast Directors, AT&amp;T Directors and Independent Directors immediately after the annual meeting of shareholders of the Corporation in 2004, and each Replacement Director and Additional Independent Director elected to the Board of Directors in accordance with this Article SIXTH during the 2004 Term, shall hold office until the expiration of the 2004 Term and until such Director's successor has been selected and qualified or until such Director's earlier death, resignation or removal.</w:t>
      </w:r>
    </w:p>
    <w:p>
      <w:pPr>
        <w:sectPr>
          <w:pgSz w:w="11900" w:h="16838" w:orient="portrait"/>
          <w:cols w:equalWidth="0" w:num="1">
            <w:col w:w="9679"/>
          </w:cols>
          <w:pgMar w:left="780" w:top="1330" w:right="1440" w:bottom="0" w:gutter="0" w:footer="0" w:header="0"/>
        </w:sectPr>
      </w:pPr>
    </w:p>
    <w:bookmarkStart w:id="55" w:name="page56"/>
    <w:bookmarkEnd w:id="55"/>
    <w:p>
      <w:pPr>
        <w:jc w:val="both"/>
        <w:ind w:left="-521" w:right="1779" w:firstLine="521"/>
        <w:spacing w:after="0" w:line="279" w:lineRule="auto"/>
        <w:tabs>
          <w:tab w:leader="none" w:pos="321"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first (or in the event the Board of Directors calls an annual meeting of shareholders pursuant to the last sentence of this paragraph (B)(6), the second) annual meeting of shareholders of the Corporation after</w:t>
      </w:r>
    </w:p>
    <w:p>
      <w:pPr>
        <w:spacing w:after="0" w:line="200" w:lineRule="exact"/>
        <w:rPr>
          <w:sz w:val="20"/>
          <w:szCs w:val="20"/>
          <w:color w:val="auto"/>
        </w:rPr>
      </w:pPr>
    </w:p>
    <w:p>
      <w:pPr>
        <w:spacing w:after="0" w:line="378" w:lineRule="exact"/>
        <w:rPr>
          <w:sz w:val="20"/>
          <w:szCs w:val="20"/>
          <w:color w:val="auto"/>
        </w:rPr>
      </w:pPr>
    </w:p>
    <w:p>
      <w:pPr>
        <w:ind w:left="2959"/>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9158"/>
          </w:cols>
          <w:pgMar w:left="1301" w:top="142" w:right="1440" w:bottom="1440" w:gutter="0" w:footer="0" w:header="0"/>
        </w:sectPr>
      </w:pPr>
    </w:p>
    <w:bookmarkStart w:id="56" w:name="page57"/>
    <w:bookmarkEnd w:id="56"/>
    <w:p>
      <w:pPr>
        <w:jc w:val="both"/>
        <w:ind w:left="5" w:right="1779"/>
        <w:spacing w:after="0" w:line="269" w:lineRule="auto"/>
        <w:rPr>
          <w:sz w:val="20"/>
          <w:szCs w:val="20"/>
          <w:color w:val="auto"/>
        </w:rPr>
      </w:pPr>
      <w:r>
        <w:rPr>
          <w:rFonts w:ascii="Courier New" w:cs="Courier New" w:eastAsia="Courier New" w:hAnsi="Courier New"/>
          <w:sz w:val="16"/>
          <w:szCs w:val="16"/>
          <w:color w:val="auto"/>
        </w:rPr>
        <w:t>the Effective Time shall occur on such date and at such time in April 2004 as the Board of Directors may determine, or if the Board of Directors fails to set a date and time, on the second Thursday of April 2004 at 9:00 o'clock a.m., if, in either case, not a holiday on which national banks are or may elect to be closed ("Holiday"), and if such day is a Holiday, then such meeting shall be held on the next business day at such time. The second (or in the event the Board of Directors calls an annual meeting of shareholders pursuant to the last sentence of this paragraph (B)(6), the third) annual meeting of shareholders of the Corporation after the Effective Time shall occur on such date and at such time in April 2005 as the Board of Directors may determine, or if the Board of Directors fails to set a date and time, on the second Thursday of April 2005 at 9:00 o'clock a.m., if, in either case, not a Holiday, and if such day is a Holiday, then such meeting shall be held on the next business day at such time. The Corporation may, at the election of the Board of Directors, call an annual meeting of shareholders of the Corporation in 2003 for the purpose of conducting such business, other than the election of Directors, as the Board of Directors shall determine.</w:t>
      </w:r>
    </w:p>
    <w:p>
      <w:pPr>
        <w:spacing w:after="0" w:line="200" w:lineRule="exact"/>
        <w:rPr>
          <w:sz w:val="20"/>
          <w:szCs w:val="20"/>
          <w:color w:val="auto"/>
        </w:rPr>
      </w:pPr>
    </w:p>
    <w:p>
      <w:pPr>
        <w:spacing w:after="0" w:line="399" w:lineRule="exact"/>
        <w:rPr>
          <w:sz w:val="20"/>
          <w:szCs w:val="20"/>
          <w:color w:val="auto"/>
        </w:rPr>
      </w:pPr>
    </w:p>
    <w:p>
      <w:pPr>
        <w:jc w:val="both"/>
        <w:ind w:left="5" w:right="1779" w:firstLine="521"/>
        <w:spacing w:after="0" w:line="237" w:lineRule="auto"/>
        <w:tabs>
          <w:tab w:leader="none" w:pos="848" w:val="left"/>
        </w:tabs>
        <w:numPr>
          <w:ilvl w:val="1"/>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addition to the events set forth in each of paragraphs (B)(4) and (B)(5) of this Article SIXTH, the term of office of any Comcast Director or AT&amp;T Director, in either case who was an Independent Person on the date of such Director's designation, appointment or election as a member of the Board of Directors, or of any Independent Director, shall terminate on any date on which such Director shall cease to be an Independent Person if as a result of such Director ceasing to be an Independent Person the Board of Directors shall not include (i) a majority of Independent Persons and (ii) at least one Comcast Director who is an Independent Person.</w:t>
      </w:r>
    </w:p>
    <w:p>
      <w:pPr>
        <w:spacing w:after="0" w:line="209" w:lineRule="exact"/>
        <w:rPr>
          <w:rFonts w:ascii="Courier New" w:cs="Courier New" w:eastAsia="Courier New" w:hAnsi="Courier New"/>
          <w:sz w:val="18"/>
          <w:szCs w:val="18"/>
          <w:color w:val="auto"/>
        </w:rPr>
      </w:pPr>
    </w:p>
    <w:p>
      <w:pPr>
        <w:ind w:left="325" w:hanging="325"/>
        <w:spacing w:after="0"/>
        <w:tabs>
          <w:tab w:leader="none" w:pos="325"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Office of the Chairman</w:t>
      </w:r>
    </w:p>
    <w:p>
      <w:pPr>
        <w:spacing w:after="0" w:line="206" w:lineRule="exact"/>
        <w:rPr>
          <w:rFonts w:ascii="Courier New" w:cs="Courier New" w:eastAsia="Courier New" w:hAnsi="Courier New"/>
          <w:sz w:val="18"/>
          <w:szCs w:val="18"/>
          <w:color w:val="auto"/>
        </w:rPr>
      </w:pPr>
    </w:p>
    <w:p>
      <w:pPr>
        <w:jc w:val="both"/>
        <w:ind w:left="5" w:right="1779" w:firstLine="521"/>
        <w:spacing w:after="0" w:line="236" w:lineRule="auto"/>
        <w:tabs>
          <w:tab w:leader="none" w:pos="848" w:val="left"/>
        </w:tabs>
        <w:numPr>
          <w:ilvl w:val="1"/>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the Effective Time and during the Specified Period, there shall be an Office of the Chairman which shall be comprised of the Chairman and the CEO.</w:t>
      </w:r>
    </w:p>
    <w:p>
      <w:pPr>
        <w:spacing w:after="0" w:line="208" w:lineRule="exact"/>
        <w:rPr>
          <w:rFonts w:ascii="Courier New" w:cs="Courier New" w:eastAsia="Courier New" w:hAnsi="Courier New"/>
          <w:sz w:val="18"/>
          <w:szCs w:val="18"/>
          <w:color w:val="auto"/>
        </w:rPr>
      </w:pPr>
    </w:p>
    <w:p>
      <w:pPr>
        <w:jc w:val="both"/>
        <w:ind w:left="5" w:right="1779" w:firstLine="521"/>
        <w:spacing w:after="0" w:line="273" w:lineRule="auto"/>
        <w:tabs>
          <w:tab w:leader="none" w:pos="848" w:val="left"/>
        </w:tabs>
        <w:numPr>
          <w:ilvl w:val="1"/>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Office of the Chairman shall be the Corporation's principal executive deliberative body with responsibility for corporate strategy, policy and direction, governmental affairs and other matters of significance to the Corporation. The Chairman and the CEO shall advise and consult with each other with respect to each of the foregoing matters.</w:t>
      </w:r>
    </w:p>
    <w:p>
      <w:pPr>
        <w:spacing w:after="0" w:line="178" w:lineRule="exact"/>
        <w:rPr>
          <w:rFonts w:ascii="Courier New" w:cs="Courier New" w:eastAsia="Courier New" w:hAnsi="Courier New"/>
          <w:sz w:val="16"/>
          <w:szCs w:val="16"/>
          <w:color w:val="auto"/>
        </w:rPr>
      </w:pPr>
    </w:p>
    <w:p>
      <w:pPr>
        <w:ind w:left="325" w:hanging="325"/>
        <w:spacing w:after="0"/>
        <w:tabs>
          <w:tab w:leader="none" w:pos="325"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Officers</w:t>
      </w:r>
    </w:p>
    <w:p>
      <w:pPr>
        <w:spacing w:after="0" w:line="201" w:lineRule="exact"/>
        <w:rPr>
          <w:rFonts w:ascii="Courier New" w:cs="Courier New" w:eastAsia="Courier New" w:hAnsi="Courier New"/>
          <w:sz w:val="18"/>
          <w:szCs w:val="18"/>
          <w:color w:val="auto"/>
        </w:rPr>
      </w:pPr>
    </w:p>
    <w:p>
      <w:pPr>
        <w:ind w:left="845" w:hanging="319"/>
        <w:spacing w:after="0"/>
        <w:tabs>
          <w:tab w:leader="none" w:pos="845" w:val="left"/>
        </w:tabs>
        <w:numPr>
          <w:ilvl w:val="1"/>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Chairman.</w:t>
      </w:r>
    </w:p>
    <w:p>
      <w:pPr>
        <w:spacing w:after="0" w:line="207" w:lineRule="exact"/>
        <w:rPr>
          <w:sz w:val="20"/>
          <w:szCs w:val="20"/>
          <w:color w:val="auto"/>
        </w:rPr>
      </w:pPr>
    </w:p>
    <w:p>
      <w:pPr>
        <w:jc w:val="both"/>
        <w:ind w:left="5" w:right="1779" w:firstLine="521"/>
        <w:spacing w:after="0" w:line="237" w:lineRule="auto"/>
        <w:tabs>
          <w:tab w:leader="none" w:pos="953" w:val="left"/>
        </w:tabs>
        <w:numPr>
          <w:ilvl w:val="1"/>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the Effective Time and during the Specified Period, the Chairman shall be Mr. C. Michael Armstrong if he is willing and available to serve; provided that from and after April 1, 2004, if the Specified Period has not expired, Mr. C. Michael Armstrong shall be non- executive Chairman for the remainder of the Specified Period. After the Specified Period, the Chairman shall be Mr. Brian L. Roberts if he is willing and available to serve.</w:t>
      </w:r>
    </w:p>
    <w:p>
      <w:pPr>
        <w:spacing w:after="0" w:line="211" w:lineRule="exact"/>
        <w:rPr>
          <w:rFonts w:ascii="Courier New" w:cs="Courier New" w:eastAsia="Courier New" w:hAnsi="Courier New"/>
          <w:sz w:val="18"/>
          <w:szCs w:val="18"/>
          <w:color w:val="auto"/>
        </w:rPr>
      </w:pPr>
    </w:p>
    <w:p>
      <w:pPr>
        <w:jc w:val="both"/>
        <w:ind w:left="5" w:right="1779" w:firstLine="521"/>
        <w:spacing w:after="0" w:line="237" w:lineRule="auto"/>
        <w:tabs>
          <w:tab w:leader="none" w:pos="953" w:val="left"/>
        </w:tabs>
        <w:numPr>
          <w:ilvl w:val="1"/>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Chairman shall preside at all meetings of the shareholders of the Corporation and of the Board of Directors. In the absence of the Chairman, if the Chairman and the CEO are not the same person, the CEO shall chair such meetings.</w:t>
      </w:r>
    </w:p>
    <w:p>
      <w:pPr>
        <w:spacing w:after="0" w:line="207" w:lineRule="exact"/>
        <w:rPr>
          <w:rFonts w:ascii="Courier New" w:cs="Courier New" w:eastAsia="Courier New" w:hAnsi="Courier New"/>
          <w:sz w:val="18"/>
          <w:szCs w:val="18"/>
          <w:color w:val="auto"/>
        </w:rPr>
      </w:pPr>
    </w:p>
    <w:p>
      <w:pPr>
        <w:jc w:val="both"/>
        <w:ind w:left="5" w:right="1779" w:firstLine="521"/>
        <w:spacing w:after="0" w:line="236" w:lineRule="auto"/>
        <w:tabs>
          <w:tab w:leader="none" w:pos="953" w:val="left"/>
        </w:tabs>
        <w:numPr>
          <w:ilvl w:val="1"/>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Chairman shall have the authority to call special meetings of the Board of Directors, in the manner provided by the By-Laws of the Corporation.</w:t>
      </w:r>
    </w:p>
    <w:p>
      <w:pPr>
        <w:spacing w:after="0" w:line="208" w:lineRule="exact"/>
        <w:rPr>
          <w:rFonts w:ascii="Courier New" w:cs="Courier New" w:eastAsia="Courier New" w:hAnsi="Courier New"/>
          <w:sz w:val="18"/>
          <w:szCs w:val="18"/>
          <w:color w:val="auto"/>
        </w:rPr>
      </w:pPr>
    </w:p>
    <w:p>
      <w:pPr>
        <w:jc w:val="both"/>
        <w:ind w:left="5" w:right="1779" w:firstLine="521"/>
        <w:spacing w:after="0" w:line="235" w:lineRule="auto"/>
        <w:tabs>
          <w:tab w:leader="none" w:pos="953" w:val="left"/>
        </w:tabs>
        <w:numPr>
          <w:ilvl w:val="1"/>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Removal of the Chairman shall require the affirmative vote of at least 75% of the entire Board of Directors until the earlier to occur of</w:t>
      </w:r>
    </w:p>
    <w:p>
      <w:pPr>
        <w:spacing w:after="0" w:line="5" w:lineRule="exact"/>
        <w:rPr>
          <w:rFonts w:ascii="Courier New" w:cs="Courier New" w:eastAsia="Courier New" w:hAnsi="Courier New"/>
          <w:sz w:val="18"/>
          <w:szCs w:val="18"/>
          <w:color w:val="auto"/>
        </w:rPr>
      </w:pPr>
    </w:p>
    <w:p>
      <w:pPr>
        <w:jc w:val="both"/>
        <w:ind w:left="5" w:right="1779" w:hanging="5"/>
        <w:spacing w:after="0" w:line="236" w:lineRule="auto"/>
        <w:tabs>
          <w:tab w:leader="none" w:pos="427"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date on which neither Mr. C. Michael Armstrong nor Mr. Brian L. Roberts is the Chairman and (ii) the sixth anniversary of the expiration of the Initial Term.</w:t>
      </w:r>
    </w:p>
    <w:p>
      <w:pPr>
        <w:spacing w:after="0" w:line="203" w:lineRule="exact"/>
        <w:rPr>
          <w:sz w:val="20"/>
          <w:szCs w:val="20"/>
          <w:color w:val="auto"/>
        </w:rPr>
      </w:pPr>
    </w:p>
    <w:p>
      <w:pPr>
        <w:ind w:left="845" w:hanging="319"/>
        <w:spacing w:after="0"/>
        <w:tabs>
          <w:tab w:leader="none" w:pos="845"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Chief Executive Officer and President.</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8" w:lineRule="exact"/>
        <w:rPr>
          <w:rFonts w:ascii="Courier New" w:cs="Courier New" w:eastAsia="Courier New" w:hAnsi="Courier New"/>
          <w:sz w:val="18"/>
          <w:szCs w:val="18"/>
          <w:color w:val="auto"/>
        </w:rPr>
      </w:pPr>
    </w:p>
    <w:p>
      <w:pPr>
        <w:ind w:left="3485"/>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-11-</w:t>
      </w:r>
    </w:p>
    <w:p>
      <w:pPr>
        <w:sectPr>
          <w:pgSz w:w="11900" w:h="16838" w:orient="portrait"/>
          <w:cols w:equalWidth="0" w:num="1">
            <w:col w:w="9684"/>
          </w:cols>
          <w:pgMar w:left="775" w:top="925" w:right="1440" w:bottom="159" w:gutter="0" w:footer="0" w:header="0"/>
        </w:sectPr>
      </w:pPr>
    </w:p>
    <w:bookmarkStart w:id="57" w:name="page58"/>
    <w:bookmarkEnd w:id="57"/>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58" w:name="page59"/>
    <w:bookmarkEnd w:id="58"/>
    <w:p>
      <w:pPr>
        <w:jc w:val="both"/>
        <w:ind w:left="540" w:right="1779" w:firstLine="521"/>
        <w:spacing w:after="0" w:line="236" w:lineRule="auto"/>
        <w:tabs>
          <w:tab w:leader="none" w:pos="1488" w:val="left"/>
        </w:tabs>
        <w:numPr>
          <w:ilvl w:val="2"/>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the Effective Time, the CEO shall be Mr. Brian L. Roberts if he is willing and available to serve. For so long as Mr. Brian L. Roberts shall be the CEO, he shall also be the President of the Corporation.</w:t>
      </w:r>
    </w:p>
    <w:p>
      <w:pPr>
        <w:spacing w:after="0" w:line="208" w:lineRule="exact"/>
        <w:rPr>
          <w:rFonts w:ascii="Courier New" w:cs="Courier New" w:eastAsia="Courier New" w:hAnsi="Courier New"/>
          <w:sz w:val="18"/>
          <w:szCs w:val="18"/>
          <w:color w:val="auto"/>
        </w:rPr>
      </w:pPr>
    </w:p>
    <w:p>
      <w:pPr>
        <w:jc w:val="both"/>
        <w:ind w:left="540" w:right="1779" w:firstLine="521"/>
        <w:spacing w:after="0" w:line="236" w:lineRule="auto"/>
        <w:tabs>
          <w:tab w:leader="none" w:pos="1488" w:val="left"/>
        </w:tabs>
        <w:numPr>
          <w:ilvl w:val="2"/>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powers, rights, functions and responsibilities of the CEO shall include, without limitation, the following, subject to the control and direction of the Board of Directors:</w:t>
      </w:r>
    </w:p>
    <w:p>
      <w:pPr>
        <w:spacing w:after="0" w:line="208" w:lineRule="exact"/>
        <w:rPr>
          <w:rFonts w:ascii="Courier New" w:cs="Courier New" w:eastAsia="Courier New" w:hAnsi="Courier New"/>
          <w:sz w:val="18"/>
          <w:szCs w:val="18"/>
          <w:color w:val="auto"/>
        </w:rPr>
      </w:pPr>
    </w:p>
    <w:p>
      <w:pPr>
        <w:jc w:val="both"/>
        <w:ind w:left="1060" w:right="1779" w:firstLine="528"/>
        <w:spacing w:after="0" w:line="236" w:lineRule="auto"/>
        <w:tabs>
          <w:tab w:leader="none" w:pos="2113" w:val="left"/>
        </w:tabs>
        <w:numPr>
          <w:ilvl w:val="3"/>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supervision, coordination and management of the Corporation's business, operations, activities, operating expenses and capital allocation;</w:t>
      </w:r>
    </w:p>
    <w:p>
      <w:pPr>
        <w:spacing w:after="0" w:line="208" w:lineRule="exact"/>
        <w:rPr>
          <w:rFonts w:ascii="Courier New" w:cs="Courier New" w:eastAsia="Courier New" w:hAnsi="Courier New"/>
          <w:sz w:val="18"/>
          <w:szCs w:val="18"/>
          <w:color w:val="auto"/>
        </w:rPr>
      </w:pPr>
    </w:p>
    <w:p>
      <w:pPr>
        <w:jc w:val="both"/>
        <w:ind w:left="1060" w:right="1779" w:firstLine="528"/>
        <w:spacing w:after="0" w:line="237" w:lineRule="auto"/>
        <w:tabs>
          <w:tab w:leader="none" w:pos="2113" w:val="left"/>
        </w:tabs>
        <w:numPr>
          <w:ilvl w:val="3"/>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matters relating to officers (other than the Chairman) and employees, including, without limitation, hiring, terminating, changing positions and allocating responsibilities of such officers and employees; provided that, if the Chairman and the CEO are not the same person, the CEO shall consult with the Chairman in connection with the foregoing as it relates to the senior executives of the Corporation; provided, further, that following the initial designation of officers by the CEO (in consultation with the Chairman) as provided herein, the election of officers shall be as provided in the By-Laws of the Corporation;</w:t>
      </w:r>
    </w:p>
    <w:p>
      <w:pPr>
        <w:spacing w:after="0" w:line="214" w:lineRule="exact"/>
        <w:rPr>
          <w:rFonts w:ascii="Courier New" w:cs="Courier New" w:eastAsia="Courier New" w:hAnsi="Courier New"/>
          <w:sz w:val="18"/>
          <w:szCs w:val="18"/>
          <w:color w:val="auto"/>
        </w:rPr>
      </w:pPr>
    </w:p>
    <w:p>
      <w:pPr>
        <w:jc w:val="both"/>
        <w:ind w:left="1060" w:right="1779" w:firstLine="528"/>
        <w:spacing w:after="0" w:line="236" w:lineRule="auto"/>
        <w:tabs>
          <w:tab w:leader="none" w:pos="2219" w:val="left"/>
        </w:tabs>
        <w:numPr>
          <w:ilvl w:val="3"/>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of the powers, rights, functions and responsibilities typically exercised by a chief executive officer and president of a corporation; and</w:t>
      </w:r>
    </w:p>
    <w:p>
      <w:pPr>
        <w:spacing w:after="0" w:line="208" w:lineRule="exact"/>
        <w:rPr>
          <w:rFonts w:ascii="Courier New" w:cs="Courier New" w:eastAsia="Courier New" w:hAnsi="Courier New"/>
          <w:sz w:val="18"/>
          <w:szCs w:val="18"/>
          <w:color w:val="auto"/>
        </w:rPr>
      </w:pPr>
    </w:p>
    <w:p>
      <w:pPr>
        <w:ind w:left="1060" w:right="1779" w:firstLine="528"/>
        <w:spacing w:after="0" w:line="235" w:lineRule="auto"/>
        <w:tabs>
          <w:tab w:leader="none" w:pos="2113" w:val="left"/>
        </w:tabs>
        <w:numPr>
          <w:ilvl w:val="3"/>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authority to call special meetings of the Board of Directors, in the manner provided by the By-Laws of the Corporation.</w:t>
      </w:r>
    </w:p>
    <w:p>
      <w:pPr>
        <w:spacing w:after="0" w:line="208" w:lineRule="exact"/>
        <w:rPr>
          <w:rFonts w:ascii="Courier New" w:cs="Courier New" w:eastAsia="Courier New" w:hAnsi="Courier New"/>
          <w:sz w:val="18"/>
          <w:szCs w:val="18"/>
          <w:color w:val="auto"/>
        </w:rPr>
      </w:pPr>
    </w:p>
    <w:p>
      <w:pPr>
        <w:jc w:val="both"/>
        <w:ind w:left="540" w:right="1779" w:firstLine="521"/>
        <w:spacing w:after="0" w:line="237" w:lineRule="auto"/>
        <w:tabs>
          <w:tab w:leader="none" w:pos="1488" w:val="left"/>
        </w:tabs>
        <w:numPr>
          <w:ilvl w:val="2"/>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Removal of the CEO shall require the affirmative vote of at least 75% of the entire Board of Directors until the earlier to occur of (i) the date on which Mr. Brian L. Roberts ceases to be the CEO and (ii) the sixth anniversary of the expiration of the Initial Term.</w:t>
      </w:r>
    </w:p>
    <w:p>
      <w:pPr>
        <w:spacing w:after="0" w:line="207" w:lineRule="exact"/>
        <w:rPr>
          <w:rFonts w:ascii="Courier New" w:cs="Courier New" w:eastAsia="Courier New" w:hAnsi="Courier New"/>
          <w:sz w:val="18"/>
          <w:szCs w:val="18"/>
          <w:color w:val="auto"/>
        </w:rPr>
      </w:pPr>
    </w:p>
    <w:p>
      <w:pPr>
        <w:jc w:val="both"/>
        <w:ind w:right="1779" w:firstLine="535"/>
        <w:spacing w:after="0" w:line="237" w:lineRule="auto"/>
        <w:tabs>
          <w:tab w:leader="none" w:pos="843" w:val="left"/>
        </w:tabs>
        <w:numPr>
          <w:ilvl w:val="1"/>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Executive Committee. If the Board of Directors decides to establish an Executive Committee, if he is willing and able to serve and for so long as he shall be a member of the Board of Directors, Mr. Ralph J. Roberts shall be the Chairman of the Executive Committee.</w:t>
      </w:r>
    </w:p>
    <w:p>
      <w:pPr>
        <w:spacing w:after="0" w:line="207" w:lineRule="exact"/>
        <w:rPr>
          <w:rFonts w:ascii="Courier New" w:cs="Courier New" w:eastAsia="Courier New" w:hAnsi="Courier New"/>
          <w:sz w:val="18"/>
          <w:szCs w:val="18"/>
          <w:color w:val="auto"/>
        </w:rPr>
      </w:pPr>
    </w:p>
    <w:p>
      <w:pPr>
        <w:jc w:val="both"/>
        <w:ind w:right="1779" w:firstLine="535"/>
        <w:spacing w:after="0" w:line="237" w:lineRule="auto"/>
        <w:tabs>
          <w:tab w:leader="none" w:pos="948" w:val="left"/>
        </w:tabs>
        <w:numPr>
          <w:ilvl w:val="1"/>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Amendment. Subject to paragraph (G) of this Article SIXTH, until the earlier to occur of (i) the date on which Mr. Brian L. Roberts is no longer serving as the Chairman or the CEO and (ii) the sixth anniversary of the expiration of the Initial Term, the provisions of this Article SIXTH and the provisions of Article 9 of the By-Laws may not be amended, altered, repealed or waived in any respect without the prior approval of at least 75% of the entire Board of Directors.</w:t>
      </w:r>
    </w:p>
    <w:p>
      <w:pPr>
        <w:spacing w:after="0" w:line="211" w:lineRule="exact"/>
        <w:rPr>
          <w:rFonts w:ascii="Courier New" w:cs="Courier New" w:eastAsia="Courier New" w:hAnsi="Courier New"/>
          <w:sz w:val="18"/>
          <w:szCs w:val="18"/>
          <w:color w:val="auto"/>
        </w:rPr>
      </w:pPr>
    </w:p>
    <w:p>
      <w:pPr>
        <w:jc w:val="both"/>
        <w:ind w:right="1779" w:firstLine="535"/>
        <w:spacing w:after="0" w:line="268" w:lineRule="auto"/>
        <w:tabs>
          <w:tab w:leader="none" w:pos="948" w:val="left"/>
        </w:tabs>
        <w:numPr>
          <w:ilvl w:val="1"/>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If Mr. Brian L. Roberts is no longer serving as the Chairman or the CEO, the provisions of this Article SIXTH (other than paragraphs</w:t>
      </w:r>
    </w:p>
    <w:p>
      <w:pPr>
        <w:jc w:val="both"/>
        <w:ind w:right="1779" w:firstLine="8"/>
        <w:spacing w:after="0" w:line="237" w:lineRule="auto"/>
        <w:tabs>
          <w:tab w:leader="none" w:pos="421"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and (B)(2) (but only insofar as such paragraph relates to the requirement that a majority of the Directors be Independent Persons) and the second sentence of paragraph (B)(1), in each case of this Article SIXTH) shall terminate automatically without any further action of the Board of Directors or the shareholders of the Corporation; provided that notwithstanding the foregoing, in the event that Mr. Brian L. Roberts ceases to serve as the Chairman or the CEO prior to the 2005 annual meeting of shareholders of the Corporation, the provisions of paragraphs (A), (B), (C) and (D)(1)(a)-(c) of this Article SIXTH shall survive through the close of such annual meeting.</w:t>
      </w:r>
    </w:p>
    <w:p>
      <w:pPr>
        <w:spacing w:after="0" w:line="214" w:lineRule="exact"/>
        <w:rPr>
          <w:sz w:val="20"/>
          <w:szCs w:val="20"/>
          <w:color w:val="auto"/>
        </w:rPr>
      </w:pPr>
    </w:p>
    <w:p>
      <w:pPr>
        <w:jc w:val="both"/>
        <w:ind w:right="1779" w:firstLine="527"/>
        <w:spacing w:after="0" w:line="238" w:lineRule="auto"/>
        <w:rPr>
          <w:sz w:val="20"/>
          <w:szCs w:val="20"/>
          <w:color w:val="auto"/>
        </w:rPr>
      </w:pPr>
      <w:r>
        <w:rPr>
          <w:rFonts w:ascii="Courier New" w:cs="Courier New" w:eastAsia="Courier New" w:hAnsi="Courier New"/>
          <w:sz w:val="18"/>
          <w:szCs w:val="18"/>
          <w:color w:val="auto"/>
        </w:rPr>
        <w:t>SEVENTH: In addition to any other approval required by law or by these Articles of Incorporation, and notwithstanding any provision of Article FIFTH, the approval of the holders of Class B Common Stock, voting separately as a class, shall be necessary to approve (i) any merger or consolidation of the Corporation with another entity or any other transaction, in each case that requires the approval of the shareholders of the Corporation pursuant to the law of the Commonwealth of Pennsylvania or other applicable law, or any other transaction that would result in any person or group (as such term is defined in Section 13(d)(3) of the Securities Exchange Act of 1934, as amended) owning shares representing in excess of 10% of the combined voting power of the resulting or surviving corporation, or any issuance of securities (other than pursuant to director or officer stock option or purchase plans) requiring shareholder approval under the applicable rules and regulations of any stock exchange or</w:t>
      </w:r>
    </w:p>
    <w:p>
      <w:pPr>
        <w:sectPr>
          <w:pgSz w:w="11900" w:h="16838" w:orient="portrait"/>
          <w:cols w:equalWidth="0" w:num="1">
            <w:col w:w="10219"/>
          </w:cols>
          <w:pgMar w:left="240" w:top="1330" w:right="1440" w:bottom="0" w:gutter="0" w:footer="0" w:header="0"/>
        </w:sectPr>
      </w:pPr>
    </w:p>
    <w:bookmarkStart w:id="59" w:name="page60"/>
    <w:bookmarkEnd w:id="59"/>
    <w:p>
      <w:pPr>
        <w:ind w:left="282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9019"/>
          </w:cols>
          <w:pgMar w:left="1440" w:top="547" w:right="1440" w:bottom="1440" w:gutter="0" w:footer="0" w:header="0"/>
        </w:sectPr>
      </w:pPr>
    </w:p>
    <w:bookmarkStart w:id="60" w:name="page61"/>
    <w:bookmarkEnd w:id="60"/>
    <w:p>
      <w:pPr>
        <w:jc w:val="both"/>
        <w:ind w:right="1779"/>
        <w:spacing w:after="0" w:line="238" w:lineRule="auto"/>
        <w:rPr>
          <w:sz w:val="20"/>
          <w:szCs w:val="20"/>
          <w:color w:val="auto"/>
        </w:rPr>
      </w:pPr>
      <w:r>
        <w:rPr>
          <w:rFonts w:ascii="Courier New" w:cs="Courier New" w:eastAsia="Courier New" w:hAnsi="Courier New"/>
          <w:sz w:val="18"/>
          <w:szCs w:val="18"/>
          <w:color w:val="auto"/>
        </w:rPr>
        <w:t>quotation system, (ii) any issuance of shares of Class B Common Stock or any securities exercisable or exchangeable for or convertible into shares of Class B Common Stock or (iii) any amendment to these Articles of Incorporation (including, without limitation, any amendment to elect to have any of Subchapters E, F, G, H, I and J or Section 2538 of Subchapter D, in each case of Chapter 25 of the Business Corporation Law of 1988, be applicable to the Corporation or any amendment to this Article SEVENTH) or the By-Laws of the Corporation or any other action (including, without limitation, the adoption, amendment or redemption of a shareholder rights plan) that would, in any such case, limit the rights of the holders of Class B Common Stock or any subsequent transferee of Class B Common Stock to transfer, vote or otherwise exercise rights with respect to capital stock of the Corporation. In addition to any other approval required by law or by these Articles of Incorporation, and notwithstanding any provision of Article FIFTH, the approval of the holder of any class or series of shares of the Corporation shall be necessary to approve any amendment to these Articles of Incorporation which would make any change in the preferences, limitations or rights of the shares of such class or series adverse to such class or series.</w:t>
      </w:r>
    </w:p>
    <w:p>
      <w:pPr>
        <w:spacing w:after="0" w:line="209" w:lineRule="exact"/>
        <w:rPr>
          <w:sz w:val="20"/>
          <w:szCs w:val="20"/>
          <w:color w:val="auto"/>
        </w:rPr>
      </w:pPr>
    </w:p>
    <w:p>
      <w:pPr>
        <w:jc w:val="both"/>
        <w:ind w:right="1779" w:firstLine="527"/>
        <w:spacing w:after="0" w:line="235" w:lineRule="auto"/>
        <w:rPr>
          <w:sz w:val="20"/>
          <w:szCs w:val="20"/>
          <w:color w:val="auto"/>
        </w:rPr>
      </w:pPr>
      <w:r>
        <w:rPr>
          <w:rFonts w:ascii="Courier New" w:cs="Courier New" w:eastAsia="Courier New" w:hAnsi="Courier New"/>
          <w:sz w:val="18"/>
          <w:szCs w:val="18"/>
          <w:color w:val="auto"/>
        </w:rPr>
        <w:t>EIGHTH: Special meetings of shareholders may be called only by the Board of Directors and may not be called by shareholders of the Corporation.</w:t>
      </w:r>
    </w:p>
    <w:p>
      <w:pPr>
        <w:spacing w:after="0" w:line="208"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NINTH: The shareholders of the Corporation shall not be permitted to act by written consent in lieu of a meeting; provided that notwithstanding the foregoing, the holders of a majority of the Class B Common Stock shall be permitted to act by written consent in lieu of a meeting in the exercise of their approval rights under Article SEVENTH.</w:t>
      </w:r>
    </w:p>
    <w:p>
      <w:pPr>
        <w:spacing w:after="0" w:line="209"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TENTH: The Board of Directors shall have the power to amend the By-Laws to the extent provided therein, subject only to applicable law. Any amendment to the By-Laws approved by the shareholders of the Corporation shall not be deemed to have been adopted by the Corporation unless it has been previously approved by the Board of Directors.</w:t>
      </w:r>
    </w:p>
    <w:p>
      <w:pPr>
        <w:spacing w:after="0" w:line="209" w:lineRule="exact"/>
        <w:rPr>
          <w:sz w:val="20"/>
          <w:szCs w:val="20"/>
          <w:color w:val="auto"/>
        </w:rPr>
      </w:pPr>
    </w:p>
    <w:p>
      <w:pPr>
        <w:jc w:val="both"/>
        <w:ind w:right="1779" w:firstLine="527"/>
        <w:spacing w:after="0" w:line="238" w:lineRule="auto"/>
        <w:rPr>
          <w:sz w:val="20"/>
          <w:szCs w:val="20"/>
          <w:color w:val="auto"/>
        </w:rPr>
      </w:pPr>
      <w:r>
        <w:rPr>
          <w:rFonts w:ascii="Courier New" w:cs="Courier New" w:eastAsia="Courier New" w:hAnsi="Courier New"/>
          <w:sz w:val="18"/>
          <w:szCs w:val="18"/>
          <w:color w:val="auto"/>
        </w:rPr>
        <w:t>ELEVENTH: No person who is or was a Director shall be personally liable, as such, for monetary damages (other than under criminal statutes and under federal, state and local laws imposing liability on directors for the payment of taxes) unless the person's conduct constitutes self-dealing, willful misconduct or recklessness. No amendment or repeal of this Article ELEVENTH shall apply to or have any effect on the liability or alleged liability of any person who is or was a Director for or with respect to any acts or omissions of the Director occurring prior to the effective date of such amendment or repeal. If the Business Corporation Law of 1988 is amended to permit a Pennsylvania corporation to provide greater protection from personal liability for its directors than the express terms of this Article ELEVENTH, this Article ELEVENTH shall be construed to provide for such greater protection.</w:t>
      </w:r>
    </w:p>
    <w:p>
      <w:pPr>
        <w:spacing w:after="0" w:line="207" w:lineRule="exact"/>
        <w:rPr>
          <w:sz w:val="20"/>
          <w:szCs w:val="20"/>
          <w:color w:val="auto"/>
        </w:rPr>
      </w:pPr>
    </w:p>
    <w:p>
      <w:pPr>
        <w:jc w:val="both"/>
        <w:ind w:right="1779" w:firstLine="527"/>
        <w:spacing w:after="0" w:line="270" w:lineRule="auto"/>
        <w:rPr>
          <w:sz w:val="20"/>
          <w:szCs w:val="20"/>
          <w:color w:val="auto"/>
        </w:rPr>
      </w:pPr>
      <w:r>
        <w:rPr>
          <w:rFonts w:ascii="Courier New" w:cs="Courier New" w:eastAsia="Courier New" w:hAnsi="Courier New"/>
          <w:sz w:val="16"/>
          <w:szCs w:val="16"/>
          <w:color w:val="auto"/>
        </w:rPr>
        <w:t>TWELFTH: No person who is or was an officer of the Corporation shall be personally liable, as such, for monetary damages (other than under criminal statutes and under federal, state and local laws imposing liability on directors for the payment of taxes) unless the person's conduct constitutes self-dealing, willful misconduct or recklessness. No amendment or repeal of this Article TWELFTH shall apply to or have any effect on the liability or alleged liability of any person who is or was an officer of the Corporation for or with respect to any acts or omissions of the officer occurring prior to the effective date of such amendment or repeal. If the Business Corporation Law of 1988 is amended to permit a Pennsylvania corporation to provide greater protection from personal liability for its officers than the express terms of this Article TWELFTH, this Article TWELFTH shall be construed to provide for such greater protection.</w:t>
      </w:r>
    </w:p>
    <w:p>
      <w:pPr>
        <w:spacing w:after="0" w:line="18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THIRTEENTH: Any or all classes and series of shares of the Corporation, or any part thereof, may be represented by uncertificated shares to the extent determined by the Board of Directors, except that shares represented by a certificate that is issued and outstanding shall continue to be represented thereby until the certificate is surrendered to the Corporation. Within a reasonable time after the issuance or transfer of uncertificated shares, the Corporation shall send to the registered owner thereof a written notice containing the information required to be set forth or stated on certificates. The rights and obligations of the holders of shares represented by certificates and the rights and obligations of the holders of uncertificated shares of the same class and series shall be identical.</w:t>
      </w:r>
    </w:p>
    <w:p>
      <w:pPr>
        <w:spacing w:after="0" w:line="216"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FOURTEENTH: Subchapters E, F, G, H, I and J and Section 2538 of Subchapter D, in each case of Chapter 25 of the Business Corporation Law of 1988, shall not be applicable to the Corporation.</w:t>
      </w:r>
    </w:p>
    <w:p>
      <w:pPr>
        <w:sectPr>
          <w:pgSz w:w="11900" w:h="16838" w:orient="portrait"/>
          <w:cols w:equalWidth="0" w:num="1">
            <w:col w:w="10219"/>
          </w:cols>
          <w:pgMar w:left="240" w:top="1330" w:right="1440" w:bottom="0" w:gutter="0" w:footer="0" w:header="0"/>
        </w:sectPr>
      </w:pPr>
    </w:p>
    <w:bookmarkStart w:id="61" w:name="page62"/>
    <w:bookmarkEnd w:id="61"/>
    <w:p>
      <w:pPr>
        <w:ind w:left="282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9019"/>
          </w:cols>
          <w:pgMar w:left="1440" w:top="750" w:right="1440" w:bottom="1440" w:gutter="0" w:footer="0" w:header="0"/>
        </w:sectPr>
      </w:pPr>
    </w:p>
    <w:bookmarkStart w:id="62" w:name="page63"/>
    <w:bookmarkEnd w:id="62"/>
    <w:p>
      <w:pPr>
        <w:ind w:right="1779" w:firstLine="527"/>
        <w:spacing w:after="0" w:line="235" w:lineRule="auto"/>
        <w:rPr>
          <w:sz w:val="20"/>
          <w:szCs w:val="20"/>
          <w:color w:val="auto"/>
        </w:rPr>
      </w:pPr>
      <w:r>
        <w:rPr>
          <w:rFonts w:ascii="Courier New" w:cs="Courier New" w:eastAsia="Courier New" w:hAnsi="Courier New"/>
          <w:sz w:val="18"/>
          <w:szCs w:val="18"/>
          <w:color w:val="auto"/>
        </w:rPr>
        <w:t>FIFTEENTH: Henceforth, these Articles supersede the original Articles and all amendments filed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1330" w:right="1440" w:bottom="1440" w:gutter="0" w:footer="0" w:header="0"/>
        </w:sectPr>
      </w:pPr>
    </w:p>
    <w:bookmarkStart w:id="63" w:name="page64"/>
    <w:bookmarkEnd w:id="63"/>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64" w:name="page65"/>
    <w:bookmarkEnd w:id="64"/>
    <w:p>
      <w:pPr>
        <w:ind w:left="3800"/>
        <w:spacing w:after="0"/>
        <w:rPr>
          <w:sz w:val="20"/>
          <w:szCs w:val="20"/>
          <w:color w:val="auto"/>
        </w:rPr>
      </w:pPr>
      <w:r>
        <w:rPr>
          <w:rFonts w:ascii="Courier New" w:cs="Courier New" w:eastAsia="Courier New" w:hAnsi="Courier New"/>
          <w:sz w:val="18"/>
          <w:szCs w:val="18"/>
          <w:color w:val="auto"/>
        </w:rPr>
        <w:t>RESTATED</w:t>
      </w:r>
    </w:p>
    <w:p>
      <w:pPr>
        <w:spacing w:after="0" w:line="20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BY-LAWS</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OF</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COMCAST CORPORATION</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 * * * *</w:t>
      </w:r>
    </w:p>
    <w:p>
      <w:pPr>
        <w:ind w:left="3580"/>
        <w:spacing w:after="0" w:line="238" w:lineRule="auto"/>
        <w:rPr>
          <w:sz w:val="20"/>
          <w:szCs w:val="20"/>
          <w:color w:val="auto"/>
        </w:rPr>
      </w:pPr>
      <w:r>
        <w:rPr>
          <w:rFonts w:ascii="Courier New" w:cs="Courier New" w:eastAsia="Courier New" w:hAnsi="Courier New"/>
          <w:sz w:val="18"/>
          <w:szCs w:val="18"/>
          <w:color w:val="auto"/>
        </w:rPr>
        <w:t>May 26, 2004</w:t>
      </w:r>
    </w:p>
    <w:p>
      <w:pPr>
        <w:spacing w:after="0" w:line="202"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 * * * *</w:t>
      </w:r>
    </w:p>
    <w:p>
      <w:pPr>
        <w:spacing w:after="0" w:line="207" w:lineRule="exact"/>
        <w:rPr>
          <w:sz w:val="20"/>
          <w:szCs w:val="20"/>
          <w:color w:val="auto"/>
        </w:rPr>
      </w:pPr>
    </w:p>
    <w:p>
      <w:pPr>
        <w:ind w:right="1999" w:firstLine="948"/>
        <w:spacing w:after="0" w:line="235" w:lineRule="auto"/>
        <w:rPr>
          <w:sz w:val="20"/>
          <w:szCs w:val="20"/>
          <w:color w:val="auto"/>
        </w:rPr>
      </w:pPr>
      <w:r>
        <w:rPr>
          <w:rFonts w:ascii="Courier New" w:cs="Courier New" w:eastAsia="Courier New" w:hAnsi="Courier New"/>
          <w:sz w:val="18"/>
          <w:szCs w:val="18"/>
          <w:color w:val="auto"/>
        </w:rPr>
        <w:t>The By-Laws of the Corporation are restated in their entirety to read as follows:</w:t>
      </w:r>
    </w:p>
    <w:p>
      <w:pPr>
        <w:spacing w:after="0" w:line="203"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ARTICLE 1</w:t>
      </w:r>
    </w:p>
    <w:p>
      <w:pPr>
        <w:jc w:val="center"/>
        <w:ind w:right="1659"/>
        <w:spacing w:after="0" w:line="238" w:lineRule="auto"/>
        <w:rPr>
          <w:sz w:val="20"/>
          <w:szCs w:val="20"/>
          <w:color w:val="auto"/>
        </w:rPr>
      </w:pPr>
      <w:r>
        <w:rPr>
          <w:rFonts w:ascii="Courier New" w:cs="Courier New" w:eastAsia="Courier New" w:hAnsi="Courier New"/>
          <w:sz w:val="18"/>
          <w:szCs w:val="18"/>
          <w:color w:val="auto"/>
        </w:rPr>
        <w:t>OFFICES</w:t>
      </w:r>
    </w:p>
    <w:p>
      <w:pPr>
        <w:spacing w:after="0" w:line="207" w:lineRule="exact"/>
        <w:rPr>
          <w:sz w:val="20"/>
          <w:szCs w:val="20"/>
          <w:color w:val="auto"/>
        </w:rPr>
      </w:pPr>
    </w:p>
    <w:p>
      <w:pPr>
        <w:ind w:right="2199" w:firstLine="948"/>
        <w:spacing w:after="0" w:line="237" w:lineRule="auto"/>
        <w:rPr>
          <w:sz w:val="20"/>
          <w:szCs w:val="20"/>
          <w:color w:val="auto"/>
        </w:rPr>
      </w:pPr>
      <w:r>
        <w:rPr>
          <w:rFonts w:ascii="Courier New" w:cs="Courier New" w:eastAsia="Courier New" w:hAnsi="Courier New"/>
          <w:sz w:val="18"/>
          <w:szCs w:val="18"/>
          <w:color w:val="auto"/>
        </w:rPr>
        <w:t>Section 1.01 . Registered Office. The registered office of the Corporation shall be located within the Commonwealth of Pennsylvania at such place as the Board of Directors (hereinafter referred to as the "Board of Directors" or the "Board") shall determine from time to time.</w:t>
      </w:r>
    </w:p>
    <w:p>
      <w:pPr>
        <w:spacing w:after="0" w:line="207"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Section 1.02 . Other Offices. The Corporation may also have offices at such other places, within or without the Commonwealth of Pennsylvania, as the Board of Directors may determine from time to time.</w:t>
      </w:r>
    </w:p>
    <w:p>
      <w:pPr>
        <w:spacing w:after="0" w:line="203"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2</w:t>
      </w:r>
    </w:p>
    <w:p>
      <w:pPr>
        <w:ind w:left="2960"/>
        <w:spacing w:after="0" w:line="238" w:lineRule="auto"/>
        <w:rPr>
          <w:sz w:val="20"/>
          <w:szCs w:val="20"/>
          <w:color w:val="auto"/>
        </w:rPr>
      </w:pPr>
      <w:r>
        <w:rPr>
          <w:rFonts w:ascii="Courier New" w:cs="Courier New" w:eastAsia="Courier New" w:hAnsi="Courier New"/>
          <w:sz w:val="18"/>
          <w:szCs w:val="18"/>
          <w:color w:val="auto"/>
        </w:rPr>
        <w:t>MEETINGS OF SHAREHOLDERS</w:t>
      </w:r>
    </w:p>
    <w:p>
      <w:pPr>
        <w:spacing w:after="0" w:line="207"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Section 2.01 . Place of Meetings of Shareholders. Meetings of shareholders may be held at such geographic locations, within or without the Commonwealth of Pennsylvania, as may be fixed from time to time by the Board of Directors. If no such geographic location is so fixed by the Board of Directors or the Board of Directors does not determine to hold a meeting by means of electronic technology (as provided in the next sentence) rather than at a geographic location, meetings of the shareholders shall be held at the executive office of the Corporation. If a meeting of the shareholders is held by means of the Internet or other electronic communications technology in a fashion pursuant to which the shareholders have the opportunity to read or hear the proceedings substantially concurrently with their occurrence, vote on matters submitted to the shareholders and pose questions to the Directors, the meeting need not by held at a particular geographic location.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Section 2.02 . Annual Meetings of Shareholders.</w:t>
      </w:r>
    </w:p>
    <w:p>
      <w:pPr>
        <w:spacing w:after="0" w:line="207" w:lineRule="exact"/>
        <w:rPr>
          <w:sz w:val="20"/>
          <w:szCs w:val="20"/>
          <w:color w:val="auto"/>
        </w:rPr>
      </w:pPr>
    </w:p>
    <w:p>
      <w:pPr>
        <w:ind w:right="1879" w:firstLine="956"/>
        <w:spacing w:after="0" w:line="271" w:lineRule="auto"/>
        <w:tabs>
          <w:tab w:leader="none" w:pos="1369"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Time. Subject to Article SIXTH of the Articles of Incorporation, a meeting of the shareholders of the Corporation shall be held in each calendar year, on such date and at such time as the Board of Directors may determine, or if the Board of Directors fails to set a date and time, on the second Thursday of June at 9:00 o'clock a.m., if not a holiday on which national banks are or may elect to be closed ("Holiday"), and if such day is a Holiday, then such meeting shall be held on the next business day at such time.</w:t>
      </w:r>
    </w:p>
    <w:p>
      <w:pPr>
        <w:spacing w:after="0" w:line="187" w:lineRule="exact"/>
        <w:rPr>
          <w:rFonts w:ascii="Courier New" w:cs="Courier New" w:eastAsia="Courier New" w:hAnsi="Courier New"/>
          <w:sz w:val="16"/>
          <w:szCs w:val="16"/>
          <w:color w:val="auto"/>
        </w:rPr>
      </w:pPr>
    </w:p>
    <w:p>
      <w:pPr>
        <w:ind w:right="1779" w:firstLine="956"/>
        <w:spacing w:after="0" w:line="275" w:lineRule="auto"/>
        <w:tabs>
          <w:tab w:leader="none" w:pos="1369"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Election of Directors. At each such annual meeting commencing with the annual meeting held in 2004, there shall be held an election of Directors to serve for the ensuing year and until their successors shall have been selected and qualified or until their earlier death, resignation or removal.</w:t>
      </w:r>
    </w:p>
    <w:p>
      <w:pPr>
        <w:spacing w:after="0" w:line="182"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Section 2.03 . Special Meetings of Shareholders. Special meetings of the shareholders may be called at any time by the Board of Directors. Special meetings of the shareholders may not be called by shareholders. Upon the written instruction of the Board of Directors, which instruction specifies the general nature of the business to be transacted at such meeting as well as the date, time and place of such meeting, it shall be the duty of the Secretary to give due notice thereof as required by Section 2.04 hereof.</w:t>
      </w:r>
    </w:p>
    <w:p>
      <w:pPr>
        <w:spacing w:after="0" w:line="211" w:lineRule="exact"/>
        <w:rPr>
          <w:sz w:val="20"/>
          <w:szCs w:val="20"/>
          <w:color w:val="auto"/>
        </w:rPr>
      </w:pPr>
    </w:p>
    <w:p>
      <w:pPr>
        <w:ind w:right="1999" w:firstLine="948"/>
        <w:spacing w:after="0" w:line="275" w:lineRule="auto"/>
        <w:rPr>
          <w:sz w:val="20"/>
          <w:szCs w:val="20"/>
          <w:color w:val="auto"/>
        </w:rPr>
      </w:pPr>
      <w:r>
        <w:rPr>
          <w:rFonts w:ascii="Courier New" w:cs="Courier New" w:eastAsia="Courier New" w:hAnsi="Courier New"/>
          <w:sz w:val="16"/>
          <w:szCs w:val="16"/>
          <w:color w:val="auto"/>
        </w:rPr>
        <w:t>Section 2.04 . Notices of Meetings of Shareholders. Written notice, complying with Article 6 of these By-Laws, of any meeting of the shareholders, shall be given to each shareholder of record entitled to vote at the meeting, other than those excepted by Section 1707 of the Pennsylvania Business</w:t>
      </w:r>
    </w:p>
    <w:p>
      <w:pPr>
        <w:sectPr>
          <w:pgSz w:w="11900" w:h="16838" w:orient="portrait"/>
          <w:cols w:equalWidth="0" w:num="1">
            <w:col w:w="10219"/>
          </w:cols>
          <w:pgMar w:left="240" w:top="541" w:right="1440" w:bottom="0" w:gutter="0" w:footer="0" w:header="0"/>
        </w:sectPr>
      </w:pPr>
    </w:p>
    <w:bookmarkStart w:id="65" w:name="page66"/>
    <w:bookmarkEnd w:id="65"/>
    <w:p>
      <w:pPr>
        <w:ind w:right="1779"/>
        <w:spacing w:after="0" w:line="237" w:lineRule="auto"/>
        <w:rPr>
          <w:sz w:val="20"/>
          <w:szCs w:val="20"/>
          <w:color w:val="auto"/>
        </w:rPr>
      </w:pPr>
      <w:r>
        <w:rPr>
          <w:rFonts w:ascii="Courier New" w:cs="Courier New" w:eastAsia="Courier New" w:hAnsi="Courier New"/>
          <w:sz w:val="18"/>
          <w:szCs w:val="18"/>
          <w:color w:val="auto"/>
        </w:rPr>
        <w:t>Corporation Law of 1988, as amended (the "Pennsylvania BCL"), at least twenty days prior to the day named for the meeting, except as provided in Section 6.07. Such notices may be given by, or at the direction of, the Secretary or other authorized person.</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Section 2.05 . Quorum of and Action by Shareholders.</w:t>
      </w:r>
    </w:p>
    <w:p>
      <w:pPr>
        <w:spacing w:after="0" w:line="207" w:lineRule="exact"/>
        <w:rPr>
          <w:sz w:val="20"/>
          <w:szCs w:val="20"/>
          <w:color w:val="auto"/>
        </w:rPr>
      </w:pPr>
    </w:p>
    <w:p>
      <w:pPr>
        <w:ind w:right="1879" w:firstLine="956"/>
        <w:spacing w:after="0" w:line="238" w:lineRule="auto"/>
        <w:tabs>
          <w:tab w:leader="none" w:pos="1369"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General Rule. A meeting of shareholders duly called shall not be organized for the transaction of business unless a quorum is present, in person or by proxy, as to at least one of the matters to be considered. Except as provided in subsections (c), (d) and (e) of this Section 2.05, the presence, in person or by proxy, of shareholders entitled to cast at least a majority of the votes that all shareholders are entitled to cast on a particular matter to be acted upon at the meeting shall constitute a quorum for the purpose of consideration of and action on the matter. To the extent that a quorum is present with respect to consideration of and action on a particular matter or matters but a quorum is not present as to another matter or matters, consideration of and action on the matter or matters for which a quorum is present may occur, and, after such consideration and action,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142" w:right="1440" w:bottom="1440" w:gutter="0" w:footer="0" w:header="0"/>
        </w:sectPr>
      </w:pPr>
    </w:p>
    <w:bookmarkStart w:id="66" w:name="page67"/>
    <w:bookmarkEnd w:id="66"/>
    <w:p>
      <w:pPr>
        <w:ind w:right="1879"/>
        <w:spacing w:after="0" w:line="235" w:lineRule="auto"/>
        <w:rPr>
          <w:sz w:val="20"/>
          <w:szCs w:val="20"/>
          <w:color w:val="auto"/>
        </w:rPr>
      </w:pPr>
      <w:r>
        <w:rPr>
          <w:rFonts w:ascii="Courier New" w:cs="Courier New" w:eastAsia="Courier New" w:hAnsi="Courier New"/>
          <w:sz w:val="18"/>
          <w:szCs w:val="18"/>
          <w:color w:val="auto"/>
        </w:rPr>
        <w:t>the meeting may be adjourned for purposes of the consideration of and action on the matter or matters for which a quorum is not present.</w:t>
      </w:r>
    </w:p>
    <w:p>
      <w:pPr>
        <w:spacing w:after="0" w:line="208" w:lineRule="exact"/>
        <w:rPr>
          <w:sz w:val="20"/>
          <w:szCs w:val="20"/>
          <w:color w:val="auto"/>
        </w:rPr>
      </w:pPr>
    </w:p>
    <w:p>
      <w:pPr>
        <w:ind w:right="1779" w:firstLine="956"/>
        <w:spacing w:after="0" w:line="271" w:lineRule="auto"/>
        <w:tabs>
          <w:tab w:leader="none" w:pos="1369"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Action by Shareholders. Except as otherwise specifically provided by law, all matters coming before a meeting of shareholders shall be determined by a vote of shares. Except as otherwise provided by a resolution adopted by the Board of Directors, by the Articles of Incorporation, by the Pennsylvania BCL or by these By-Laws, whenever any corporate action is to be taken by vote of the shareholders of the Corporation at a duly organized meeting of shareholders, it shall be authorized by a majority of the votes cast at the meeting by the holders of shares entitled to vote with respect to such matter; provided that in no event may the required shareholder vote be reduced below that provided above.</w:t>
      </w:r>
    </w:p>
    <w:p>
      <w:pPr>
        <w:spacing w:after="0" w:line="183" w:lineRule="exact"/>
        <w:rPr>
          <w:rFonts w:ascii="Courier New" w:cs="Courier New" w:eastAsia="Courier New" w:hAnsi="Courier New"/>
          <w:sz w:val="16"/>
          <w:szCs w:val="16"/>
          <w:color w:val="auto"/>
        </w:rPr>
      </w:pPr>
    </w:p>
    <w:p>
      <w:pPr>
        <w:ind w:right="2199" w:firstLine="956"/>
        <w:spacing w:after="0" w:line="279" w:lineRule="auto"/>
        <w:tabs>
          <w:tab w:leader="none" w:pos="1369"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Continuing Quorum. The shareholders present at a duly organized meeting can continue to do business until adjournment, notwithstanding the withdrawal of enough shareholders to leave less than a quorum.</w:t>
      </w:r>
    </w:p>
    <w:p>
      <w:pPr>
        <w:spacing w:after="0" w:line="178" w:lineRule="exact"/>
        <w:rPr>
          <w:rFonts w:ascii="Courier New" w:cs="Courier New" w:eastAsia="Courier New" w:hAnsi="Courier New"/>
          <w:sz w:val="16"/>
          <w:szCs w:val="16"/>
          <w:color w:val="auto"/>
        </w:rPr>
      </w:pPr>
    </w:p>
    <w:p>
      <w:pPr>
        <w:ind w:right="1879" w:firstLine="956"/>
        <w:spacing w:after="0" w:line="271" w:lineRule="auto"/>
        <w:tabs>
          <w:tab w:leader="none" w:pos="1369"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Election of Directors at Adjourned Meetings. Those shareholders entitled to vote who attend a meeting called for the election of Directors that has been previously adjourned for one or more periods aggregating at least 5 days for lack of a quorum (whether with respect to a particular matter or all matters to be considered and acted upon at such meeting), although less than a quorum as fixed in subsection (a), shall nevertheless constitute a quorum for the purpose of electing Directors at such reconvened meeting.</w:t>
      </w:r>
    </w:p>
    <w:p>
      <w:pPr>
        <w:spacing w:after="0" w:line="187" w:lineRule="exact"/>
        <w:rPr>
          <w:rFonts w:ascii="Courier New" w:cs="Courier New" w:eastAsia="Courier New" w:hAnsi="Courier New"/>
          <w:sz w:val="16"/>
          <w:szCs w:val="16"/>
          <w:color w:val="auto"/>
        </w:rPr>
      </w:pPr>
    </w:p>
    <w:p>
      <w:pPr>
        <w:ind w:right="1779" w:firstLine="956"/>
        <w:spacing w:after="0" w:line="271" w:lineRule="auto"/>
        <w:tabs>
          <w:tab w:leader="none" w:pos="1369"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Conduct of Other Business at Adjourned Meetings. Those shareholders entitled to vote who attend a meeting of shareholders that has been previously adjourned for one or more periods aggregating at least 15 days because of an absence of a quorum (whether with respect to a particular matter or all matters to be considered and acted upon at such meeting), although less than a quorum as fixed in subsection (a), shall nevertheless constitute a quorum for the purpose of acting upon any matter set forth in the notice of meeting if the notice states that those shareholders who attend the adjourned meeting shall nevertheless constitute a quorum for the purpose of acting upon the matter.</w:t>
      </w:r>
    </w:p>
    <w:p>
      <w:pPr>
        <w:spacing w:after="0" w:line="178"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Section 2.06 . Adjournments.</w:t>
      </w:r>
    </w:p>
    <w:p>
      <w:pPr>
        <w:spacing w:after="0" w:line="207" w:lineRule="exact"/>
        <w:rPr>
          <w:sz w:val="20"/>
          <w:szCs w:val="20"/>
          <w:color w:val="auto"/>
        </w:rPr>
      </w:pPr>
    </w:p>
    <w:p>
      <w:pPr>
        <w:ind w:right="1879" w:firstLine="956"/>
        <w:spacing w:after="0" w:line="279" w:lineRule="auto"/>
        <w:tabs>
          <w:tab w:leader="none" w:pos="1369"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General Rule. Adjournments of any regular or special meeting of shareholders, including one at which Directors are to be elected, may be taken for such periods as the shareholders present and entitled to vote shall direct.</w:t>
      </w:r>
    </w:p>
    <w:p>
      <w:pPr>
        <w:spacing w:after="0" w:line="178" w:lineRule="exact"/>
        <w:rPr>
          <w:rFonts w:ascii="Courier New" w:cs="Courier New" w:eastAsia="Courier New" w:hAnsi="Courier New"/>
          <w:sz w:val="16"/>
          <w:szCs w:val="16"/>
          <w:color w:val="auto"/>
        </w:rPr>
      </w:pPr>
    </w:p>
    <w:p>
      <w:pPr>
        <w:ind w:right="1779" w:firstLine="956"/>
        <w:spacing w:after="0" w:line="237" w:lineRule="auto"/>
        <w:tabs>
          <w:tab w:leader="none" w:pos="1369"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Lack of Quorum. Without limiting the generality of Section 2.06(c), if a meeting cannot be organized because a quorum has not attended, those present may, except as otherwise provided in the Pennsylvania BCL, adjourn the meeting to such time and place as they may determine. To the extent, as set forth in Section 2.05(a), that a quorum was not present with respect to consideration of and action on a particular matter at a duly called and organized meeting,</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1128" w:right="1440" w:bottom="1440" w:gutter="0" w:footer="0" w:header="0"/>
        </w:sectPr>
      </w:pPr>
    </w:p>
    <w:bookmarkStart w:id="67" w:name="page68"/>
    <w:bookmarkEnd w:id="67"/>
    <w:p>
      <w:pPr>
        <w:ind w:right="1879"/>
        <w:spacing w:after="0" w:line="237" w:lineRule="auto"/>
        <w:rPr>
          <w:sz w:val="20"/>
          <w:szCs w:val="20"/>
          <w:color w:val="auto"/>
        </w:rPr>
      </w:pPr>
      <w:r>
        <w:rPr>
          <w:rFonts w:ascii="Courier New" w:cs="Courier New" w:eastAsia="Courier New" w:hAnsi="Courier New"/>
          <w:sz w:val="18"/>
          <w:szCs w:val="18"/>
          <w:color w:val="auto"/>
        </w:rPr>
        <w:t>consideration of and action on such matter may be adjourned to such date, time and place as those present may determine, and the balance of the matters to be considered at such meeting for which a quorum was present may be considered and acted upon at the initial meeting.</w:t>
      </w:r>
    </w:p>
    <w:p>
      <w:pPr>
        <w:spacing w:after="0" w:line="207" w:lineRule="exact"/>
        <w:rPr>
          <w:sz w:val="20"/>
          <w:szCs w:val="20"/>
          <w:color w:val="auto"/>
        </w:rPr>
      </w:pPr>
    </w:p>
    <w:p>
      <w:pPr>
        <w:ind w:right="1779" w:firstLine="956"/>
        <w:spacing w:after="0" w:line="237" w:lineRule="auto"/>
        <w:tabs>
          <w:tab w:leader="none" w:pos="1369" w:val="left"/>
        </w:tabs>
        <w:numPr>
          <w:ilvl w:val="0"/>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Notice of an Adjourned Meeting. When a meeting of shareholders is adjourned, it shall not be necessary to give any notice of the adjourned meeting or of the business to be transacted at an adjourned meeting, other than by announcement at the meeting at which the adjournment is taken, unless the Board fixes a new record date for the adjourned meeting or the Pennsylvania BCL requires notice of the business to be transacted and such notice has not been previously given.</w:t>
      </w:r>
    </w:p>
    <w:p>
      <w:pPr>
        <w:spacing w:after="0" w:line="205"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Section 2.07 . Voting List, Voting and Proxies.</w:t>
      </w:r>
    </w:p>
    <w:p>
      <w:pPr>
        <w:spacing w:after="0" w:line="207" w:lineRule="exact"/>
        <w:rPr>
          <w:sz w:val="20"/>
          <w:szCs w:val="20"/>
          <w:color w:val="auto"/>
        </w:rPr>
      </w:pPr>
    </w:p>
    <w:p>
      <w:pPr>
        <w:ind w:right="1779" w:firstLine="956"/>
        <w:spacing w:after="0" w:line="237" w:lineRule="auto"/>
        <w:tabs>
          <w:tab w:leader="none" w:pos="1369" w:val="left"/>
        </w:tabs>
        <w:numPr>
          <w:ilvl w:val="0"/>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Voting List. The officer or agent having charge of the transfer books for shares of the Corporation shall make a complete list of the shareholders entitled to vote at any meeting of shareholders, arranged in alphabetical order, with the address of and the number of shares held by each. The list shall be produced and kept open at the date, time and place of the meeting and shall be subject to the inspection of any shareholder during the whole time of the meeting for the purposes thereof except that, if the Corporation has 5,000 or more shareholders, in lieu of the making of the list the Corporation may make the information therein available at the meeting by any other means.</w:t>
      </w:r>
    </w:p>
    <w:p>
      <w:pPr>
        <w:spacing w:after="0" w:line="214" w:lineRule="exact"/>
        <w:rPr>
          <w:rFonts w:ascii="Courier New" w:cs="Courier New" w:eastAsia="Courier New" w:hAnsi="Courier New"/>
          <w:sz w:val="18"/>
          <w:szCs w:val="18"/>
          <w:color w:val="auto"/>
        </w:rPr>
      </w:pPr>
    </w:p>
    <w:p>
      <w:pPr>
        <w:ind w:right="1879" w:firstLine="956"/>
        <w:spacing w:after="0" w:line="271" w:lineRule="auto"/>
        <w:tabs>
          <w:tab w:leader="none" w:pos="1369"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Method of Voting. At the discretion of the presiding officer of a meeting of shareholders, (i) in elections for directors voting need not be by ballot but may be taken by voice, show of hands or such other method determined by the presiding officer unless it is required by vote of the shareholders, before the vote begins, that the vote be taken by ballot and (ii) with respect to any other action to be taken by vote at the meeting, as set forth in Section 2.05(b), voting need not be by ballot but may be taken by voice, show of hands or such other method determined by the presiding officer to the fullest extent permitted by applicable law (including the Pennsylvania BCL).</w:t>
      </w:r>
    </w:p>
    <w:p>
      <w:pPr>
        <w:spacing w:after="0" w:line="183" w:lineRule="exact"/>
        <w:rPr>
          <w:rFonts w:ascii="Courier New" w:cs="Courier New" w:eastAsia="Courier New" w:hAnsi="Courier New"/>
          <w:sz w:val="16"/>
          <w:szCs w:val="16"/>
          <w:color w:val="auto"/>
        </w:rPr>
      </w:pPr>
    </w:p>
    <w:p>
      <w:pPr>
        <w:ind w:right="1879" w:firstLine="956"/>
        <w:spacing w:after="0" w:line="238" w:lineRule="auto"/>
        <w:tabs>
          <w:tab w:leader="none" w:pos="1369" w:val="left"/>
        </w:tabs>
        <w:numPr>
          <w:ilvl w:val="0"/>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Proxies. At all meetings of shareholders, shareholders entitled to vote may attend and vote either in person or by proxy. Every proxy shall be executed or authenticated by the shareholder or by such shareholder's duly authorized attorney-in-fact and shall be filed with, or transmitted to, the Secretary of the Corporation or its designated agent. A shareholder or such shareholder's duly authorized attorney-in-fact may execute or authenticate in writing or transmit an electronic message authorizing another person to act for such shareholder by proxy. A proxy, unless coupled with an interest (as defined in Section 1759(d) of the Pennsylvania BCL), shall be revocable at will, notwithstanding any other agreement or any provision in the proxy to the contrary, but the revocation of a proxy shall not be effective until notice thereof has been given to the Secretary of the Corporation or its designated agent in writing or by electronic transmission.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1128" w:right="1440" w:bottom="1440" w:gutter="0" w:footer="0" w:header="0"/>
        </w:sectPr>
      </w:pPr>
    </w:p>
    <w:bookmarkStart w:id="68" w:name="page69"/>
    <w:bookmarkEnd w:id="68"/>
    <w:p>
      <w:pPr>
        <w:ind w:right="1879"/>
        <w:spacing w:after="0" w:line="237" w:lineRule="auto"/>
        <w:rPr>
          <w:sz w:val="20"/>
          <w:szCs w:val="20"/>
          <w:color w:val="auto"/>
        </w:rPr>
      </w:pPr>
      <w:r>
        <w:rPr>
          <w:rFonts w:ascii="Courier New" w:cs="Courier New" w:eastAsia="Courier New" w:hAnsi="Courier New"/>
          <w:sz w:val="18"/>
          <w:szCs w:val="18"/>
          <w:color w:val="auto"/>
        </w:rPr>
        <w:t>An unrevoked proxy shall not be valid after three years from the date of its execution unless a longer time is expressly provided therein. A proxy shall not be revoked by the death or incapacity of the maker unless, before the vote is counted or the authority is exercised, notice of the death or incapacity is given to the Secretary of the Corporation or its designated agent in writing or by electronic transmission.</w:t>
      </w:r>
    </w:p>
    <w:p>
      <w:pPr>
        <w:spacing w:after="0" w:line="210" w:lineRule="exact"/>
        <w:rPr>
          <w:sz w:val="20"/>
          <w:szCs w:val="20"/>
          <w:color w:val="auto"/>
        </w:rPr>
      </w:pPr>
    </w:p>
    <w:p>
      <w:pPr>
        <w:ind w:right="1779" w:firstLine="956"/>
        <w:spacing w:after="0" w:line="238" w:lineRule="auto"/>
        <w:tabs>
          <w:tab w:leader="none" w:pos="1369" w:val="left"/>
        </w:tabs>
        <w:numPr>
          <w:ilvl w:val="0"/>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Judges of Election. In advance of any meeting of shareholders of the Corporation, the Board of Directors may appoint one or three Judges of Election, who need not be shareholders and who will have such duties as provided in Section 1765(a)(3) of the Pennsylvania BCL, to act at the meeting or any adjournment thereof. If one or three Judges of Election are not so appointed, the presiding officer of the meeting may, and on the request of any shareholder shall, appoint one or three Judges of Election at the meeting. In case any person appointed as a Judge of Election fails to appear or refuses to act, the vacancy may be filled by appointment made by the Board of Directors in advance of the convening of the meeting or at the meeting by the presiding officer. A person who is a candidate for office to be filled at the meeting shall not act as a Judge of Election. Unless the Pennsylvania BCL permits otherwise, this Section 2.07(d) may be modified only by a By-Law amendment adopted by the shareholders.</w:t>
      </w:r>
    </w:p>
    <w:p>
      <w:pPr>
        <w:spacing w:after="0" w:line="207" w:lineRule="exact"/>
        <w:rPr>
          <w:rFonts w:ascii="Courier New" w:cs="Courier New" w:eastAsia="Courier New" w:hAnsi="Courier New"/>
          <w:sz w:val="18"/>
          <w:szCs w:val="18"/>
          <w:color w:val="auto"/>
        </w:rPr>
      </w:pPr>
    </w:p>
    <w:p>
      <w:pPr>
        <w:ind w:right="2099" w:firstLine="956"/>
        <w:spacing w:after="0" w:line="236" w:lineRule="auto"/>
        <w:tabs>
          <w:tab w:leader="none" w:pos="1369" w:val="left"/>
        </w:tabs>
        <w:numPr>
          <w:ilvl w:val="0"/>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Action by Written Consent in Lieu of a Meeting. Subject to Article NINTH of the Articles of Incorporation, the shareholders shall not be permitted to act by written consent in lieu of a meeting.</w:t>
      </w:r>
    </w:p>
    <w:p>
      <w:pPr>
        <w:spacing w:after="0" w:line="20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Section 2.08 . Participation in Meetings by Electronic Means. The Board of Directors may permit, by resolution with respect to a particular meeting of the shareholders, or the presiding officer of such meeting may permit, one or more persons to participate in that meeting, count for the purposes of determining a quorum and exercise all rights and privileges to which such person might be entitled were such person personally in attendance, including the right to vote, by means of conference telephone or other electronic means, including, without limitation, the Internet. Unless the Board of Directors so permits by resolution, or the presiding officer of such meeting so permits, no person may participate in a meeting of the shareholders by means of conference telephone or other electronic means.</w:t>
      </w:r>
    </w:p>
    <w:p>
      <w:pPr>
        <w:spacing w:after="0" w:line="216" w:lineRule="exact"/>
        <w:rPr>
          <w:sz w:val="20"/>
          <w:szCs w:val="20"/>
          <w:color w:val="auto"/>
        </w:rPr>
      </w:pPr>
    </w:p>
    <w:p>
      <w:pPr>
        <w:ind w:right="1779" w:firstLine="948"/>
        <w:spacing w:after="0" w:line="268" w:lineRule="auto"/>
        <w:rPr>
          <w:sz w:val="20"/>
          <w:szCs w:val="20"/>
          <w:color w:val="auto"/>
        </w:rPr>
      </w:pPr>
      <w:r>
        <w:rPr>
          <w:rFonts w:ascii="Courier New" w:cs="Courier New" w:eastAsia="Courier New" w:hAnsi="Courier New"/>
          <w:sz w:val="16"/>
          <w:szCs w:val="16"/>
          <w:color w:val="auto"/>
        </w:rPr>
        <w:t>Section 2.09 . Business at Meetings of Shareholders. Except as otherwise provided by law (including but not limited to Rule 14a-8 promulgated under the Securities and Exchange Act of 1934, as amended, or any successor provision thereto) or in these By-Laws, the business which shall be conducted at any meeting of the shareholders shall (a) have been specified in the written notice of the meeting (or any supplement thereto) given by the Corporation, or</w:t>
      </w:r>
    </w:p>
    <w:p>
      <w:pPr>
        <w:spacing w:after="0" w:line="1" w:lineRule="exact"/>
        <w:rPr>
          <w:sz w:val="20"/>
          <w:szCs w:val="20"/>
          <w:color w:val="auto"/>
        </w:rPr>
      </w:pPr>
    </w:p>
    <w:p>
      <w:pPr>
        <w:ind w:left="420" w:hanging="412"/>
        <w:spacing w:after="0"/>
        <w:tabs>
          <w:tab w:leader="none" w:pos="420"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be brought before the meeting at the direction of the Board of Directors, or</w:t>
      </w:r>
    </w:p>
    <w:p>
      <w:pPr>
        <w:spacing w:after="0" w:line="21" w:lineRule="exact"/>
        <w:rPr>
          <w:rFonts w:ascii="Courier New" w:cs="Courier New" w:eastAsia="Courier New" w:hAnsi="Courier New"/>
          <w:sz w:val="16"/>
          <w:szCs w:val="16"/>
          <w:color w:val="auto"/>
        </w:rPr>
      </w:pPr>
    </w:p>
    <w:p>
      <w:pPr>
        <w:ind w:right="1779" w:firstLine="8"/>
        <w:spacing w:after="0" w:line="237" w:lineRule="auto"/>
        <w:tabs>
          <w:tab w:leader="none" w:pos="421" w:val="left"/>
        </w:tabs>
        <w:numPr>
          <w:ilvl w:val="0"/>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 brought before the meeting by the presiding officer of the meeting unless a majority of the Directors then in office object to such business being conducted at the meeting, or (d) in the case of any matters intended to be brought by a</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1128" w:right="1440" w:bottom="1440" w:gutter="0" w:footer="0" w:header="0"/>
        </w:sectPr>
      </w:pPr>
    </w:p>
    <w:bookmarkStart w:id="69" w:name="page70"/>
    <w:bookmarkEnd w:id="69"/>
    <w:p>
      <w:pPr>
        <w:ind w:right="1779"/>
        <w:spacing w:after="0" w:line="237" w:lineRule="auto"/>
        <w:rPr>
          <w:sz w:val="20"/>
          <w:szCs w:val="20"/>
          <w:color w:val="auto"/>
        </w:rPr>
      </w:pPr>
      <w:r>
        <w:rPr>
          <w:rFonts w:ascii="Courier New" w:cs="Courier New" w:eastAsia="Courier New" w:hAnsi="Courier New"/>
          <w:sz w:val="18"/>
          <w:szCs w:val="18"/>
          <w:color w:val="auto"/>
        </w:rPr>
        <w:t>shareholder before an annual meeting of shareholders for specific action at such meeting, have been specified in a written notice given to the Secretary of the Corporation, by or on behalf of any shareholder who shall have been a shareholder of record on the record date for such meeting and who shall continue to be entitled to vote thereat (the "Shareholder Notice"), in accordance with all of the following requirements:</w:t>
      </w:r>
    </w:p>
    <w:p>
      <w:pPr>
        <w:spacing w:after="0" w:line="210" w:lineRule="exact"/>
        <w:rPr>
          <w:sz w:val="20"/>
          <w:szCs w:val="20"/>
          <w:color w:val="auto"/>
        </w:rPr>
      </w:pPr>
    </w:p>
    <w:p>
      <w:pPr>
        <w:ind w:left="960" w:right="1779" w:firstLine="944"/>
        <w:spacing w:after="0" w:line="238" w:lineRule="auto"/>
        <w:tabs>
          <w:tab w:leader="none" w:pos="2329" w:val="left"/>
        </w:tabs>
        <w:numPr>
          <w:ilvl w:val="0"/>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Shareholder Notice must be delivered to, or mailed and received at, the principal executive offices of the Corporation (A) in the case of an annual meeting that is called for a date that is within 30 days before or after the anniversary date of the immediately preceding annual meeting of shareholders, not less than 60 days nor more than 90 days prior to such anniversary date, and (B) in the case of an annual meeting that is called for a date that is not within 30 days before or after the anniversary date of the immediately preceding annual meeting, not later than the close of business on the tenth day following the day on which notice of the date of the meeting was mailed or public disclosure of the date of the meeting was made, whichever occurs first; and</w:t>
      </w:r>
    </w:p>
    <w:p>
      <w:pPr>
        <w:spacing w:after="0" w:line="207" w:lineRule="exact"/>
        <w:rPr>
          <w:rFonts w:ascii="Courier New" w:cs="Courier New" w:eastAsia="Courier New" w:hAnsi="Courier New"/>
          <w:sz w:val="18"/>
          <w:szCs w:val="18"/>
          <w:color w:val="auto"/>
        </w:rPr>
      </w:pPr>
    </w:p>
    <w:p>
      <w:pPr>
        <w:ind w:left="960" w:right="1779" w:firstLine="944"/>
        <w:spacing w:after="0" w:line="238" w:lineRule="auto"/>
        <w:tabs>
          <w:tab w:leader="none" w:pos="2435" w:val="left"/>
        </w:tabs>
        <w:numPr>
          <w:ilvl w:val="0"/>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such Shareholder Notice must set forth: (A) the name and address of the shareholder who intends to bring the business before the meeting; (B) the general nature of the business which such shareholder seeks to bring before the meeting and the text of the resolution or resolutions which the proposing shareholder proposes that the shareholders adopt; and (C) a representation that the shareholder is a holder of record of the stock of the Corporation entitled to vote at such meeting and intends to appear in person or by proxy at the meeting to bring the business specified in the notice before the meeting. The presiding officer of the meeting may, in his or her sole discretion, refuse to acknowledge any business proposed by a shareholder not made in compliance with the foregoing procedure.</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Section 2.10 . Conduct Of Meetings Of Shareholders.</w:t>
      </w:r>
    </w:p>
    <w:p>
      <w:pPr>
        <w:spacing w:after="0" w:line="207" w:lineRule="exact"/>
        <w:rPr>
          <w:sz w:val="20"/>
          <w:szCs w:val="20"/>
          <w:color w:val="auto"/>
        </w:rPr>
      </w:pPr>
    </w:p>
    <w:p>
      <w:pPr>
        <w:ind w:right="1879" w:firstLine="956"/>
        <w:spacing w:after="0" w:line="237" w:lineRule="auto"/>
        <w:tabs>
          <w:tab w:leader="none" w:pos="1369" w:val="left"/>
        </w:tabs>
        <w:numPr>
          <w:ilvl w:val="0"/>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Presiding Officer. There shall be a presiding officer at every meeting of the shareholders. Subject to Article SIXTH of the Articles of Incorporation, the presiding officer shall be appointed by the Board of Directors or in the manner authorized by the Board of Directors; provided that if a presiding officer is not designated by the Board of Directors or in the manner authorized by the Board of Directors, the Chairman of the Board shall be the presiding officer.</w:t>
      </w:r>
    </w:p>
    <w:p>
      <w:pPr>
        <w:spacing w:after="0" w:line="211" w:lineRule="exact"/>
        <w:rPr>
          <w:rFonts w:ascii="Courier New" w:cs="Courier New" w:eastAsia="Courier New" w:hAnsi="Courier New"/>
          <w:sz w:val="18"/>
          <w:szCs w:val="18"/>
          <w:color w:val="auto"/>
        </w:rPr>
      </w:pPr>
    </w:p>
    <w:p>
      <w:pPr>
        <w:ind w:right="1999" w:firstLine="956"/>
        <w:spacing w:after="0" w:line="237" w:lineRule="auto"/>
        <w:tabs>
          <w:tab w:leader="none" w:pos="1369" w:val="left"/>
        </w:tabs>
        <w:numPr>
          <w:ilvl w:val="0"/>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Authority of Presiding Officer. Except as prescribed by the Board of Directors, the presiding officer shall determine the order of business and shall have the authority to establish rules for the conduct of the meeting of the shareholders.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1128" w:right="1440" w:bottom="1440" w:gutter="0" w:footer="0" w:header="0"/>
        </w:sectPr>
      </w:pPr>
    </w:p>
    <w:bookmarkStart w:id="70" w:name="page71"/>
    <w:bookmarkEnd w:id="70"/>
    <w:p>
      <w:pPr>
        <w:ind w:right="2099" w:firstLine="956"/>
        <w:spacing w:after="0" w:line="275" w:lineRule="auto"/>
        <w:tabs>
          <w:tab w:leader="none" w:pos="1369"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Procedural Standard. Any action by the presiding officer in adopting rules for, and in conducting, a meeting of the shareholders shall be fair to the shareholders. The conduct of the meeting need not follow Robert's Rules of Order or any other published rules for the conduct of a meeting.</w:t>
      </w:r>
    </w:p>
    <w:p>
      <w:pPr>
        <w:spacing w:after="0" w:line="182" w:lineRule="exact"/>
        <w:rPr>
          <w:rFonts w:ascii="Courier New" w:cs="Courier New" w:eastAsia="Courier New" w:hAnsi="Courier New"/>
          <w:sz w:val="16"/>
          <w:szCs w:val="16"/>
          <w:color w:val="auto"/>
        </w:rPr>
      </w:pPr>
    </w:p>
    <w:p>
      <w:pPr>
        <w:ind w:right="1779" w:firstLine="956"/>
        <w:spacing w:after="0" w:line="237" w:lineRule="auto"/>
        <w:tabs>
          <w:tab w:leader="none" w:pos="1369" w:val="left"/>
        </w:tabs>
        <w:numPr>
          <w:ilvl w:val="0"/>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Closing of the Polls. The presiding officer shall announce at the meeting of the shareholders when the polls close for each matter voted upon. If no announcement is made, the polls shall be deemed to have closed upon the final adjournment of the meeting. After the polls close, no ballots, proxies or votes, nor any revocations or changes thereto, may be accepted.</w:t>
      </w:r>
    </w:p>
    <w:p>
      <w:pPr>
        <w:spacing w:after="0" w:line="203"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3</w:t>
      </w:r>
    </w:p>
    <w:p>
      <w:pPr>
        <w:ind w:left="3280"/>
        <w:spacing w:after="0" w:line="238" w:lineRule="auto"/>
        <w:rPr>
          <w:sz w:val="20"/>
          <w:szCs w:val="20"/>
          <w:color w:val="auto"/>
        </w:rPr>
      </w:pPr>
      <w:r>
        <w:rPr>
          <w:rFonts w:ascii="Courier New" w:cs="Courier New" w:eastAsia="Courier New" w:hAnsi="Courier New"/>
          <w:sz w:val="18"/>
          <w:szCs w:val="18"/>
          <w:color w:val="auto"/>
        </w:rPr>
        <w:t>BOARD OF DIRECTORS</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Section 3.01 . Board of Directors.</w:t>
      </w:r>
    </w:p>
    <w:p>
      <w:pPr>
        <w:spacing w:after="0" w:line="207" w:lineRule="exact"/>
        <w:rPr>
          <w:sz w:val="20"/>
          <w:szCs w:val="20"/>
          <w:color w:val="auto"/>
        </w:rPr>
      </w:pPr>
    </w:p>
    <w:p>
      <w:pPr>
        <w:ind w:right="1999" w:firstLine="956"/>
        <w:spacing w:after="0" w:line="272" w:lineRule="auto"/>
        <w:tabs>
          <w:tab w:leader="none" w:pos="1369"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General Powers. Except as otherwise provided by law, the Articles of Incorporation or these By-Laws, all powers of the Corporation shall be exercised by or under the authority of, and the business and affairs of the Corporation shall be managed under the direction of, the Board of Directors. Unless the Pennsylvania BCL permits otherwise, this Section 3.01(a) may be modified only by a By-Law amendment adopted by the shareholders.</w:t>
      </w:r>
    </w:p>
    <w:p>
      <w:pPr>
        <w:spacing w:after="0" w:line="185" w:lineRule="exact"/>
        <w:rPr>
          <w:rFonts w:ascii="Courier New" w:cs="Courier New" w:eastAsia="Courier New" w:hAnsi="Courier New"/>
          <w:sz w:val="16"/>
          <w:szCs w:val="16"/>
          <w:color w:val="auto"/>
        </w:rPr>
      </w:pPr>
    </w:p>
    <w:p>
      <w:pPr>
        <w:ind w:right="1879" w:firstLine="956"/>
        <w:spacing w:after="0" w:line="236" w:lineRule="auto"/>
        <w:tabs>
          <w:tab w:leader="none" w:pos="1369" w:val="left"/>
        </w:tabs>
        <w:numPr>
          <w:ilvl w:val="0"/>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Subject to Article SIXTH of the Articles of Incorporation, the number of Directors shall be as determined by the Board of Directors from time to time.</w:t>
      </w:r>
    </w:p>
    <w:p>
      <w:pPr>
        <w:spacing w:after="0" w:line="208" w:lineRule="exact"/>
        <w:rPr>
          <w:rFonts w:ascii="Courier New" w:cs="Courier New" w:eastAsia="Courier New" w:hAnsi="Courier New"/>
          <w:sz w:val="18"/>
          <w:szCs w:val="18"/>
          <w:color w:val="auto"/>
        </w:rPr>
      </w:pPr>
    </w:p>
    <w:p>
      <w:pPr>
        <w:ind w:right="1879" w:firstLine="956"/>
        <w:spacing w:after="0" w:line="237" w:lineRule="auto"/>
        <w:tabs>
          <w:tab w:leader="none" w:pos="1369" w:val="left"/>
        </w:tabs>
        <w:numPr>
          <w:ilvl w:val="0"/>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Vacancies. Each Director shall hold office until the expiration of the term for which such person was selected and until such person's successor has been selected and qualified or until such person's earlier death, resignation or removal. Subject to Article SIXTH of the Articles of Incorporation, any vacancies on the Board of Directors, including vacancies resulting from an increase in the number of Directors, may be filled by a majority vote of the remaining members of the Board of Directors, though less than a quorum, or by a sole remaining Director, or, if there are no remaining Directors, by the shareholders, and each person so selected shall be a Director to serve for the balance of the unexpired term.</w:t>
      </w:r>
    </w:p>
    <w:p>
      <w:pPr>
        <w:spacing w:after="0" w:line="214" w:lineRule="exact"/>
        <w:rPr>
          <w:rFonts w:ascii="Courier New" w:cs="Courier New" w:eastAsia="Courier New" w:hAnsi="Courier New"/>
          <w:sz w:val="18"/>
          <w:szCs w:val="18"/>
          <w:color w:val="auto"/>
        </w:rPr>
      </w:pPr>
    </w:p>
    <w:p>
      <w:pPr>
        <w:ind w:right="1999" w:firstLine="956"/>
        <w:spacing w:after="0" w:line="236" w:lineRule="auto"/>
        <w:tabs>
          <w:tab w:leader="none" w:pos="1369" w:val="left"/>
        </w:tabs>
        <w:numPr>
          <w:ilvl w:val="0"/>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Removal. The entire Board of Directors or any individual Director may be removed from office only for cause by the vote of the shareholders entitled to elect directors.</w:t>
      </w:r>
    </w:p>
    <w:p>
      <w:pPr>
        <w:spacing w:after="0" w:line="203" w:lineRule="exact"/>
        <w:rPr>
          <w:rFonts w:ascii="Courier New" w:cs="Courier New" w:eastAsia="Courier New" w:hAnsi="Courier New"/>
          <w:sz w:val="18"/>
          <w:szCs w:val="18"/>
          <w:color w:val="auto"/>
        </w:rPr>
      </w:pPr>
    </w:p>
    <w:p>
      <w:pPr>
        <w:ind w:left="1380" w:hanging="424"/>
        <w:spacing w:after="0"/>
        <w:tabs>
          <w:tab w:leader="none" w:pos="1380" w:val="left"/>
        </w:tabs>
        <w:numPr>
          <w:ilvl w:val="0"/>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Qualification. A Director must be a natural person at least 18</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years of age.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1330" w:right="1440" w:bottom="1440" w:gutter="0" w:footer="0" w:header="0"/>
        </w:sectPr>
      </w:pPr>
    </w:p>
    <w:bookmarkStart w:id="71" w:name="page72"/>
    <w:bookmarkEnd w:id="71"/>
    <w:p>
      <w:pPr>
        <w:spacing w:after="0" w:line="93"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Section 3.02 . Place of Meetings. Meetings of the Board of Directors may be held at such place within or without the Commonwealth of Pennsylvania as the Board of Directors may appoint from time to time or as may be designated in the notice of the meeting.</w:t>
      </w:r>
    </w:p>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Section 3.03 . Regular Meetings. A regular meeting of the Board of Directors shall be held immediately following each annual meeting of the shareholders, at the place where such meeting of the shareholders is held or at such other place and time after the annual meeting of shareholders as the Board of Directors may designate. Subject to Article SIXTH of the Articles of Incorporation, at such meeting, the Board of Directors shall elect officers of the Corporation. In addition to such regular meeting, the Board of Directors shall have the power to fix by resolution the place, date and time of other regular meetings of the Board of Directors.</w:t>
      </w:r>
    </w:p>
    <w:p>
      <w:pPr>
        <w:spacing w:after="0" w:line="214"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Section 3.04 . Special Meetings. Special meetings of the Board of Directors shall be held whenever ordered by the Chairman of the Board, the Chief Executive Officer, by the Board of Directors or by any officer of the Corporation authorized by Article SIXTH of the Articles of Incorporation to call special meetings of the Board of Directors for so long as such officer is also a Director of the Corporation.</w:t>
      </w:r>
    </w:p>
    <w:p>
      <w:pPr>
        <w:spacing w:after="0" w:line="210"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Section 3.05 . Participation in Meetings by Electronic Means. Any Director may participate in any meeting of the Board of Directors or of any committee (provided such Director is otherwise entitled to participate), be counted for the purpose of determining a quorum thereof and exercise all rights and privileges to which such Director might be entitled were such Director personally in attendance, including the right to vote, or any other rights attendant to presence in person at such meeting, by means of conference telephone or other electronic technology by means of which all persons participating in the meeting can hear each other.</w:t>
      </w:r>
    </w:p>
    <w:p>
      <w:pPr>
        <w:spacing w:after="0" w:line="208"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Section 3.06 . Notices of Meetings of Board of Directors.</w:t>
      </w:r>
    </w:p>
    <w:p>
      <w:pPr>
        <w:spacing w:after="0" w:line="207" w:lineRule="exact"/>
        <w:rPr>
          <w:sz w:val="20"/>
          <w:szCs w:val="20"/>
          <w:color w:val="auto"/>
        </w:rPr>
      </w:pPr>
    </w:p>
    <w:p>
      <w:pPr>
        <w:ind w:right="1779" w:firstLine="956"/>
        <w:spacing w:after="0" w:line="237" w:lineRule="auto"/>
        <w:tabs>
          <w:tab w:leader="none" w:pos="1369" w:val="left"/>
        </w:tabs>
        <w:numPr>
          <w:ilvl w:val="0"/>
          <w:numId w:val="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Regular Meetings. No notice shall be required to be given of any regular meeting, unless the same is held at other than the place, date or time for holding such meeting as fixed in accordance with Section 3.03 of these By-Laws, in which event 48 hours' notice shall be given of the place and time of such meeting complying with Article 6 of these By-Laws.</w:t>
      </w:r>
    </w:p>
    <w:p>
      <w:pPr>
        <w:spacing w:after="0" w:line="208" w:lineRule="exact"/>
        <w:rPr>
          <w:rFonts w:ascii="Courier New" w:cs="Courier New" w:eastAsia="Courier New" w:hAnsi="Courier New"/>
          <w:sz w:val="18"/>
          <w:szCs w:val="18"/>
          <w:color w:val="auto"/>
        </w:rPr>
      </w:pPr>
    </w:p>
    <w:p>
      <w:pPr>
        <w:ind w:right="1779" w:firstLine="956"/>
        <w:spacing w:after="0" w:line="237" w:lineRule="auto"/>
        <w:tabs>
          <w:tab w:leader="none" w:pos="1369" w:val="left"/>
        </w:tabs>
        <w:numPr>
          <w:ilvl w:val="0"/>
          <w:numId w:val="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Special Meetings. Written notice stating the place, date and time of any special meeting of the Board of Directors shall be sufficient if given at least 48 hours, as provided in Article 6, in advance of the date and time fixed for the meeting.</w:t>
      </w:r>
    </w:p>
    <w:p>
      <w:pPr>
        <w:spacing w:after="0" w:line="207" w:lineRule="exact"/>
        <w:rPr>
          <w:sz w:val="20"/>
          <w:szCs w:val="20"/>
          <w:color w:val="auto"/>
        </w:rPr>
      </w:pPr>
    </w:p>
    <w:p>
      <w:pPr>
        <w:ind w:right="1879" w:firstLine="948"/>
        <w:spacing w:after="0" w:line="235" w:lineRule="auto"/>
        <w:rPr>
          <w:sz w:val="20"/>
          <w:szCs w:val="20"/>
          <w:color w:val="auto"/>
        </w:rPr>
      </w:pPr>
      <w:r>
        <w:rPr>
          <w:rFonts w:ascii="Courier New" w:cs="Courier New" w:eastAsia="Courier New" w:hAnsi="Courier New"/>
          <w:sz w:val="18"/>
          <w:szCs w:val="18"/>
          <w:color w:val="auto"/>
        </w:rPr>
        <w:t>Section 3.07 . Quorum; Action by the Board of Directors. A majority of the Directors in office shall be necessary to constitute a quorum for the</w:t>
      </w:r>
    </w:p>
    <w:p>
      <w:pPr>
        <w:spacing w:after="0" w:line="200" w:lineRule="exact"/>
        <w:rPr>
          <w:sz w:val="20"/>
          <w:szCs w:val="20"/>
          <w:color w:val="auto"/>
        </w:rPr>
      </w:pP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1440" w:right="1440" w:bottom="1440" w:gutter="0" w:footer="0" w:header="0"/>
        </w:sectPr>
      </w:pPr>
    </w:p>
    <w:bookmarkStart w:id="72" w:name="page73"/>
    <w:bookmarkEnd w:id="72"/>
    <w:p>
      <w:pPr>
        <w:ind w:right="1779"/>
        <w:spacing w:after="0" w:line="237" w:lineRule="auto"/>
        <w:rPr>
          <w:sz w:val="20"/>
          <w:szCs w:val="20"/>
          <w:color w:val="auto"/>
        </w:rPr>
      </w:pPr>
      <w:r>
        <w:rPr>
          <w:rFonts w:ascii="Courier New" w:cs="Courier New" w:eastAsia="Courier New" w:hAnsi="Courier New"/>
          <w:sz w:val="18"/>
          <w:szCs w:val="18"/>
          <w:color w:val="auto"/>
        </w:rPr>
        <w:t>transaction of business and, subject to Article SIXTH of the Articles of Incorporation and these By-Laws, the acts of a majority of the Directors present and voting at a meeting at which a quorum is present shall be the acts of the Board of Directors. If there is no quorum present at a duly convened meeting of the Board of Directors, the majority of those present may adjourn the meeting from place to place and from time to time.</w:t>
      </w:r>
    </w:p>
    <w:p>
      <w:pPr>
        <w:spacing w:after="0" w:line="210"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Section 3.08 . Informal Action by the Board of Directors. Any action required or permitted to be taken at a meeting of the Board of Directors may be taken without a meeting if, prior or subsequent to the action, a written consent or consents thereto by all of the Directors in office is filed with the Secretary of the Corporation. In addition to other means of filing with the Secretary, insertion in the minute book of the Corporation shall be deemed filing with the Secretary regardless of whether the Secretary or some other authorized person has actual possession of the minute book. Written consents by all the Directors, executed pursuant to this Section 3.08, may be executed in any number of counterparts and shall be deemed effective as of the date set forth therein.</w:t>
      </w:r>
    </w:p>
    <w:p>
      <w:pPr>
        <w:spacing w:after="0" w:line="210"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Section 3.09 . Committees.</w:t>
      </w:r>
    </w:p>
    <w:p>
      <w:pPr>
        <w:spacing w:after="0" w:line="207" w:lineRule="exact"/>
        <w:rPr>
          <w:sz w:val="20"/>
          <w:szCs w:val="20"/>
          <w:color w:val="auto"/>
        </w:rPr>
      </w:pPr>
    </w:p>
    <w:p>
      <w:pPr>
        <w:ind w:right="1779" w:firstLine="956"/>
        <w:spacing w:after="0" w:line="237" w:lineRule="auto"/>
        <w:tabs>
          <w:tab w:leader="none" w:pos="1369" w:val="left"/>
        </w:tabs>
        <w:numPr>
          <w:ilvl w:val="0"/>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Establishment and Powers. The Board of Directors of the Corporation may, by resolution adopted by a majority of the Directors in office, establish one or more committees to consist of one or more Directors of the Corporation. Any committee, to the extent provided in the applicable resolution of the Board of Directors or in the By-Laws, shall have and may exercise all of the powers and authority of the Board of Directors, except that a committee shall not have any power or authority as to the following:</w:t>
      </w:r>
    </w:p>
    <w:p>
      <w:pPr>
        <w:spacing w:after="0" w:line="211" w:lineRule="exact"/>
        <w:rPr>
          <w:rFonts w:ascii="Courier New" w:cs="Courier New" w:eastAsia="Courier New" w:hAnsi="Courier New"/>
          <w:sz w:val="18"/>
          <w:szCs w:val="18"/>
          <w:color w:val="auto"/>
        </w:rPr>
      </w:pPr>
    </w:p>
    <w:p>
      <w:pPr>
        <w:ind w:left="960" w:right="2199" w:firstLine="944"/>
        <w:spacing w:after="0" w:line="235" w:lineRule="auto"/>
        <w:tabs>
          <w:tab w:leader="none" w:pos="2329" w:val="left"/>
        </w:tabs>
        <w:numPr>
          <w:ilvl w:val="1"/>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submission to shareholders of any action requiring approval of shareholders under the Pennsylvania BCL.</w:t>
      </w:r>
    </w:p>
    <w:p>
      <w:pPr>
        <w:spacing w:after="0" w:line="202" w:lineRule="exact"/>
        <w:rPr>
          <w:rFonts w:ascii="Courier New" w:cs="Courier New" w:eastAsia="Courier New" w:hAnsi="Courier New"/>
          <w:sz w:val="18"/>
          <w:szCs w:val="18"/>
          <w:color w:val="auto"/>
        </w:rPr>
      </w:pPr>
    </w:p>
    <w:p>
      <w:pPr>
        <w:ind w:left="2440" w:hanging="536"/>
        <w:spacing w:after="0"/>
        <w:tabs>
          <w:tab w:leader="none" w:pos="2440" w:val="left"/>
        </w:tabs>
        <w:numPr>
          <w:ilvl w:val="1"/>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creation or filling of vacancies in the Board of</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Directors.</w:t>
      </w:r>
    </w:p>
    <w:p>
      <w:pPr>
        <w:spacing w:after="0" w:line="201" w:lineRule="exact"/>
        <w:rPr>
          <w:rFonts w:ascii="Courier New" w:cs="Courier New" w:eastAsia="Courier New" w:hAnsi="Courier New"/>
          <w:sz w:val="18"/>
          <w:szCs w:val="18"/>
          <w:color w:val="auto"/>
        </w:rPr>
      </w:pPr>
    </w:p>
    <w:p>
      <w:pPr>
        <w:ind w:left="2540" w:hanging="636"/>
        <w:spacing w:after="0"/>
        <w:tabs>
          <w:tab w:leader="none" w:pos="2540" w:val="left"/>
        </w:tabs>
        <w:numPr>
          <w:ilvl w:val="1"/>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adoption, amendment or repeal of the By-Laws.</w:t>
      </w:r>
    </w:p>
    <w:p>
      <w:pPr>
        <w:spacing w:after="0" w:line="206" w:lineRule="exact"/>
        <w:rPr>
          <w:rFonts w:ascii="Courier New" w:cs="Courier New" w:eastAsia="Courier New" w:hAnsi="Courier New"/>
          <w:sz w:val="18"/>
          <w:szCs w:val="18"/>
          <w:color w:val="auto"/>
        </w:rPr>
      </w:pPr>
    </w:p>
    <w:p>
      <w:pPr>
        <w:ind w:left="960" w:right="1779" w:firstLine="944"/>
        <w:spacing w:after="0" w:line="236" w:lineRule="auto"/>
        <w:tabs>
          <w:tab w:leader="none" w:pos="2435" w:val="left"/>
        </w:tabs>
        <w:numPr>
          <w:ilvl w:val="1"/>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amendment or repeal of any resolution of the Board of Directors that by its terms is amendable or repealable only by the Board of Directors.</w:t>
      </w:r>
    </w:p>
    <w:p>
      <w:pPr>
        <w:spacing w:after="0" w:line="208" w:lineRule="exact"/>
        <w:rPr>
          <w:rFonts w:ascii="Courier New" w:cs="Courier New" w:eastAsia="Courier New" w:hAnsi="Courier New"/>
          <w:sz w:val="18"/>
          <w:szCs w:val="18"/>
          <w:color w:val="auto"/>
        </w:rPr>
      </w:pPr>
    </w:p>
    <w:p>
      <w:pPr>
        <w:ind w:left="960" w:right="1999" w:firstLine="944"/>
        <w:spacing w:after="0" w:line="236" w:lineRule="auto"/>
        <w:tabs>
          <w:tab w:leader="none" w:pos="2329" w:val="left"/>
        </w:tabs>
        <w:numPr>
          <w:ilvl w:val="1"/>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Action on matters committed by the Articles of Incorporation, the By-Laws or resolution of the Board of Directors to another committee of the Board of Directors.</w:t>
      </w:r>
    </w:p>
    <w:p>
      <w:pPr>
        <w:spacing w:after="0" w:line="208" w:lineRule="exact"/>
        <w:rPr>
          <w:rFonts w:ascii="Courier New" w:cs="Courier New" w:eastAsia="Courier New" w:hAnsi="Courier New"/>
          <w:sz w:val="18"/>
          <w:szCs w:val="18"/>
          <w:color w:val="auto"/>
        </w:rPr>
      </w:pPr>
    </w:p>
    <w:p>
      <w:pPr>
        <w:ind w:right="1779" w:firstLine="956"/>
        <w:spacing w:after="0" w:line="236" w:lineRule="auto"/>
        <w:tabs>
          <w:tab w:leader="none" w:pos="1369" w:val="left"/>
        </w:tabs>
        <w:numPr>
          <w:ilvl w:val="0"/>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Alternate Members. The Board of Directors may designate one or more Directors otherwise eligible to serve on a committee of the Board as alternate members of any committee who may replace any absent or disqualified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1330" w:right="1440" w:bottom="1440" w:gutter="0" w:footer="0" w:header="0"/>
        </w:sectPr>
      </w:pPr>
    </w:p>
    <w:bookmarkStart w:id="73" w:name="page74"/>
    <w:bookmarkEnd w:id="73"/>
    <w:p>
      <w:pPr>
        <w:ind w:right="1879"/>
        <w:spacing w:after="0" w:line="272" w:lineRule="auto"/>
        <w:rPr>
          <w:sz w:val="20"/>
          <w:szCs w:val="20"/>
          <w:color w:val="auto"/>
        </w:rPr>
      </w:pPr>
      <w:r>
        <w:rPr>
          <w:rFonts w:ascii="Courier New" w:cs="Courier New" w:eastAsia="Courier New" w:hAnsi="Courier New"/>
          <w:sz w:val="16"/>
          <w:szCs w:val="16"/>
          <w:color w:val="auto"/>
        </w:rPr>
        <w:t>member at any meeting of the committee or for the purpose of any written action by the committee. In the absence or disqualification of a member and alternate member or members of a committee, the member or members thereof present at any meeting and not disqualified from voting, whether or not such member or members constitute a quorum, may unanimously appoint another Director to act at the meeting in the place of the absent or disqualified member.</w:t>
      </w:r>
    </w:p>
    <w:p>
      <w:pPr>
        <w:spacing w:after="0" w:line="186" w:lineRule="exact"/>
        <w:rPr>
          <w:sz w:val="20"/>
          <w:szCs w:val="20"/>
          <w:color w:val="auto"/>
        </w:rPr>
      </w:pPr>
    </w:p>
    <w:p>
      <w:pPr>
        <w:ind w:right="1999" w:firstLine="956"/>
        <w:spacing w:after="0" w:line="235" w:lineRule="auto"/>
        <w:tabs>
          <w:tab w:leader="none" w:pos="1369" w:val="left"/>
        </w:tabs>
        <w:numPr>
          <w:ilvl w:val="0"/>
          <w:numId w:val="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 Each committee of the Board of Directors shall serve at the pleasure of the Board of Directors.</w:t>
      </w:r>
    </w:p>
    <w:p>
      <w:pPr>
        <w:spacing w:after="0" w:line="208" w:lineRule="exact"/>
        <w:rPr>
          <w:rFonts w:ascii="Courier New" w:cs="Courier New" w:eastAsia="Courier New" w:hAnsi="Courier New"/>
          <w:sz w:val="18"/>
          <w:szCs w:val="18"/>
          <w:color w:val="auto"/>
        </w:rPr>
      </w:pPr>
    </w:p>
    <w:p>
      <w:pPr>
        <w:ind w:right="1779" w:firstLine="956"/>
        <w:spacing w:after="0" w:line="237" w:lineRule="auto"/>
        <w:tabs>
          <w:tab w:leader="none" w:pos="1369" w:val="left"/>
        </w:tabs>
        <w:numPr>
          <w:ilvl w:val="0"/>
          <w:numId w:val="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Status of Committee Action. The term "Board of Directors" or "Board", when used in any provision of these By-Laws relating to the organization or procedures of or the manner of taking action by the Board of Directors, shall be construed to include and refer to any committee of the Board of Directors. Any provision of these By-Laws relating or referring to action to be taken by the Board of Directors or the procedure required therefor shall be satisfied by the taking of corresponding action by a committee of the Board of Directors to the extent authority to take the action has been delegated to the committee in accordance with this Section.</w:t>
      </w:r>
    </w:p>
    <w:p>
      <w:pPr>
        <w:spacing w:after="0" w:line="214" w:lineRule="exact"/>
        <w:rPr>
          <w:sz w:val="20"/>
          <w:szCs w:val="20"/>
          <w:color w:val="auto"/>
        </w:rPr>
      </w:pPr>
    </w:p>
    <w:p>
      <w:pPr>
        <w:ind w:right="1779" w:firstLine="948"/>
        <w:spacing w:after="0" w:line="269" w:lineRule="auto"/>
        <w:rPr>
          <w:sz w:val="20"/>
          <w:szCs w:val="20"/>
          <w:color w:val="auto"/>
        </w:rPr>
      </w:pPr>
      <w:r>
        <w:rPr>
          <w:rFonts w:ascii="Courier New" w:cs="Courier New" w:eastAsia="Courier New" w:hAnsi="Courier New"/>
          <w:sz w:val="16"/>
          <w:szCs w:val="16"/>
          <w:color w:val="auto"/>
        </w:rPr>
        <w:t>Section 3.10 . Nomination. Nominations for the election of Directors may be made only (A) by the Board of Directors or (B) by any shareholder of record entitled to vote in the election of Directors generally at the record date of the meeting and also on the date of the meeting at which Directors are to be elected. However, any shareholder entitled to vote in the election of Directors generally may nominate one or more persons for election as Directors at a meeting only if written notice of such shareholder's intention to make such nomination or nominations has been delivered personally to, or been mailed to and received by the Corporation at, the principal executive offices of the Corporation, addressed to the attention of the President, (a) with respect to an election to be held at an annual meeting that is called for a date that is within 30 days before or after the anniversary date of the immediately preceding annual meeting of shareholders, not less than 90 days nor more than 120 days prior to such anniversary date, and (b) with respect either to an election to be held at an annual meeting that is called for a date that is not within 30 days before or after the anniversary date of the immediately preceding annual meeting, or to a special meeting of shareholders called for the purpose of electing Directors, not later than the close of business on the tenth day following the day on which notice of the date of the meeting was mailed or public disclosure of the date of the meeting was made, whichever occurs first. Each such notice shall set forth: (i) the name and address of the shareholder intending to make the nomination and of the person or persons to be nominated;</w:t>
      </w:r>
    </w:p>
    <w:p>
      <w:pPr>
        <w:spacing w:after="0" w:line="191" w:lineRule="exact"/>
        <w:rPr>
          <w:sz w:val="20"/>
          <w:szCs w:val="20"/>
          <w:color w:val="auto"/>
        </w:rPr>
      </w:pPr>
    </w:p>
    <w:p>
      <w:pPr>
        <w:ind w:right="1779" w:firstLine="8"/>
        <w:spacing w:after="0" w:line="272" w:lineRule="auto"/>
        <w:tabs>
          <w:tab w:leader="none" w:pos="527"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representation that the shareholder is a holder of record of shares of the Corporation entitled to vote at such meeting and intends to appear in person or by proxy at the meeting to nominate the person or persons specified in the notice; (iii) a description of all arrangements or understandings between the shareholder and each nominee and any other person or persons (naming such person or persons) pursuant to which the nomination or nominations are to be</w:t>
      </w:r>
    </w:p>
    <w:p>
      <w:pPr>
        <w:spacing w:after="0" w:line="200" w:lineRule="exact"/>
        <w:rPr>
          <w:sz w:val="20"/>
          <w:szCs w:val="20"/>
          <w:color w:val="auto"/>
        </w:rPr>
      </w:pPr>
    </w:p>
    <w:p>
      <w:pPr>
        <w:spacing w:after="0" w:line="38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1128" w:right="1440" w:bottom="1440" w:gutter="0" w:footer="0" w:header="0"/>
        </w:sectPr>
      </w:pPr>
    </w:p>
    <w:bookmarkStart w:id="74" w:name="page75"/>
    <w:bookmarkEnd w:id="74"/>
    <w:p>
      <w:pPr>
        <w:ind w:right="1779"/>
        <w:spacing w:after="0" w:line="237" w:lineRule="auto"/>
        <w:rPr>
          <w:sz w:val="20"/>
          <w:szCs w:val="20"/>
          <w:color w:val="auto"/>
        </w:rPr>
      </w:pPr>
      <w:r>
        <w:rPr>
          <w:rFonts w:ascii="Courier New" w:cs="Courier New" w:eastAsia="Courier New" w:hAnsi="Courier New"/>
          <w:sz w:val="18"/>
          <w:szCs w:val="18"/>
          <w:color w:val="auto"/>
        </w:rPr>
        <w:t>made by the shareholder; (iv) such other information regarding each nominee proposed by such shareholder as would have been required to be included in a proxy statement filed pursuant to the proxy rules of the Securities and Exchange Commission had the nominee been nominated by the Board of Directors; and (v) the written consent of each nominee to serve as a Director of the Corporation if so elected. The presiding officer of the meeting may, in his or her sole discretion, declare invalid or refuse to acknowledge any nomination not made in compliance with the foregoing procedure.</w:t>
      </w:r>
    </w:p>
    <w:p>
      <w:pPr>
        <w:spacing w:after="0" w:line="207"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ARTICLE 4</w:t>
      </w:r>
    </w:p>
    <w:p>
      <w:pPr>
        <w:ind w:left="3800"/>
        <w:spacing w:after="0" w:line="238" w:lineRule="auto"/>
        <w:rPr>
          <w:sz w:val="20"/>
          <w:szCs w:val="20"/>
          <w:color w:val="auto"/>
        </w:rPr>
      </w:pPr>
      <w:r>
        <w:rPr>
          <w:rFonts w:ascii="Courier New" w:cs="Courier New" w:eastAsia="Courier New" w:hAnsi="Courier New"/>
          <w:sz w:val="18"/>
          <w:szCs w:val="18"/>
          <w:color w:val="auto"/>
        </w:rPr>
        <w:t>OFFICERS</w:t>
      </w:r>
    </w:p>
    <w:p>
      <w:pPr>
        <w:spacing w:after="0" w:line="207"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Section 4.01 . Election and Office. The Corporation shall have a Chairman of the Board, a Chief Executive Officer, a President, a Secretary and a Treasurer who, subject to Article SIXTH of the Articles of Incorporation, shall be elected by the Board of Directors. Subject to Article SIXTH of the Articles of Incorporation, the Board of Directors may create the positions of, define the powers and duties of and elect as additional officers one or more Vice Chairmen of the Board, one or more Vice Presidents, and one or more other officers or assistant officers. Any number of offices may be held by the same person. The Chairman of the Board and any Vice Chairman of the Board must be a Director of the Corporation. The initial officers of the Corporation (other than the Chairman of the Board) shall be selected by the Chief Executive Officer in consultation with the Chairman of the Board.</w:t>
      </w:r>
    </w:p>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Section 4.02 . Term. Each officer of the Corporation shall hold office until his successor is selected and qualified or until his earlier death, resignation or removal. Subject to Article SIXTH of the Articles of Incorporation, any officer may be removed by a vote of a majority of the Directors then in office. The terms of the Chairman of the Board and the Chief Executive Officer are fixed pursuant to Article SIXTH of the Articles of Incorporation.</w:t>
      </w:r>
    </w:p>
    <w:p>
      <w:pPr>
        <w:spacing w:after="0" w:line="211" w:lineRule="exact"/>
        <w:rPr>
          <w:sz w:val="20"/>
          <w:szCs w:val="20"/>
          <w:color w:val="auto"/>
        </w:rPr>
      </w:pPr>
    </w:p>
    <w:p>
      <w:pPr>
        <w:ind w:right="2099" w:firstLine="948"/>
        <w:spacing w:after="0" w:line="236" w:lineRule="auto"/>
        <w:rPr>
          <w:sz w:val="20"/>
          <w:szCs w:val="20"/>
          <w:color w:val="auto"/>
        </w:rPr>
      </w:pPr>
      <w:r>
        <w:rPr>
          <w:rFonts w:ascii="Courier New" w:cs="Courier New" w:eastAsia="Courier New" w:hAnsi="Courier New"/>
          <w:sz w:val="18"/>
          <w:szCs w:val="18"/>
          <w:color w:val="auto"/>
        </w:rPr>
        <w:t>Section 4.03 . Powers and Duties of the Chairman of the Board. The Chairman of the Board shall have such powers and shall perform such duties as are provided in Article SIXTH of the Articles of Incorporation.</w:t>
      </w:r>
    </w:p>
    <w:p>
      <w:pPr>
        <w:spacing w:after="0" w:line="209"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Section 4.04 . Powers and Duties of the Chief Executive Officer . The Chief Executive Officer shall have such powers and shall perform such duties as are provided in Article SIXTH of the Articles of Incorporation.</w:t>
      </w:r>
    </w:p>
    <w:p>
      <w:pPr>
        <w:spacing w:after="0" w:line="20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Section 4.05 Powers and Duties of the President. The President shall have such powers and shall perform such duties as may, subject to Article SIXTH of the Articles of Incorporation, from time to time be assigned to the President by the Board of Directors.</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1330" w:right="1440" w:bottom="1440" w:gutter="0" w:footer="0" w:header="0"/>
        </w:sectPr>
      </w:pPr>
    </w:p>
    <w:bookmarkStart w:id="75" w:name="page76"/>
    <w:bookmarkEnd w:id="75"/>
    <w:p>
      <w:pPr>
        <w:ind w:right="1779" w:firstLine="948"/>
        <w:spacing w:after="0" w:line="237" w:lineRule="auto"/>
        <w:rPr>
          <w:sz w:val="20"/>
          <w:szCs w:val="20"/>
          <w:color w:val="auto"/>
        </w:rPr>
      </w:pPr>
      <w:r>
        <w:rPr>
          <w:rFonts w:ascii="Courier New" w:cs="Courier New" w:eastAsia="Courier New" w:hAnsi="Courier New"/>
          <w:sz w:val="18"/>
          <w:szCs w:val="18"/>
          <w:color w:val="auto"/>
        </w:rPr>
        <w:t>Section 4.06 . Powers and Duties of the Secretary. Unless otherwise determined by the Board of Directors, the Secretary shall be responsible for the keeping of the minutes of all meetings of the shareholders, the Board of Directors, and all committees of the Board, in books provided for that purpose, and for the giving and serving of all notices for the Corporation. The Secretary shall perform all other duties ordinarily incident to the office of Secretary and shall have such other powers and perform such other duties as may be assigned to the Secretary by the Board of Directors. The minute books of the Corporation may be held by a person other than the Secretary.</w:t>
      </w:r>
    </w:p>
    <w:p>
      <w:pPr>
        <w:spacing w:after="0" w:line="214"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Section 4.07 . Powers and Duties of the Treasurer. Unless otherwise determined by the Board of Directors, the Treasurer shall have charge of all the funds and securities of the Corporation. When necessary or proper, unless otherwise determined by the Board of Directors, the Treasurer shall endorse for collection on behalf of the Corporation checks, notes and other obligations, and shall deposit the same to the credit of the Corporation to such banks or depositories as the Board of Directors may designate and may sign all receipts and vouchers for payments made to the Corporation. The Treasurer shall be responsible for the regular entry in books of the Corporation to be kept for such purpose of a full and accurate account of all funds and securities received and paid by the Treasurer on account of the Corporation. Whenever required by the Board of Directors, the Treasurer shall render a statement of the financial condition of the Corporation. The Treasurer shall have such other powers and shall perform the duties as may be assigned to such officer from time to time by the Board of Directors. The Treasurer shall give such bond, if any, for the faithful performance of the duties of such office as shall be required by the Board of Directors.</w:t>
      </w:r>
    </w:p>
    <w:p>
      <w:pPr>
        <w:spacing w:after="0" w:line="209" w:lineRule="exact"/>
        <w:rPr>
          <w:sz w:val="20"/>
          <w:szCs w:val="20"/>
          <w:color w:val="auto"/>
        </w:rPr>
      </w:pPr>
    </w:p>
    <w:p>
      <w:pPr>
        <w:ind w:right="1779" w:firstLine="948"/>
        <w:spacing w:after="0" w:line="269" w:lineRule="auto"/>
        <w:rPr>
          <w:sz w:val="20"/>
          <w:szCs w:val="20"/>
          <w:color w:val="auto"/>
        </w:rPr>
      </w:pPr>
      <w:r>
        <w:rPr>
          <w:rFonts w:ascii="Courier New" w:cs="Courier New" w:eastAsia="Courier New" w:hAnsi="Courier New"/>
          <w:sz w:val="16"/>
          <w:szCs w:val="16"/>
          <w:color w:val="auto"/>
        </w:rPr>
        <w:t>Section 4.08 . Powers and Duties of the Vice Chairmen, Vice Presidents and Assistant Officers. Unless otherwise determined by the Board of Directors and subject to Article SIXTH of the Articles of Incorporation, each Vice Chairman, Executive Vice President, Senior Vice President, Vice President and each assistant officer shall have the powers and perform the duties of his or her respective superior officer, except to the extent such powers and duties are limited by such superior officer or by the Board of Directors. Executive Vice Presidents, Senior Vice Presidents, Vice Presidents and assistant officers shall have such rank as may be designated by the Board of Directors, with Executive Vice Presidents serving as superior officers to Senior Vice Presidents and Senior Vice Presidents serving as superior officers to Vice Presidents. Executive Vice Presidents, Senior Vice Presidents and Vice Presidents may be designated as having responsibility for a specific area of the Corporation's affairs, in which event such Executive Vice Presidents, Senior Vice Presidents or Vice Presidents shall be superior to the other Executive Vice Presidents, Senior Vice Presidents or Vice Presidents, respectively, in relation to matters within his or her area. The President shall be the superior officer of the Executive Vice Presidents, Senior Vice Presidents, Vice Presidents and all other officer positions created by the Board of Directors unless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1128" w:right="1440" w:bottom="1440" w:gutter="0" w:footer="0" w:header="0"/>
        </w:sectPr>
      </w:pPr>
    </w:p>
    <w:bookmarkStart w:id="76" w:name="page77"/>
    <w:bookmarkEnd w:id="76"/>
    <w:p>
      <w:pPr>
        <w:ind w:right="1879"/>
        <w:spacing w:after="0" w:line="236" w:lineRule="auto"/>
        <w:rPr>
          <w:sz w:val="20"/>
          <w:szCs w:val="20"/>
          <w:color w:val="auto"/>
        </w:rPr>
      </w:pPr>
      <w:r>
        <w:rPr>
          <w:rFonts w:ascii="Courier New" w:cs="Courier New" w:eastAsia="Courier New" w:hAnsi="Courier New"/>
          <w:sz w:val="18"/>
          <w:szCs w:val="18"/>
          <w:color w:val="auto"/>
        </w:rPr>
        <w:t>the Board of Directors provides otherwise. The Treasurer and Secretary shall be the superior officers of the Assistant Treasurers and Assistant Secretaries, respectively.</w:t>
      </w:r>
    </w:p>
    <w:p>
      <w:pPr>
        <w:spacing w:after="0" w:line="209" w:lineRule="exact"/>
        <w:rPr>
          <w:sz w:val="20"/>
          <w:szCs w:val="20"/>
          <w:color w:val="auto"/>
        </w:rPr>
      </w:pPr>
    </w:p>
    <w:p>
      <w:pPr>
        <w:ind w:right="1779" w:firstLine="948"/>
        <w:spacing w:after="0" w:line="236" w:lineRule="auto"/>
        <w:rPr>
          <w:sz w:val="20"/>
          <w:szCs w:val="20"/>
          <w:color w:val="auto"/>
        </w:rPr>
      </w:pPr>
      <w:r>
        <w:rPr>
          <w:rFonts w:ascii="Courier New" w:cs="Courier New" w:eastAsia="Courier New" w:hAnsi="Courier New"/>
          <w:sz w:val="18"/>
          <w:szCs w:val="18"/>
          <w:color w:val="auto"/>
        </w:rPr>
        <w:t>Section 4.09 . Vacancies. Subject to Article SIXTH of the Articles of Incorporation, the Board of Directors shall have the power to fill any vacancies in any office occurring for any reason.</w:t>
      </w:r>
    </w:p>
    <w:p>
      <w:pPr>
        <w:spacing w:after="0" w:line="209" w:lineRule="exact"/>
        <w:rPr>
          <w:sz w:val="20"/>
          <w:szCs w:val="20"/>
          <w:color w:val="auto"/>
        </w:rPr>
      </w:pPr>
    </w:p>
    <w:p>
      <w:pPr>
        <w:ind w:right="1879" w:firstLine="948"/>
        <w:spacing w:after="0" w:line="279" w:lineRule="auto"/>
        <w:rPr>
          <w:sz w:val="20"/>
          <w:szCs w:val="20"/>
          <w:color w:val="auto"/>
        </w:rPr>
      </w:pPr>
      <w:r>
        <w:rPr>
          <w:rFonts w:ascii="Courier New" w:cs="Courier New" w:eastAsia="Courier New" w:hAnsi="Courier New"/>
          <w:sz w:val="16"/>
          <w:szCs w:val="16"/>
          <w:color w:val="auto"/>
        </w:rPr>
        <w:t>Section 4.10 . Delegation of Office. Subject to Article SIXTH of the Articles of Incorporation, the Board of Directors may delegate the powers or duties of any officer of the Corporation to any other person from time to time.</w:t>
      </w:r>
    </w:p>
    <w:p>
      <w:pPr>
        <w:spacing w:after="0" w:line="173"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5</w:t>
      </w:r>
    </w:p>
    <w:p>
      <w:pPr>
        <w:ind w:left="3580"/>
        <w:spacing w:after="0" w:line="238" w:lineRule="auto"/>
        <w:rPr>
          <w:sz w:val="20"/>
          <w:szCs w:val="20"/>
          <w:color w:val="auto"/>
        </w:rPr>
      </w:pPr>
      <w:r>
        <w:rPr>
          <w:rFonts w:ascii="Courier New" w:cs="Courier New" w:eastAsia="Courier New" w:hAnsi="Courier New"/>
          <w:sz w:val="18"/>
          <w:szCs w:val="18"/>
          <w:color w:val="auto"/>
        </w:rPr>
        <w:t>CAPITAL STOCK</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Section 5.01 . Share Certificates.</w:t>
      </w:r>
    </w:p>
    <w:p>
      <w:pPr>
        <w:spacing w:after="0" w:line="207" w:lineRule="exact"/>
        <w:rPr>
          <w:sz w:val="20"/>
          <w:szCs w:val="20"/>
          <w:color w:val="auto"/>
        </w:rPr>
      </w:pPr>
    </w:p>
    <w:p>
      <w:pPr>
        <w:ind w:right="1779" w:firstLine="956"/>
        <w:spacing w:after="0" w:line="270" w:lineRule="auto"/>
        <w:tabs>
          <w:tab w:leader="none" w:pos="1369" w:val="left"/>
        </w:tabs>
        <w:numPr>
          <w:ilvl w:val="0"/>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Execution. Except as otherwise provided in Section 5.05, the shares of the Corporation shall be represented by certificates. Unless otherwise provided by the Board of Directors, every share certificate shall be signed by two officers and sealed with the corporate seal, which may be a facsimile, engraved or printed, but where such certificate is signed by a transfer agent or a registrar, the signature of any corporate officer upon such certificate may be a facsimile, engraved or printed. In case any officer who has signed, or whose facsimile signature has been placed upon, any share certificate shall have ceased to be such officer because of death, resignation or otherwise, before the certificate is issued, it may be issued with the same effect as if the officer had not ceased to be such at the date of its issue. The provisions of this Section shall be subject to any inconsistent or contrary agreement at the time between the Corporation and any transfer agent or registrar.</w:t>
      </w:r>
    </w:p>
    <w:p>
      <w:pPr>
        <w:spacing w:after="0" w:line="389" w:lineRule="exact"/>
        <w:rPr>
          <w:rFonts w:ascii="Courier New" w:cs="Courier New" w:eastAsia="Courier New" w:hAnsi="Courier New"/>
          <w:sz w:val="16"/>
          <w:szCs w:val="16"/>
          <w:color w:val="auto"/>
        </w:rPr>
      </w:pPr>
    </w:p>
    <w:p>
      <w:pPr>
        <w:ind w:right="1779" w:firstLine="956"/>
        <w:spacing w:after="0" w:line="237" w:lineRule="auto"/>
        <w:tabs>
          <w:tab w:leader="none" w:pos="1369"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Designations, Voting Rights, Preferences, Limitations and Special Rights. To the extent the Corporation is authorized to issue shares of more than one class or series, every certificate shall set forth upon the face or back of the certificate (or shall state on the face or back of the certificate that the Corporation will furnish to any shareholder upon request and without charge) a full or summary statement of the designations, voting rights, preferences, limitations and special rights of the shares of each class or series authorized to be issued so far as they have been fixed and determined and the authority of the Board of Directors to fix and determine the designations, voting rights, preferences, limitations and special rights of the classes and series of shares of the Corporation.</w:t>
      </w:r>
    </w:p>
    <w:p>
      <w:pPr>
        <w:spacing w:after="0" w:line="215" w:lineRule="exact"/>
        <w:rPr>
          <w:rFonts w:ascii="Courier New" w:cs="Courier New" w:eastAsia="Courier New" w:hAnsi="Courier New"/>
          <w:sz w:val="18"/>
          <w:szCs w:val="18"/>
          <w:color w:val="auto"/>
        </w:rPr>
      </w:pPr>
    </w:p>
    <w:p>
      <w:pPr>
        <w:ind w:right="1999" w:firstLine="956"/>
        <w:spacing w:after="0" w:line="237" w:lineRule="auto"/>
        <w:tabs>
          <w:tab w:leader="none" w:pos="1369"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Fractional Shares. Except as otherwise determined by the Board of Directors, shares or certificates therefor may be issued as fractional shares for shares held by any dividend reinvestment plan or employee benefit plan created or approved by the Corporation's Board of Directors, but not by any other person.</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1128" w:right="1440" w:bottom="1440" w:gutter="0" w:footer="0" w:header="0"/>
        </w:sectPr>
      </w:pPr>
    </w:p>
    <w:bookmarkStart w:id="77" w:name="page78"/>
    <w:bookmarkEnd w:id="77"/>
    <w:p>
      <w:pPr>
        <w:ind w:right="1879" w:firstLine="948"/>
        <w:spacing w:after="0" w:line="237" w:lineRule="auto"/>
        <w:rPr>
          <w:sz w:val="20"/>
          <w:szCs w:val="20"/>
          <w:color w:val="auto"/>
        </w:rPr>
      </w:pPr>
      <w:r>
        <w:rPr>
          <w:rFonts w:ascii="Courier New" w:cs="Courier New" w:eastAsia="Courier New" w:hAnsi="Courier New"/>
          <w:sz w:val="18"/>
          <w:szCs w:val="18"/>
          <w:color w:val="auto"/>
        </w:rPr>
        <w:t>Section 5.02 . Transfer of Shares. Transfer of shares shall be made on the books of the Corporation only upon surrender of the share certificate, duly endorsed or with duly executed stock powers attached and otherwise in proper form for transfer, which certificate shall be canceled at the time of the transfer</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Section 5.03 . Determination of Shareholders of Record.</w:t>
      </w:r>
    </w:p>
    <w:p>
      <w:pPr>
        <w:spacing w:after="0" w:line="207" w:lineRule="exact"/>
        <w:rPr>
          <w:sz w:val="20"/>
          <w:szCs w:val="20"/>
          <w:color w:val="auto"/>
        </w:rPr>
      </w:pPr>
    </w:p>
    <w:p>
      <w:pPr>
        <w:ind w:right="1779" w:firstLine="956"/>
        <w:spacing w:after="0" w:line="238" w:lineRule="auto"/>
        <w:tabs>
          <w:tab w:leader="none" w:pos="1369" w:val="left"/>
        </w:tabs>
        <w:numPr>
          <w:ilvl w:val="0"/>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Fixing Record Date. The Board of Directors of the Corporation may fix a time prior to the date of any meeting of shareholders as a record date for the determination of the shareholders entitled to notice of, or to vote at, the meeting, which time, except in the case of an adjourned meeting, shall be not more than 90 days prior to the date of the meeting of shareholders. Only shareholders of record on the date fixed shall be so entitled notwithstanding any transfer of shares on the books of the Corporation after any record date fixed as provided in this subsection. The Board of Directors may similarly fix a record date for the determination of shareholders of record for any other purpose. When a determination of shareholders of record has been made as provided in this Section 5.03 for purposes of a meeting, the determination shall apply to any adjournment thereof unless the Board of Directors fixes a new record date for the adjourned meeting.</w:t>
      </w:r>
    </w:p>
    <w:p>
      <w:pPr>
        <w:spacing w:after="0" w:line="201" w:lineRule="exact"/>
        <w:rPr>
          <w:rFonts w:ascii="Courier New" w:cs="Courier New" w:eastAsia="Courier New" w:hAnsi="Courier New"/>
          <w:sz w:val="18"/>
          <w:szCs w:val="18"/>
          <w:color w:val="auto"/>
        </w:rPr>
      </w:pPr>
    </w:p>
    <w:p>
      <w:pPr>
        <w:ind w:left="1380" w:hanging="424"/>
        <w:spacing w:after="0"/>
        <w:tabs>
          <w:tab w:leader="none" w:pos="1380" w:val="left"/>
        </w:tabs>
        <w:numPr>
          <w:ilvl w:val="0"/>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Determination when No Record Date Fixed. If a record date is not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fixed:</w:t>
      </w:r>
    </w:p>
    <w:p>
      <w:pPr>
        <w:spacing w:after="0" w:line="207" w:lineRule="exact"/>
        <w:rPr>
          <w:rFonts w:ascii="Courier New" w:cs="Courier New" w:eastAsia="Courier New" w:hAnsi="Courier New"/>
          <w:sz w:val="18"/>
          <w:szCs w:val="18"/>
          <w:color w:val="auto"/>
        </w:rPr>
      </w:pPr>
    </w:p>
    <w:p>
      <w:pPr>
        <w:ind w:left="960" w:right="1779" w:firstLine="944"/>
        <w:spacing w:after="0" w:line="237" w:lineRule="auto"/>
        <w:tabs>
          <w:tab w:leader="none" w:pos="2329" w:val="left"/>
        </w:tabs>
        <w:numPr>
          <w:ilvl w:val="1"/>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record date for determining shareholders entitled to notice of or to vote at a meeting of shareholders shall be at the close of business on the day next preceding the day on which notice is given or, if notice is waived, at the close of business on the day immediately preceding the day on which the meeting is held.</w:t>
      </w:r>
    </w:p>
    <w:p>
      <w:pPr>
        <w:spacing w:after="0" w:line="208" w:lineRule="exact"/>
        <w:rPr>
          <w:rFonts w:ascii="Courier New" w:cs="Courier New" w:eastAsia="Courier New" w:hAnsi="Courier New"/>
          <w:sz w:val="18"/>
          <w:szCs w:val="18"/>
          <w:color w:val="auto"/>
        </w:rPr>
      </w:pPr>
    </w:p>
    <w:p>
      <w:pPr>
        <w:ind w:left="960" w:right="1779" w:firstLine="944"/>
        <w:spacing w:after="0" w:line="236" w:lineRule="auto"/>
        <w:tabs>
          <w:tab w:leader="none" w:pos="2435" w:val="left"/>
        </w:tabs>
        <w:numPr>
          <w:ilvl w:val="1"/>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record date for determining shareholders for any other purpose shall be at the close of business on the day on which the Board of Directors adopts the resolution relating thereto.</w:t>
      </w:r>
    </w:p>
    <w:p>
      <w:pPr>
        <w:spacing w:after="0" w:line="208" w:lineRule="exact"/>
        <w:rPr>
          <w:rFonts w:ascii="Courier New" w:cs="Courier New" w:eastAsia="Courier New" w:hAnsi="Courier New"/>
          <w:sz w:val="18"/>
          <w:szCs w:val="18"/>
          <w:color w:val="auto"/>
        </w:rPr>
      </w:pPr>
    </w:p>
    <w:p>
      <w:pPr>
        <w:ind w:right="1779" w:firstLine="956"/>
        <w:spacing w:after="0" w:line="237" w:lineRule="auto"/>
        <w:tabs>
          <w:tab w:leader="none" w:pos="1369" w:val="left"/>
        </w:tabs>
        <w:numPr>
          <w:ilvl w:val="0"/>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Certification by Nominee. The Board of Directors may adopt a procedure whereby a shareholder of the Corporation may certify in writing to the Corporation that all or a portion of the shares registered in the name of the shareholder are held for the account of a specified person or persons. The resolution of the Board of Directors may set forth:</w:t>
      </w:r>
    </w:p>
    <w:p>
      <w:pPr>
        <w:spacing w:after="0" w:line="203" w:lineRule="exact"/>
        <w:rPr>
          <w:rFonts w:ascii="Courier New" w:cs="Courier New" w:eastAsia="Courier New" w:hAnsi="Courier New"/>
          <w:sz w:val="18"/>
          <w:szCs w:val="18"/>
          <w:color w:val="auto"/>
        </w:rPr>
      </w:pPr>
    </w:p>
    <w:p>
      <w:pPr>
        <w:ind w:left="2320" w:hanging="416"/>
        <w:spacing w:after="0"/>
        <w:tabs>
          <w:tab w:leader="none" w:pos="2320" w:val="left"/>
        </w:tabs>
        <w:numPr>
          <w:ilvl w:val="1"/>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classification of shareholder who may certify;</w:t>
      </w:r>
    </w:p>
    <w:p>
      <w:pPr>
        <w:spacing w:after="0" w:line="201" w:lineRule="exact"/>
        <w:rPr>
          <w:rFonts w:ascii="Courier New" w:cs="Courier New" w:eastAsia="Courier New" w:hAnsi="Courier New"/>
          <w:sz w:val="18"/>
          <w:szCs w:val="18"/>
          <w:color w:val="auto"/>
        </w:rPr>
      </w:pPr>
    </w:p>
    <w:p>
      <w:pPr>
        <w:ind w:left="2440" w:hanging="536"/>
        <w:spacing w:after="0"/>
        <w:tabs>
          <w:tab w:leader="none" w:pos="2440" w:val="left"/>
        </w:tabs>
        <w:numPr>
          <w:ilvl w:val="1"/>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purpose or purposes for which the certification may</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be made;</w:t>
      </w:r>
    </w:p>
    <w:p>
      <w:pPr>
        <w:spacing w:after="0" w:line="207" w:lineRule="exact"/>
        <w:rPr>
          <w:rFonts w:ascii="Courier New" w:cs="Courier New" w:eastAsia="Courier New" w:hAnsi="Courier New"/>
          <w:sz w:val="18"/>
          <w:szCs w:val="18"/>
          <w:color w:val="auto"/>
        </w:rPr>
      </w:pPr>
    </w:p>
    <w:p>
      <w:pPr>
        <w:ind w:left="960" w:right="2739" w:firstLine="944"/>
        <w:spacing w:after="0" w:line="235" w:lineRule="auto"/>
        <w:tabs>
          <w:tab w:leader="none" w:pos="2540" w:val="left"/>
        </w:tabs>
        <w:numPr>
          <w:ilvl w:val="1"/>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form of certification and information to be contained therein;</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1128" w:right="1440" w:bottom="1440" w:gutter="0" w:footer="0" w:header="0"/>
        </w:sectPr>
      </w:pPr>
    </w:p>
    <w:bookmarkStart w:id="78" w:name="page79"/>
    <w:bookmarkEnd w:id="78"/>
    <w:p>
      <w:pPr>
        <w:ind w:left="960" w:right="1999" w:firstLine="944"/>
        <w:spacing w:after="0" w:line="236" w:lineRule="auto"/>
        <w:tabs>
          <w:tab w:leader="none" w:pos="2435" w:val="left"/>
        </w:tabs>
        <w:numPr>
          <w:ilvl w:val="0"/>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certification is with respect to a record date, the time after the record date within which the certification must be received by the Corporation; and</w:t>
      </w:r>
    </w:p>
    <w:p>
      <w:pPr>
        <w:spacing w:after="0" w:line="208" w:lineRule="exact"/>
        <w:rPr>
          <w:rFonts w:ascii="Courier New" w:cs="Courier New" w:eastAsia="Courier New" w:hAnsi="Courier New"/>
          <w:sz w:val="18"/>
          <w:szCs w:val="18"/>
          <w:color w:val="auto"/>
        </w:rPr>
      </w:pPr>
    </w:p>
    <w:p>
      <w:pPr>
        <w:ind w:left="960" w:right="1779" w:firstLine="944"/>
        <w:spacing w:after="0" w:line="235" w:lineRule="auto"/>
        <w:tabs>
          <w:tab w:leader="none" w:pos="2329" w:val="left"/>
        </w:tabs>
        <w:numPr>
          <w:ilvl w:val="0"/>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other provisions with respect to the procedure as are deemed necessary or desirable.</w:t>
      </w:r>
    </w:p>
    <w:p>
      <w:pPr>
        <w:spacing w:after="0" w:line="208" w:lineRule="exact"/>
        <w:rPr>
          <w:sz w:val="20"/>
          <w:szCs w:val="20"/>
          <w:color w:val="auto"/>
        </w:rPr>
      </w:pPr>
    </w:p>
    <w:p>
      <w:pPr>
        <w:ind w:right="1779" w:firstLine="948"/>
        <w:spacing w:after="0" w:line="275" w:lineRule="auto"/>
        <w:rPr>
          <w:sz w:val="20"/>
          <w:szCs w:val="20"/>
          <w:color w:val="auto"/>
        </w:rPr>
      </w:pPr>
      <w:r>
        <w:rPr>
          <w:rFonts w:ascii="Courier New" w:cs="Courier New" w:eastAsia="Courier New" w:hAnsi="Courier New"/>
          <w:sz w:val="16"/>
          <w:szCs w:val="16"/>
          <w:color w:val="auto"/>
        </w:rPr>
        <w:t>Upon receipt by the Corporation of a certification complying with the procedure, the persons specified in the certification shall be deemed, for the purposes set forth in the certification, to be the holders of record of the number of shares specified in place of the shareholder making the certification.</w:t>
      </w:r>
    </w:p>
    <w:p>
      <w:pPr>
        <w:spacing w:after="0" w:line="182" w:lineRule="exact"/>
        <w:rPr>
          <w:sz w:val="20"/>
          <w:szCs w:val="20"/>
          <w:color w:val="auto"/>
        </w:rPr>
      </w:pPr>
    </w:p>
    <w:p>
      <w:pPr>
        <w:ind w:right="1879" w:firstLine="948"/>
        <w:spacing w:after="0" w:line="270" w:lineRule="auto"/>
        <w:rPr>
          <w:sz w:val="20"/>
          <w:szCs w:val="20"/>
          <w:color w:val="auto"/>
        </w:rPr>
      </w:pPr>
      <w:r>
        <w:rPr>
          <w:rFonts w:ascii="Courier New" w:cs="Courier New" w:eastAsia="Courier New" w:hAnsi="Courier New"/>
          <w:sz w:val="16"/>
          <w:szCs w:val="16"/>
          <w:color w:val="auto"/>
        </w:rPr>
        <w:t>Section 5.04 . Lost Share Certificates. Unless waived in whole or in part by the Board of Directors or any of the Chairman, any Vice Chairman, the President, any Senior Vice President, Secretary or Treasurer, unless the Board of Directors prohibits such waiver by such officer, any person requesting the issuance of a new certificate in lieu of an alleged lost, destroyed, mislaid or wrongfully taken certificate shall (a) give to the Corporation his or her bond of indemnity with an acceptable surety, and (b) satisfy such other requirements as may be imposed by the Corporation. Thereupon, a new share certificate shall be issued to the registered owner or his or her assigns in lieu of the alleged lost, destroyed, mislaid or wrongfully taken certificate; provided that the request therefor and issuance thereof have been made before the Corporation has notice that such shares have been acquired by a bona fide purchaser.</w:t>
      </w:r>
    </w:p>
    <w:p>
      <w:pPr>
        <w:spacing w:after="0" w:line="187"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Section 5.05 . Uncertificated Shares. Notwithstanding anything herein to the contrary, any or all classes and series of shares, or any part thereof, may be represented by uncertificated shares to the extent determined by the Board of Directors, except that shares represented by a certificate that is issued and outstanding shall continue to be represented thereby until the certificate is surrendered to the Corporation. Within a reasonable time after the issuance or transfer of uncertificated shares, the Corporation shall send to the registered owner thereof a written notice containing the information required to be set forth or stated on certificates. The rights and obligations of the holders of shares represented by certificates and the rights and obligations of the holders of uncertificated shares of the same class and series shall be identical. Notwithstanding anything herein to the contrary, the provisions of Section 5.02 shall be inapplicable to uncertificated shares and in lieu thereof the Board of Directors shall adopt alternative procedures for registration of transfers.</w:t>
      </w:r>
    </w:p>
    <w:p>
      <w:pPr>
        <w:spacing w:after="0" w:line="20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6</w:t>
      </w:r>
    </w:p>
    <w:p>
      <w:pPr>
        <w:ind w:left="2640"/>
        <w:spacing w:after="0" w:line="238" w:lineRule="auto"/>
        <w:rPr>
          <w:sz w:val="20"/>
          <w:szCs w:val="20"/>
          <w:color w:val="auto"/>
        </w:rPr>
      </w:pPr>
      <w:r>
        <w:rPr>
          <w:rFonts w:ascii="Courier New" w:cs="Courier New" w:eastAsia="Courier New" w:hAnsi="Courier New"/>
          <w:sz w:val="18"/>
          <w:szCs w:val="18"/>
          <w:color w:val="auto"/>
        </w:rPr>
        <w:t>NOTICES; COMPUTING TIME PERIODS</w:t>
      </w:r>
    </w:p>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Section 6.01 . Contents of Notice. Whenever any notice of a meeting of the Board of Directors or of shareholders is required to be given pursuant to these By-Laws or the Articles of Incorporation of the Corporation, as the same may be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1330" w:right="1440" w:bottom="1440" w:gutter="0" w:footer="0" w:header="0"/>
        </w:sectPr>
      </w:pPr>
    </w:p>
    <w:bookmarkStart w:id="79" w:name="page80"/>
    <w:bookmarkEnd w:id="79"/>
    <w:p>
      <w:pPr>
        <w:ind w:right="1779"/>
        <w:spacing w:after="0" w:line="237" w:lineRule="auto"/>
        <w:rPr>
          <w:sz w:val="20"/>
          <w:szCs w:val="20"/>
          <w:color w:val="auto"/>
        </w:rPr>
      </w:pPr>
      <w:r>
        <w:rPr>
          <w:rFonts w:ascii="Courier New" w:cs="Courier New" w:eastAsia="Courier New" w:hAnsi="Courier New"/>
          <w:sz w:val="18"/>
          <w:szCs w:val="18"/>
          <w:color w:val="auto"/>
        </w:rPr>
        <w:t>amended from time to time, or otherwise, the notice shall specify the geographic location, if any, date and time of the meeting; in the case of a special meeting of shareholders or where otherwise required by law or the By-Laws, the general nature of the business to be transacted at such meeting; and any other information required by law.</w:t>
      </w:r>
    </w:p>
    <w:p>
      <w:pPr>
        <w:spacing w:after="0" w:line="209"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Section 6.02 . Method of Notice. Any notice required to be given to any person under the provisions of the Articles of Incorporation or these By-Laws shall be given to the person either personally or by sending a copy thereof (i) by first class or express mail, postage prepaid, or courier service, charges prepaid, to such person's postal address appearing on the books of the Corporation, or, in the case of a Director, supplied by such Director to the Corporation for the purpose of notice or (ii) by facsimile transmission, e-mail or other electronic communication to such person's facsimile number or address for e-mail or other electronic communication supplied by such person to the Corporation for purposes of notice. Notice delivered pursuant to clause (i) of the preceding sentence shall be deemed to have been given to the person entitled thereto when deposited in the United States mail or with a courier service for delivery to that person, and notice pursuant to clause (ii) of the preceding sentence shall be deemed to have been given to the person entitled thereto when sent. Except as otherwise provided in these By-Laws, or as otherwise directed by the Board of Directors, notices of meetings may be given by, or at the direction of, the Secretary.</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Section 6.03 . Computing Time Periods.</w:t>
      </w:r>
    </w:p>
    <w:p>
      <w:pPr>
        <w:spacing w:after="0" w:line="207" w:lineRule="exact"/>
        <w:rPr>
          <w:sz w:val="20"/>
          <w:szCs w:val="20"/>
          <w:color w:val="auto"/>
        </w:rPr>
      </w:pPr>
    </w:p>
    <w:p>
      <w:pPr>
        <w:ind w:right="1779" w:firstLine="956"/>
        <w:spacing w:after="0" w:line="271" w:lineRule="auto"/>
        <w:tabs>
          <w:tab w:leader="none" w:pos="1369" w:val="left"/>
        </w:tabs>
        <w:numPr>
          <w:ilvl w:val="0"/>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Days to be Counted. In computing the number of days for purposes of these By-Laws, all days shall be counted, including Saturdays, Sundays and any Holiday; provided, however, that if the final day of any time period falls on a Saturday, Sunday or Holiday, then the final day shall be deemed to be the next day which is not a Saturday, Sunday or Holiday. In computing the number of days for the purpose of giving notice of any meeting, the date upon which the notice is given shall be counted but the day set for the meeting shall not be counted.</w:t>
      </w:r>
    </w:p>
    <w:p>
      <w:pPr>
        <w:spacing w:after="0" w:line="187" w:lineRule="exact"/>
        <w:rPr>
          <w:rFonts w:ascii="Courier New" w:cs="Courier New" w:eastAsia="Courier New" w:hAnsi="Courier New"/>
          <w:sz w:val="16"/>
          <w:szCs w:val="16"/>
          <w:color w:val="auto"/>
        </w:rPr>
      </w:pPr>
    </w:p>
    <w:p>
      <w:pPr>
        <w:jc w:val="both"/>
        <w:ind w:right="2099" w:firstLine="956"/>
        <w:spacing w:after="0" w:line="237" w:lineRule="auto"/>
        <w:tabs>
          <w:tab w:leader="none" w:pos="1369" w:val="left"/>
        </w:tabs>
        <w:numPr>
          <w:ilvl w:val="0"/>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One Day Notice. In any case where only one day's notice is being given, notice must be given at least 24 hours in advance of the date and time specified for the meeting in question by delivery in person or by telephone, telex, telecopier or similar means of communication.</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Section 6.04 . Waiver of Notice. Whenever any notice is required to be given under the provisions of the Pennsylvania BCL or other applicable law or the Articles of Incorporation or these By-Laws, a waiver thereof in writing, signed by the person or persons entitled to the notice, whether before or after the time stated therein, shall be deemed equivalent to the giving of the notice. Except as otherwise required by law or the next sentence, neither the business to be transacted at, nor the purpose of, a meeting need be specified in the waiver of notice of the meeting. In the case of a special meeting of shareholders, the waiver</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9"/>
          </w:cols>
          <w:pgMar w:left="240" w:top="1128" w:right="1440" w:bottom="1440" w:gutter="0" w:footer="0" w:header="0"/>
        </w:sectPr>
      </w:pPr>
    </w:p>
    <w:bookmarkStart w:id="80" w:name="page81"/>
    <w:bookmarkEnd w:id="80"/>
    <w:p>
      <w:pPr>
        <w:ind w:right="1779"/>
        <w:spacing w:after="0" w:line="237" w:lineRule="auto"/>
        <w:rPr>
          <w:sz w:val="20"/>
          <w:szCs w:val="20"/>
          <w:color w:val="auto"/>
        </w:rPr>
      </w:pPr>
      <w:r>
        <w:rPr>
          <w:rFonts w:ascii="Courier New" w:cs="Courier New" w:eastAsia="Courier New" w:hAnsi="Courier New"/>
          <w:sz w:val="18"/>
          <w:szCs w:val="18"/>
          <w:color w:val="auto"/>
        </w:rPr>
        <w:t>of notice shall specify the general nature of the business to be transacted. Attendance of a person at any meeting shall constitute a waiver of notice of the meeting except where a person attends a meeting for the express purpose of objecting, at the beginning of the meeting, to the transaction of any business because the meeting was not lawfully called or convened.</w:t>
      </w:r>
    </w:p>
    <w:p>
      <w:pPr>
        <w:spacing w:after="0" w:line="20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Section 6.05 . Modification of Proposal Contained in Notice. Whenever the language of a proposed resolution is included in a written notice of a meeting required to be given under the provisions of the Pennsylvania BCL or the Articles of Incorporation or these By-Laws, the meeting considering the resolution may without further notice adopt it with such clarifying or other amendments as do not enlarge its original purpose.</w:t>
      </w:r>
    </w:p>
    <w:p>
      <w:pPr>
        <w:spacing w:after="0" w:line="210"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Section 6.06 . Bulk Mail. Notice of any regular or special meeting of the shareholders, or any other notice required by the Pennsylvania BCL or by the Articles of Incorporation or these By-Laws to be given to all shareholders or to all holders of a class or a series of shares, may be given by any class of post-paid mail if the notice is deposited in the United States mail at least 20 days prior to the day named for the meeting or any corporate or shareholder action specified in the notice.</w:t>
      </w:r>
    </w:p>
    <w:p>
      <w:pPr>
        <w:spacing w:after="0" w:line="211"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Section 6.07 . Shareholders Without Forwarding Addresses. Notice or other communications need not be sent to any shareholder with whom the Corporation has been unable to communicate for more than 24 consecutive months because communications to the shareholder have been returned unclaimed or the shareholder has otherwise failed to provide the Corporation with a current address. Whenever the shareholder provides the Corporation with a current address, the corporation shall commence sending notices and other communications to the shareholder in the same manner as to other shareholders.</w:t>
      </w:r>
    </w:p>
    <w:p>
      <w:pPr>
        <w:spacing w:after="0" w:line="207"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ARTICLE 7</w:t>
      </w:r>
    </w:p>
    <w:p>
      <w:pPr>
        <w:ind w:left="1160"/>
        <w:spacing w:after="0" w:line="238" w:lineRule="auto"/>
        <w:rPr>
          <w:sz w:val="20"/>
          <w:szCs w:val="20"/>
          <w:color w:val="auto"/>
        </w:rPr>
      </w:pPr>
      <w:r>
        <w:rPr>
          <w:rFonts w:ascii="Courier New" w:cs="Courier New" w:eastAsia="Courier New" w:hAnsi="Courier New"/>
          <w:sz w:val="18"/>
          <w:szCs w:val="18"/>
          <w:color w:val="auto"/>
        </w:rPr>
        <w:t>LIMITATION OF DIRECTORS' LIABILITY AND INDEMNIFICATION OF</w:t>
      </w:r>
    </w:p>
    <w:p>
      <w:pPr>
        <w:ind w:left="2320"/>
        <w:spacing w:after="0"/>
        <w:rPr>
          <w:sz w:val="20"/>
          <w:szCs w:val="20"/>
          <w:color w:val="auto"/>
        </w:rPr>
      </w:pPr>
      <w:r>
        <w:rPr>
          <w:rFonts w:ascii="Courier New" w:cs="Courier New" w:eastAsia="Courier New" w:hAnsi="Courier New"/>
          <w:sz w:val="18"/>
          <w:szCs w:val="18"/>
          <w:color w:val="auto"/>
        </w:rPr>
        <w:t>DIRECTORS, OFFICERS AND OTHER PERSONS</w:t>
      </w:r>
    </w:p>
    <w:p>
      <w:pPr>
        <w:spacing w:after="0" w:line="206"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Section 7.01 . Limitation of Directors' Liability. No Director of the Corporation shall be personally liable for monetary damages as such for any action taken or any failure to take any action unless: (a) the Director has breached or failed to perform the duties of his or her office under Subchapter B of Chapter 17 of the Pennsylvania BCL (relating to standard of care and justifiable reliance), and (b) the breach or failure to perform constitutes self-dealing, wilful misconduct or recklessness; provided, however, that the provisions of this Section shall not apply to the responsibility or liability of a Director pursuant to any criminal statute, or to the liability of a Director for the payment of taxes pursuant to local, state or federal law.</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219"/>
          </w:cols>
          <w:pgMar w:left="240" w:top="1330" w:right="1440" w:bottom="1440" w:gutter="0" w:footer="0" w:header="0"/>
        </w:sectPr>
      </w:pPr>
    </w:p>
    <w:bookmarkStart w:id="81" w:name="page82"/>
    <w:bookmarkEnd w:id="81"/>
    <w:p>
      <w:pPr>
        <w:ind w:left="4"/>
        <w:spacing w:after="0"/>
        <w:rPr>
          <w:sz w:val="20"/>
          <w:szCs w:val="20"/>
          <w:color w:val="auto"/>
        </w:rPr>
      </w:pPr>
      <w:r>
        <w:rPr>
          <w:rFonts w:ascii="Courier New" w:cs="Courier New" w:eastAsia="Courier New" w:hAnsi="Courier New"/>
          <w:sz w:val="18"/>
          <w:szCs w:val="18"/>
          <w:color w:val="auto"/>
        </w:rPr>
        <w:t>Section 7.02 . Indemnification and Insurance.</w:t>
      </w:r>
    </w:p>
    <w:p>
      <w:pPr>
        <w:spacing w:after="0" w:line="201" w:lineRule="exact"/>
        <w:rPr>
          <w:sz w:val="20"/>
          <w:szCs w:val="20"/>
          <w:color w:val="auto"/>
        </w:rPr>
      </w:pPr>
    </w:p>
    <w:p>
      <w:pPr>
        <w:ind w:left="424" w:hanging="424"/>
        <w:spacing w:after="0"/>
        <w:tabs>
          <w:tab w:leader="none" w:pos="424" w:val="left"/>
        </w:tabs>
        <w:numPr>
          <w:ilvl w:val="0"/>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Indemnification of Directors and Officers.</w:t>
      </w:r>
    </w:p>
    <w:p>
      <w:pPr>
        <w:spacing w:after="0" w:line="206" w:lineRule="exact"/>
        <w:rPr>
          <w:rFonts w:ascii="Courier New" w:cs="Courier New" w:eastAsia="Courier New" w:hAnsi="Courier New"/>
          <w:sz w:val="18"/>
          <w:szCs w:val="18"/>
          <w:color w:val="auto"/>
        </w:rPr>
      </w:pPr>
    </w:p>
    <w:p>
      <w:pPr>
        <w:ind w:left="4" w:right="1879" w:firstLine="944"/>
        <w:spacing w:after="0" w:line="270" w:lineRule="auto"/>
        <w:tabs>
          <w:tab w:leader="none" w:pos="1373" w:val="left"/>
        </w:tabs>
        <w:numPr>
          <w:ilvl w:val="1"/>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Indemnitee (as defined below) shall be indemnified and held harmless by the Corporation for all actions taken by him or her and for all failures to take action (regardless of the date of any such action or failure to take action) to the fullest extent permitted by Pennsylvania law against all expense, liability and loss (including without limitation attorneys fees, judgments, fines, taxes, penalties, and amounts paid or to be paid in settlement) reasonably incurred or suffered by the Indemnitee in connection with any Proceeding (as defined below). No indemnification pursuant to this Section shall be made, however, in any case where the act or failure to act giving rise to the claim for indemnification is determined by a court to have constituted wilful misconduct or recklessness.</w:t>
      </w:r>
    </w:p>
    <w:p>
      <w:pPr>
        <w:spacing w:after="0" w:line="390" w:lineRule="exact"/>
        <w:rPr>
          <w:rFonts w:ascii="Courier New" w:cs="Courier New" w:eastAsia="Courier New" w:hAnsi="Courier New"/>
          <w:sz w:val="16"/>
          <w:szCs w:val="16"/>
          <w:color w:val="auto"/>
        </w:rPr>
      </w:pPr>
    </w:p>
    <w:p>
      <w:pPr>
        <w:ind w:left="4" w:right="1779" w:firstLine="944"/>
        <w:spacing w:after="0" w:line="270" w:lineRule="auto"/>
        <w:tabs>
          <w:tab w:leader="none" w:pos="1478" w:val="left"/>
        </w:tabs>
        <w:numPr>
          <w:ilvl w:val="1"/>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right to indemnification provided in this Section shall include the right to have the expenses incurred by the Indemnitee in defending any Proceeding paid by the Corporation in advance of the final disposition of the Proceeding to the fullest extent permitted by Pennsylvania law; provided that, if Pennsylvania law continues so to require, the payment of such expenses incurred by the Indemnitee in advance of the final disposition of a Proceeding shall be made only upon delivery to the Corporation of an undertaking, by or on behalf of the Indemnitee, to repay all amounts so advanced without interest if it shall ultimately be determined that the Indemnitee is not entitled to be indemnified under this Section or otherwise.</w:t>
      </w:r>
    </w:p>
    <w:p>
      <w:pPr>
        <w:spacing w:after="0" w:line="187" w:lineRule="exact"/>
        <w:rPr>
          <w:rFonts w:ascii="Courier New" w:cs="Courier New" w:eastAsia="Courier New" w:hAnsi="Courier New"/>
          <w:sz w:val="16"/>
          <w:szCs w:val="16"/>
          <w:color w:val="auto"/>
        </w:rPr>
      </w:pPr>
    </w:p>
    <w:p>
      <w:pPr>
        <w:ind w:left="4" w:right="1879" w:firstLine="944"/>
        <w:spacing w:after="0" w:line="273" w:lineRule="auto"/>
        <w:tabs>
          <w:tab w:leader="none" w:pos="1584" w:val="left"/>
        </w:tabs>
        <w:numPr>
          <w:ilvl w:val="1"/>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extent that an Indemnitee has been successful on the merits or otherwise in defense of any Proceeding or in defense of any claim, issue or matter therein, the Corporation shall indemnify such person against expenses (including attorneys' fees) actually and reasonably incurred by such person in connection therewith.</w:t>
      </w:r>
    </w:p>
    <w:p>
      <w:pPr>
        <w:spacing w:after="0" w:line="184" w:lineRule="exact"/>
        <w:rPr>
          <w:rFonts w:ascii="Courier New" w:cs="Courier New" w:eastAsia="Courier New" w:hAnsi="Courier New"/>
          <w:sz w:val="16"/>
          <w:szCs w:val="16"/>
          <w:color w:val="auto"/>
        </w:rPr>
      </w:pPr>
    </w:p>
    <w:p>
      <w:pPr>
        <w:ind w:left="4" w:right="1999" w:firstLine="944"/>
        <w:spacing w:after="0" w:line="237" w:lineRule="auto"/>
        <w:tabs>
          <w:tab w:leader="none" w:pos="1478" w:val="left"/>
        </w:tabs>
        <w:numPr>
          <w:ilvl w:val="1"/>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Indemnification pursuant to this Section shall continue as to an Indemnitee who has ceased to be a Director or officer and shall inure to the benefit of his or her heirs, executors and administrators.</w:t>
      </w:r>
    </w:p>
    <w:p>
      <w:pPr>
        <w:spacing w:after="0" w:line="207" w:lineRule="exact"/>
        <w:rPr>
          <w:rFonts w:ascii="Courier New" w:cs="Courier New" w:eastAsia="Courier New" w:hAnsi="Courier New"/>
          <w:sz w:val="18"/>
          <w:szCs w:val="18"/>
          <w:color w:val="auto"/>
        </w:rPr>
      </w:pPr>
    </w:p>
    <w:p>
      <w:pPr>
        <w:ind w:left="4" w:right="1779" w:firstLine="944"/>
        <w:spacing w:after="0" w:line="237" w:lineRule="auto"/>
        <w:tabs>
          <w:tab w:leader="none" w:pos="1373" w:val="left"/>
        </w:tabs>
        <w:numPr>
          <w:ilvl w:val="1"/>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purposes of this Article, (A) "Indemnitee" shall mean each Director and each officer of the Corporation who was or is a party to, or is threatened to be made a party to, or is otherwise involved in, any Proceeding, by reason of the fact that he or she is or was a Director or officer of the Corporation or is or was serving in any capacity at the request or for the benefit of the Corporation as a Director, officer, employee, agent, partner, or fiduciary of, or in any other capacity for, another corporation or any partnership, joint venture, trust, employee benefit plan, or other enterprise; and (B) "Proceeding" shall mean any</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164"/>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9263"/>
          </w:cols>
          <w:pgMar w:left="1196" w:top="1325" w:right="1440" w:bottom="1440" w:gutter="0" w:footer="0" w:header="0"/>
        </w:sectPr>
      </w:pPr>
    </w:p>
    <w:bookmarkStart w:id="82" w:name="page83"/>
    <w:bookmarkEnd w:id="82"/>
    <w:p>
      <w:pPr>
        <w:ind w:left="960" w:right="1879"/>
        <w:spacing w:after="0" w:line="237" w:lineRule="auto"/>
        <w:rPr>
          <w:sz w:val="20"/>
          <w:szCs w:val="20"/>
          <w:color w:val="auto"/>
        </w:rPr>
      </w:pPr>
      <w:r>
        <w:rPr>
          <w:rFonts w:ascii="Courier New" w:cs="Courier New" w:eastAsia="Courier New" w:hAnsi="Courier New"/>
          <w:sz w:val="18"/>
          <w:szCs w:val="18"/>
          <w:color w:val="auto"/>
        </w:rPr>
        <w:t>threatened, pending or completed action, suit or proceeding (including without limitation an action, suit or proceeding by or in the right of the Corporation), whether civil, criminal, administrative or investigative.</w:t>
      </w:r>
    </w:p>
    <w:p>
      <w:pPr>
        <w:spacing w:after="0" w:line="207" w:lineRule="exact"/>
        <w:rPr>
          <w:sz w:val="20"/>
          <w:szCs w:val="20"/>
          <w:color w:val="auto"/>
        </w:rPr>
      </w:pPr>
    </w:p>
    <w:p>
      <w:pPr>
        <w:ind w:right="1779" w:firstLine="956"/>
        <w:spacing w:after="0" w:line="238" w:lineRule="auto"/>
        <w:tabs>
          <w:tab w:leader="none" w:pos="1369" w:val="left"/>
        </w:tabs>
        <w:numPr>
          <w:ilvl w:val="0"/>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Indemnification of Employees and Other Persons. The Corporation may, by action of its Board of Directors and to the extent provided in such action, indemnify employees and other persons, and provide for advancement of expenses to such persons in the manner set forth in (a)(ii), above, as though they were Indemnitees, except that, if Pennsylvania law continues to so require, to the extent that an employee or agent of the Corporation has been successful on the merits or otherwise in defense of any Proceeding or in defense of any claim, issue or matter therein, the Corporation shall indemnify such person against expenses (including attorneys' fees) actually and reasonably incurred by such person in connection therewith. Directors and officers of entities that have merged into, or have been consolidated with, or have been liquidated into, the Corporation shall not be Indemnitees with respect to Proceedings involving any action or failure to act of such Director or officer prior to the date of such merger, consolidation or liquidation, but such persons may be indemnified by the Board of Directors pursuant to the first sentence of this Section 7.02(b).</w:t>
      </w:r>
    </w:p>
    <w:p>
      <w:pPr>
        <w:spacing w:after="0" w:line="208" w:lineRule="exact"/>
        <w:rPr>
          <w:rFonts w:ascii="Courier New" w:cs="Courier New" w:eastAsia="Courier New" w:hAnsi="Courier New"/>
          <w:sz w:val="18"/>
          <w:szCs w:val="18"/>
          <w:color w:val="auto"/>
        </w:rPr>
      </w:pPr>
    </w:p>
    <w:p>
      <w:pPr>
        <w:ind w:right="1779" w:firstLine="956"/>
        <w:spacing w:after="0" w:line="237" w:lineRule="auto"/>
        <w:tabs>
          <w:tab w:leader="none" w:pos="1369" w:val="left"/>
        </w:tabs>
        <w:numPr>
          <w:ilvl w:val="0"/>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Non-Exclusivity of Rights. The rights to indemnification and to the advancement of expenses provided in or pursuant to this Article shall not be exclusive of any other rights that any person may have or hereafter acquire under any statute, provision of the Articles of Incorporation or By-Laws, agreement, vote of shareholders or Directors, or otherwise.</w:t>
      </w:r>
    </w:p>
    <w:p>
      <w:pPr>
        <w:spacing w:after="0" w:line="208" w:lineRule="exact"/>
        <w:rPr>
          <w:rFonts w:ascii="Courier New" w:cs="Courier New" w:eastAsia="Courier New" w:hAnsi="Courier New"/>
          <w:sz w:val="18"/>
          <w:szCs w:val="18"/>
          <w:color w:val="auto"/>
        </w:rPr>
      </w:pPr>
    </w:p>
    <w:p>
      <w:pPr>
        <w:ind w:right="1879" w:firstLine="956"/>
        <w:spacing w:after="0" w:line="237" w:lineRule="auto"/>
        <w:tabs>
          <w:tab w:leader="none" w:pos="1369" w:val="left"/>
        </w:tabs>
        <w:numPr>
          <w:ilvl w:val="0"/>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Insurance. The Corporation may purchase and maintain insurance, at its expense, for the benefit of any person on behalf of whom insurance is permitted to be purchased by Pennsylvania law against any expense, liability or loss, whether or not the Corporation would have the power to indemnify such person under Pennsylvania or other law. The Corporation may also purchase and maintain insurance to insure its indemnification obligations whether arising hereunder or otherwise.</w:t>
      </w:r>
    </w:p>
    <w:p>
      <w:pPr>
        <w:spacing w:after="0" w:line="211" w:lineRule="exact"/>
        <w:rPr>
          <w:rFonts w:ascii="Courier New" w:cs="Courier New" w:eastAsia="Courier New" w:hAnsi="Courier New"/>
          <w:sz w:val="18"/>
          <w:szCs w:val="18"/>
          <w:color w:val="auto"/>
        </w:rPr>
      </w:pPr>
    </w:p>
    <w:p>
      <w:pPr>
        <w:ind w:right="1879" w:firstLine="956"/>
        <w:spacing w:after="0" w:line="237" w:lineRule="auto"/>
        <w:tabs>
          <w:tab w:leader="none" w:pos="1369" w:val="left"/>
        </w:tabs>
        <w:numPr>
          <w:ilvl w:val="0"/>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Fund For Payment of Expenses. The Corporation may create a fund of any nature, which may, but need not be, under the control of a trustee, or otherwise may secure in any manner its indemnification obligations, whether arising hereunder, under the Articles of Incorporation, by agreement, vote of shareholders or Directors, or otherwise.</w:t>
      </w:r>
    </w:p>
    <w:p>
      <w:pPr>
        <w:spacing w:after="0" w:line="209" w:lineRule="exact"/>
        <w:rPr>
          <w:sz w:val="20"/>
          <w:szCs w:val="20"/>
          <w:color w:val="auto"/>
        </w:rPr>
      </w:pPr>
    </w:p>
    <w:p>
      <w:pPr>
        <w:ind w:right="1879" w:firstLine="948"/>
        <w:spacing w:after="0" w:line="271" w:lineRule="auto"/>
        <w:rPr>
          <w:sz w:val="20"/>
          <w:szCs w:val="20"/>
          <w:color w:val="auto"/>
        </w:rPr>
      </w:pPr>
      <w:r>
        <w:rPr>
          <w:rFonts w:ascii="Courier New" w:cs="Courier New" w:eastAsia="Courier New" w:hAnsi="Courier New"/>
          <w:sz w:val="16"/>
          <w:szCs w:val="16"/>
          <w:color w:val="auto"/>
        </w:rPr>
        <w:t>Section 7.03 . Amendment. The provisions of this Article 7 relating to the limitation of Directors' and officers' liability, to indemnification and to the advancement of expenses shall constitute a contract between the Corporation and each of its Directors and officers which may be modified as to any Director or officer only with that person's consent or as specifically provided in this Section. Notwithstanding any other provision of these By-Laws relating to their amendment generally, any repeal or amendment of this Article 7 which is adverse</w:t>
      </w:r>
    </w:p>
    <w:p>
      <w:pPr>
        <w:spacing w:after="0" w:line="200" w:lineRule="exact"/>
        <w:rPr>
          <w:sz w:val="20"/>
          <w:szCs w:val="20"/>
          <w:color w:val="auto"/>
        </w:rPr>
      </w:pPr>
    </w:p>
    <w:p>
      <w:pPr>
        <w:spacing w:after="0" w:line="38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19</w:t>
      </w:r>
    </w:p>
    <w:p>
      <w:pPr>
        <w:sectPr>
          <w:pgSz w:w="11900" w:h="16838" w:orient="portrait"/>
          <w:cols w:equalWidth="0" w:num="1">
            <w:col w:w="10219"/>
          </w:cols>
          <w:pgMar w:left="240" w:top="1330" w:right="1440" w:bottom="1440" w:gutter="0" w:footer="0" w:header="0"/>
        </w:sectPr>
      </w:pPr>
    </w:p>
    <w:bookmarkStart w:id="83" w:name="page84"/>
    <w:bookmarkEnd w:id="83"/>
    <w:p>
      <w:pPr>
        <w:ind w:right="1779"/>
        <w:spacing w:after="0" w:line="238" w:lineRule="auto"/>
        <w:rPr>
          <w:sz w:val="20"/>
          <w:szCs w:val="20"/>
          <w:color w:val="auto"/>
        </w:rPr>
      </w:pPr>
      <w:r>
        <w:rPr>
          <w:rFonts w:ascii="Courier New" w:cs="Courier New" w:eastAsia="Courier New" w:hAnsi="Courier New"/>
          <w:sz w:val="18"/>
          <w:szCs w:val="18"/>
          <w:color w:val="auto"/>
        </w:rPr>
        <w:t>to any Director or officer shall apply to such Director or officer only on a prospective basis, and shall not reduce any limitation on the personal liability of a Director of the Corporation, or limit the rights of an Indemnitee to indemnification or to the advancement of expenses with respect to any action or failure to act occurring prior to the time of such repeal or amendment. Notwithstanding any other provision of these By-Laws, no repeal or amendment of these By-Laws shall affect any or all of this Article so as either to reduce the limitation of Directors' liability or limit indemnification or the advancement of expenses in any manner unless adopted by (a) the unanimous vote of the Directors of the Corporation then serving, or (b) the affirmative vote of shareholders entitled to cast at least eighty percent (80%) of the votes that all shareholders are entitled to cast in the election of Directors; provided that no such amendment shall have retroactive effect inconsistent with the preceding sentence.</w:t>
      </w:r>
    </w:p>
    <w:p>
      <w:pPr>
        <w:spacing w:after="0" w:line="208"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Section 7.04 . Changes in Pennsylvania Law. References in this Article to Pennsylvania law or to any provision thereof shall be to such law, as it existed on the date this Article was adopted or as such law thereafter may be changed; provided that (a) in the case of any change which expands the liability of Directors or limits the indemnification rights or the rights to advancement of expenses which the Corporation may provide, the rights to limited liability, to indemnification and to the advancement of expenses provided in this Article shall continue as theretofore to the extent permitted by law; and (b) if such change permits the Corporation without the requirement of any further action by shareholders or Directors to limit further the liability of Directors (or limit the liability of officers) or to provide broader indemnification rights or rights to the advancement of expenses than the Corporation was permitted to provide prior to such change, then liability thereupon shall be so limited and the rights to indemnification and the advancement of expenses shall be so broadened to the extent permitted by law.</w:t>
      </w:r>
    </w:p>
    <w:p>
      <w:pPr>
        <w:spacing w:after="0" w:line="20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8</w:t>
      </w:r>
    </w:p>
    <w:p>
      <w:pPr>
        <w:ind w:left="3700"/>
        <w:spacing w:after="0" w:line="238" w:lineRule="auto"/>
        <w:rPr>
          <w:sz w:val="20"/>
          <w:szCs w:val="20"/>
          <w:color w:val="auto"/>
        </w:rPr>
      </w:pPr>
      <w:r>
        <w:rPr>
          <w:rFonts w:ascii="Courier New" w:cs="Courier New" w:eastAsia="Courier New" w:hAnsi="Courier New"/>
          <w:sz w:val="18"/>
          <w:szCs w:val="18"/>
          <w:color w:val="auto"/>
        </w:rPr>
        <w:t>FISCAL YEAR</w:t>
      </w:r>
    </w:p>
    <w:p>
      <w:pPr>
        <w:spacing w:after="0" w:line="207"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Section 8.01 . Determination of Fiscal Year. Determination of Fiscal Year. The Board of Directors shall have the power by resolution to fix the fiscal year of the Corporation. If the Board of Directors shall fail to do so, the Chief Executive Officer shall fix the fiscal year.</w:t>
      </w:r>
    </w:p>
    <w:p>
      <w:pPr>
        <w:spacing w:after="0" w:line="20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9</w:t>
      </w:r>
    </w:p>
    <w:p>
      <w:pPr>
        <w:ind w:left="2960"/>
        <w:spacing w:after="0" w:line="238" w:lineRule="auto"/>
        <w:rPr>
          <w:sz w:val="20"/>
          <w:szCs w:val="20"/>
          <w:color w:val="auto"/>
        </w:rPr>
      </w:pPr>
      <w:r>
        <w:rPr>
          <w:rFonts w:ascii="Courier New" w:cs="Courier New" w:eastAsia="Courier New" w:hAnsi="Courier New"/>
          <w:sz w:val="18"/>
          <w:szCs w:val="18"/>
          <w:color w:val="auto"/>
        </w:rPr>
        <w:t>ARTICLES OF INCORPORATION</w:t>
      </w:r>
    </w:p>
    <w:p>
      <w:pPr>
        <w:spacing w:after="0" w:line="207" w:lineRule="exact"/>
        <w:rPr>
          <w:sz w:val="20"/>
          <w:szCs w:val="20"/>
          <w:color w:val="auto"/>
        </w:rPr>
      </w:pPr>
    </w:p>
    <w:p>
      <w:pPr>
        <w:ind w:right="1999" w:firstLine="948"/>
        <w:spacing w:after="0" w:line="279" w:lineRule="auto"/>
        <w:rPr>
          <w:sz w:val="20"/>
          <w:szCs w:val="20"/>
          <w:color w:val="auto"/>
        </w:rPr>
      </w:pPr>
      <w:r>
        <w:rPr>
          <w:rFonts w:ascii="Courier New" w:cs="Courier New" w:eastAsia="Courier New" w:hAnsi="Courier New"/>
          <w:sz w:val="16"/>
          <w:szCs w:val="16"/>
          <w:color w:val="auto"/>
        </w:rPr>
        <w:t>Section 9.01 . Inconsistent Provisions. In the event of any conflict between the provisions of these By-Laws and the provisions of the Articles of Incorporation, including, but not limited to, Article SIXTH of the Articles of</w:t>
      </w:r>
    </w:p>
    <w:p>
      <w:pPr>
        <w:spacing w:after="0" w:line="200" w:lineRule="exact"/>
        <w:rPr>
          <w:sz w:val="20"/>
          <w:szCs w:val="20"/>
          <w:color w:val="auto"/>
        </w:rPr>
      </w:pPr>
    </w:p>
    <w:p>
      <w:pPr>
        <w:spacing w:after="0" w:line="37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20</w:t>
      </w:r>
    </w:p>
    <w:p>
      <w:pPr>
        <w:sectPr>
          <w:pgSz w:w="11900" w:h="16838" w:orient="portrait"/>
          <w:cols w:equalWidth="0" w:num="1">
            <w:col w:w="10219"/>
          </w:cols>
          <w:pgMar w:left="240" w:top="1330" w:right="1440" w:bottom="1440" w:gutter="0" w:footer="0" w:header="0"/>
        </w:sectPr>
      </w:pPr>
    </w:p>
    <w:bookmarkStart w:id="84" w:name="page85"/>
    <w:bookmarkEnd w:id="84"/>
    <w:p>
      <w:pPr>
        <w:ind w:right="1879"/>
        <w:spacing w:after="0" w:line="235" w:lineRule="auto"/>
        <w:rPr>
          <w:sz w:val="20"/>
          <w:szCs w:val="20"/>
          <w:color w:val="auto"/>
        </w:rPr>
      </w:pPr>
      <w:r>
        <w:rPr>
          <w:rFonts w:ascii="Courier New" w:cs="Courier New" w:eastAsia="Courier New" w:hAnsi="Courier New"/>
          <w:sz w:val="18"/>
          <w:szCs w:val="18"/>
          <w:color w:val="auto"/>
        </w:rPr>
        <w:t>Incorporation, the provisions of the Articles of Incorporation shall govern and control.</w:t>
      </w:r>
    </w:p>
    <w:p>
      <w:pPr>
        <w:spacing w:after="0" w:line="203"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10</w:t>
      </w:r>
    </w:p>
    <w:p>
      <w:pPr>
        <w:ind w:left="3700"/>
        <w:spacing w:after="0" w:line="238" w:lineRule="auto"/>
        <w:rPr>
          <w:sz w:val="20"/>
          <w:szCs w:val="20"/>
          <w:color w:val="auto"/>
        </w:rPr>
      </w:pPr>
      <w:r>
        <w:rPr>
          <w:rFonts w:ascii="Courier New" w:cs="Courier New" w:eastAsia="Courier New" w:hAnsi="Courier New"/>
          <w:sz w:val="18"/>
          <w:szCs w:val="18"/>
          <w:color w:val="auto"/>
        </w:rPr>
        <w:t>AMENDMENTS</w:t>
      </w:r>
    </w:p>
    <w:p>
      <w:pPr>
        <w:spacing w:after="0" w:line="207" w:lineRule="exact"/>
        <w:rPr>
          <w:sz w:val="20"/>
          <w:szCs w:val="20"/>
          <w:color w:val="auto"/>
        </w:rPr>
      </w:pPr>
    </w:p>
    <w:p>
      <w:pPr>
        <w:ind w:right="2099" w:firstLine="948"/>
        <w:spacing w:after="0" w:line="236" w:lineRule="auto"/>
        <w:rPr>
          <w:sz w:val="20"/>
          <w:szCs w:val="20"/>
          <w:color w:val="auto"/>
        </w:rPr>
      </w:pPr>
      <w:r>
        <w:rPr>
          <w:rFonts w:ascii="Courier New" w:cs="Courier New" w:eastAsia="Courier New" w:hAnsi="Courier New"/>
          <w:sz w:val="18"/>
          <w:szCs w:val="18"/>
          <w:color w:val="auto"/>
        </w:rPr>
        <w:t>Section 10.01 . Amendments. Except as otherwise provided in these By-Laws or in the Articles of Incorporation, including Article SIXTH, Article SEVENTH and Article TENTH of the Articles of Incorporation:</w:t>
      </w:r>
    </w:p>
    <w:p>
      <w:pPr>
        <w:spacing w:after="0" w:line="209" w:lineRule="exact"/>
        <w:rPr>
          <w:sz w:val="20"/>
          <w:szCs w:val="20"/>
          <w:color w:val="auto"/>
        </w:rPr>
      </w:pPr>
    </w:p>
    <w:p>
      <w:pPr>
        <w:ind w:right="1879" w:firstLine="956"/>
        <w:spacing w:after="0" w:line="271" w:lineRule="auto"/>
        <w:tabs>
          <w:tab w:leader="none" w:pos="1369" w:val="left"/>
        </w:tabs>
        <w:numPr>
          <w:ilvl w:val="0"/>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Shareholders. The shareholders entitled to vote thereon shall have the power to alter, amend or repeal these By-Laws, by the vote of a majority of the votes cast at a duly organized meeting of shareholders by the holders of shares entitled to vote thereon, at any regular or special meeting, duly convened after notice to the shareholders of such purpose. In the case of a meeting of shareholders to amend or repeal these By-Laws, written notice shall be given to each shareholder that the purpose, or one of the purposes, of the meeting is to consider the adoption, amendment or repeal of the By-Laws.</w:t>
      </w:r>
    </w:p>
    <w:p>
      <w:pPr>
        <w:spacing w:after="0" w:line="185" w:lineRule="exact"/>
        <w:rPr>
          <w:rFonts w:ascii="Courier New" w:cs="Courier New" w:eastAsia="Courier New" w:hAnsi="Courier New"/>
          <w:sz w:val="16"/>
          <w:szCs w:val="16"/>
          <w:color w:val="auto"/>
        </w:rPr>
      </w:pPr>
    </w:p>
    <w:p>
      <w:pPr>
        <w:ind w:right="1879" w:firstLine="956"/>
        <w:spacing w:after="0" w:line="271" w:lineRule="auto"/>
        <w:tabs>
          <w:tab w:leader="none" w:pos="1369" w:val="left"/>
        </w:tabs>
        <w:numPr>
          <w:ilvl w:val="0"/>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Board of Directors. The Board of Directors (but not a committee thereof) shall have the power to alter, amend and repeal these By-Laws, regardless of whether the shareholders have previously adopted the By-Law being amended or repealed, subject to the power of the shareholders to change such action; provided, however, that the Board of Directors shall not have the power to amend these By-Laws on any subject that is expressly committed to the shareholders by the express terms hereof, by the Pennsylvania BCL or otherwise.</w:t>
      </w:r>
    </w:p>
    <w:p>
      <w:pPr>
        <w:spacing w:after="0" w:line="18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ARTICLE 11</w:t>
      </w:r>
    </w:p>
    <w:p>
      <w:pPr>
        <w:jc w:val="center"/>
        <w:ind w:right="1659"/>
        <w:spacing w:after="0" w:line="238" w:lineRule="auto"/>
        <w:rPr>
          <w:sz w:val="20"/>
          <w:szCs w:val="20"/>
          <w:color w:val="auto"/>
        </w:rPr>
      </w:pPr>
      <w:r>
        <w:rPr>
          <w:rFonts w:ascii="Courier New" w:cs="Courier New" w:eastAsia="Courier New" w:hAnsi="Courier New"/>
          <w:sz w:val="18"/>
          <w:szCs w:val="18"/>
          <w:color w:val="auto"/>
        </w:rPr>
        <w:t>INTERPRETATION OF BY-LAWS; SEPARABILITY</w:t>
      </w:r>
    </w:p>
    <w:p>
      <w:pPr>
        <w:spacing w:after="0" w:line="207" w:lineRule="exact"/>
        <w:rPr>
          <w:sz w:val="20"/>
          <w:szCs w:val="20"/>
          <w:color w:val="auto"/>
        </w:rPr>
      </w:pPr>
    </w:p>
    <w:p>
      <w:pPr>
        <w:ind w:right="2199" w:firstLine="948"/>
        <w:spacing w:after="0" w:line="236" w:lineRule="auto"/>
        <w:rPr>
          <w:sz w:val="20"/>
          <w:szCs w:val="20"/>
          <w:color w:val="auto"/>
        </w:rPr>
      </w:pPr>
      <w:r>
        <w:rPr>
          <w:rFonts w:ascii="Courier New" w:cs="Courier New" w:eastAsia="Courier New" w:hAnsi="Courier New"/>
          <w:sz w:val="18"/>
          <w:szCs w:val="18"/>
          <w:color w:val="auto"/>
        </w:rPr>
        <w:t>Section 11.01 . Interpretation. All words, terms and provisions of these By-Laws shall be interpreted and defined by and in accordance with the Pennsylvania BCL.</w:t>
      </w:r>
    </w:p>
    <w:p>
      <w:pPr>
        <w:spacing w:after="0" w:line="209" w:lineRule="exact"/>
        <w:rPr>
          <w:sz w:val="20"/>
          <w:szCs w:val="20"/>
          <w:color w:val="auto"/>
        </w:rPr>
      </w:pPr>
    </w:p>
    <w:p>
      <w:pPr>
        <w:ind w:right="1779" w:firstLine="948"/>
        <w:spacing w:after="0" w:line="275" w:lineRule="auto"/>
        <w:rPr>
          <w:sz w:val="20"/>
          <w:szCs w:val="20"/>
          <w:color w:val="auto"/>
        </w:rPr>
      </w:pPr>
      <w:r>
        <w:rPr>
          <w:rFonts w:ascii="Courier New" w:cs="Courier New" w:eastAsia="Courier New" w:hAnsi="Courier New"/>
          <w:sz w:val="16"/>
          <w:szCs w:val="16"/>
          <w:color w:val="auto"/>
        </w:rPr>
        <w:t>Section 11.02 . Separability. The provisions of these By-Laws are independent of and separable from each other, and no provision shall be affected or rendered invalid or unenforceable by virtue of the fact that for any reason any other or others of them may be invalid or unenforceable in whole or in part.</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21</w:t>
      </w:r>
    </w:p>
    <w:p>
      <w:pPr>
        <w:sectPr>
          <w:pgSz w:w="11900" w:h="16838" w:orient="portrait"/>
          <w:cols w:equalWidth="0" w:num="1">
            <w:col w:w="10219"/>
          </w:cols>
          <w:pgMar w:left="240" w:top="1330" w:right="1440" w:bottom="1440" w:gutter="0" w:footer="0" w:header="0"/>
        </w:sectPr>
      </w:pPr>
    </w:p>
    <w:bookmarkStart w:id="85" w:name="page86"/>
    <w:bookmarkEnd w:id="85"/>
    <w:p>
      <w:pPr>
        <w:ind w:left="3700"/>
        <w:spacing w:after="0"/>
        <w:rPr>
          <w:sz w:val="20"/>
          <w:szCs w:val="20"/>
          <w:color w:val="auto"/>
        </w:rPr>
      </w:pPr>
      <w:r>
        <w:rPr>
          <w:rFonts w:ascii="Courier New" w:cs="Courier New" w:eastAsia="Courier New" w:hAnsi="Courier New"/>
          <w:sz w:val="18"/>
          <w:szCs w:val="18"/>
          <w:color w:val="auto"/>
        </w:rPr>
        <w:t>ARTICLE 12</w:t>
      </w:r>
    </w:p>
    <w:p>
      <w:pPr>
        <w:ind w:left="2860"/>
        <w:spacing w:after="0" w:line="238" w:lineRule="auto"/>
        <w:rPr>
          <w:sz w:val="20"/>
          <w:szCs w:val="20"/>
          <w:color w:val="auto"/>
        </w:rPr>
      </w:pPr>
      <w:r>
        <w:rPr>
          <w:rFonts w:ascii="Courier New" w:cs="Courier New" w:eastAsia="Courier New" w:hAnsi="Courier New"/>
          <w:sz w:val="18"/>
          <w:szCs w:val="18"/>
          <w:color w:val="auto"/>
        </w:rPr>
        <w:t>DETERMINATIONS BY THE BOARD</w:t>
      </w:r>
    </w:p>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Section 12.01 . Effect of Board Determinations. Any determination involving interpretation or application of these By-Laws made in good faith by the Board of Directors shall be final, binding and conclusive on all parties in interest.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22</w:t>
      </w:r>
    </w:p>
    <w:p>
      <w:pPr>
        <w:sectPr>
          <w:pgSz w:w="11900" w:h="16838" w:orient="portrait"/>
          <w:cols w:equalWidth="0" w:num="1">
            <w:col w:w="10219"/>
          </w:cols>
          <w:pgMar w:left="240" w:top="1325" w:right="1440" w:bottom="1440" w:gutter="0" w:footer="0" w:header="0"/>
        </w:sectPr>
      </w:pPr>
    </w:p>
    <w:bookmarkStart w:id="86" w:name="page87"/>
    <w:bookmarkEnd w:id="86"/>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87" w:name="page88"/>
    <w:bookmarkEnd w:id="87"/>
    <w:p>
      <w:pPr>
        <w:ind w:left="3160"/>
        <w:spacing w:after="0"/>
        <w:rPr>
          <w:sz w:val="20"/>
          <w:szCs w:val="20"/>
          <w:color w:val="auto"/>
        </w:rPr>
      </w:pPr>
      <w:r>
        <w:rPr>
          <w:rFonts w:ascii="Courier New" w:cs="Courier New" w:eastAsia="Courier New" w:hAnsi="Courier New"/>
          <w:sz w:val="18"/>
          <w:szCs w:val="18"/>
          <w:color w:val="auto"/>
        </w:rPr>
        <w:t>CONSULTING AGREEMENT</w:t>
      </w:r>
    </w:p>
    <w:p>
      <w:pPr>
        <w:spacing w:after="0" w:line="207" w:lineRule="exact"/>
        <w:rPr>
          <w:sz w:val="20"/>
          <w:szCs w:val="20"/>
          <w:color w:val="auto"/>
        </w:rPr>
      </w:pPr>
    </w:p>
    <w:p>
      <w:pPr>
        <w:ind w:right="2099" w:firstLine="948"/>
        <w:spacing w:after="0" w:line="237" w:lineRule="auto"/>
        <w:rPr>
          <w:sz w:val="20"/>
          <w:szCs w:val="20"/>
          <w:color w:val="auto"/>
        </w:rPr>
      </w:pPr>
      <w:r>
        <w:rPr>
          <w:rFonts w:ascii="Courier New" w:cs="Courier New" w:eastAsia="Courier New" w:hAnsi="Courier New"/>
          <w:sz w:val="18"/>
          <w:szCs w:val="18"/>
          <w:color w:val="auto"/>
        </w:rPr>
        <w:t>CONSULTING AGREEMENT ("Agreement"), made as of May 26, 2004, by and between Comcast Corporation, a Pennsylvania corporation (together with its successors and assigns permitted under this Agreement, the "Company"), and C. Michael Armstrong (the "Consultant").</w:t>
      </w:r>
    </w:p>
    <w:p>
      <w:pPr>
        <w:spacing w:after="0" w:line="20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WITNESSETH:</w:t>
      </w:r>
    </w:p>
    <w:p>
      <w:pPr>
        <w:spacing w:after="0" w:line="207" w:lineRule="exact"/>
        <w:rPr>
          <w:sz w:val="20"/>
          <w:szCs w:val="20"/>
          <w:color w:val="auto"/>
        </w:rPr>
      </w:pPr>
    </w:p>
    <w:p>
      <w:pPr>
        <w:ind w:right="2319" w:firstLine="948"/>
        <w:spacing w:after="0" w:line="235" w:lineRule="auto"/>
        <w:rPr>
          <w:sz w:val="20"/>
          <w:szCs w:val="20"/>
          <w:color w:val="auto"/>
        </w:rPr>
      </w:pPr>
      <w:r>
        <w:rPr>
          <w:rFonts w:ascii="Courier New" w:cs="Courier New" w:eastAsia="Courier New" w:hAnsi="Courier New"/>
          <w:sz w:val="18"/>
          <w:szCs w:val="18"/>
          <w:color w:val="auto"/>
        </w:rPr>
        <w:t>WHEREAS, the Consultant is employed by the Company pursuant to the Employment Agreement (as defined herein); and</w:t>
      </w:r>
    </w:p>
    <w:p>
      <w:pPr>
        <w:spacing w:after="0" w:line="208" w:lineRule="exact"/>
        <w:rPr>
          <w:sz w:val="20"/>
          <w:szCs w:val="20"/>
          <w:color w:val="auto"/>
        </w:rPr>
      </w:pPr>
    </w:p>
    <w:p>
      <w:pPr>
        <w:ind w:right="2319" w:firstLine="948"/>
        <w:spacing w:after="0" w:line="236" w:lineRule="auto"/>
        <w:rPr>
          <w:sz w:val="20"/>
          <w:szCs w:val="20"/>
          <w:color w:val="auto"/>
        </w:rPr>
      </w:pPr>
      <w:r>
        <w:rPr>
          <w:rFonts w:ascii="Courier New" w:cs="Courier New" w:eastAsia="Courier New" w:hAnsi="Courier New"/>
          <w:sz w:val="18"/>
          <w:szCs w:val="18"/>
          <w:color w:val="auto"/>
        </w:rPr>
        <w:t>WHEREAS, the Consultant has elected to retire from his position as Non-Executive Chairman of the Board and to retire from employment with the Company, effective May 26, 2004; and</w:t>
      </w:r>
    </w:p>
    <w:p>
      <w:pPr>
        <w:spacing w:after="0" w:line="20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WHEREAS, the Company desires to retain the benefit of the Consultant's knowledge and experience by retaining the Consultant, and the Consultant desires to accept such position, for the term and upon the other conditions hereinafter set forth; and</w:t>
      </w:r>
    </w:p>
    <w:p>
      <w:pPr>
        <w:spacing w:after="0" w:line="207"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WHEREAS, in connection with Consultant's retirement from his position as Non-Executive Chairman of the Board and retirement from employment with the Company, the parties desire to supersede and replace the Employment Agreement with this Agreement; and</w:t>
      </w:r>
    </w:p>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WHEREAS, concurrent with the execution of this Agreement, the parties shall also execute the First Amendment to the Consulting Agreement, dated as of the date hereof (the "First Amendment"), which shall govern the terms under which Consultant may defer certain compensation received under this Agreement, as more fully provided for in the First Amendment.</w:t>
      </w:r>
    </w:p>
    <w:p>
      <w:pPr>
        <w:spacing w:after="0" w:line="209"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NOW, THEREFORE, in consideration of the mutual promises and agreements contained herein and for other good and valuable consideration, the receipt of which is mutually acknowledged, the Company and the Consultant (individually a "Party" and together the "Parties") agree as follows:</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Section 1 . Definitions.</w:t>
      </w:r>
    </w:p>
    <w:p>
      <w:pPr>
        <w:spacing w:after="0" w:line="207" w:lineRule="exact"/>
        <w:rPr>
          <w:sz w:val="20"/>
          <w:szCs w:val="20"/>
          <w:color w:val="auto"/>
        </w:rPr>
      </w:pPr>
    </w:p>
    <w:p>
      <w:pPr>
        <w:ind w:right="1779" w:firstLine="956"/>
        <w:spacing w:after="0" w:line="236" w:lineRule="auto"/>
        <w:tabs>
          <w:tab w:leader="none" w:pos="1369" w:val="left"/>
        </w:tabs>
        <w:numPr>
          <w:ilvl w:val="0"/>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"Affiliate" of a person or other entity shall mean a person or other entity that directly or indirectly controls, is controlled by, or is under common control with the person or other entity specified.</w:t>
      </w:r>
    </w:p>
    <w:p>
      <w:pPr>
        <w:spacing w:after="0" w:line="203" w:lineRule="exact"/>
        <w:rPr>
          <w:rFonts w:ascii="Courier New" w:cs="Courier New" w:eastAsia="Courier New" w:hAnsi="Courier New"/>
          <w:sz w:val="18"/>
          <w:szCs w:val="18"/>
          <w:color w:val="auto"/>
        </w:rPr>
      </w:pPr>
    </w:p>
    <w:p>
      <w:pPr>
        <w:ind w:left="1380" w:hanging="424"/>
        <w:spacing w:after="0"/>
        <w:tabs>
          <w:tab w:leader="none" w:pos="1380" w:val="left"/>
        </w:tabs>
        <w:numPr>
          <w:ilvl w:val="0"/>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 shall mean AT&amp;T Corp., a New York corporation.</w:t>
      </w:r>
    </w:p>
    <w:p>
      <w:pPr>
        <w:spacing w:after="0" w:line="201" w:lineRule="exact"/>
        <w:rPr>
          <w:rFonts w:ascii="Courier New" w:cs="Courier New" w:eastAsia="Courier New" w:hAnsi="Courier New"/>
          <w:sz w:val="18"/>
          <w:szCs w:val="18"/>
          <w:color w:val="auto"/>
        </w:rPr>
      </w:pPr>
    </w:p>
    <w:p>
      <w:pPr>
        <w:ind w:left="1380" w:hanging="424"/>
        <w:spacing w:after="0"/>
        <w:tabs>
          <w:tab w:leader="none" w:pos="1380" w:val="left"/>
        </w:tabs>
        <w:numPr>
          <w:ilvl w:val="0"/>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"Board" shall mean the Board of Directors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1380" w:hanging="424"/>
        <w:spacing w:after="0"/>
        <w:tabs>
          <w:tab w:leader="none" w:pos="1380" w:val="left"/>
        </w:tabs>
        <w:numPr>
          <w:ilvl w:val="0"/>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"Broadband" shall mean AT&amp;T Broadband Corp., a Delaware</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corporation.</w:t>
      </w:r>
    </w:p>
    <w:p>
      <w:pPr>
        <w:spacing w:after="0" w:line="201" w:lineRule="exact"/>
        <w:rPr>
          <w:rFonts w:ascii="Courier New" w:cs="Courier New" w:eastAsia="Courier New" w:hAnsi="Courier New"/>
          <w:sz w:val="18"/>
          <w:szCs w:val="18"/>
          <w:color w:val="auto"/>
        </w:rPr>
      </w:pPr>
    </w:p>
    <w:p>
      <w:pPr>
        <w:ind w:left="1380" w:hanging="424"/>
        <w:spacing w:after="0"/>
        <w:tabs>
          <w:tab w:leader="none" w:pos="1380" w:val="left"/>
        </w:tabs>
        <w:numPr>
          <w:ilvl w:val="0"/>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"Cause" shall mean:</w:t>
      </w:r>
    </w:p>
    <w:p>
      <w:pPr>
        <w:spacing w:after="0" w:line="206" w:lineRule="exact"/>
        <w:rPr>
          <w:rFonts w:ascii="Courier New" w:cs="Courier New" w:eastAsia="Courier New" w:hAnsi="Courier New"/>
          <w:sz w:val="18"/>
          <w:szCs w:val="18"/>
          <w:color w:val="auto"/>
        </w:rPr>
      </w:pPr>
    </w:p>
    <w:p>
      <w:pPr>
        <w:ind w:left="960" w:right="2319" w:firstLine="944"/>
        <w:spacing w:after="0" w:line="235" w:lineRule="auto"/>
        <w:tabs>
          <w:tab w:leader="none" w:pos="2329" w:val="left"/>
        </w:tabs>
        <w:numPr>
          <w:ilvl w:val="1"/>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Consultant is convicted of a felony involving the Consultant's moral turpitude; or</w:t>
      </w:r>
    </w:p>
    <w:p>
      <w:pPr>
        <w:spacing w:after="0" w:line="208" w:lineRule="exact"/>
        <w:rPr>
          <w:rFonts w:ascii="Courier New" w:cs="Courier New" w:eastAsia="Courier New" w:hAnsi="Courier New"/>
          <w:sz w:val="18"/>
          <w:szCs w:val="18"/>
          <w:color w:val="auto"/>
        </w:rPr>
      </w:pPr>
    </w:p>
    <w:p>
      <w:pPr>
        <w:ind w:left="960" w:right="1879" w:firstLine="944"/>
        <w:spacing w:after="0" w:line="237" w:lineRule="auto"/>
        <w:tabs>
          <w:tab w:leader="none" w:pos="2435" w:val="left"/>
        </w:tabs>
        <w:numPr>
          <w:ilvl w:val="1"/>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Consultant is guilty of willful gross neglect or willful gross misconduct in carrying out his duties under this Agreement, resulting, in either case, in material economic harm to the Company, unless the Consultant believed in good faith that such act or nonact was in the best interests of the Company.</w:t>
      </w:r>
    </w:p>
    <w:p>
      <w:pPr>
        <w:spacing w:after="0" w:line="208" w:lineRule="exact"/>
        <w:rPr>
          <w:rFonts w:ascii="Courier New" w:cs="Courier New" w:eastAsia="Courier New" w:hAnsi="Courier New"/>
          <w:sz w:val="18"/>
          <w:szCs w:val="18"/>
          <w:color w:val="auto"/>
        </w:rPr>
      </w:pPr>
    </w:p>
    <w:p>
      <w:pPr>
        <w:ind w:right="2619" w:firstLine="956"/>
        <w:spacing w:after="0" w:line="235" w:lineRule="auto"/>
        <w:tabs>
          <w:tab w:leader="none" w:pos="1369" w:val="left"/>
        </w:tabs>
        <w:numPr>
          <w:ilvl w:val="0"/>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 in Control" shall mean the occurrence of any of the following events:</w:t>
      </w:r>
    </w:p>
    <w:p>
      <w:pPr>
        <w:spacing w:after="0" w:line="208" w:lineRule="exact"/>
        <w:rPr>
          <w:rFonts w:ascii="Courier New" w:cs="Courier New" w:eastAsia="Courier New" w:hAnsi="Courier New"/>
          <w:sz w:val="18"/>
          <w:szCs w:val="18"/>
          <w:color w:val="auto"/>
        </w:rPr>
      </w:pPr>
    </w:p>
    <w:p>
      <w:pPr>
        <w:ind w:left="960" w:right="1779" w:firstLine="944"/>
        <w:spacing w:after="0" w:line="271" w:lineRule="auto"/>
        <w:tabs>
          <w:tab w:leader="none" w:pos="2329" w:val="left"/>
        </w:tabs>
        <w:numPr>
          <w:ilvl w:val="1"/>
          <w:numId w:val="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acquisition by any individual, entity or group (within the meaning of Section 13(d)(3) or 14(d)(2) of the Securities Exchange Act of 1934 (the "Exchange Act")) (an "Entity") of beneficial ownership (within the meaning of Rule 13d-3 promulgated under the Exchange Act) of 20% or more of either (A) the then outstanding shares of common stock of the Company (the "Outstanding Company Stock") or (B) the combined voting power of the then outstanding voting securities of the Company entitled to vote generally in the election of directors (the "Outstanding Company Voting Securities"); excluding, however, the</w:t>
      </w:r>
    </w:p>
    <w:p>
      <w:pPr>
        <w:sectPr>
          <w:pgSz w:w="11900" w:h="16838" w:orient="portrait"/>
          <w:cols w:equalWidth="0" w:num="1">
            <w:col w:w="10219"/>
          </w:cols>
          <w:pgMar w:left="240" w:top="136" w:right="1440" w:bottom="0" w:gutter="0" w:footer="0" w:header="0"/>
        </w:sectPr>
      </w:pPr>
    </w:p>
    <w:bookmarkStart w:id="88" w:name="page89"/>
    <w:bookmarkEnd w:id="88"/>
    <w:p>
      <w:pPr>
        <w:ind w:right="1779"/>
        <w:spacing w:after="0" w:line="271" w:lineRule="auto"/>
        <w:rPr>
          <w:sz w:val="20"/>
          <w:szCs w:val="20"/>
          <w:color w:val="auto"/>
        </w:rPr>
      </w:pPr>
      <w:r>
        <w:rPr>
          <w:rFonts w:ascii="Courier New" w:cs="Courier New" w:eastAsia="Courier New" w:hAnsi="Courier New"/>
          <w:sz w:val="16"/>
          <w:szCs w:val="16"/>
          <w:color w:val="auto"/>
        </w:rPr>
        <w:t>following: (1) any acquisition directly from the Company, other than an acquisition by virtue of the exercise of a conversion privilege unless the security being so converted was itself acquired directly from the Company, (2) any acquisition by the Company, (3) any acquisition by any employee benefit plan (or related trust) sponsored or maintained by the Company or any corporation controlled by the Company, or (4) any acquisition by any corporation pursuant to a transaction which complies with clauses (A), (B) and (C) of subsection (iii) of this Section 1(f);</w:t>
      </w:r>
    </w:p>
    <w:p>
      <w:pPr>
        <w:spacing w:after="0" w:line="186" w:lineRule="exact"/>
        <w:rPr>
          <w:sz w:val="20"/>
          <w:szCs w:val="20"/>
          <w:color w:val="auto"/>
        </w:rPr>
      </w:pPr>
    </w:p>
    <w:p>
      <w:pPr>
        <w:ind w:right="1779" w:firstLine="944"/>
        <w:spacing w:after="0" w:line="237" w:lineRule="auto"/>
        <w:tabs>
          <w:tab w:leader="none" w:pos="1475" w:val="left"/>
        </w:tabs>
        <w:numPr>
          <w:ilvl w:val="0"/>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change in the composition of the Board such that the individuals who, as of the effective date of this Agreement, constitute the Board (such Board shall be hereinafter referred to as the "Incumbent Board") cease for any reason to constitute at least a majority of the Board; provided, however, that for purposes of this definition, any individual who becomes a member of the Board subsequent to the effective date of this Agreement, whose election, or nomination for election, by the Company's shareholders was approved by a vote of at least a two-thirds majority of those individuals who are members of the Board and who were also members of the Incumbent Board (or deemed to be such pursuant to this</w:t>
      </w:r>
    </w:p>
    <w:p>
      <w:pPr>
        <w:spacing w:after="0" w:line="200" w:lineRule="exact"/>
        <w:rPr>
          <w:sz w:val="20"/>
          <w:szCs w:val="20"/>
          <w:color w:val="auto"/>
        </w:rPr>
      </w:pPr>
    </w:p>
    <w:p>
      <w:pPr>
        <w:spacing w:after="0" w:line="213"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9259"/>
          </w:cols>
          <w:pgMar w:left="1200" w:top="142" w:right="1440" w:bottom="1440" w:gutter="0" w:footer="0" w:header="0"/>
        </w:sectPr>
      </w:pPr>
    </w:p>
    <w:bookmarkStart w:id="89" w:name="page90"/>
    <w:bookmarkEnd w:id="89"/>
    <w:p>
      <w:pPr>
        <w:ind w:right="1779"/>
        <w:spacing w:after="0" w:line="237" w:lineRule="auto"/>
        <w:rPr>
          <w:sz w:val="20"/>
          <w:szCs w:val="20"/>
          <w:color w:val="auto"/>
        </w:rPr>
      </w:pPr>
      <w:r>
        <w:rPr>
          <w:rFonts w:ascii="Courier New" w:cs="Courier New" w:eastAsia="Courier New" w:hAnsi="Courier New"/>
          <w:sz w:val="18"/>
          <w:szCs w:val="18"/>
          <w:color w:val="auto"/>
        </w:rPr>
        <w:t>proviso) shall be considered as though such individual were a member of the Incumbent Board; and provided, further however, that any such individual whose initial assumption of office occurs as a result of or in connection with either an actual or threatened election contest (as such terms are used in Rule 14a-11 of Regulation 14A promulgated under the Exchange Act) or other actual or threatened solicitation of proxies or consents by or on behalf of an Entity other than the Board shall not be so considered as a member of the Incumbent Board;</w:t>
      </w:r>
    </w:p>
    <w:p>
      <w:pPr>
        <w:spacing w:after="0" w:line="212" w:lineRule="exact"/>
        <w:rPr>
          <w:sz w:val="20"/>
          <w:szCs w:val="20"/>
          <w:color w:val="auto"/>
        </w:rPr>
      </w:pPr>
    </w:p>
    <w:p>
      <w:pPr>
        <w:ind w:right="1779" w:firstLine="944"/>
        <w:spacing w:after="0" w:line="268" w:lineRule="auto"/>
        <w:tabs>
          <w:tab w:leader="none" w:pos="1580" w:val="left"/>
        </w:tabs>
        <w:numPr>
          <w:ilvl w:val="0"/>
          <w:numId w:val="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merger, reorganization or consolidation to which the Company is a party or a sale or other disposition of all or substantially all of the assets of the Company (each, a "Corporate Transaction"); excluding however, such a Corporate Transaction pursuant to which (A) all or substantially all of the individuals and entities who are the beneficial owners, respectively, of the Outstanding Company Stock and Outstanding Company Voting Securities immediately prior to such Corporate Transaction will beneficially own, directly or indirectly, more than 60% of, respectively, the outstanding shares of common stock, and the combined voting power of the then outstanding voting securities entitled to vote generally in the election of directors, as the case may be, of the corporation resulting from such Corporate Transaction (including, without limitation, a corporation or other person which as a result of such transaction owns the Company or all or substantially all of the Company's assets either directly or through one or more subsidiaries (a "Parent Company")) in substantially the same proportions as their ownership, immediately prior to such Corporate Transaction, of the Outstanding Company Stock and Outstanding Company Voting Securities, as the case may be, (B) no Entity (other than the Company, any employee benefit plan (or related trust) of the Company, such corporation resulting from such Corporate Transaction (or, if reference was made to equity ownership of any Parent Company for purposes of determining whether clause (A) above is satisfied in connection with the applicable Corporate Transaction, such Parent Company) will beneficially own, directly or indirectly, 20% or more of, respectively, the outstanding shares of common stock of the corporation resulting from such Corporate Transaction (or, if reference was made to equity ownership of any Parent Company for purposes of determining whether clause (A) above is satisfied in connection with the applicable Corporate Transaction, such Parent Company) or the combined voting power of the outstanding voting securities of such corporation entitled to vote generally in the election of directors unless such ownership resulted solely from ownership of securities of the Company prior to the Corporate Transaction, and (C) individuals who were members of the Incumbent Board will immediately after the consummation of the Corporate Transaction constitute at least a two-thirds majority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9259"/>
          </w:cols>
          <w:pgMar w:left="1200" w:top="925" w:right="1440" w:bottom="1440" w:gutter="0" w:footer="0" w:header="0"/>
        </w:sectPr>
      </w:pPr>
    </w:p>
    <w:bookmarkStart w:id="90" w:name="page91"/>
    <w:bookmarkEnd w:id="90"/>
    <w:p>
      <w:pPr>
        <w:ind w:left="4" w:right="2199"/>
        <w:spacing w:after="0" w:line="273" w:lineRule="auto"/>
        <w:rPr>
          <w:sz w:val="20"/>
          <w:szCs w:val="20"/>
          <w:color w:val="auto"/>
        </w:rPr>
      </w:pPr>
      <w:r>
        <w:rPr>
          <w:rFonts w:ascii="Courier New" w:cs="Courier New" w:eastAsia="Courier New" w:hAnsi="Courier New"/>
          <w:sz w:val="16"/>
          <w:szCs w:val="16"/>
          <w:color w:val="auto"/>
        </w:rPr>
        <w:t>members of the board of directors of the corporation resulting from such Corporate Transaction (or, if reference was made to equity ownership of any Parent Company for purposes of determining whether clause (A) above is satisfied in connection with the applicable Corporate Transaction, of the Parent Company); or</w:t>
      </w:r>
    </w:p>
    <w:p>
      <w:pPr>
        <w:spacing w:after="0" w:line="185" w:lineRule="exact"/>
        <w:rPr>
          <w:sz w:val="20"/>
          <w:szCs w:val="20"/>
          <w:color w:val="auto"/>
        </w:rPr>
      </w:pPr>
    </w:p>
    <w:p>
      <w:pPr>
        <w:ind w:left="4" w:right="1779" w:firstLine="944"/>
        <w:spacing w:after="0" w:line="235" w:lineRule="auto"/>
        <w:tabs>
          <w:tab w:leader="none" w:pos="1478" w:val="left"/>
        </w:tabs>
        <w:numPr>
          <w:ilvl w:val="1"/>
          <w:numId w:val="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approval by the shareholders of the Company of a plan of complete liquidation or dissolution of the Company.</w:t>
      </w:r>
    </w:p>
    <w:p>
      <w:pPr>
        <w:spacing w:after="0" w:line="202" w:lineRule="exact"/>
        <w:rPr>
          <w:rFonts w:ascii="Courier New" w:cs="Courier New" w:eastAsia="Courier New" w:hAnsi="Courier New"/>
          <w:sz w:val="18"/>
          <w:szCs w:val="18"/>
          <w:color w:val="auto"/>
        </w:rPr>
      </w:pPr>
    </w:p>
    <w:p>
      <w:pPr>
        <w:ind w:left="424" w:hanging="424"/>
        <w:spacing w:after="0"/>
        <w:tabs>
          <w:tab w:leader="none" w:pos="424" w:val="left"/>
        </w:tabs>
        <w:numPr>
          <w:ilvl w:val="0"/>
          <w:numId w:val="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"Code" shall mean the Internal Revenue Code of 1986, as amended.</w:t>
      </w:r>
    </w:p>
    <w:p>
      <w:pPr>
        <w:spacing w:after="0" w:line="206" w:lineRule="exact"/>
        <w:rPr>
          <w:rFonts w:ascii="Courier New" w:cs="Courier New" w:eastAsia="Courier New" w:hAnsi="Courier New"/>
          <w:sz w:val="18"/>
          <w:szCs w:val="18"/>
          <w:color w:val="auto"/>
        </w:rPr>
      </w:pPr>
    </w:p>
    <w:p>
      <w:pPr>
        <w:jc w:val="both"/>
        <w:ind w:left="-956" w:right="1879" w:firstLine="956"/>
        <w:spacing w:after="0" w:line="236" w:lineRule="auto"/>
        <w:tabs>
          <w:tab w:leader="none" w:pos="413" w:val="left"/>
        </w:tabs>
        <w:numPr>
          <w:ilvl w:val="0"/>
          <w:numId w:val="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"Constructive Termination Without Cause" shall mean termination by the Consultant of his service at his initiative following the occurrence of any of the following events without his consent:</w:t>
      </w:r>
    </w:p>
    <w:p>
      <w:pPr>
        <w:spacing w:after="0" w:line="208" w:lineRule="exact"/>
        <w:rPr>
          <w:rFonts w:ascii="Courier New" w:cs="Courier New" w:eastAsia="Courier New" w:hAnsi="Courier New"/>
          <w:sz w:val="18"/>
          <w:szCs w:val="18"/>
          <w:color w:val="auto"/>
        </w:rPr>
      </w:pPr>
    </w:p>
    <w:p>
      <w:pPr>
        <w:ind w:left="4" w:right="1779" w:firstLine="944"/>
        <w:spacing w:after="0" w:line="237" w:lineRule="auto"/>
        <w:tabs>
          <w:tab w:leader="none" w:pos="1373" w:val="left"/>
        </w:tabs>
        <w:numPr>
          <w:ilvl w:val="1"/>
          <w:numId w:val="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reduction in the Consultancy Fee or the termination or material reduction of any benefits provided under this Agreement (other than as part of an across-the-board reduction applicable to all executive officers of the Company);</w:t>
      </w:r>
    </w:p>
    <w:p>
      <w:pPr>
        <w:spacing w:after="0" w:line="207" w:lineRule="exact"/>
        <w:rPr>
          <w:rFonts w:ascii="Courier New" w:cs="Courier New" w:eastAsia="Courier New" w:hAnsi="Courier New"/>
          <w:sz w:val="18"/>
          <w:szCs w:val="18"/>
          <w:color w:val="auto"/>
        </w:rPr>
      </w:pPr>
    </w:p>
    <w:p>
      <w:pPr>
        <w:ind w:left="4" w:right="1779" w:firstLine="944"/>
        <w:spacing w:after="0" w:line="236" w:lineRule="auto"/>
        <w:tabs>
          <w:tab w:leader="none" w:pos="1478" w:val="left"/>
        </w:tabs>
        <w:numPr>
          <w:ilvl w:val="1"/>
          <w:numId w:val="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prior to the 2005 Annual Meeting, the failure to elect or reelect the Consultant to the Board or the removal of him from the Board;</w:t>
      </w:r>
    </w:p>
    <w:p>
      <w:pPr>
        <w:spacing w:after="0" w:line="208" w:lineRule="exact"/>
        <w:rPr>
          <w:rFonts w:ascii="Courier New" w:cs="Courier New" w:eastAsia="Courier New" w:hAnsi="Courier New"/>
          <w:sz w:val="18"/>
          <w:szCs w:val="18"/>
          <w:color w:val="auto"/>
        </w:rPr>
      </w:pPr>
    </w:p>
    <w:p>
      <w:pPr>
        <w:ind w:left="4" w:right="1999" w:firstLine="944"/>
        <w:spacing w:after="0" w:line="235" w:lineRule="auto"/>
        <w:tabs>
          <w:tab w:leader="none" w:pos="1584" w:val="left"/>
        </w:tabs>
        <w:numPr>
          <w:ilvl w:val="1"/>
          <w:numId w:val="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failure to provide Home Office Support (as defined herein) to the Consultant;</w:t>
      </w:r>
    </w:p>
    <w:p>
      <w:pPr>
        <w:spacing w:after="0" w:line="208" w:lineRule="exact"/>
        <w:rPr>
          <w:rFonts w:ascii="Courier New" w:cs="Courier New" w:eastAsia="Courier New" w:hAnsi="Courier New"/>
          <w:sz w:val="18"/>
          <w:szCs w:val="18"/>
          <w:color w:val="auto"/>
        </w:rPr>
      </w:pPr>
    </w:p>
    <w:p>
      <w:pPr>
        <w:ind w:left="4" w:right="1779" w:firstLine="944"/>
        <w:spacing w:after="0" w:line="237" w:lineRule="auto"/>
        <w:tabs>
          <w:tab w:leader="none" w:pos="1478" w:val="left"/>
        </w:tabs>
        <w:numPr>
          <w:ilvl w:val="1"/>
          <w:numId w:val="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failure of the Company to obtain the assumption in writing of its obligation to perform this Agreement by any successor to all or substantially all of the assets of the Company within 15 calendar days after a merger, consolidation, sale or similar transaction; or</w:t>
      </w:r>
    </w:p>
    <w:p>
      <w:pPr>
        <w:spacing w:after="0" w:line="203" w:lineRule="exact"/>
        <w:rPr>
          <w:rFonts w:ascii="Courier New" w:cs="Courier New" w:eastAsia="Courier New" w:hAnsi="Courier New"/>
          <w:sz w:val="18"/>
          <w:szCs w:val="18"/>
          <w:color w:val="auto"/>
        </w:rPr>
      </w:pPr>
    </w:p>
    <w:p>
      <w:pPr>
        <w:ind w:left="1364" w:hanging="416"/>
        <w:spacing w:after="0"/>
        <w:tabs>
          <w:tab w:leader="none" w:pos="1364" w:val="left"/>
        </w:tabs>
        <w:numPr>
          <w:ilvl w:val="1"/>
          <w:numId w:val="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breach of this Agreement by the Company.</w:t>
      </w:r>
    </w:p>
    <w:p>
      <w:pPr>
        <w:spacing w:after="0" w:line="207" w:lineRule="exact"/>
        <w:rPr>
          <w:sz w:val="20"/>
          <w:szCs w:val="20"/>
          <w:color w:val="auto"/>
        </w:rPr>
      </w:pPr>
    </w:p>
    <w:p>
      <w:pPr>
        <w:ind w:left="4" w:right="1779" w:firstLine="948"/>
        <w:spacing w:after="0" w:line="237" w:lineRule="auto"/>
        <w:rPr>
          <w:sz w:val="20"/>
          <w:szCs w:val="20"/>
          <w:color w:val="auto"/>
        </w:rPr>
      </w:pPr>
      <w:r>
        <w:rPr>
          <w:rFonts w:ascii="Courier New" w:cs="Courier New" w:eastAsia="Courier New" w:hAnsi="Courier New"/>
          <w:sz w:val="18"/>
          <w:szCs w:val="18"/>
          <w:color w:val="auto"/>
        </w:rPr>
        <w:t>Following written notice from the Consultant, as described above, the Company shall have 15 calendar days in which to cure. If the Company fails to cure, the Consultant's termination shall become effective on the 16th calendar day following the written notice.</w:t>
      </w:r>
    </w:p>
    <w:p>
      <w:pPr>
        <w:spacing w:after="0" w:line="207" w:lineRule="exact"/>
        <w:rPr>
          <w:sz w:val="20"/>
          <w:szCs w:val="20"/>
          <w:color w:val="auto"/>
        </w:rPr>
      </w:pPr>
    </w:p>
    <w:p>
      <w:pPr>
        <w:ind w:left="-956" w:right="1779" w:firstLine="956"/>
        <w:spacing w:after="0" w:line="272" w:lineRule="auto"/>
        <w:tabs>
          <w:tab w:leader="none" w:pos="413" w:val="left"/>
        </w:tabs>
        <w:numPr>
          <w:ilvl w:val="0"/>
          <w:numId w:val="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"Disability" shall mean the Consultant's inability, due to physical or mental incapacity, to substantially perform his duties and responsibilities under this Agreement as determined by a medical doctor selected by the Company and the Consultant. If the Parties cannot agree on a medical doctor, each Party shall select a medical doctor and the two doctors shall select a third who shall be the approved medical doctor for this purpose.</w:t>
      </w:r>
    </w:p>
    <w:p>
      <w:pPr>
        <w:spacing w:after="0" w:line="382" w:lineRule="exact"/>
        <w:rPr>
          <w:sz w:val="20"/>
          <w:szCs w:val="20"/>
          <w:color w:val="auto"/>
        </w:rPr>
      </w:pPr>
    </w:p>
    <w:p>
      <w:pPr>
        <w:ind w:left="3164"/>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9263"/>
          </w:cols>
          <w:pgMar w:left="1196" w:top="925" w:right="1440" w:bottom="1440" w:gutter="0" w:footer="0" w:header="0"/>
        </w:sectPr>
      </w:pPr>
    </w:p>
    <w:bookmarkStart w:id="91" w:name="page92"/>
    <w:bookmarkEnd w:id="91"/>
    <w:p>
      <w:pPr>
        <w:ind w:right="2199" w:firstLine="956"/>
        <w:spacing w:after="0" w:line="235" w:lineRule="auto"/>
        <w:tabs>
          <w:tab w:leader="none" w:pos="1369" w:val="left"/>
        </w:tabs>
        <w:numPr>
          <w:ilvl w:val="0"/>
          <w:numId w:val="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"EBA" shall mean the Employee Benefits Agreement by and between AT&amp;T and Broadband dated as of December 19, 2001.</w:t>
      </w:r>
    </w:p>
    <w:p>
      <w:pPr>
        <w:spacing w:after="0" w:line="208" w:lineRule="exact"/>
        <w:rPr>
          <w:rFonts w:ascii="Courier New" w:cs="Courier New" w:eastAsia="Courier New" w:hAnsi="Courier New"/>
          <w:sz w:val="18"/>
          <w:szCs w:val="18"/>
          <w:color w:val="auto"/>
        </w:rPr>
      </w:pPr>
    </w:p>
    <w:p>
      <w:pPr>
        <w:ind w:right="1879" w:firstLine="956"/>
        <w:spacing w:after="0" w:line="290" w:lineRule="auto"/>
        <w:tabs>
          <w:tab w:leader="none" w:pos="1369" w:val="left"/>
        </w:tabs>
        <w:numPr>
          <w:ilvl w:val="0"/>
          <w:numId w:val="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"Employment Agreement" shall mean the Employment Agreement entered into as of November 18, 2002 by and between the Company and the Consultant.</w:t>
      </w:r>
    </w:p>
    <w:p>
      <w:pPr>
        <w:spacing w:after="0" w:line="169" w:lineRule="exact"/>
        <w:rPr>
          <w:rFonts w:ascii="Courier New" w:cs="Courier New" w:eastAsia="Courier New" w:hAnsi="Courier New"/>
          <w:sz w:val="16"/>
          <w:szCs w:val="16"/>
          <w:color w:val="auto"/>
        </w:rPr>
      </w:pPr>
    </w:p>
    <w:p>
      <w:pPr>
        <w:ind w:right="1779" w:firstLine="956"/>
        <w:spacing w:after="0" w:line="237" w:lineRule="auto"/>
        <w:tabs>
          <w:tab w:leader="none" w:pos="1369" w:val="left"/>
        </w:tabs>
        <w:numPr>
          <w:ilvl w:val="0"/>
          <w:numId w:val="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"Fair Market Value" shall mean the value of a share of Stock or a share of AT&amp;T stock, as the case may be, as traded on the Nasdaq Stock Market or the New York Stock Exchange, as the case may be, on the date in question, based on the respective closing prices.</w:t>
      </w:r>
    </w:p>
    <w:p>
      <w:pPr>
        <w:spacing w:after="0" w:line="207" w:lineRule="exact"/>
        <w:rPr>
          <w:rFonts w:ascii="Courier New" w:cs="Courier New" w:eastAsia="Courier New" w:hAnsi="Courier New"/>
          <w:sz w:val="18"/>
          <w:szCs w:val="18"/>
          <w:color w:val="auto"/>
        </w:rPr>
      </w:pPr>
    </w:p>
    <w:p>
      <w:pPr>
        <w:ind w:right="1779" w:firstLine="956"/>
        <w:spacing w:after="0" w:line="237" w:lineRule="auto"/>
        <w:tabs>
          <w:tab w:leader="none" w:pos="1369" w:val="left"/>
        </w:tabs>
        <w:numPr>
          <w:ilvl w:val="0"/>
          <w:numId w:val="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"Merger Agreement" shall mean the Agreement and Plan of Merger dated as of December 19, 2001, as amended, by and among AT&amp;T, Broadband, Comcast Corporation, AT&amp;T Broadband Acquisition Corp., Comcast Acquisition Corp. and the Company.</w:t>
      </w:r>
    </w:p>
    <w:p>
      <w:pPr>
        <w:spacing w:after="0" w:line="201" w:lineRule="exact"/>
        <w:rPr>
          <w:rFonts w:ascii="Courier New" w:cs="Courier New" w:eastAsia="Courier New" w:hAnsi="Courier New"/>
          <w:sz w:val="18"/>
          <w:szCs w:val="18"/>
          <w:color w:val="auto"/>
        </w:rPr>
      </w:pPr>
    </w:p>
    <w:p>
      <w:pPr>
        <w:ind w:left="1380" w:hanging="424"/>
        <w:spacing w:after="0"/>
        <w:tabs>
          <w:tab w:leader="none" w:pos="1380" w:val="left"/>
        </w:tabs>
        <w:numPr>
          <w:ilvl w:val="0"/>
          <w:numId w:val="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"Stock" shall mean Class A Common Stock of the Company.</w:t>
      </w:r>
    </w:p>
    <w:p>
      <w:pPr>
        <w:spacing w:after="0" w:line="201" w:lineRule="exact"/>
        <w:rPr>
          <w:rFonts w:ascii="Courier New" w:cs="Courier New" w:eastAsia="Courier New" w:hAnsi="Courier New"/>
          <w:sz w:val="18"/>
          <w:szCs w:val="18"/>
          <w:color w:val="auto"/>
        </w:rPr>
      </w:pPr>
    </w:p>
    <w:p>
      <w:pPr>
        <w:ind w:left="1380" w:hanging="424"/>
        <w:spacing w:after="0"/>
        <w:tabs>
          <w:tab w:leader="none" w:pos="1380" w:val="left"/>
        </w:tabs>
        <w:numPr>
          <w:ilvl w:val="0"/>
          <w:numId w:val="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 shall mean the period specified in Section 3 below.</w:t>
      </w:r>
    </w:p>
    <w:p>
      <w:pPr>
        <w:spacing w:after="0" w:line="206" w:lineRule="exact"/>
        <w:rPr>
          <w:rFonts w:ascii="Courier New" w:cs="Courier New" w:eastAsia="Courier New" w:hAnsi="Courier New"/>
          <w:sz w:val="18"/>
          <w:szCs w:val="18"/>
          <w:color w:val="auto"/>
        </w:rPr>
      </w:pPr>
    </w:p>
    <w:p>
      <w:pPr>
        <w:ind w:right="1999" w:firstLine="956"/>
        <w:spacing w:after="0" w:line="235" w:lineRule="auto"/>
        <w:tabs>
          <w:tab w:leader="none" w:pos="1369" w:val="left"/>
        </w:tabs>
        <w:numPr>
          <w:ilvl w:val="0"/>
          <w:numId w:val="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"Termination Date" shall mean the date that is one year after the 2005 Annual Meeting.</w:t>
      </w:r>
    </w:p>
    <w:p>
      <w:pPr>
        <w:spacing w:after="0" w:line="208" w:lineRule="exact"/>
        <w:rPr>
          <w:rFonts w:ascii="Courier New" w:cs="Courier New" w:eastAsia="Courier New" w:hAnsi="Courier New"/>
          <w:sz w:val="18"/>
          <w:szCs w:val="18"/>
          <w:color w:val="auto"/>
        </w:rPr>
      </w:pPr>
    </w:p>
    <w:p>
      <w:pPr>
        <w:ind w:right="2419" w:firstLine="956"/>
        <w:spacing w:after="0" w:line="235" w:lineRule="auto"/>
        <w:tabs>
          <w:tab w:leader="none" w:pos="1369" w:val="left"/>
        </w:tabs>
        <w:numPr>
          <w:ilvl w:val="0"/>
          <w:numId w:val="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"2004 Annual Meeting" shall mean the regularly scheduled 2004 annual meeting of the shareholders of the Company.</w:t>
      </w:r>
    </w:p>
    <w:p>
      <w:pPr>
        <w:spacing w:after="0" w:line="208" w:lineRule="exact"/>
        <w:rPr>
          <w:rFonts w:ascii="Courier New" w:cs="Courier New" w:eastAsia="Courier New" w:hAnsi="Courier New"/>
          <w:sz w:val="18"/>
          <w:szCs w:val="18"/>
          <w:color w:val="auto"/>
        </w:rPr>
      </w:pPr>
    </w:p>
    <w:p>
      <w:pPr>
        <w:ind w:right="2419" w:firstLine="956"/>
        <w:spacing w:after="0" w:line="235" w:lineRule="auto"/>
        <w:tabs>
          <w:tab w:leader="none" w:pos="1369" w:val="left"/>
        </w:tabs>
        <w:numPr>
          <w:ilvl w:val="0"/>
          <w:numId w:val="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"2005 Annual Meeting" shall mean the regularly scheduled 2005 annual meeting of the shareholders of the Company.</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Section 2 . Retirement as Chairman.</w:t>
      </w:r>
    </w:p>
    <w:p>
      <w:pPr>
        <w:spacing w:after="0" w:line="207" w:lineRule="exact"/>
        <w:rPr>
          <w:sz w:val="20"/>
          <w:szCs w:val="20"/>
          <w:color w:val="auto"/>
        </w:rPr>
      </w:pPr>
    </w:p>
    <w:p>
      <w:pPr>
        <w:ind w:right="1779" w:firstLine="948"/>
        <w:spacing w:after="0" w:line="236" w:lineRule="auto"/>
        <w:rPr>
          <w:sz w:val="20"/>
          <w:szCs w:val="20"/>
          <w:color w:val="auto"/>
        </w:rPr>
      </w:pPr>
      <w:r>
        <w:rPr>
          <w:rFonts w:ascii="Courier New" w:cs="Courier New" w:eastAsia="Courier New" w:hAnsi="Courier New"/>
          <w:sz w:val="18"/>
          <w:szCs w:val="18"/>
          <w:color w:val="auto"/>
        </w:rPr>
        <w:t>Consultant hereby retires from employment with the Company and from his position as Non-Executive Chairman of the Board effective as of the close of business on May 26, 2004 (the "Effective Date").</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Section 3 . Term.</w:t>
      </w:r>
    </w:p>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The Term shall begin on the Effective Date and end on the Termination Date. Notwithstanding the foregoing, after the Effective Date, the Term may be earlier terminated by either Party in accordance with the provisions of Section 8.</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Section 4 . Positions, Duties and Responsibilities.</w:t>
      </w:r>
    </w:p>
    <w:p>
      <w:pPr>
        <w:spacing w:after="0" w:line="207" w:lineRule="exact"/>
        <w:rPr>
          <w:sz w:val="20"/>
          <w:szCs w:val="20"/>
          <w:color w:val="auto"/>
        </w:rPr>
      </w:pPr>
    </w:p>
    <w:p>
      <w:pPr>
        <w:ind w:right="2099" w:firstLine="956"/>
        <w:spacing w:after="0" w:line="236" w:lineRule="auto"/>
        <w:tabs>
          <w:tab w:leader="none" w:pos="1369" w:val="left"/>
        </w:tabs>
        <w:numPr>
          <w:ilvl w:val="0"/>
          <w:numId w:val="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During the Term, Consultant shall be a senior advisor and consultant to the Company and, upon reasonable request of the Chief Executive Officer, or</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925" w:right="1440" w:bottom="1440" w:gutter="0" w:footer="0" w:header="0"/>
        </w:sectPr>
      </w:pPr>
    </w:p>
    <w:bookmarkStart w:id="92" w:name="page93"/>
    <w:bookmarkEnd w:id="92"/>
    <w:p>
      <w:pPr>
        <w:ind w:right="1779"/>
        <w:spacing w:after="0" w:line="270" w:lineRule="auto"/>
        <w:rPr>
          <w:sz w:val="20"/>
          <w:szCs w:val="20"/>
          <w:color w:val="auto"/>
        </w:rPr>
      </w:pPr>
      <w:r>
        <w:rPr>
          <w:rFonts w:ascii="Courier New" w:cs="Courier New" w:eastAsia="Courier New" w:hAnsi="Courier New"/>
          <w:sz w:val="16"/>
          <w:szCs w:val="16"/>
          <w:color w:val="auto"/>
        </w:rPr>
        <w:t>an Executive Vice President of the Company mutually designated by the Chief Executive Officer and the Consultant, make himself available to perform consulting and advisory services with respect to strategic issues concerning the Company. Such consulting and advisory services shall be related to such matters as the Chief Executive Officer of the Company, or an Executive Vice President of the Company so mutually designated, and Consultant may mutually agree. During the Term, the Consultant shall accommodate reasonable requests for the Consultant's consulting and advisory services, by making himself reasonably available, by phone or otherwise, to perform such services, but in no event shall Consultant be required to devote more than eighty hours per month to his services hereunder. Notwithstanding the foregoing, during the time that the Consultant serves as a director of the Company, he shall devote such time as is necessary to satisfy his fiduciary duties as a director. In addition, the Company shall use its reasonable best efforts to ensure that the Consultant shall serve as a director of the Company through the 2005 Annual Meeting.</w:t>
      </w:r>
    </w:p>
    <w:p>
      <w:pPr>
        <w:spacing w:after="0" w:line="387" w:lineRule="exact"/>
        <w:rPr>
          <w:sz w:val="20"/>
          <w:szCs w:val="20"/>
          <w:color w:val="auto"/>
        </w:rPr>
      </w:pPr>
    </w:p>
    <w:p>
      <w:pPr>
        <w:ind w:right="1779" w:firstLine="956"/>
        <w:spacing w:after="0" w:line="237" w:lineRule="auto"/>
        <w:tabs>
          <w:tab w:leader="none" w:pos="1369" w:val="left"/>
        </w:tabs>
        <w:numPr>
          <w:ilvl w:val="0"/>
          <w:numId w:val="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Nothing herein shall preclude the Consultant from (i) serving on the boards of directors of a reasonable number of other corporations subject to the approval of the Board in each case (which approval has been given as to the boards listed in Exhibit A attached hereto), which approval shall not be unreasonably withheld, (ii) serving on the boards of a reasonable number of trade associations and/or charitable organizations, (iii) engaging in any charitable or business activities and community affairs, and (iv) managing his personal investments and affairs, provided that such activities set forth in this Section 4(b) do not materially interfere with the proper performance of his duties and responsibilities under Section 4(a).</w:t>
      </w:r>
    </w:p>
    <w:p>
      <w:pPr>
        <w:spacing w:after="0" w:line="209"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Section 5 . Compensation.</w:t>
      </w:r>
    </w:p>
    <w:p>
      <w:pPr>
        <w:spacing w:after="0" w:line="207" w:lineRule="exact"/>
        <w:rPr>
          <w:sz w:val="20"/>
          <w:szCs w:val="20"/>
          <w:color w:val="auto"/>
        </w:rPr>
      </w:pPr>
    </w:p>
    <w:p>
      <w:pPr>
        <w:ind w:right="1879" w:firstLine="956"/>
        <w:spacing w:after="0" w:line="238" w:lineRule="auto"/>
        <w:tabs>
          <w:tab w:leader="none" w:pos="1369" w:val="left"/>
        </w:tabs>
        <w:numPr>
          <w:ilvl w:val="0"/>
          <w:numId w:val="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soon as practicable after the Effective Date, in recognition of the Consultant's retirement from employment with the Company and from his position as Non-Executive Chairman of the Board, the Company shall pay to the Consultant an amount in cash equal to the sum of (i) the base salary under the Employment Agreement as in effect immediately prior to the Effective Date, payable from the Effective Date through April 15, 2005, which shall not be less than one year's base salary, (ii) the Target Bonus under the Employment Agreement for calendar year 2004, and (iii) a pro-rata portion of the Target Bonus under the Employment Agreement for calendar year 2005, equal to such Target Bonus, multiplied by a fraction, the numerator of which is the number of days from January 1, 2005 until April 15, 2005 and the denominator of which is 365.</w:t>
      </w:r>
    </w:p>
    <w:p>
      <w:pPr>
        <w:spacing w:after="0" w:line="207" w:lineRule="exact"/>
        <w:rPr>
          <w:rFonts w:ascii="Courier New" w:cs="Courier New" w:eastAsia="Courier New" w:hAnsi="Courier New"/>
          <w:sz w:val="18"/>
          <w:szCs w:val="18"/>
          <w:color w:val="auto"/>
        </w:rPr>
      </w:pPr>
    </w:p>
    <w:p>
      <w:pPr>
        <w:ind w:right="1779" w:firstLine="956"/>
        <w:spacing w:after="0" w:line="237" w:lineRule="auto"/>
        <w:tabs>
          <w:tab w:leader="none" w:pos="1369" w:val="left"/>
        </w:tabs>
        <w:numPr>
          <w:ilvl w:val="0"/>
          <w:numId w:val="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During the Term, the Consultant shall be paid consultancy fees at the rate of $900,000 per year (the "Consultancy Fee"). The Consultancy Fee shall be paid in equal monthly installments on the last day of each month. In no event shall the Consultancy Fee be decreased.</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723" w:right="1440" w:bottom="1440" w:gutter="0" w:footer="0" w:header="0"/>
        </w:sectPr>
      </w:pPr>
    </w:p>
    <w:bookmarkStart w:id="93" w:name="page94"/>
    <w:bookmarkEnd w:id="93"/>
    <w:p>
      <w:pPr>
        <w:ind w:left="960"/>
        <w:spacing w:after="0"/>
        <w:rPr>
          <w:sz w:val="20"/>
          <w:szCs w:val="20"/>
          <w:color w:val="auto"/>
        </w:rPr>
      </w:pPr>
      <w:r>
        <w:rPr>
          <w:rFonts w:ascii="Courier New" w:cs="Courier New" w:eastAsia="Courier New" w:hAnsi="Courier New"/>
          <w:sz w:val="18"/>
          <w:szCs w:val="18"/>
          <w:color w:val="auto"/>
        </w:rPr>
        <w:t>Section 6 . Outstanding Long-term Incentive Awards.</w:t>
      </w:r>
    </w:p>
    <w:p>
      <w:pPr>
        <w:spacing w:after="0" w:line="207" w:lineRule="exact"/>
        <w:rPr>
          <w:sz w:val="20"/>
          <w:szCs w:val="20"/>
          <w:color w:val="auto"/>
        </w:rPr>
      </w:pPr>
    </w:p>
    <w:p>
      <w:pPr>
        <w:ind w:right="1999" w:firstLine="956"/>
        <w:spacing w:after="0" w:line="236" w:lineRule="auto"/>
        <w:tabs>
          <w:tab w:leader="none" w:pos="1369" w:val="left"/>
        </w:tabs>
        <w:numPr>
          <w:ilvl w:val="0"/>
          <w:numId w:val="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Existing Performance Awards. Subject to the provisions of Section 8, Exhibit B attached hereto sets forth the treatment of outstanding equity-based awards held by the Consultant as of the Effective Date.</w:t>
      </w:r>
    </w:p>
    <w:p>
      <w:pPr>
        <w:spacing w:after="0" w:line="208" w:lineRule="exact"/>
        <w:rPr>
          <w:rFonts w:ascii="Courier New" w:cs="Courier New" w:eastAsia="Courier New" w:hAnsi="Courier New"/>
          <w:sz w:val="18"/>
          <w:szCs w:val="18"/>
          <w:color w:val="auto"/>
        </w:rPr>
      </w:pPr>
    </w:p>
    <w:p>
      <w:pPr>
        <w:ind w:right="1779" w:firstLine="956"/>
        <w:spacing w:after="0" w:line="237" w:lineRule="auto"/>
        <w:tabs>
          <w:tab w:leader="none" w:pos="1369" w:val="left"/>
        </w:tabs>
        <w:numPr>
          <w:ilvl w:val="0"/>
          <w:numId w:val="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Options. Except as otherwise provided in Exhibit B, all options held by the Consultant as of the Effective Time shall continue to vest during the Term as if he had remained employed by the Company. On the Termination Date, all options held by the Consultant shall become fully vested and shall remain exercisable for the remainder of their original ten-year terms.</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Section 7 . Benefit Programs; Reimbursement of Business and Other</w:t>
      </w:r>
    </w:p>
    <w:p>
      <w:pPr>
        <w:spacing w:after="0" w:line="238" w:lineRule="auto"/>
        <w:rPr>
          <w:sz w:val="20"/>
          <w:szCs w:val="20"/>
          <w:color w:val="auto"/>
        </w:rPr>
      </w:pPr>
      <w:r>
        <w:rPr>
          <w:rFonts w:ascii="Courier New" w:cs="Courier New" w:eastAsia="Courier New" w:hAnsi="Courier New"/>
          <w:sz w:val="18"/>
          <w:szCs w:val="18"/>
          <w:color w:val="auto"/>
        </w:rPr>
        <w:t>Expenses.</w:t>
      </w:r>
    </w:p>
    <w:p>
      <w:pPr>
        <w:spacing w:after="0" w:line="207" w:lineRule="exact"/>
        <w:rPr>
          <w:sz w:val="20"/>
          <w:szCs w:val="20"/>
          <w:color w:val="auto"/>
        </w:rPr>
      </w:pPr>
    </w:p>
    <w:p>
      <w:pPr>
        <w:ind w:right="1779" w:firstLine="956"/>
        <w:spacing w:after="0" w:line="237" w:lineRule="auto"/>
        <w:tabs>
          <w:tab w:leader="none" w:pos="1369" w:val="left"/>
        </w:tabs>
        <w:numPr>
          <w:ilvl w:val="0"/>
          <w:numId w:val="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Consultant shall not be entitled to participate in any employee benefit plans or other benefits or conditions of employment available to the employees of the Company, except as provided in Section 6, Section 7 or elsewhere in this Agreement.</w:t>
      </w:r>
    </w:p>
    <w:p>
      <w:pPr>
        <w:spacing w:after="0" w:line="207" w:lineRule="exact"/>
        <w:rPr>
          <w:rFonts w:ascii="Courier New" w:cs="Courier New" w:eastAsia="Courier New" w:hAnsi="Courier New"/>
          <w:sz w:val="18"/>
          <w:szCs w:val="18"/>
          <w:color w:val="auto"/>
        </w:rPr>
      </w:pPr>
    </w:p>
    <w:p>
      <w:pPr>
        <w:ind w:right="1779" w:firstLine="956"/>
        <w:spacing w:after="0" w:line="275" w:lineRule="auto"/>
        <w:tabs>
          <w:tab w:leader="none" w:pos="1369" w:val="left"/>
        </w:tabs>
        <w:numPr>
          <w:ilvl w:val="0"/>
          <w:numId w:val="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During the Term, the Consultant shall be entitled to those home office and secretarial support arrangements in effect as of the date hereof with respect to his home offices in Connecticut and Florida (with such changes as may be mutually agreed to by the Company and the Consultant, "Home Office Support").</w:t>
      </w:r>
    </w:p>
    <w:p>
      <w:pPr>
        <w:spacing w:after="0" w:line="182" w:lineRule="exact"/>
        <w:rPr>
          <w:rFonts w:ascii="Courier New" w:cs="Courier New" w:eastAsia="Courier New" w:hAnsi="Courier New"/>
          <w:sz w:val="16"/>
          <w:szCs w:val="16"/>
          <w:color w:val="auto"/>
        </w:rPr>
      </w:pPr>
    </w:p>
    <w:p>
      <w:pPr>
        <w:ind w:right="1879" w:firstLine="956"/>
        <w:spacing w:after="0" w:line="238" w:lineRule="auto"/>
        <w:tabs>
          <w:tab w:leader="none" w:pos="1369" w:val="left"/>
        </w:tabs>
        <w:numPr>
          <w:ilvl w:val="0"/>
          <w:numId w:val="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From the Effective Date until the 2005 Annual Meeting, the Consultant shall be entitled to participate in each of the Company's executive services in accordance with the terms and conditions of such arrangements as they are in effect from time to time for the Company's Chief Executive Officer (except for the executive services as set forth below). During the Term, the Consultant shall be entitled to (i) primary personal use of an airplane on the same economic terms as the Chief Executive Officer of the Company and (ii) tax preparation and financial counseling services (plus a gross-up for applicable taxes payable in connection with the provisions of such services, but only if such gross-up is provided to a senior executive of the Company). In addition, the Company shall pay the dues for the Consultant's membership in each of the Business Roundtable, the G-100 and the Business Council through the 2004 Annual Meeting.</w:t>
      </w:r>
    </w:p>
    <w:p>
      <w:pPr>
        <w:spacing w:after="0" w:line="207" w:lineRule="exact"/>
        <w:rPr>
          <w:rFonts w:ascii="Courier New" w:cs="Courier New" w:eastAsia="Courier New" w:hAnsi="Courier New"/>
          <w:sz w:val="18"/>
          <w:szCs w:val="18"/>
          <w:color w:val="auto"/>
        </w:rPr>
      </w:pPr>
    </w:p>
    <w:p>
      <w:pPr>
        <w:ind w:right="1779" w:firstLine="956"/>
        <w:spacing w:after="0" w:line="237" w:lineRule="auto"/>
        <w:tabs>
          <w:tab w:leader="none" w:pos="1369" w:val="left"/>
        </w:tabs>
        <w:numPr>
          <w:ilvl w:val="0"/>
          <w:numId w:val="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During the Term, the Company shall pay when due the premiums for the Consultant's Senior Management Universal Life Insurance Policy (as in effect as of the Effective Date), and a gross-up for all federal taxes payable by the Consultant in connection with the payment of such premiums.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919" w:right="1440" w:bottom="1440" w:gutter="0" w:footer="0" w:header="0"/>
        </w:sectPr>
      </w:pPr>
    </w:p>
    <w:bookmarkStart w:id="94" w:name="page95"/>
    <w:bookmarkEnd w:id="94"/>
    <w:p>
      <w:pPr>
        <w:ind w:left="-956" w:right="2419" w:firstLine="956"/>
        <w:spacing w:after="0" w:line="237" w:lineRule="auto"/>
        <w:tabs>
          <w:tab w:leader="none" w:pos="413" w:val="left"/>
        </w:tabs>
        <w:numPr>
          <w:ilvl w:val="0"/>
          <w:numId w:val="1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Consultant is authorized to incur reasonable expenses in carrying out his duties and responsibilities under this Agreement and the Company shall promptly reimburse him for all business expenses incurred in connection with carrying out the business of the Company, subject to documentation in accordance with the Company's policy.</w:t>
      </w:r>
    </w:p>
    <w:p>
      <w:pPr>
        <w:spacing w:after="0" w:line="203" w:lineRule="exact"/>
        <w:rPr>
          <w:sz w:val="20"/>
          <w:szCs w:val="20"/>
          <w:color w:val="auto"/>
        </w:rPr>
      </w:pPr>
    </w:p>
    <w:p>
      <w:pPr>
        <w:ind w:left="4"/>
        <w:spacing w:after="0"/>
        <w:rPr>
          <w:sz w:val="20"/>
          <w:szCs w:val="20"/>
          <w:color w:val="auto"/>
        </w:rPr>
      </w:pPr>
      <w:r>
        <w:rPr>
          <w:rFonts w:ascii="Courier New" w:cs="Courier New" w:eastAsia="Courier New" w:hAnsi="Courier New"/>
          <w:sz w:val="18"/>
          <w:szCs w:val="18"/>
          <w:color w:val="auto"/>
        </w:rPr>
        <w:t>Section 8 . Termination.</w:t>
      </w:r>
    </w:p>
    <w:p>
      <w:pPr>
        <w:spacing w:after="0" w:line="207" w:lineRule="exact"/>
        <w:rPr>
          <w:sz w:val="20"/>
          <w:szCs w:val="20"/>
          <w:color w:val="auto"/>
        </w:rPr>
      </w:pPr>
    </w:p>
    <w:p>
      <w:pPr>
        <w:ind w:left="-956" w:right="1779" w:firstLine="956"/>
        <w:spacing w:after="0" w:line="237" w:lineRule="auto"/>
        <w:tabs>
          <w:tab w:leader="none" w:pos="413" w:val="left"/>
        </w:tabs>
        <w:numPr>
          <w:ilvl w:val="0"/>
          <w:numId w:val="1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Termination Due to Death. In the event that the Consultant's performance of consulting services is terminated due to his death, his estate or his beneficiaries, as the case may be, shall be entitled to the following benefits:</w:t>
      </w:r>
    </w:p>
    <w:p>
      <w:pPr>
        <w:spacing w:after="0" w:line="207" w:lineRule="exact"/>
        <w:rPr>
          <w:rFonts w:ascii="Courier New" w:cs="Courier New" w:eastAsia="Courier New" w:hAnsi="Courier New"/>
          <w:sz w:val="18"/>
          <w:szCs w:val="18"/>
          <w:color w:val="auto"/>
        </w:rPr>
      </w:pPr>
    </w:p>
    <w:p>
      <w:pPr>
        <w:ind w:left="4" w:right="1879" w:firstLine="944"/>
        <w:spacing w:after="0" w:line="235" w:lineRule="auto"/>
        <w:tabs>
          <w:tab w:leader="none" w:pos="1373" w:val="left"/>
        </w:tabs>
        <w:numPr>
          <w:ilvl w:val="1"/>
          <w:numId w:val="1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Consultancy Fee through the end of the month in which his death occurs;</w:t>
      </w:r>
    </w:p>
    <w:p>
      <w:pPr>
        <w:spacing w:after="0" w:line="208" w:lineRule="exact"/>
        <w:rPr>
          <w:rFonts w:ascii="Courier New" w:cs="Courier New" w:eastAsia="Courier New" w:hAnsi="Courier New"/>
          <w:sz w:val="18"/>
          <w:szCs w:val="18"/>
          <w:color w:val="auto"/>
        </w:rPr>
      </w:pPr>
    </w:p>
    <w:p>
      <w:pPr>
        <w:ind w:left="4" w:right="1779" w:firstLine="944"/>
        <w:spacing w:after="0" w:line="236" w:lineRule="auto"/>
        <w:tabs>
          <w:tab w:leader="none" w:pos="1478" w:val="left"/>
        </w:tabs>
        <w:numPr>
          <w:ilvl w:val="1"/>
          <w:numId w:val="1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outstanding options, whether or not then exercisable, shall become exercisable and shall remain exercisable until the end of their originally scheduled ten-year terms; and</w:t>
      </w:r>
    </w:p>
    <w:p>
      <w:pPr>
        <w:spacing w:after="0" w:line="203" w:lineRule="exact"/>
        <w:rPr>
          <w:rFonts w:ascii="Courier New" w:cs="Courier New" w:eastAsia="Courier New" w:hAnsi="Courier New"/>
          <w:sz w:val="18"/>
          <w:szCs w:val="18"/>
          <w:color w:val="auto"/>
        </w:rPr>
      </w:pPr>
    </w:p>
    <w:p>
      <w:pPr>
        <w:ind w:left="1584" w:hanging="636"/>
        <w:spacing w:after="0"/>
        <w:tabs>
          <w:tab w:leader="none" w:pos="1584" w:val="left"/>
        </w:tabs>
        <w:numPr>
          <w:ilvl w:val="1"/>
          <w:numId w:val="1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outstanding performance shares and other</w:t>
      </w:r>
    </w:p>
    <w:p>
      <w:pPr>
        <w:spacing w:after="0" w:line="4" w:lineRule="exact"/>
        <w:rPr>
          <w:sz w:val="20"/>
          <w:szCs w:val="20"/>
          <w:color w:val="auto"/>
        </w:rPr>
      </w:pPr>
    </w:p>
    <w:p>
      <w:pPr>
        <w:ind w:left="4" w:right="1779"/>
        <w:spacing w:after="0" w:line="236" w:lineRule="auto"/>
        <w:rPr>
          <w:sz w:val="20"/>
          <w:szCs w:val="20"/>
          <w:color w:val="auto"/>
        </w:rPr>
      </w:pPr>
      <w:r>
        <w:rPr>
          <w:rFonts w:ascii="Courier New" w:cs="Courier New" w:eastAsia="Courier New" w:hAnsi="Courier New"/>
          <w:sz w:val="18"/>
          <w:szCs w:val="18"/>
          <w:color w:val="auto"/>
        </w:rPr>
        <w:t>equity-based awards shall vest and be paid out (at target, with respect to the performance shares) in a single installment promptly after his death.</w:t>
      </w:r>
    </w:p>
    <w:p>
      <w:pPr>
        <w:spacing w:after="0" w:line="209" w:lineRule="exact"/>
        <w:rPr>
          <w:sz w:val="20"/>
          <w:szCs w:val="20"/>
          <w:color w:val="auto"/>
        </w:rPr>
      </w:pPr>
    </w:p>
    <w:p>
      <w:pPr>
        <w:ind w:left="-956" w:right="1999" w:firstLine="956"/>
        <w:spacing w:after="0" w:line="236" w:lineRule="auto"/>
        <w:tabs>
          <w:tab w:leader="none" w:pos="413" w:val="left"/>
        </w:tabs>
        <w:numPr>
          <w:ilvl w:val="0"/>
          <w:numId w:val="1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Termination Due to Disability. In the event that the Consultant's service is terminated due to his Disability, he shall be entitled to the following benefits:</w:t>
      </w:r>
    </w:p>
    <w:p>
      <w:pPr>
        <w:spacing w:after="0" w:line="208" w:lineRule="exact"/>
        <w:rPr>
          <w:rFonts w:ascii="Courier New" w:cs="Courier New" w:eastAsia="Courier New" w:hAnsi="Courier New"/>
          <w:sz w:val="18"/>
          <w:szCs w:val="18"/>
          <w:color w:val="auto"/>
        </w:rPr>
      </w:pPr>
    </w:p>
    <w:p>
      <w:pPr>
        <w:ind w:left="4" w:right="1879" w:firstLine="944"/>
        <w:spacing w:after="0" w:line="235" w:lineRule="auto"/>
        <w:tabs>
          <w:tab w:leader="none" w:pos="1373" w:val="left"/>
        </w:tabs>
        <w:numPr>
          <w:ilvl w:val="1"/>
          <w:numId w:val="1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Consultancy Fee through the end of the month in which disability benefits commence;</w:t>
      </w:r>
    </w:p>
    <w:p>
      <w:pPr>
        <w:spacing w:after="0" w:line="208" w:lineRule="exact"/>
        <w:rPr>
          <w:rFonts w:ascii="Courier New" w:cs="Courier New" w:eastAsia="Courier New" w:hAnsi="Courier New"/>
          <w:sz w:val="18"/>
          <w:szCs w:val="18"/>
          <w:color w:val="auto"/>
        </w:rPr>
      </w:pPr>
    </w:p>
    <w:p>
      <w:pPr>
        <w:ind w:left="4" w:right="1779" w:firstLine="944"/>
        <w:spacing w:after="0" w:line="236" w:lineRule="auto"/>
        <w:tabs>
          <w:tab w:leader="none" w:pos="1478" w:val="left"/>
        </w:tabs>
        <w:numPr>
          <w:ilvl w:val="1"/>
          <w:numId w:val="1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outstanding options, whether or not then exercisable, shall become exercisable and shall remain exercisable until the end of their originally scheduled ten-year terms; and</w:t>
      </w:r>
    </w:p>
    <w:p>
      <w:pPr>
        <w:spacing w:after="0" w:line="203" w:lineRule="exact"/>
        <w:rPr>
          <w:rFonts w:ascii="Courier New" w:cs="Courier New" w:eastAsia="Courier New" w:hAnsi="Courier New"/>
          <w:sz w:val="18"/>
          <w:szCs w:val="18"/>
          <w:color w:val="auto"/>
        </w:rPr>
      </w:pPr>
    </w:p>
    <w:p>
      <w:pPr>
        <w:ind w:left="1584" w:hanging="636"/>
        <w:spacing w:after="0"/>
        <w:tabs>
          <w:tab w:leader="none" w:pos="1584" w:val="left"/>
        </w:tabs>
        <w:numPr>
          <w:ilvl w:val="1"/>
          <w:numId w:val="1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outstanding performance shares and other</w:t>
      </w:r>
    </w:p>
    <w:p>
      <w:pPr>
        <w:spacing w:after="0" w:line="4" w:lineRule="exact"/>
        <w:rPr>
          <w:sz w:val="20"/>
          <w:szCs w:val="20"/>
          <w:color w:val="auto"/>
        </w:rPr>
      </w:pPr>
    </w:p>
    <w:p>
      <w:pPr>
        <w:ind w:left="4" w:right="1779"/>
        <w:spacing w:after="0" w:line="236" w:lineRule="auto"/>
        <w:rPr>
          <w:sz w:val="20"/>
          <w:szCs w:val="20"/>
          <w:color w:val="auto"/>
        </w:rPr>
      </w:pPr>
      <w:r>
        <w:rPr>
          <w:rFonts w:ascii="Courier New" w:cs="Courier New" w:eastAsia="Courier New" w:hAnsi="Courier New"/>
          <w:sz w:val="18"/>
          <w:szCs w:val="18"/>
          <w:color w:val="auto"/>
        </w:rPr>
        <w:t>equity-based awards shall vest and be paid out (at target, with respect to the performance shares) in a single installment promptly after his termination.</w:t>
      </w:r>
    </w:p>
    <w:p>
      <w:pPr>
        <w:spacing w:after="0" w:line="209" w:lineRule="exact"/>
        <w:rPr>
          <w:sz w:val="20"/>
          <w:szCs w:val="20"/>
          <w:color w:val="auto"/>
        </w:rPr>
      </w:pPr>
    </w:p>
    <w:p>
      <w:pPr>
        <w:ind w:left="4" w:right="1879" w:firstLine="948"/>
        <w:spacing w:after="0" w:line="279" w:lineRule="auto"/>
        <w:rPr>
          <w:sz w:val="20"/>
          <w:szCs w:val="20"/>
          <w:color w:val="auto"/>
        </w:rPr>
      </w:pPr>
      <w:r>
        <w:rPr>
          <w:rFonts w:ascii="Courier New" w:cs="Courier New" w:eastAsia="Courier New" w:hAnsi="Courier New"/>
          <w:sz w:val="16"/>
          <w:szCs w:val="16"/>
          <w:color w:val="auto"/>
        </w:rPr>
        <w:t>In no event shall a termination of the Consultant's service for Disability occur until the Party terminating his service gives written notice to the other Party in accordance with Section 23 below.</w:t>
      </w:r>
    </w:p>
    <w:p>
      <w:pPr>
        <w:spacing w:after="0" w:line="375" w:lineRule="exact"/>
        <w:rPr>
          <w:sz w:val="20"/>
          <w:szCs w:val="20"/>
          <w:color w:val="auto"/>
        </w:rPr>
      </w:pPr>
    </w:p>
    <w:p>
      <w:pPr>
        <w:ind w:left="3164"/>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9263"/>
          </w:cols>
          <w:pgMar w:left="1196" w:top="925" w:right="1440" w:bottom="1440" w:gutter="0" w:footer="0" w:header="0"/>
        </w:sectPr>
      </w:pPr>
    </w:p>
    <w:bookmarkStart w:id="95" w:name="page96"/>
    <w:bookmarkEnd w:id="95"/>
    <w:p>
      <w:pPr>
        <w:ind w:left="424" w:hanging="424"/>
        <w:spacing w:after="0"/>
        <w:tabs>
          <w:tab w:leader="none" w:pos="424" w:val="left"/>
        </w:tabs>
        <w:numPr>
          <w:ilvl w:val="0"/>
          <w:numId w:val="1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Termination by the Company for Cause.</w:t>
      </w:r>
    </w:p>
    <w:p>
      <w:pPr>
        <w:spacing w:after="0" w:line="206" w:lineRule="exact"/>
        <w:rPr>
          <w:rFonts w:ascii="Courier New" w:cs="Courier New" w:eastAsia="Courier New" w:hAnsi="Courier New"/>
          <w:sz w:val="18"/>
          <w:szCs w:val="18"/>
          <w:color w:val="auto"/>
        </w:rPr>
      </w:pPr>
    </w:p>
    <w:p>
      <w:pPr>
        <w:ind w:left="4" w:right="1779" w:firstLine="944"/>
        <w:spacing w:after="0" w:line="269" w:lineRule="auto"/>
        <w:tabs>
          <w:tab w:leader="none" w:pos="1373" w:val="left"/>
        </w:tabs>
        <w:numPr>
          <w:ilvl w:val="1"/>
          <w:numId w:val="1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termination for Cause shall not take effect unless the provisions of this paragraph (i) are complied with. The Consultant shall be given written notice by the Board, authorized by a vote of no less than 75% of the Board, of the intention to terminate him for Cause, such notice (A) to state in detail the particular act or acts or failure or failures to act that constitute the grounds on which the proposed termination for Cause is based and (B) to be given within six months of the Board learning of such act or acts or failure or failures to act. The Consultant shall have ten calendar days after the date that such written notice has been given to the Consultant in which to cure such conduct, to the extent such cure is possible. If he fails to cure such conduct, the Consultant shall then be entitled to a hearing before the Board. Such hearing shall be held within 15 calendar days of such notice to the Consultant, provided he requests such hearing within ten calendar days of the written notice from the Board of the intention to terminate him for Cause. If, within five calendar days following such hearing, the Consultant is furnished written notice by the Board confirming that, in its judgment, grounds for Cause on the basis of the original notice exist, he shall thereupon be terminated for Cause.</w:t>
      </w:r>
    </w:p>
    <w:p>
      <w:pPr>
        <w:spacing w:after="0" w:line="394" w:lineRule="exact"/>
        <w:rPr>
          <w:rFonts w:ascii="Courier New" w:cs="Courier New" w:eastAsia="Courier New" w:hAnsi="Courier New"/>
          <w:sz w:val="16"/>
          <w:szCs w:val="16"/>
          <w:color w:val="auto"/>
        </w:rPr>
      </w:pPr>
    </w:p>
    <w:p>
      <w:pPr>
        <w:ind w:left="4" w:right="2319" w:firstLine="944"/>
        <w:spacing w:after="0" w:line="235" w:lineRule="auto"/>
        <w:tabs>
          <w:tab w:leader="none" w:pos="1478" w:val="left"/>
        </w:tabs>
        <w:numPr>
          <w:ilvl w:val="1"/>
          <w:numId w:val="1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the Company terminates the Consultant's service for Cause:</w:t>
      </w:r>
    </w:p>
    <w:p>
      <w:pPr>
        <w:spacing w:after="0" w:line="208" w:lineRule="exact"/>
        <w:rPr>
          <w:rFonts w:ascii="Courier New" w:cs="Courier New" w:eastAsia="Courier New" w:hAnsi="Courier New"/>
          <w:sz w:val="18"/>
          <w:szCs w:val="18"/>
          <w:color w:val="auto"/>
        </w:rPr>
      </w:pPr>
    </w:p>
    <w:p>
      <w:pPr>
        <w:ind w:left="944" w:right="2419" w:firstLine="952"/>
        <w:spacing w:after="0" w:line="290" w:lineRule="auto"/>
        <w:tabs>
          <w:tab w:leader="none" w:pos="2313" w:val="left"/>
        </w:tabs>
        <w:numPr>
          <w:ilvl w:val="2"/>
          <w:numId w:val="1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Consultant shall be entitled to the Consultancy Fee through the date of the termination; and</w:t>
      </w:r>
    </w:p>
    <w:p>
      <w:pPr>
        <w:spacing w:after="0" w:line="169" w:lineRule="exact"/>
        <w:rPr>
          <w:rFonts w:ascii="Courier New" w:cs="Courier New" w:eastAsia="Courier New" w:hAnsi="Courier New"/>
          <w:sz w:val="16"/>
          <w:szCs w:val="16"/>
          <w:color w:val="auto"/>
        </w:rPr>
      </w:pPr>
    </w:p>
    <w:p>
      <w:pPr>
        <w:ind w:left="944" w:right="1779" w:firstLine="952"/>
        <w:spacing w:after="0" w:line="273" w:lineRule="auto"/>
        <w:tabs>
          <w:tab w:leader="none" w:pos="2313" w:val="left"/>
        </w:tabs>
        <w:numPr>
          <w:ilvl w:val="2"/>
          <w:numId w:val="1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outstanding options which are not exercisable shall be forfeited; exercisable options shall remain exercisable until the earlier of the ninetieth day after the date of termination or the originally scheduled expiration date of the options unless the Board determines otherwise.</w:t>
      </w:r>
    </w:p>
    <w:p>
      <w:pPr>
        <w:spacing w:after="0" w:line="184" w:lineRule="exact"/>
        <w:rPr>
          <w:rFonts w:ascii="Courier New" w:cs="Courier New" w:eastAsia="Courier New" w:hAnsi="Courier New"/>
          <w:sz w:val="16"/>
          <w:szCs w:val="16"/>
          <w:color w:val="auto"/>
        </w:rPr>
      </w:pPr>
    </w:p>
    <w:p>
      <w:pPr>
        <w:ind w:left="-956" w:right="1779" w:firstLine="956"/>
        <w:spacing w:after="0" w:line="237" w:lineRule="auto"/>
        <w:tabs>
          <w:tab w:leader="none" w:pos="413" w:val="left"/>
        </w:tabs>
        <w:numPr>
          <w:ilvl w:val="0"/>
          <w:numId w:val="1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Termination without Cause or Constructive Termination without Cause. In the event the Consultant's service is terminated by the Company without Cause, other than due to Disability or death, or in the event there is a Constructive Termination without Cause, the Consultant shall be entitled to the following benefits:</w:t>
      </w:r>
    </w:p>
    <w:p>
      <w:pPr>
        <w:spacing w:after="0" w:line="203" w:lineRule="exact"/>
        <w:rPr>
          <w:rFonts w:ascii="Courier New" w:cs="Courier New" w:eastAsia="Courier New" w:hAnsi="Courier New"/>
          <w:sz w:val="18"/>
          <w:szCs w:val="18"/>
          <w:color w:val="auto"/>
        </w:rPr>
      </w:pPr>
    </w:p>
    <w:p>
      <w:pPr>
        <w:ind w:left="1364" w:hanging="416"/>
        <w:spacing w:after="0"/>
        <w:tabs>
          <w:tab w:leader="none" w:pos="1364" w:val="left"/>
        </w:tabs>
        <w:numPr>
          <w:ilvl w:val="1"/>
          <w:numId w:val="1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Consultancy Fee through the date of termination;</w:t>
      </w:r>
    </w:p>
    <w:p>
      <w:pPr>
        <w:spacing w:after="0" w:line="206" w:lineRule="exact"/>
        <w:rPr>
          <w:rFonts w:ascii="Courier New" w:cs="Courier New" w:eastAsia="Courier New" w:hAnsi="Courier New"/>
          <w:sz w:val="18"/>
          <w:szCs w:val="18"/>
          <w:color w:val="auto"/>
        </w:rPr>
      </w:pPr>
    </w:p>
    <w:p>
      <w:pPr>
        <w:ind w:left="4" w:right="2619" w:firstLine="944"/>
        <w:spacing w:after="0" w:line="235" w:lineRule="auto"/>
        <w:tabs>
          <w:tab w:leader="none" w:pos="1478" w:val="left"/>
        </w:tabs>
        <w:numPr>
          <w:ilvl w:val="1"/>
          <w:numId w:val="1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cash payment of $1,800,000, payable in a single installment promptly after his termination;</w:t>
      </w:r>
    </w:p>
    <w:p>
      <w:pPr>
        <w:spacing w:after="0" w:line="200" w:lineRule="exact"/>
        <w:rPr>
          <w:sz w:val="20"/>
          <w:szCs w:val="20"/>
          <w:color w:val="auto"/>
        </w:rPr>
      </w:pPr>
    </w:p>
    <w:p>
      <w:pPr>
        <w:spacing w:after="0" w:line="205" w:lineRule="exact"/>
        <w:rPr>
          <w:sz w:val="20"/>
          <w:szCs w:val="20"/>
          <w:color w:val="auto"/>
        </w:rPr>
      </w:pPr>
    </w:p>
    <w:p>
      <w:pPr>
        <w:ind w:left="3164"/>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9263"/>
          </w:cols>
          <w:pgMar w:left="1196" w:top="919" w:right="1440" w:bottom="1440" w:gutter="0" w:footer="0" w:header="0"/>
        </w:sectPr>
      </w:pPr>
    </w:p>
    <w:bookmarkStart w:id="96" w:name="page97"/>
    <w:bookmarkEnd w:id="96"/>
    <w:p>
      <w:pPr>
        <w:ind w:left="4" w:right="2319" w:firstLine="944"/>
        <w:spacing w:after="0" w:line="279" w:lineRule="auto"/>
        <w:tabs>
          <w:tab w:leader="none" w:pos="1584" w:val="left"/>
        </w:tabs>
        <w:numPr>
          <w:ilvl w:val="1"/>
          <w:numId w:val="1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outstanding options, whether or not then exercisable, shall become exercisable and shall remain exercisable until the end of their originally scheduled ten-year terms;</w:t>
      </w:r>
    </w:p>
    <w:p>
      <w:pPr>
        <w:spacing w:after="0" w:line="178" w:lineRule="exact"/>
        <w:rPr>
          <w:rFonts w:ascii="Courier New" w:cs="Courier New" w:eastAsia="Courier New" w:hAnsi="Courier New"/>
          <w:sz w:val="16"/>
          <w:szCs w:val="16"/>
          <w:color w:val="auto"/>
        </w:rPr>
      </w:pPr>
    </w:p>
    <w:p>
      <w:pPr>
        <w:ind w:left="4" w:right="1779" w:firstLine="944"/>
        <w:spacing w:after="0" w:line="237" w:lineRule="auto"/>
        <w:tabs>
          <w:tab w:leader="none" w:pos="1478" w:val="left"/>
        </w:tabs>
        <w:numPr>
          <w:ilvl w:val="1"/>
          <w:numId w:val="10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outstanding performance shares and other equity-based awards shall vest and be paid out (at target, with respect to the performance shares) in a single installment promptly after his termination; and</w:t>
      </w:r>
    </w:p>
    <w:p>
      <w:pPr>
        <w:spacing w:after="0" w:line="207" w:lineRule="exact"/>
        <w:rPr>
          <w:rFonts w:ascii="Courier New" w:cs="Courier New" w:eastAsia="Courier New" w:hAnsi="Courier New"/>
          <w:sz w:val="18"/>
          <w:szCs w:val="18"/>
          <w:color w:val="auto"/>
        </w:rPr>
      </w:pPr>
    </w:p>
    <w:p>
      <w:pPr>
        <w:ind w:left="4" w:right="1779" w:firstLine="944"/>
        <w:spacing w:after="0" w:line="268" w:lineRule="auto"/>
        <w:tabs>
          <w:tab w:leader="none" w:pos="1373" w:val="left"/>
        </w:tabs>
        <w:numPr>
          <w:ilvl w:val="1"/>
          <w:numId w:val="1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such termination occurs on or prior to the second anniversary of the effective date of the Employment Agreement, the Consultant shall be entitled to receive a lump sum cash amount equal to the greater of (A) (X) the product of three multiplied by the sum of</w:t>
      </w:r>
    </w:p>
    <w:p>
      <w:pPr>
        <w:ind w:left="4" w:right="1779" w:hanging="4"/>
        <w:spacing w:after="0" w:line="238" w:lineRule="auto"/>
        <w:tabs>
          <w:tab w:leader="none" w:pos="425" w:val="left"/>
        </w:tabs>
        <w:numPr>
          <w:ilvl w:val="0"/>
          <w:numId w:val="10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Base Salary (as defined in the Employment Agreement), (2) the annual incentive award, equal to the target bonus established by AT&amp;T for 2002, which was 150% of such Base Salary, and (3) the long-term performance share award, equal to the performance share target set by AT&amp;T for 2002 and (B) the product of four multiplied by the sum of Base Salary (as defined in the Employment Agreement), at the annualized rate in effect on the date of termination of employment under the Employment Agreement, and the Target Bonus (as defined in the Employment Agreement) for the year in which the termination of employment under the Employment Agreement occurs. If such termination occurs after the second anniversary of the effective date of the Employment Agreement, the Consultant shall be entitled to receive the payment set forth in clause (B) of this Section 8(d)(v).</w:t>
      </w:r>
    </w:p>
    <w:p>
      <w:pPr>
        <w:spacing w:after="0" w:line="202" w:lineRule="exact"/>
        <w:rPr>
          <w:sz w:val="20"/>
          <w:szCs w:val="20"/>
          <w:color w:val="auto"/>
        </w:rPr>
      </w:pPr>
    </w:p>
    <w:p>
      <w:pPr>
        <w:ind w:left="424" w:hanging="424"/>
        <w:spacing w:after="0"/>
        <w:tabs>
          <w:tab w:leader="none" w:pos="424" w:val="left"/>
        </w:tabs>
        <w:numPr>
          <w:ilvl w:val="0"/>
          <w:numId w:val="1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Gross-up Payment.</w:t>
      </w:r>
    </w:p>
    <w:p>
      <w:pPr>
        <w:spacing w:after="0" w:line="206" w:lineRule="exact"/>
        <w:rPr>
          <w:rFonts w:ascii="Courier New" w:cs="Courier New" w:eastAsia="Courier New" w:hAnsi="Courier New"/>
          <w:sz w:val="18"/>
          <w:szCs w:val="18"/>
          <w:color w:val="auto"/>
        </w:rPr>
      </w:pPr>
    </w:p>
    <w:p>
      <w:pPr>
        <w:ind w:left="4" w:right="1779" w:firstLine="944"/>
        <w:spacing w:after="0" w:line="238" w:lineRule="auto"/>
        <w:tabs>
          <w:tab w:leader="none" w:pos="1373" w:val="left"/>
        </w:tabs>
        <w:numPr>
          <w:ilvl w:val="1"/>
          <w:numId w:val="1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aggregate of all payments or benefits made or provided to the Consultant under this Agreement and under all other plans and programs of the Company (the "Aggregate Payment") is determined to constitute a Parachute Payment within the meaning of Section 280G(b)(2) of the Code, the Company shall pay to the Consultant, prior to the time any excise tax imposed by Section 4999 of the Code ("Excise Tax") is payable with respect to such Aggregate Payment, an additional amount (the "Gross-Up Payment") which, after the imposition of all income, employment, excise and other taxes thereon, is equal to the Excise Tax on the Aggregate Payment. The determination of whether the Aggregate Payment constitutes a Parachute Payment and, if so, the amount to be paid to the Consultant and the time of payment pursuant to this Section 8(e)(i) shall be made by an independent auditor (the "Auditor") selected by the Parties and paid by the Company. The Auditor shall be a nationally recognized United States public accounting firm which has not, during the two years preceding the date of its selection, acted in any way</w:t>
      </w:r>
    </w:p>
    <w:p>
      <w:pPr>
        <w:spacing w:after="0" w:line="200" w:lineRule="exact"/>
        <w:rPr>
          <w:sz w:val="20"/>
          <w:szCs w:val="20"/>
          <w:color w:val="auto"/>
        </w:rPr>
      </w:pPr>
    </w:p>
    <w:p>
      <w:pPr>
        <w:spacing w:after="0" w:line="206" w:lineRule="exact"/>
        <w:rPr>
          <w:sz w:val="20"/>
          <w:szCs w:val="20"/>
          <w:color w:val="auto"/>
        </w:rPr>
      </w:pPr>
    </w:p>
    <w:p>
      <w:pPr>
        <w:ind w:left="3164"/>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9263"/>
          </w:cols>
          <w:pgMar w:left="1196" w:top="1128" w:right="1440" w:bottom="1440" w:gutter="0" w:footer="0" w:header="0"/>
        </w:sectPr>
      </w:pPr>
    </w:p>
    <w:bookmarkStart w:id="97" w:name="page98"/>
    <w:bookmarkEnd w:id="97"/>
    <w:p>
      <w:pPr>
        <w:ind w:right="1779"/>
        <w:spacing w:after="0" w:line="237" w:lineRule="auto"/>
        <w:rPr>
          <w:sz w:val="20"/>
          <w:szCs w:val="20"/>
          <w:color w:val="auto"/>
        </w:rPr>
      </w:pPr>
      <w:r>
        <w:rPr>
          <w:rFonts w:ascii="Courier New" w:cs="Courier New" w:eastAsia="Courier New" w:hAnsi="Courier New"/>
          <w:sz w:val="18"/>
          <w:szCs w:val="18"/>
          <w:color w:val="auto"/>
        </w:rPr>
        <w:t>on behalf of the Company or any Affiliate thereof. If the Consultant and the Company cannot agree on the firm to serve as the Auditor, then the Consultant and the Company shall each designate one accounting firm and those two firms shall jointly select the accounting firm to serve as the Auditor. All fees and expenses of the Auditor shall be borne solely by the Company. Any Gross-Up Payment shall be paid by the Company to the Consultant within five calendar days of the receipt of the Auditor's determination. Any determination by the Auditor shall be binding upon the Company and the Consultant.</w:t>
      </w:r>
    </w:p>
    <w:p>
      <w:pPr>
        <w:spacing w:after="0" w:line="214" w:lineRule="exact"/>
        <w:rPr>
          <w:sz w:val="20"/>
          <w:szCs w:val="20"/>
          <w:color w:val="auto"/>
        </w:rPr>
      </w:pPr>
    </w:p>
    <w:p>
      <w:pPr>
        <w:ind w:right="1779" w:firstLine="944"/>
        <w:spacing w:after="0" w:line="269" w:lineRule="auto"/>
        <w:tabs>
          <w:tab w:leader="none" w:pos="1475" w:val="left"/>
        </w:tabs>
        <w:numPr>
          <w:ilvl w:val="0"/>
          <w:numId w:val="1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a result of uncertainty in the application of Sections 280G and 4999 of the Code at the time of the initial determination by the Auditor hereunder, it is possible that the Gross-Up Payment made will have been an amount more than the Company should have paid pursuant to Section 8(e)(i) (the "Overpayment") or that the Gross-Up Payment made will have been an amount less than the Company should have paid pursuant to Section 8(e)(i) (the "Underpayment"). In the event that there is a final determination by the Internal Revenue Service, or a final determination by a court of competent jurisdiction, that an Overpayment has been made, any such Overpayment shall be treated for all purposes as a loan to the Consultant which the Consultant shall repay to the Company together with interest at the applicable Federal rate provided for in Section 7872(f)(2) of the Code. In the event that there is a final determination by the Internal Revenue Service, a final determination by a court of competent jurisdiction or a change in the provisions of the Code or regulations pursuant to which an Underpayment arises under this Agreement, any such Underpayment shall be promptly paid by the Company to or for the benefit of the Consultant together with interest at the applicable Federal rate provided for in Section 7872(f)(2) of the Code.</w:t>
      </w:r>
    </w:p>
    <w:p>
      <w:pPr>
        <w:spacing w:after="0" w:line="200" w:lineRule="exact"/>
        <w:rPr>
          <w:rFonts w:ascii="Courier New" w:cs="Courier New" w:eastAsia="Courier New" w:hAnsi="Courier New"/>
          <w:sz w:val="16"/>
          <w:szCs w:val="16"/>
          <w:color w:val="auto"/>
        </w:rPr>
      </w:pPr>
    </w:p>
    <w:p>
      <w:pPr>
        <w:spacing w:after="0" w:line="397" w:lineRule="exact"/>
        <w:rPr>
          <w:rFonts w:ascii="Courier New" w:cs="Courier New" w:eastAsia="Courier New" w:hAnsi="Courier New"/>
          <w:sz w:val="16"/>
          <w:szCs w:val="16"/>
          <w:color w:val="auto"/>
        </w:rPr>
      </w:pPr>
    </w:p>
    <w:p>
      <w:pPr>
        <w:ind w:right="1779" w:firstLine="944"/>
        <w:spacing w:after="0" w:line="238" w:lineRule="auto"/>
        <w:tabs>
          <w:tab w:leader="none" w:pos="1580" w:val="left"/>
        </w:tabs>
        <w:numPr>
          <w:ilvl w:val="0"/>
          <w:numId w:val="1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Consultant shall notify the Company in writing of any claim by the Internal Revenue Service that, if successful, would result in an Underpayment and would require the payment by the Company of an additional Gross-Up Payment. Such notification shall be given as soon as practicable but no later than 10 business days after the Consultant is informed in writing of such claim and shall apprise the Company of the nature of such claim and the date on which such claim is requested to be paid. The Consultant shall not pay such claim prior to the expiration of the 30 calendar day period following the date on which the Consultant gives such notice to the Company (or such shorter period ending on the date that any payment of taxes with respect to such claim is due). If the Company notifies the Consultant in writing prior to the expiration of such period that it desires to contest such claim, the Consultant shall:</w:t>
      </w:r>
    </w:p>
    <w:p>
      <w:pPr>
        <w:spacing w:after="0" w:line="200" w:lineRule="exact"/>
        <w:rPr>
          <w:sz w:val="20"/>
          <w:szCs w:val="20"/>
          <w:color w:val="auto"/>
        </w:rPr>
      </w:pPr>
    </w:p>
    <w:p>
      <w:pPr>
        <w:spacing w:after="0" w:line="205"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9259"/>
          </w:cols>
          <w:pgMar w:left="1200" w:top="925" w:right="1440" w:bottom="1440" w:gutter="0" w:footer="0" w:header="0"/>
        </w:sectPr>
      </w:pPr>
    </w:p>
    <w:bookmarkStart w:id="98" w:name="page99"/>
    <w:bookmarkEnd w:id="98"/>
    <w:p>
      <w:pPr>
        <w:ind w:left="1900" w:right="2419" w:firstLine="952"/>
        <w:spacing w:after="0" w:line="290" w:lineRule="auto"/>
        <w:tabs>
          <w:tab w:leader="none" w:pos="3269" w:val="left"/>
        </w:tabs>
        <w:numPr>
          <w:ilvl w:val="0"/>
          <w:numId w:val="1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give the Company any information reasonably requested by the Company relating to such claim,</w:t>
      </w:r>
    </w:p>
    <w:p>
      <w:pPr>
        <w:spacing w:after="0" w:line="169" w:lineRule="exact"/>
        <w:rPr>
          <w:rFonts w:ascii="Courier New" w:cs="Courier New" w:eastAsia="Courier New" w:hAnsi="Courier New"/>
          <w:sz w:val="16"/>
          <w:szCs w:val="16"/>
          <w:color w:val="auto"/>
        </w:rPr>
      </w:pPr>
    </w:p>
    <w:p>
      <w:pPr>
        <w:ind w:left="1900" w:right="1779" w:firstLine="952"/>
        <w:spacing w:after="0" w:line="237" w:lineRule="auto"/>
        <w:tabs>
          <w:tab w:leader="none" w:pos="3269" w:val="left"/>
        </w:tabs>
        <w:numPr>
          <w:ilvl w:val="0"/>
          <w:numId w:val="10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such action in connection with contesting such claim as the Company shall reasonably request in writing from time to time, including, without limitation, accepting legal representation with respect to such claim by an attorney reasonably selected by the Company,</w:t>
      </w:r>
    </w:p>
    <w:p>
      <w:pPr>
        <w:spacing w:after="0" w:line="208" w:lineRule="exact"/>
        <w:rPr>
          <w:rFonts w:ascii="Courier New" w:cs="Courier New" w:eastAsia="Courier New" w:hAnsi="Courier New"/>
          <w:sz w:val="18"/>
          <w:szCs w:val="18"/>
          <w:color w:val="auto"/>
        </w:rPr>
      </w:pPr>
    </w:p>
    <w:p>
      <w:pPr>
        <w:ind w:left="1900" w:right="1779" w:firstLine="952"/>
        <w:spacing w:after="0" w:line="235" w:lineRule="auto"/>
        <w:tabs>
          <w:tab w:leader="none" w:pos="3269" w:val="left"/>
        </w:tabs>
        <w:numPr>
          <w:ilvl w:val="0"/>
          <w:numId w:val="10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cooperate with the Company in good faith in order effectively to contest such claim, and</w:t>
      </w:r>
    </w:p>
    <w:p>
      <w:pPr>
        <w:spacing w:after="0" w:line="208" w:lineRule="exact"/>
        <w:rPr>
          <w:rFonts w:ascii="Courier New" w:cs="Courier New" w:eastAsia="Courier New" w:hAnsi="Courier New"/>
          <w:sz w:val="18"/>
          <w:szCs w:val="18"/>
          <w:color w:val="auto"/>
        </w:rPr>
      </w:pPr>
    </w:p>
    <w:p>
      <w:pPr>
        <w:ind w:left="1900" w:right="2739" w:firstLine="952"/>
        <w:spacing w:after="0" w:line="235" w:lineRule="auto"/>
        <w:tabs>
          <w:tab w:leader="none" w:pos="3269" w:val="left"/>
        </w:tabs>
        <w:numPr>
          <w:ilvl w:val="0"/>
          <w:numId w:val="10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permit the Company to participate in any proceeding relating to such claim;</w:t>
      </w:r>
    </w:p>
    <w:p>
      <w:pPr>
        <w:spacing w:after="0" w:line="208" w:lineRule="exact"/>
        <w:rPr>
          <w:sz w:val="20"/>
          <w:szCs w:val="20"/>
          <w:color w:val="auto"/>
        </w:rPr>
      </w:pPr>
    </w:p>
    <w:p>
      <w:pPr>
        <w:ind w:right="1879"/>
        <w:spacing w:after="0" w:line="238" w:lineRule="auto"/>
        <w:rPr>
          <w:sz w:val="20"/>
          <w:szCs w:val="20"/>
          <w:color w:val="auto"/>
        </w:rPr>
      </w:pPr>
      <w:r>
        <w:rPr>
          <w:rFonts w:ascii="Courier New" w:cs="Courier New" w:eastAsia="Courier New" w:hAnsi="Courier New"/>
          <w:sz w:val="18"/>
          <w:szCs w:val="18"/>
          <w:color w:val="auto"/>
        </w:rPr>
        <w:t>provided, however, that the Company shall bear and pay directly all costs and expenses (including additional interest and penalties) incurred in connection with such contest and shall indemnify and hold the Consultant harmless, on an after-tax basis, for any Excise Tax or income or employment tax (including interest and penalties with respect thereto) imposed as a result of such proceeding and payment of costs and expenses. Without limitation on the foregoing provisions of this Section 8(e), the Company shall control all proceedings taken in connection with such contest, provided that the Company's control of the contest shall be limited to issues with respect to which a Gross-Up Payment would be payable hereunder and Consultant shall be entitled to settle or contest, as the case may be, any other issue raised by the Internal Revenue Service or any other taxing authority.</w:t>
      </w:r>
    </w:p>
    <w:p>
      <w:pPr>
        <w:spacing w:after="0" w:line="207" w:lineRule="exact"/>
        <w:rPr>
          <w:sz w:val="20"/>
          <w:szCs w:val="20"/>
          <w:color w:val="auto"/>
        </w:rPr>
      </w:pPr>
    </w:p>
    <w:p>
      <w:pPr>
        <w:ind w:right="2199" w:firstLine="956"/>
        <w:spacing w:after="0" w:line="290" w:lineRule="auto"/>
        <w:tabs>
          <w:tab w:leader="none" w:pos="1369" w:val="left"/>
        </w:tabs>
        <w:numPr>
          <w:ilvl w:val="0"/>
          <w:numId w:val="1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Termination Benefits. In the case of any of the foregoing terminations the Consultant or his estate shall also be entitled to:</w:t>
      </w:r>
    </w:p>
    <w:p>
      <w:pPr>
        <w:spacing w:after="0" w:line="169" w:lineRule="exact"/>
        <w:rPr>
          <w:rFonts w:ascii="Courier New" w:cs="Courier New" w:eastAsia="Courier New" w:hAnsi="Courier New"/>
          <w:sz w:val="16"/>
          <w:szCs w:val="16"/>
          <w:color w:val="auto"/>
        </w:rPr>
      </w:pPr>
    </w:p>
    <w:p>
      <w:pPr>
        <w:jc w:val="both"/>
        <w:ind w:left="960" w:right="2099" w:firstLine="944"/>
        <w:spacing w:after="0" w:line="290" w:lineRule="auto"/>
        <w:tabs>
          <w:tab w:leader="none" w:pos="2329" w:val="left"/>
        </w:tabs>
        <w:numPr>
          <w:ilvl w:val="1"/>
          <w:numId w:val="1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balance of any incentive awards due for performance periods which have been completed, but which have not yet been paid;</w:t>
      </w:r>
    </w:p>
    <w:p>
      <w:pPr>
        <w:spacing w:after="0" w:line="164" w:lineRule="exact"/>
        <w:rPr>
          <w:rFonts w:ascii="Courier New" w:cs="Courier New" w:eastAsia="Courier New" w:hAnsi="Courier New"/>
          <w:sz w:val="16"/>
          <w:szCs w:val="16"/>
          <w:color w:val="auto"/>
        </w:rPr>
      </w:pPr>
    </w:p>
    <w:p>
      <w:pPr>
        <w:ind w:left="2440" w:hanging="536"/>
        <w:spacing w:after="0"/>
        <w:tabs>
          <w:tab w:leader="none" w:pos="2440" w:val="left"/>
        </w:tabs>
        <w:numPr>
          <w:ilvl w:val="1"/>
          <w:numId w:val="10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expense reimbursements due the Consultant;</w:t>
      </w:r>
    </w:p>
    <w:p>
      <w:pPr>
        <w:spacing w:after="0" w:line="206" w:lineRule="exact"/>
        <w:rPr>
          <w:rFonts w:ascii="Courier New" w:cs="Courier New" w:eastAsia="Courier New" w:hAnsi="Courier New"/>
          <w:sz w:val="18"/>
          <w:szCs w:val="18"/>
          <w:color w:val="auto"/>
        </w:rPr>
      </w:pPr>
    </w:p>
    <w:p>
      <w:pPr>
        <w:ind w:left="960" w:right="1779" w:firstLine="944"/>
        <w:spacing w:after="0" w:line="271" w:lineRule="auto"/>
        <w:tabs>
          <w:tab w:leader="none" w:pos="2540" w:val="left"/>
        </w:tabs>
        <w:numPr>
          <w:ilvl w:val="1"/>
          <w:numId w:val="1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 respect to the Consultant only, (A) tax preparation and financial counseling services for the period beginning on the date of termination and ending on the Termination Date (plus a gross-up for all applicable taxes payable in connection with the provisions of such services, but only if such gross-up is provided to a senior executive of the Company); (B) primary personal use of the Company airplane, on the economic terms set forth in Section 7(c), for the period beginning on the date of termination and ending on the Termination Date; and (C) continued payment by the Company when due of the premiums for the</w:t>
      </w:r>
    </w:p>
    <w:p>
      <w:pPr>
        <w:spacing w:after="0" w:line="38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1128" w:right="1440" w:bottom="1440" w:gutter="0" w:footer="0" w:header="0"/>
        </w:sectPr>
      </w:pPr>
    </w:p>
    <w:bookmarkStart w:id="99" w:name="page100"/>
    <w:bookmarkEnd w:id="99"/>
    <w:p>
      <w:pPr>
        <w:ind w:left="960" w:right="1779"/>
        <w:spacing w:after="0" w:line="237" w:lineRule="auto"/>
        <w:rPr>
          <w:sz w:val="20"/>
          <w:szCs w:val="20"/>
          <w:color w:val="auto"/>
        </w:rPr>
      </w:pPr>
      <w:r>
        <w:rPr>
          <w:rFonts w:ascii="Courier New" w:cs="Courier New" w:eastAsia="Courier New" w:hAnsi="Courier New"/>
          <w:sz w:val="18"/>
          <w:szCs w:val="18"/>
          <w:color w:val="auto"/>
        </w:rPr>
        <w:t>Senior Management Universal Life Insurance Policy provided under Section 7 of this Agreement, and a gross-up for all federal taxes payable in connection with the payment of such premiums, for the period beginning on the date of termination and ending on the Termination Date;</w:t>
      </w:r>
    </w:p>
    <w:p>
      <w:pPr>
        <w:spacing w:after="0" w:line="209" w:lineRule="exact"/>
        <w:rPr>
          <w:sz w:val="20"/>
          <w:szCs w:val="20"/>
          <w:color w:val="auto"/>
        </w:rPr>
      </w:pPr>
    </w:p>
    <w:p>
      <w:pPr>
        <w:ind w:left="960" w:right="1879" w:firstLine="944"/>
        <w:spacing w:after="0" w:line="236" w:lineRule="auto"/>
        <w:tabs>
          <w:tab w:leader="none" w:pos="2435" w:val="left"/>
        </w:tabs>
        <w:numPr>
          <w:ilvl w:val="1"/>
          <w:numId w:val="1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respect to the Consultant only, Home Office Support for the period beginning on the date of termination and ending on the date that is two years after the Termination Date; and</w:t>
      </w:r>
    </w:p>
    <w:p>
      <w:pPr>
        <w:spacing w:after="0" w:line="208" w:lineRule="exact"/>
        <w:rPr>
          <w:rFonts w:ascii="Courier New" w:cs="Courier New" w:eastAsia="Courier New" w:hAnsi="Courier New"/>
          <w:sz w:val="18"/>
          <w:szCs w:val="18"/>
          <w:color w:val="auto"/>
        </w:rPr>
      </w:pPr>
    </w:p>
    <w:p>
      <w:pPr>
        <w:ind w:left="960" w:right="2319" w:firstLine="944"/>
        <w:spacing w:after="0" w:line="235" w:lineRule="auto"/>
        <w:tabs>
          <w:tab w:leader="none" w:pos="2329" w:val="left"/>
        </w:tabs>
        <w:numPr>
          <w:ilvl w:val="1"/>
          <w:numId w:val="1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benefits, if any, in accordance with applicable plans and programs of the Company and this Agreement.</w:t>
      </w:r>
    </w:p>
    <w:p>
      <w:pPr>
        <w:spacing w:after="0" w:line="208" w:lineRule="exact"/>
        <w:rPr>
          <w:rFonts w:ascii="Courier New" w:cs="Courier New" w:eastAsia="Courier New" w:hAnsi="Courier New"/>
          <w:sz w:val="18"/>
          <w:szCs w:val="18"/>
          <w:color w:val="auto"/>
        </w:rPr>
      </w:pPr>
    </w:p>
    <w:p>
      <w:pPr>
        <w:ind w:right="1999" w:firstLine="956"/>
        <w:spacing w:after="0" w:line="237" w:lineRule="auto"/>
        <w:tabs>
          <w:tab w:leader="none" w:pos="1369" w:val="left"/>
        </w:tabs>
        <w:numPr>
          <w:ilvl w:val="0"/>
          <w:numId w:val="1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Mitigation; No Offset. In the event of any termination of service under this Section 8, the Consultant shall be under no obligation to seek other employment and there shall be no offset against amounts due the Consultant under this Agreement on account of any remuneration attributable to any subsequent employment that he may obtain.</w:t>
      </w:r>
    </w:p>
    <w:p>
      <w:pPr>
        <w:spacing w:after="0" w:line="208" w:lineRule="exact"/>
        <w:rPr>
          <w:rFonts w:ascii="Courier New" w:cs="Courier New" w:eastAsia="Courier New" w:hAnsi="Courier New"/>
          <w:sz w:val="18"/>
          <w:szCs w:val="18"/>
          <w:color w:val="auto"/>
        </w:rPr>
      </w:pPr>
    </w:p>
    <w:p>
      <w:pPr>
        <w:ind w:right="1779" w:firstLine="956"/>
        <w:spacing w:after="0" w:line="236" w:lineRule="auto"/>
        <w:tabs>
          <w:tab w:leader="none" w:pos="1369" w:val="left"/>
        </w:tabs>
        <w:numPr>
          <w:ilvl w:val="0"/>
          <w:numId w:val="1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Nature of Payments. Any amounts due under this Section 8 are in the nature of severance payments considered to be reasonable by the Company and are not in the nature of a penalty.</w:t>
      </w:r>
    </w:p>
    <w:p>
      <w:pPr>
        <w:spacing w:after="0" w:line="209" w:lineRule="exact"/>
        <w:rPr>
          <w:sz w:val="20"/>
          <w:szCs w:val="20"/>
          <w:color w:val="auto"/>
        </w:rPr>
      </w:pPr>
    </w:p>
    <w:p>
      <w:pPr>
        <w:ind w:right="2199" w:firstLine="948"/>
        <w:spacing w:after="0" w:line="235" w:lineRule="auto"/>
        <w:rPr>
          <w:sz w:val="20"/>
          <w:szCs w:val="20"/>
          <w:color w:val="auto"/>
        </w:rPr>
      </w:pPr>
      <w:r>
        <w:rPr>
          <w:rFonts w:ascii="Courier New" w:cs="Courier New" w:eastAsia="Courier New" w:hAnsi="Courier New"/>
          <w:sz w:val="18"/>
          <w:szCs w:val="18"/>
          <w:color w:val="auto"/>
        </w:rPr>
        <w:t>Section 9 . Confidential Information; Prohibited Public Statements; Publicity.</w:t>
      </w:r>
    </w:p>
    <w:p>
      <w:pPr>
        <w:spacing w:after="0" w:line="208" w:lineRule="exact"/>
        <w:rPr>
          <w:sz w:val="20"/>
          <w:szCs w:val="20"/>
          <w:color w:val="auto"/>
        </w:rPr>
      </w:pPr>
    </w:p>
    <w:p>
      <w:pPr>
        <w:ind w:right="1779" w:firstLine="956"/>
        <w:spacing w:after="0" w:line="238" w:lineRule="auto"/>
        <w:tabs>
          <w:tab w:leader="none" w:pos="1369" w:val="left"/>
        </w:tabs>
        <w:numPr>
          <w:ilvl w:val="0"/>
          <w:numId w:val="1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(as hereinafter specially defined for purposes of Sections 9 through 11 hereof), pursuant to the Consultant's performance of consulting services hereunder, provides the Consultant access to and confides in him business methods and systems, techniques and methods of operation developed at great expense by the Company ("Trade Secrets") and which the Consultant recognizes to be unique assets of the Company's business. The Consultant shall not, during or at any time after the Term, directly or indirectly, in any manner utilize or disclose to any person, firm, corporation, association or other entity, except (i) where required by law, (ii) to directors, consultants or employees of the Company in the ordinary course of his duties or (iii) during his performance of consulting services as a consultant or serving as a member of the Board for such use and disclosure as he shall reasonably determine to be in the best interest of the Company: (A) any such Trade Secrets, (B) any sales prospects, customer lists, products, research or data of any kind, or (C) any information `relating to strategic plans, sales, costs, profits or the financial condition of the Company or any of its customers or prospective customers, which are not generally known to the public or recognized as standard practice in the industry in which the Company shall be engaged. The Consultant further covenants and agrees that he will promptly deliver to the Company all tangible evidence of the knowledge and information described in (A), (B) and (C), above, prior to or at the</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925" w:right="1440" w:bottom="1440" w:gutter="0" w:footer="0" w:header="0"/>
        </w:sectPr>
      </w:pPr>
    </w:p>
    <w:bookmarkStart w:id="100" w:name="page101"/>
    <w:bookmarkEnd w:id="100"/>
    <w:p>
      <w:pPr>
        <w:ind w:right="1879"/>
        <w:spacing w:after="0" w:line="268" w:lineRule="auto"/>
        <w:rPr>
          <w:sz w:val="20"/>
          <w:szCs w:val="20"/>
          <w:color w:val="auto"/>
        </w:rPr>
      </w:pPr>
      <w:r>
        <w:rPr>
          <w:rFonts w:ascii="Courier New" w:cs="Courier New" w:eastAsia="Courier New" w:hAnsi="Courier New"/>
          <w:sz w:val="16"/>
          <w:szCs w:val="16"/>
          <w:color w:val="auto"/>
        </w:rPr>
        <w:t>termination of the Consultant's service. For purposes of Sections 9, 10 and 11 hereof the term "Company" shall mean Comcast Corporation ("Comcast") as well as</w:t>
      </w:r>
    </w:p>
    <w:p>
      <w:pPr>
        <w:ind w:right="1879" w:firstLine="8"/>
        <w:spacing w:after="0" w:line="237" w:lineRule="auto"/>
        <w:tabs>
          <w:tab w:leader="none" w:pos="421" w:val="left"/>
        </w:tabs>
        <w:numPr>
          <w:ilvl w:val="0"/>
          <w:numId w:val="1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of its more than fifty percent (50%) owned subsidiaries and (2) each other entity in which Comcast directly or indirectly has a greater than ten percent (10%) equity interest, the fair market value of which interest is in excess of $50,000,000. In determining Comcast's equity interest for purposes of this definition, any equity interest which Comcast has an option to purchase shall be considered as owned by Comcast.</w:t>
      </w:r>
    </w:p>
    <w:p>
      <w:pPr>
        <w:spacing w:after="0" w:line="209" w:lineRule="exact"/>
        <w:rPr>
          <w:rFonts w:ascii="Courier New" w:cs="Courier New" w:eastAsia="Courier New" w:hAnsi="Courier New"/>
          <w:sz w:val="18"/>
          <w:szCs w:val="18"/>
          <w:color w:val="auto"/>
        </w:rPr>
      </w:pPr>
    </w:p>
    <w:p>
      <w:pPr>
        <w:ind w:right="1779" w:firstLine="956"/>
        <w:spacing w:after="0" w:line="237" w:lineRule="auto"/>
        <w:tabs>
          <w:tab w:leader="none" w:pos="1369" w:val="left"/>
        </w:tabs>
        <w:numPr>
          <w:ilvl w:val="1"/>
          <w:numId w:val="1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the Consultant nor the Company, its officers or directors (collectively, the "Company Affiliated Entities") shall, either during or at any time after the Term, directly or indirectly make any public statement (including a private statement reasonably likely to be repeated publicly) reflecting adversely on the Company Affiliated Entities or the Consultant, as the case may be, or the business prospects of the Company, except for (i) such statements which the Consultant may be required to make in the ordinary course of his position as senior consultant to the Company or (ii) with respect to each of the Consultant and the Company Affiliated Entities, as otherwise required by applicable law.</w:t>
      </w:r>
    </w:p>
    <w:p>
      <w:pPr>
        <w:spacing w:after="0" w:line="214" w:lineRule="exact"/>
        <w:rPr>
          <w:rFonts w:ascii="Courier New" w:cs="Courier New" w:eastAsia="Courier New" w:hAnsi="Courier New"/>
          <w:sz w:val="18"/>
          <w:szCs w:val="18"/>
          <w:color w:val="auto"/>
        </w:rPr>
      </w:pPr>
    </w:p>
    <w:p>
      <w:pPr>
        <w:ind w:right="1779" w:firstLine="956"/>
        <w:spacing w:after="0" w:line="237" w:lineRule="auto"/>
        <w:tabs>
          <w:tab w:leader="none" w:pos="1369" w:val="left"/>
        </w:tabs>
        <w:numPr>
          <w:ilvl w:val="1"/>
          <w:numId w:val="1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the Consultant nor the Company Affiliated Entities shall comment (including private statements reasonably likely to be repeated publicly) on, or discuss the circumstances surrounding, this Agreement, except as mutually agreed or as required by applicable law.</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Section 10 . Noncompetition, Noninterference and Nonsolicitation.</w:t>
      </w:r>
    </w:p>
    <w:p>
      <w:pPr>
        <w:spacing w:after="0" w:line="207" w:lineRule="exact"/>
        <w:rPr>
          <w:sz w:val="20"/>
          <w:szCs w:val="20"/>
          <w:color w:val="auto"/>
        </w:rPr>
      </w:pPr>
    </w:p>
    <w:p>
      <w:pPr>
        <w:ind w:right="1879" w:firstLine="956"/>
        <w:spacing w:after="0" w:line="237" w:lineRule="auto"/>
        <w:tabs>
          <w:tab w:leader="none" w:pos="1369" w:val="left"/>
        </w:tabs>
        <w:numPr>
          <w:ilvl w:val="0"/>
          <w:numId w:val="1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the geographic limitation of Section 10(b) hereof, the Consultant, for the period beginning on the Effective Date and ending on the Termination Date, shall not, directly or indirectly, on his behalf or on behalf of any other person, firm, corporation, association or other entity, as an employee or otherwise, engage in, or in any way be concerned with or negotiate for, or acquire or maintain any ownership interest in any business or activity which is the same as or competitive with that conducted by the Company at the termination of his employment, or which was engaged in or developed by the Company at any time during the term of the Employment Agreement for specific implementation in the immediate future by the Company.</w:t>
      </w:r>
    </w:p>
    <w:p>
      <w:pPr>
        <w:spacing w:after="0" w:line="214" w:lineRule="exact"/>
        <w:rPr>
          <w:rFonts w:ascii="Courier New" w:cs="Courier New" w:eastAsia="Courier New" w:hAnsi="Courier New"/>
          <w:sz w:val="18"/>
          <w:szCs w:val="18"/>
          <w:color w:val="auto"/>
        </w:rPr>
      </w:pPr>
    </w:p>
    <w:p>
      <w:pPr>
        <w:ind w:right="1779" w:firstLine="956"/>
        <w:spacing w:after="0" w:line="237" w:lineRule="auto"/>
        <w:tabs>
          <w:tab w:leader="none" w:pos="1369" w:val="left"/>
        </w:tabs>
        <w:numPr>
          <w:ilvl w:val="0"/>
          <w:numId w:val="1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Consultant acknowledges that the Company is engaged in business throughout the United States and in various foreign countries and that the Company intends to expand the geographic scope of its activities. Accordingly and in view of the nature of his position and responsibilities, the Consultant agrees that the provisions of this Section shall be applicable to each state and each foreign country, possession or territory in which the Company may be engaged in business during the Term or the term of the Employment Agreement, or, with respect to the Consultant's obligations following termination of his employment</w:t>
      </w:r>
    </w:p>
    <w:p>
      <w:pPr>
        <w:spacing w:after="0" w:line="200" w:lineRule="exact"/>
        <w:rPr>
          <w:sz w:val="20"/>
          <w:szCs w:val="20"/>
          <w:color w:val="auto"/>
        </w:rPr>
      </w:pPr>
    </w:p>
    <w:p>
      <w:pPr>
        <w:spacing w:after="0" w:line="21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925" w:right="1440" w:bottom="1440" w:gutter="0" w:footer="0" w:header="0"/>
        </w:sectPr>
      </w:pPr>
    </w:p>
    <w:bookmarkStart w:id="101" w:name="page102"/>
    <w:bookmarkEnd w:id="101"/>
    <w:p>
      <w:pPr>
        <w:ind w:right="1779"/>
        <w:spacing w:after="0" w:line="236" w:lineRule="auto"/>
        <w:rPr>
          <w:sz w:val="20"/>
          <w:szCs w:val="20"/>
          <w:color w:val="auto"/>
        </w:rPr>
      </w:pPr>
      <w:r>
        <w:rPr>
          <w:rFonts w:ascii="Courier New" w:cs="Courier New" w:eastAsia="Courier New" w:hAnsi="Courier New"/>
          <w:sz w:val="18"/>
          <w:szCs w:val="18"/>
          <w:color w:val="auto"/>
        </w:rPr>
        <w:t>under the Employment Agreement, at the termination of his service or at any time within the twelve-month period following the effective date of his termination of employment under the Employment Agreement.</w:t>
      </w:r>
    </w:p>
    <w:p>
      <w:pPr>
        <w:spacing w:after="0" w:line="209" w:lineRule="exact"/>
        <w:rPr>
          <w:sz w:val="20"/>
          <w:szCs w:val="20"/>
          <w:color w:val="auto"/>
        </w:rPr>
      </w:pPr>
    </w:p>
    <w:p>
      <w:pPr>
        <w:ind w:right="1879" w:firstLine="956"/>
        <w:spacing w:after="0" w:line="238" w:lineRule="auto"/>
        <w:tabs>
          <w:tab w:leader="none" w:pos="1369" w:val="left"/>
        </w:tabs>
        <w:numPr>
          <w:ilvl w:val="0"/>
          <w:numId w:val="1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Consultant agrees that, for the period beginning on the Effective Date and ending on the Termination Date, the Consultant will not, directly or indirectly, for himself or on behalf of any third party at any time in any manner, request or cause any of the Company's customers to cancel or terminate any existing or continuing business relationship with the Company; solicit, entice, persuade, induce, request or otherwise cause any employee, officer or agent of the Company (other than clerical employees of the Company) to refrain from rendering services to the Company or to terminate his or her relationship, contractual or otherwise, with the Company; induce or attempt to influence any supplier to cease or refrain from doing business or to decline to do business with the Company; divert or attempt to divert any supplier from the Company; or induce or attempt to influence any supplier to decline to do business with any businesses of the Company as such businesses are constituted immediately prior to the termination of employment under the Employment Agreement.</w:t>
      </w:r>
    </w:p>
    <w:p>
      <w:pPr>
        <w:spacing w:after="0" w:line="208" w:lineRule="exact"/>
        <w:rPr>
          <w:rFonts w:ascii="Courier New" w:cs="Courier New" w:eastAsia="Courier New" w:hAnsi="Courier New"/>
          <w:sz w:val="18"/>
          <w:szCs w:val="18"/>
          <w:color w:val="auto"/>
        </w:rPr>
      </w:pPr>
    </w:p>
    <w:p>
      <w:pPr>
        <w:ind w:right="1779" w:firstLine="956"/>
        <w:spacing w:after="0" w:line="237" w:lineRule="auto"/>
        <w:tabs>
          <w:tab w:leader="none" w:pos="1369" w:val="left"/>
        </w:tabs>
        <w:numPr>
          <w:ilvl w:val="0"/>
          <w:numId w:val="1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Consultant agrees that, for the period beginning on the Effective Date and ending on the Termination Date, the Consultant will not directly or indirectly, for himself or on behalf of any third party, solicit for business in competition with the business of the Company, accept any business in competition with the business of the Company from or otherwise do, or contract to do, business in competition with the business of the Company with any person or entity who, at the time of, or any time during the twelve (12) months preceding such termination, was an active customer or was actively solicited by the Company according to the books and records of the Company and within the knowledge, actual or constructive, of the Consultant.</w:t>
      </w:r>
    </w:p>
    <w:p>
      <w:pPr>
        <w:spacing w:after="0" w:line="214" w:lineRule="exact"/>
        <w:rPr>
          <w:rFonts w:ascii="Courier New" w:cs="Courier New" w:eastAsia="Courier New" w:hAnsi="Courier New"/>
          <w:sz w:val="18"/>
          <w:szCs w:val="18"/>
          <w:color w:val="auto"/>
        </w:rPr>
      </w:pPr>
    </w:p>
    <w:p>
      <w:pPr>
        <w:ind w:right="2099" w:firstLine="956"/>
        <w:spacing w:after="0" w:line="237" w:lineRule="auto"/>
        <w:tabs>
          <w:tab w:leader="none" w:pos="1369" w:val="left"/>
        </w:tabs>
        <w:numPr>
          <w:ilvl w:val="0"/>
          <w:numId w:val="1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anything to the contrary in this Section 10, the prohibitions and agreements contained in subsections 10(a), 10(c), and 10(d) shall terminate immediately upon any termination of Consultant's service hereunder following a Change in Control.</w:t>
      </w:r>
    </w:p>
    <w:p>
      <w:pPr>
        <w:spacing w:after="0" w:line="207" w:lineRule="exact"/>
        <w:rPr>
          <w:rFonts w:ascii="Courier New" w:cs="Courier New" w:eastAsia="Courier New" w:hAnsi="Courier New"/>
          <w:sz w:val="18"/>
          <w:szCs w:val="18"/>
          <w:color w:val="auto"/>
        </w:rPr>
      </w:pPr>
    </w:p>
    <w:p>
      <w:pPr>
        <w:ind w:right="1879" w:firstLine="956"/>
        <w:spacing w:after="0" w:line="275" w:lineRule="auto"/>
        <w:tabs>
          <w:tab w:leader="none" w:pos="1369" w:val="left"/>
        </w:tabs>
        <w:numPr>
          <w:ilvl w:val="0"/>
          <w:numId w:val="1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the foregoing, if, following the Term, the Consultant engages in any behavior that would be prohibited under this Section, as determined by the Company in its sole discretion, the Company shall be relieved of its obligations under Section 8(f)(iv) of this Agreement.</w:t>
      </w:r>
    </w:p>
    <w:p>
      <w:pPr>
        <w:spacing w:after="0" w:line="182" w:lineRule="exact"/>
        <w:rPr>
          <w:rFonts w:ascii="Courier New" w:cs="Courier New" w:eastAsia="Courier New" w:hAnsi="Courier New"/>
          <w:sz w:val="16"/>
          <w:szCs w:val="16"/>
          <w:color w:val="auto"/>
        </w:rPr>
      </w:pPr>
    </w:p>
    <w:p>
      <w:pPr>
        <w:ind w:right="1779" w:firstLine="956"/>
        <w:spacing w:after="0" w:line="237" w:lineRule="auto"/>
        <w:tabs>
          <w:tab w:leader="none" w:pos="1369" w:val="left"/>
        </w:tabs>
        <w:numPr>
          <w:ilvl w:val="0"/>
          <w:numId w:val="1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Nothing in this Section 10 shall prohibit the Consultant from being a passive owner of not more than one percent of the outstanding common stock, capital stock and equity of any firm, corporation, or enterprise so long as the Consultant has no active participation in the management of the business of such firm, corporation or enterprise.</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1128" w:right="1440" w:bottom="1440" w:gutter="0" w:footer="0" w:header="0"/>
        </w:sectPr>
      </w:pPr>
    </w:p>
    <w:bookmarkStart w:id="102" w:name="page103"/>
    <w:bookmarkEnd w:id="102"/>
    <w:p>
      <w:pPr>
        <w:ind w:left="960"/>
        <w:spacing w:after="0"/>
        <w:rPr>
          <w:sz w:val="20"/>
          <w:szCs w:val="20"/>
          <w:color w:val="auto"/>
        </w:rPr>
      </w:pPr>
      <w:r>
        <w:rPr>
          <w:rFonts w:ascii="Courier New" w:cs="Courier New" w:eastAsia="Courier New" w:hAnsi="Courier New"/>
          <w:sz w:val="18"/>
          <w:szCs w:val="18"/>
          <w:color w:val="auto"/>
        </w:rPr>
        <w:t>Section 11 . Equitable Remedies.</w:t>
      </w:r>
    </w:p>
    <w:p>
      <w:pPr>
        <w:spacing w:after="0" w:line="207"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The Consultant acknowledges that his compliance with the covenants in Sections 9 and 10 of this Agreement is necessary to protect the good will and other proprietary interests of the Company and that, in the event of any violation by the Consultant of the provisions of Section 9 or 10 of this Agreement, the Company will sustain serious, irreparable and substantial harm to its business, the extent of which will be difficult to determine and impossible to remedy by an action at law for money damages. Accordingly, the Consultant agrees that, in the event of such violation or threatened violation by the Consultant, the Company shall be entitled to any injunction before trial from any court of competent jurisdiction as a matter of course and upon the posting of not more than a nominal bond in addition to all such other legal and equitable remedies as may be available to the Company. The Consultant further agrees that, in the event any of the provisions of Sections 9 and 10 of this Agreement are determined by a court of competent jurisdiction to be contrary to any applicable statute, law or rule, or for any reason to be unenforceable as written, such court may modify any of such provisions so as to permit enforcement thereof as thus modified.</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Section 12 . Resolution of Disputes.</w:t>
      </w:r>
    </w:p>
    <w:p>
      <w:pPr>
        <w:spacing w:after="0" w:line="207" w:lineRule="exact"/>
        <w:rPr>
          <w:sz w:val="20"/>
          <w:szCs w:val="20"/>
          <w:color w:val="auto"/>
        </w:rPr>
      </w:pPr>
    </w:p>
    <w:p>
      <w:pPr>
        <w:ind w:right="1779" w:firstLine="948"/>
        <w:spacing w:after="0" w:line="271" w:lineRule="auto"/>
        <w:rPr>
          <w:sz w:val="20"/>
          <w:szCs w:val="20"/>
          <w:color w:val="auto"/>
        </w:rPr>
      </w:pPr>
      <w:r>
        <w:rPr>
          <w:rFonts w:ascii="Courier New" w:cs="Courier New" w:eastAsia="Courier New" w:hAnsi="Courier New"/>
          <w:sz w:val="16"/>
          <w:szCs w:val="16"/>
          <w:color w:val="auto"/>
        </w:rPr>
        <w:t>Except as provided in Section 11, any disputes arising under or in connection with this Agreement shall be resolved by third party mediation of the dispute and, failing that, by binding arbitration, to be held in a location mutually agreed to by the Parties, in accordance with the rules and procedures of the American Arbitration Association. Judgment upon the award rendered by the arbitrator(s) may be entered in any court having jurisdiction thereof. Each Party shall bear his or its own costs of the mediation, arbitration or litigation, except that the Company shall bear all such costs if the Consultant prevails in such mediation, arbitration or litigation on any material issue.</w:t>
      </w:r>
    </w:p>
    <w:p>
      <w:pPr>
        <w:spacing w:after="0" w:line="178"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Section 13 . Indemnification.</w:t>
      </w:r>
    </w:p>
    <w:p>
      <w:pPr>
        <w:spacing w:after="0" w:line="207" w:lineRule="exact"/>
        <w:rPr>
          <w:sz w:val="20"/>
          <w:szCs w:val="20"/>
          <w:color w:val="auto"/>
        </w:rPr>
      </w:pPr>
    </w:p>
    <w:p>
      <w:pPr>
        <w:ind w:right="1779" w:firstLine="956"/>
        <w:spacing w:after="0" w:line="238" w:lineRule="auto"/>
        <w:tabs>
          <w:tab w:leader="none" w:pos="1369" w:val="left"/>
        </w:tabs>
        <w:numPr>
          <w:ilvl w:val="0"/>
          <w:numId w:val="1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agrees that if the Consultant is made a party, or is threatened to be made a party, to any action, suit or proceeding, whether civil, criminal, administrative or investigative (a "Proceeding"), by reason of the fact that he is or was a director, officer or employee of the Company or is or was serving at the request of the Company as a director, officer, member, employee or agent of another corporation, partnership, joint venture, trust or other enterprise, including service with respect to employee benefit plans, whether or not the basis of such Proceeding is the Consultant's alleged action in an official capacity while serving as a director, officer, member, employee or agent, the Consultant shall be indemnified and held harmless by the Company to the fullest extent legally permitted or authorized by the Company's certificate of incorporation or bylaws or resolutions of the Board or, if greater, by the laws of the Commonwealth of</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9"/>
          </w:cols>
          <w:pgMar w:left="240" w:top="1122" w:right="1440" w:bottom="1440" w:gutter="0" w:footer="0" w:header="0"/>
        </w:sectPr>
      </w:pPr>
    </w:p>
    <w:bookmarkStart w:id="103" w:name="page104"/>
    <w:bookmarkEnd w:id="103"/>
    <w:p>
      <w:pPr>
        <w:ind w:right="1779"/>
        <w:spacing w:after="0" w:line="238" w:lineRule="auto"/>
        <w:rPr>
          <w:sz w:val="20"/>
          <w:szCs w:val="20"/>
          <w:color w:val="auto"/>
        </w:rPr>
      </w:pPr>
      <w:r>
        <w:rPr>
          <w:rFonts w:ascii="Courier New" w:cs="Courier New" w:eastAsia="Courier New" w:hAnsi="Courier New"/>
          <w:sz w:val="18"/>
          <w:szCs w:val="18"/>
          <w:color w:val="auto"/>
        </w:rPr>
        <w:t>Pennsylvania, against all cost, expense, liability and loss (including, without limitation, attorney's fees, judgments, fines, ERISA excise taxes or other liabilities or penalties and amounts paid or to be paid in settlement) reasonably incurred or suffered by the Consultant in connection therewith, and such indemnification shall continue as to the Consultant even if he has ceased to be a director, member, employee or agent of the Company or other entity and shall inure to the benefit of the Consultant's heirs, executors and administrators. The Company shall advance to the Consultant all reasonable costs and expenses incurred by him in connection with a Proceeding within 20 calendar days after receipt by the Company of a written request for such advance. Such request shall include an undertaking by the Consultant to repay the amount of such advance if it shall ultimately be determined that he is not entitled to be indemnified against such costs and expenses.</w:t>
      </w:r>
    </w:p>
    <w:p>
      <w:pPr>
        <w:spacing w:after="0" w:line="207" w:lineRule="exact"/>
        <w:rPr>
          <w:sz w:val="20"/>
          <w:szCs w:val="20"/>
          <w:color w:val="auto"/>
        </w:rPr>
      </w:pPr>
    </w:p>
    <w:p>
      <w:pPr>
        <w:ind w:right="1779" w:firstLine="956"/>
        <w:spacing w:after="0" w:line="237" w:lineRule="auto"/>
        <w:tabs>
          <w:tab w:leader="none" w:pos="1369" w:val="left"/>
        </w:tabs>
        <w:numPr>
          <w:ilvl w:val="0"/>
          <w:numId w:val="1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the failure of the Company (including its board of directors, independent legal counsel or shareholders) to have made a determination prior to the commencement of any Proceeding concerning payment of amounts claimed by the Consultant under Section 13(a) above that indemnification of the Consultant is proper because he has met the applicable standard of conduct, nor a determination by the Company (including its board of directors, independent legal counsel or shareholders) that the Consultant has not met such applicable standard of conduct, shall create a presumption that the Consultant has not met the applicable standard of conduct.</w:t>
      </w:r>
    </w:p>
    <w:p>
      <w:pPr>
        <w:spacing w:after="0" w:line="213" w:lineRule="exact"/>
        <w:rPr>
          <w:rFonts w:ascii="Courier New" w:cs="Courier New" w:eastAsia="Courier New" w:hAnsi="Courier New"/>
          <w:sz w:val="18"/>
          <w:szCs w:val="18"/>
          <w:color w:val="auto"/>
        </w:rPr>
      </w:pPr>
    </w:p>
    <w:p>
      <w:pPr>
        <w:ind w:right="2099" w:firstLine="956"/>
        <w:spacing w:after="0" w:line="236" w:lineRule="auto"/>
        <w:tabs>
          <w:tab w:leader="none" w:pos="1369" w:val="left"/>
        </w:tabs>
        <w:numPr>
          <w:ilvl w:val="0"/>
          <w:numId w:val="1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agrees to continue and maintain a directors' and officers' liability insurance policy covering the Consultant which is no less favorable than the policy covering senior officers of the Company.</w:t>
      </w:r>
    </w:p>
    <w:p>
      <w:pPr>
        <w:spacing w:after="0" w:line="209"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Section 14 . Assignability; Binding Nature. This Agreement shall be binding upon and inure to the benefit of the Parties and their respective successors, heirs (in the case of the Consultant) and assigns. Rights or obligations of the Company under this Agreement may be assigned or transferred by the Company pursuant to a merger or consolidation in which the Company is not the continuing entity, or the sale or liquidation of all or substantially all of the assets of the Company, provided that the assignee or transferee is the successor to all or substantially all of the assets of the Company and such assignee or transferee assumes the liabilities, obligations and duties of the Company, as contained in this Agreement, either contractually or as a matter of law. The Company further agrees that, in the event of a sale of assets or liquidation as described in the preceding sentence, it shall take whatever action it reasonably can in order to cause such assignee or transferee to expressly assume the liabilities, obligations and duties of the Company hereunder. No rights or obligations of the Consultant under this Agreement may be assigned or transferred by the Consultant other than his rights to compensation and benefits, which may be transferred only by will or operation of law.</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219"/>
          </w:cols>
          <w:pgMar w:left="240" w:top="925" w:right="1440" w:bottom="1440" w:gutter="0" w:footer="0" w:header="0"/>
        </w:sectPr>
      </w:pPr>
    </w:p>
    <w:bookmarkStart w:id="104" w:name="page105"/>
    <w:bookmarkEnd w:id="104"/>
    <w:p>
      <w:pPr>
        <w:ind w:left="960"/>
        <w:spacing w:after="0"/>
        <w:rPr>
          <w:sz w:val="20"/>
          <w:szCs w:val="20"/>
          <w:color w:val="auto"/>
        </w:rPr>
      </w:pPr>
      <w:r>
        <w:rPr>
          <w:rFonts w:ascii="Courier New" w:cs="Courier New" w:eastAsia="Courier New" w:hAnsi="Courier New"/>
          <w:sz w:val="18"/>
          <w:szCs w:val="18"/>
          <w:color w:val="auto"/>
        </w:rPr>
        <w:t>Section 15 . The Consultant's Independence and Discretion.</w:t>
      </w:r>
    </w:p>
    <w:p>
      <w:pPr>
        <w:spacing w:after="0" w:line="207" w:lineRule="exact"/>
        <w:rPr>
          <w:sz w:val="20"/>
          <w:szCs w:val="20"/>
          <w:color w:val="auto"/>
        </w:rPr>
      </w:pPr>
    </w:p>
    <w:p>
      <w:pPr>
        <w:ind w:right="1779" w:firstLine="956"/>
        <w:spacing w:after="0" w:line="237" w:lineRule="auto"/>
        <w:tabs>
          <w:tab w:leader="none" w:pos="1369" w:val="left"/>
        </w:tabs>
        <w:numPr>
          <w:ilvl w:val="0"/>
          <w:numId w:val="1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Nothing herein contained shall be construed to constitute the Parties hereto as partners or as joint venturers, or either as agent of the order, or as employer and employee. By virtue of the relationship described herein the Consultant's relationship to the Company during the Term shall only be that of an independent contractor and the Consultant shall perform all services pursuant to this Agreement as an independent contractor. The Consultant shall not provide any services under the Company's business name, except as requested hereunder, and shall not present himself as an employee of the Company.</w:t>
      </w:r>
    </w:p>
    <w:p>
      <w:pPr>
        <w:spacing w:after="0" w:line="213" w:lineRule="exact"/>
        <w:rPr>
          <w:rFonts w:ascii="Courier New" w:cs="Courier New" w:eastAsia="Courier New" w:hAnsi="Courier New"/>
          <w:sz w:val="18"/>
          <w:szCs w:val="18"/>
          <w:color w:val="auto"/>
        </w:rPr>
      </w:pPr>
    </w:p>
    <w:p>
      <w:pPr>
        <w:ind w:right="1879" w:firstLine="956"/>
        <w:spacing w:after="0" w:line="237" w:lineRule="auto"/>
        <w:tabs>
          <w:tab w:leader="none" w:pos="1369" w:val="left"/>
        </w:tabs>
        <w:numPr>
          <w:ilvl w:val="0"/>
          <w:numId w:val="1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only to such specific limitations as are contained in this Agreement, the manner, means, details or methods by which the Consultant performs his obligations under this Agreement shall be solely within the discretion of the Consultant. The Company shall not have the authority to, nor shall it, supervise, direct or control the manner, means, details or methods utilized by the Consultant to perform his obligations under this Agreement and nothing in this Agreement shall be construed to grant the Company any such authority.</w:t>
      </w:r>
    </w:p>
    <w:p>
      <w:pPr>
        <w:spacing w:after="0" w:line="212" w:lineRule="exact"/>
        <w:rPr>
          <w:rFonts w:ascii="Courier New" w:cs="Courier New" w:eastAsia="Courier New" w:hAnsi="Courier New"/>
          <w:sz w:val="18"/>
          <w:szCs w:val="18"/>
          <w:color w:val="auto"/>
        </w:rPr>
      </w:pPr>
    </w:p>
    <w:p>
      <w:pPr>
        <w:ind w:right="1779" w:firstLine="956"/>
        <w:spacing w:after="0" w:line="237" w:lineRule="auto"/>
        <w:tabs>
          <w:tab w:leader="none" w:pos="1369" w:val="left"/>
        </w:tabs>
        <w:numPr>
          <w:ilvl w:val="0"/>
          <w:numId w:val="1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the extent consistent with applicable law, the Company will not withhold any amounts as federal income tax withholding from wages or as employee contributions under the Federal Insurance Contributions Act or any other state or federal laws. The Consultant shall be solely responsible for payment of any required employment taxes or contributions.</w:t>
      </w:r>
    </w:p>
    <w:p>
      <w:pPr>
        <w:spacing w:after="0" w:line="20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Section 16 . Representation. The Company represents and warrants that it is fully authorized and empowered to enter into this Agreement and that the performance of its obligations under this Agreement will not violate any agreement between it and any other person, firm or organization. The Consultant represents that the performance of his obligations under this Agreement will not violate any agreement between him and any other person, firm or organization that would be violated by the performance of his obligations under this Agreement.</w:t>
      </w:r>
    </w:p>
    <w:p>
      <w:pPr>
        <w:spacing w:after="0" w:line="212"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Section 17 . Entire Agreement. This Agreement, together with the First Amendment, contains the entire understanding and agreement between the Parties concerning the subject matter hereof and supersedes all prior agreements, understandings, discussions, negotiations and undertakings, whether written or oral, between the Parties with respect thereto, except, without duplication, for those provisions of the Employment Agreement that would otherwise survive the termination of such Employment Agreement. The Consultant acknowledges that, except as provided herein, he shall not be entitled to any other payment, benefits or prerequisites from the Company or any of its subsidiaries on account of his former employment by, or his retirement from, the Company, except that the</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10219"/>
          </w:cols>
          <w:pgMar w:left="240" w:top="919" w:right="1440" w:bottom="1440" w:gutter="0" w:footer="0" w:header="0"/>
        </w:sectPr>
      </w:pPr>
    </w:p>
    <w:bookmarkStart w:id="105" w:name="page106"/>
    <w:bookmarkEnd w:id="105"/>
    <w:p>
      <w:pPr>
        <w:ind w:right="2099"/>
        <w:spacing w:after="0" w:line="235" w:lineRule="auto"/>
        <w:rPr>
          <w:sz w:val="20"/>
          <w:szCs w:val="20"/>
          <w:color w:val="auto"/>
        </w:rPr>
      </w:pPr>
      <w:r>
        <w:rPr>
          <w:rFonts w:ascii="Courier New" w:cs="Courier New" w:eastAsia="Courier New" w:hAnsi="Courier New"/>
          <w:sz w:val="18"/>
          <w:szCs w:val="18"/>
          <w:color w:val="auto"/>
        </w:rPr>
        <w:t>Consultant shall be entitled to any benefits due to him as a retired employee under the Company's employee benefit plans.</w:t>
      </w:r>
    </w:p>
    <w:p>
      <w:pPr>
        <w:spacing w:after="0" w:line="208"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Section 18 . Amendment or Waiver. No provision in this Agreement may be amended unless such amendment is agreed to in writing and signed by the Consultant and an authorized officer of the Company. No waiver by either Party of any breach by the other Party of any condition or provision contained in this Agreement to be performed by such other Party shall be deemed a waiver of a similar or dissimilar condition or provision at the same or any prior or subsequent time. Any waiver must be in writing and signed by the Consultant or an authorized officer of the Company, as the case may be.</w:t>
      </w:r>
    </w:p>
    <w:p>
      <w:pPr>
        <w:spacing w:after="0" w:line="212"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Section 19 . Severability. In the event that any provision or portion of this Agreement shall be determined to be invalid or unenforceable for any reason, in whole or in part, the remaining provisions of this Agreement shall be unaffected thereby and shall remain in full force and effect to the fullest extent permitted by law so as to achieve the purposes of this Agreement.</w:t>
      </w:r>
    </w:p>
    <w:p>
      <w:pPr>
        <w:spacing w:after="0" w:line="20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Section 20 . Survivorship. Except as otherwise expressly set forth in this Agreement, the respective rights and obligations of the Parties hereunder shall survive any termination of the Consultant's service. This Agreement itself (as distinguished from the Consultant's service) may not be terminated by either Party without the written consent of the other Party.</w:t>
      </w:r>
    </w:p>
    <w:p>
      <w:pPr>
        <w:spacing w:after="0" w:line="209"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Section 21 . References. In the event of the Consultant's death or a judicial determination of his incompetence, reference in this Agreement to the Consultant shall be deemed, where appropriate, to refer to his beneficiary, estate or other legal representative.</w:t>
      </w:r>
    </w:p>
    <w:p>
      <w:pPr>
        <w:spacing w:after="0" w:line="207"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Section 22 . Governing Law; Jurisdiction. This Agreement shall be governed in accordance with the laws of the State of New York without reference to principles of conflict of laws.</w:t>
      </w:r>
    </w:p>
    <w:p>
      <w:pPr>
        <w:spacing w:after="0" w:line="20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Section 23 . Notices. All notices and other communications required or permitted hereunder shall be in writing and shall be deemed given when (a) delivered personally, (b) sent by certified or registered mail, postage prepaid, return receipt requested or (c) delivered by overnight courier (provided that a written acknowledgment of receipt is obtained by the overnight courier) to the Party concerned at the address indicated below or to such changed address as such Party may subsequently give such notice of:</w:t>
      </w:r>
    </w:p>
    <w:p>
      <w:pPr>
        <w:sectPr>
          <w:pgSz w:w="11900" w:h="16838" w:orient="portrait"/>
          <w:cols w:equalWidth="0" w:num="1">
            <w:col w:w="10219"/>
          </w:cols>
          <w:pgMar w:left="240" w:top="1128" w:right="1440" w:bottom="1440" w:gutter="0" w:footer="0" w:header="0"/>
        </w:sect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If to the Company:</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Comcast Corporation</w:t>
      </w:r>
    </w:p>
    <w:p>
      <w:pPr>
        <w:spacing w:after="0" w:line="238" w:lineRule="auto"/>
        <w:rPr>
          <w:sz w:val="20"/>
          <w:szCs w:val="20"/>
          <w:color w:val="auto"/>
        </w:rPr>
      </w:pPr>
      <w:r>
        <w:rPr>
          <w:rFonts w:ascii="Courier New" w:cs="Courier New" w:eastAsia="Courier New" w:hAnsi="Courier New"/>
          <w:sz w:val="18"/>
          <w:szCs w:val="18"/>
          <w:color w:val="auto"/>
        </w:rPr>
        <w:t>1500 Market Street</w:t>
      </w:r>
    </w:p>
    <w:p>
      <w:pPr>
        <w:spacing w:after="0"/>
        <w:rPr>
          <w:sz w:val="20"/>
          <w:szCs w:val="20"/>
          <w:color w:val="auto"/>
        </w:rPr>
      </w:pPr>
      <w:r>
        <w:rPr>
          <w:rFonts w:ascii="Courier New" w:cs="Courier New" w:eastAsia="Courier New" w:hAnsi="Courier New"/>
          <w:sz w:val="18"/>
          <w:szCs w:val="18"/>
          <w:color w:val="auto"/>
        </w:rPr>
        <w:t>Philadelphia, PA 19102</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Attention: General Counsel</w:t>
      </w:r>
    </w:p>
    <w:p>
      <w:pPr>
        <w:spacing w:after="0" w:line="200" w:lineRule="exact"/>
        <w:rPr>
          <w:sz w:val="20"/>
          <w:szCs w:val="20"/>
          <w:color w:val="auto"/>
        </w:rPr>
      </w:pPr>
    </w:p>
    <w:p>
      <w:pPr>
        <w:sectPr>
          <w:pgSz w:w="11900" w:h="16838" w:orient="portrait"/>
          <w:cols w:equalWidth="0" w:num="2">
            <w:col w:w="2760" w:space="720"/>
            <w:col w:w="6739"/>
          </w:cols>
          <w:pgMar w:left="240" w:top="1128" w:right="1440" w:bottom="1440" w:gutter="0" w:footer="0" w:header="0"/>
          <w:type w:val="continuous"/>
        </w:sectPr>
      </w:pPr>
    </w:p>
    <w:p>
      <w:pPr>
        <w:spacing w:after="0" w:line="226"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10219"/>
          </w:cols>
          <w:pgMar w:left="240" w:top="1128" w:right="1440" w:bottom="1440" w:gutter="0" w:footer="0" w:header="0"/>
          <w:type w:val="continuous"/>
        </w:sectPr>
      </w:pPr>
    </w:p>
    <w:bookmarkStart w:id="106" w:name="page107"/>
    <w:bookmarkEnd w:id="106"/>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If to the Consultant: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Mr. C. Michael Armstrong</w:t>
      </w:r>
    </w:p>
    <w:p>
      <w:pPr>
        <w:spacing w:after="0" w:line="238" w:lineRule="auto"/>
        <w:rPr>
          <w:sz w:val="20"/>
          <w:szCs w:val="20"/>
          <w:color w:val="auto"/>
        </w:rPr>
      </w:pPr>
      <w:r>
        <w:rPr>
          <w:rFonts w:ascii="Courier New" w:cs="Courier New" w:eastAsia="Courier New" w:hAnsi="Courier New"/>
          <w:sz w:val="18"/>
          <w:szCs w:val="18"/>
          <w:color w:val="auto"/>
        </w:rPr>
        <w:t>c/o Comcast Corporation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1114 Avenue of the Americas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NY 10036</w:t>
      </w:r>
    </w:p>
    <w:p>
      <w:pPr>
        <w:spacing w:after="0" w:line="200" w:lineRule="exact"/>
        <w:rPr>
          <w:sz w:val="20"/>
          <w:szCs w:val="20"/>
          <w:color w:val="auto"/>
        </w:rPr>
      </w:pPr>
    </w:p>
    <w:p>
      <w:pPr>
        <w:sectPr>
          <w:pgSz w:w="11900" w:h="16838" w:orient="portrait"/>
          <w:cols w:equalWidth="0" w:num="2">
            <w:col w:w="2760" w:space="720"/>
            <w:col w:w="6739"/>
          </w:cols>
          <w:pgMar w:left="240" w:top="920" w:right="1440" w:bottom="1440" w:gutter="0" w:footer="0" w:header="0"/>
        </w:sectPr>
      </w:pPr>
    </w:p>
    <w:p>
      <w:pPr>
        <w:spacing w:after="0" w:line="7"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Section 24 . Headings. The headings of the sections contained in this Agreement are for convenience only and shall not be deemed to control or affect the meaning or construction of any provision of this Agreement.</w:t>
      </w:r>
    </w:p>
    <w:p>
      <w:pPr>
        <w:spacing w:after="0" w:line="209" w:lineRule="exact"/>
        <w:rPr>
          <w:sz w:val="20"/>
          <w:szCs w:val="20"/>
          <w:color w:val="auto"/>
        </w:rPr>
      </w:pPr>
    </w:p>
    <w:p>
      <w:pPr>
        <w:ind w:right="2939" w:firstLine="948"/>
        <w:spacing w:after="0" w:line="235" w:lineRule="auto"/>
        <w:rPr>
          <w:sz w:val="20"/>
          <w:szCs w:val="20"/>
          <w:color w:val="auto"/>
        </w:rPr>
      </w:pPr>
      <w:r>
        <w:rPr>
          <w:rFonts w:ascii="Courier New" w:cs="Courier New" w:eastAsia="Courier New" w:hAnsi="Courier New"/>
          <w:sz w:val="18"/>
          <w:szCs w:val="18"/>
          <w:color w:val="auto"/>
        </w:rPr>
        <w:t>Section 25 . Counterparts. This Agreement may be executed in counterparts.</w:t>
      </w:r>
    </w:p>
    <w:p>
      <w:pPr>
        <w:spacing w:after="0" w:line="200" w:lineRule="exact"/>
        <w:rPr>
          <w:sz w:val="20"/>
          <w:szCs w:val="20"/>
          <w:color w:val="auto"/>
        </w:rPr>
      </w:pP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20</w:t>
      </w:r>
    </w:p>
    <w:p>
      <w:pPr>
        <w:sectPr>
          <w:pgSz w:w="11900" w:h="16838" w:orient="portrait"/>
          <w:cols w:equalWidth="0" w:num="1">
            <w:col w:w="10219"/>
          </w:cols>
          <w:pgMar w:left="240" w:top="920" w:right="1440" w:bottom="1440" w:gutter="0" w:footer="0" w:header="0"/>
          <w:type w:val="continuous"/>
        </w:sectPr>
      </w:pPr>
    </w:p>
    <w:bookmarkStart w:id="107" w:name="page108"/>
    <w:bookmarkEnd w:id="107"/>
    <w:p>
      <w:pPr>
        <w:ind w:right="1779" w:firstLine="948"/>
        <w:spacing w:after="0" w:line="235" w:lineRule="auto"/>
        <w:rPr>
          <w:sz w:val="20"/>
          <w:szCs w:val="20"/>
          <w:color w:val="auto"/>
        </w:rPr>
      </w:pPr>
      <w:r>
        <w:rPr>
          <w:rFonts w:ascii="Courier New" w:cs="Courier New" w:eastAsia="Courier New" w:hAnsi="Courier New"/>
          <w:sz w:val="18"/>
          <w:szCs w:val="18"/>
          <w:color w:val="auto"/>
        </w:rPr>
        <w:t>IN WITNESS WHEREOF, the undersigned have executed this Agreement on May 26, 2004 as of the date first written above.</w:t>
      </w:r>
    </w:p>
    <w:p>
      <w:pPr>
        <w:spacing w:after="0" w:line="203"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COMCAST CORPORATION</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By: /s/Arthur R. Block</w:t>
      </w:r>
    </w:p>
    <w:p>
      <w:pPr>
        <w:ind w:left="3800"/>
        <w:spacing w:after="0" w:line="238" w:lineRule="auto"/>
        <w:rPr>
          <w:sz w:val="20"/>
          <w:szCs w:val="20"/>
          <w:color w:val="auto"/>
        </w:rPr>
      </w:pPr>
      <w:r>
        <w:rPr>
          <w:rFonts w:ascii="Courier New" w:cs="Courier New" w:eastAsia="Courier New" w:hAnsi="Courier New"/>
          <w:sz w:val="18"/>
          <w:szCs w:val="18"/>
          <w:color w:val="auto"/>
        </w:rPr>
        <w:t>-----------------------------------------</w:t>
      </w:r>
    </w:p>
    <w:p>
      <w:pPr>
        <w:ind w:left="3800"/>
        <w:spacing w:after="0"/>
        <w:tabs>
          <w:tab w:leader="none" w:pos="472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Arthur R. Block</w:t>
      </w:r>
    </w:p>
    <w:p>
      <w:pPr>
        <w:ind w:left="3800"/>
        <w:spacing w:after="0" w:line="237" w:lineRule="auto"/>
        <w:tabs>
          <w:tab w:leader="none" w:pos="4720" w:val="left"/>
        </w:tabs>
        <w:rPr>
          <w:sz w:val="20"/>
          <w:szCs w:val="20"/>
          <w:color w:val="auto"/>
        </w:rPr>
      </w:pPr>
      <w:r>
        <w:rPr>
          <w:rFonts w:ascii="Courier New" w:cs="Courier New" w:eastAsia="Courier New" w:hAnsi="Courier New"/>
          <w:sz w:val="18"/>
          <w:szCs w:val="18"/>
          <w:color w:val="auto"/>
        </w:rPr>
        <w:t>Title:</w:t>
        <w:tab/>
        <w:t>Senior Vice President,</w:t>
      </w:r>
    </w:p>
    <w:p>
      <w:pPr>
        <w:ind w:left="4740"/>
        <w:spacing w:after="0" w:line="238" w:lineRule="auto"/>
        <w:rPr>
          <w:sz w:val="20"/>
          <w:szCs w:val="20"/>
          <w:color w:val="auto"/>
        </w:rPr>
      </w:pPr>
      <w:r>
        <w:rPr>
          <w:rFonts w:ascii="Courier New" w:cs="Courier New" w:eastAsia="Courier New" w:hAnsi="Courier New"/>
          <w:sz w:val="18"/>
          <w:szCs w:val="18"/>
          <w:color w:val="auto"/>
        </w:rPr>
        <w:t>General Counsel and</w:t>
      </w:r>
    </w:p>
    <w:p>
      <w:pPr>
        <w:ind w:left="4740"/>
        <w:spacing w:after="0"/>
        <w:rPr>
          <w:sz w:val="20"/>
          <w:szCs w:val="20"/>
          <w:color w:val="auto"/>
        </w:rPr>
      </w:pPr>
      <w:r>
        <w:rPr>
          <w:rFonts w:ascii="Courier New" w:cs="Courier New" w:eastAsia="Courier New" w:hAnsi="Courier New"/>
          <w:sz w:val="18"/>
          <w:szCs w:val="18"/>
          <w:color w:val="auto"/>
        </w:rPr>
        <w:t>Secretary</w:t>
      </w:r>
    </w:p>
    <w:p>
      <w:pPr>
        <w:spacing w:after="0" w:line="200" w:lineRule="exact"/>
        <w:rPr>
          <w:sz w:val="20"/>
          <w:szCs w:val="20"/>
          <w:color w:val="auto"/>
        </w:rPr>
      </w:pPr>
    </w:p>
    <w:p>
      <w:pPr>
        <w:spacing w:after="0" w:line="203" w:lineRule="exact"/>
        <w:rPr>
          <w:sz w:val="20"/>
          <w:szCs w:val="20"/>
          <w:color w:val="auto"/>
        </w:rPr>
      </w:pPr>
    </w:p>
    <w:p>
      <w:pPr>
        <w:jc w:val="center"/>
        <w:ind w:right="-340"/>
        <w:spacing w:after="0"/>
        <w:rPr>
          <w:sz w:val="20"/>
          <w:szCs w:val="20"/>
          <w:color w:val="auto"/>
        </w:rPr>
      </w:pPr>
      <w:r>
        <w:rPr>
          <w:rFonts w:ascii="Courier New" w:cs="Courier New" w:eastAsia="Courier New" w:hAnsi="Courier New"/>
          <w:sz w:val="18"/>
          <w:szCs w:val="18"/>
          <w:color w:val="auto"/>
        </w:rPr>
        <w:t>/s/ C. Michael Armstrong</w:t>
      </w:r>
    </w:p>
    <w:p>
      <w:pPr>
        <w:ind w:left="3900"/>
        <w:spacing w:after="0" w:line="238" w:lineRule="auto"/>
        <w:rPr>
          <w:sz w:val="20"/>
          <w:szCs w:val="20"/>
          <w:color w:val="auto"/>
        </w:rPr>
      </w:pPr>
      <w:r>
        <w:rPr>
          <w:rFonts w:ascii="Courier New" w:cs="Courier New" w:eastAsia="Courier New" w:hAnsi="Courier New"/>
          <w:sz w:val="18"/>
          <w:szCs w:val="18"/>
          <w:color w:val="auto"/>
        </w:rPr>
        <w:t>-----------------------------------------</w:t>
      </w:r>
    </w:p>
    <w:p>
      <w:pPr>
        <w:jc w:val="center"/>
        <w:ind w:right="79"/>
        <w:spacing w:after="0"/>
        <w:rPr>
          <w:sz w:val="20"/>
          <w:szCs w:val="20"/>
          <w:color w:val="auto"/>
        </w:rPr>
      </w:pPr>
      <w:r>
        <w:rPr>
          <w:rFonts w:ascii="Courier New" w:cs="Courier New" w:eastAsia="Courier New" w:hAnsi="Courier New"/>
          <w:sz w:val="18"/>
          <w:szCs w:val="18"/>
          <w:color w:val="auto"/>
        </w:rPr>
        <w:t>C. Michael Armstrong</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21</w:t>
      </w:r>
    </w:p>
    <w:p>
      <w:pPr>
        <w:sectPr>
          <w:pgSz w:w="11900" w:h="16838" w:orient="portrait"/>
          <w:cols w:equalWidth="0" w:num="1">
            <w:col w:w="10219"/>
          </w:cols>
          <w:pgMar w:left="240" w:top="1128" w:right="1440" w:bottom="1440" w:gutter="0" w:footer="0" w:header="0"/>
        </w:sectPr>
      </w:pPr>
    </w:p>
    <w:bookmarkStart w:id="108" w:name="page109"/>
    <w:bookmarkEnd w:id="108"/>
    <w:p>
      <w:pPr>
        <w:jc w:val="right"/>
        <w:ind w:right="1779"/>
        <w:spacing w:after="0"/>
        <w:rPr>
          <w:sz w:val="20"/>
          <w:szCs w:val="20"/>
          <w:color w:val="auto"/>
        </w:rPr>
      </w:pPr>
      <w:r>
        <w:rPr>
          <w:rFonts w:ascii="Courier New" w:cs="Courier New" w:eastAsia="Courier New" w:hAnsi="Courier New"/>
          <w:sz w:val="18"/>
          <w:szCs w:val="18"/>
          <w:color w:val="auto"/>
        </w:rPr>
        <w:t>EXHIBIT A</w:t>
      </w:r>
    </w:p>
    <w:p>
      <w:pPr>
        <w:spacing w:after="0" w:line="4" w:lineRule="exact"/>
        <w:rPr>
          <w:sz w:val="20"/>
          <w:szCs w:val="20"/>
          <w:color w:val="auto"/>
        </w:rPr>
      </w:pPr>
    </w:p>
    <w:p>
      <w:pPr>
        <w:ind w:left="748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2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DIRECTORSHIPS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Citigroup,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HCA,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22</w:t>
      </w:r>
    </w:p>
    <w:p>
      <w:pPr>
        <w:sectPr>
          <w:pgSz w:w="11900" w:h="16838" w:orient="portrait"/>
          <w:cols w:equalWidth="0" w:num="1">
            <w:col w:w="10219"/>
          </w:cols>
          <w:pgMar w:left="240" w:top="919" w:right="1440" w:bottom="1440" w:gutter="0" w:footer="0" w:header="0"/>
        </w:sectPr>
      </w:pPr>
    </w:p>
    <w:bookmarkStart w:id="109" w:name="page110"/>
    <w:bookmarkEnd w:id="109"/>
    <w:p>
      <w:pPr>
        <w:jc w:val="right"/>
        <w:ind w:right="1779"/>
        <w:spacing w:after="0"/>
        <w:rPr>
          <w:sz w:val="20"/>
          <w:szCs w:val="20"/>
          <w:color w:val="auto"/>
        </w:rPr>
      </w:pPr>
      <w:r>
        <w:rPr>
          <w:rFonts w:ascii="Courier New" w:cs="Courier New" w:eastAsia="Courier New" w:hAnsi="Courier New"/>
          <w:sz w:val="18"/>
          <w:szCs w:val="18"/>
          <w:color w:val="auto"/>
        </w:rPr>
        <w:t>EXHIBIT B</w:t>
      </w:r>
    </w:p>
    <w:p>
      <w:pPr>
        <w:spacing w:after="0" w:line="4" w:lineRule="exact"/>
        <w:rPr>
          <w:sz w:val="20"/>
          <w:szCs w:val="20"/>
          <w:color w:val="auto"/>
        </w:rPr>
      </w:pPr>
    </w:p>
    <w:p>
      <w:pPr>
        <w:ind w:left="748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26" w:lineRule="exact"/>
        <w:rPr>
          <w:sz w:val="20"/>
          <w:szCs w:val="20"/>
          <w:color w:val="auto"/>
        </w:rPr>
      </w:pPr>
    </w:p>
    <w:p>
      <w:pPr>
        <w:ind w:left="960" w:right="1779" w:hanging="952"/>
        <w:spacing w:after="0" w:line="270" w:lineRule="auto"/>
        <w:tabs>
          <w:tab w:leader="none" w:pos="960" w:val="left"/>
        </w:tabs>
        <w:numPr>
          <w:ilvl w:val="0"/>
          <w:numId w:val="1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Performance Shares: The 2002 grant of performance shares was converted into Company performance shares and AT&amp;T stock units, pursuant to the terms of the EBA and the Merger Agreement. Company performance shares and AT&amp;T stock units will vest on the Effective Date. Company performance shares will be paid out at target as soon as practicable after the Effective Date. The form of payout will be at least 50% in cash, based on the Fair Market Value of Stock on the day immediately preceding the Effective Date, and the remaining portion of the payment will be in Stock. The AT&amp;T stock unit portion of the award will be paid out in cash based on the Fair Market Value of AT&amp;T common stock on the day immediately preceding the Effective Date.</w:t>
      </w:r>
    </w:p>
    <w:p>
      <w:pPr>
        <w:spacing w:after="0" w:line="391" w:lineRule="exact"/>
        <w:rPr>
          <w:rFonts w:ascii="Courier New" w:cs="Courier New" w:eastAsia="Courier New" w:hAnsi="Courier New"/>
          <w:sz w:val="16"/>
          <w:szCs w:val="16"/>
          <w:color w:val="auto"/>
        </w:rPr>
      </w:pPr>
    </w:p>
    <w:p>
      <w:pPr>
        <w:ind w:left="960" w:right="2199" w:hanging="952"/>
        <w:spacing w:after="0" w:line="275" w:lineRule="auto"/>
        <w:tabs>
          <w:tab w:leader="none" w:pos="960" w:val="left"/>
        </w:tabs>
        <w:numPr>
          <w:ilvl w:val="0"/>
          <w:numId w:val="1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Stock Options: Unvested options granted to the Consultant prior to November 18, 2002 shall vest in full on the Effective Date and all options granted prior to November 18, 2002 shall remain exercisable until the end of their originally scheduled ten-year terms.</w:t>
      </w:r>
    </w:p>
    <w:p>
      <w:pPr>
        <w:spacing w:after="0" w:line="182" w:lineRule="exact"/>
        <w:rPr>
          <w:rFonts w:ascii="Courier New" w:cs="Courier New" w:eastAsia="Courier New" w:hAnsi="Courier New"/>
          <w:sz w:val="16"/>
          <w:szCs w:val="16"/>
          <w:color w:val="auto"/>
        </w:rPr>
      </w:pPr>
    </w:p>
    <w:p>
      <w:pPr>
        <w:ind w:left="960" w:right="2519" w:hanging="952"/>
        <w:spacing w:after="0" w:line="235" w:lineRule="auto"/>
        <w:tabs>
          <w:tab w:leader="none" w:pos="960" w:val="left"/>
        </w:tabs>
        <w:numPr>
          <w:ilvl w:val="0"/>
          <w:numId w:val="1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 in Control: Options granted to the Consultant on or after November 18, 2002 shall vest upon a Change in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23</w:t>
      </w:r>
    </w:p>
    <w:p>
      <w:pPr>
        <w:sectPr>
          <w:pgSz w:w="11900" w:h="16838" w:orient="portrait"/>
          <w:cols w:equalWidth="0" w:num="1">
            <w:col w:w="10219"/>
          </w:cols>
          <w:pgMar w:left="240" w:top="919" w:right="1440" w:bottom="1440" w:gutter="0" w:footer="0" w:header="0"/>
        </w:sectPr>
      </w:pPr>
    </w:p>
    <w:bookmarkStart w:id="110" w:name="page111"/>
    <w:bookmarkEnd w:id="110"/>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11" w:name="page112"/>
    <w:bookmarkEnd w:id="111"/>
    <w:p>
      <w:pPr>
        <w:ind w:left="2220"/>
        <w:spacing w:after="0"/>
        <w:rPr>
          <w:sz w:val="20"/>
          <w:szCs w:val="20"/>
          <w:color w:val="auto"/>
        </w:rPr>
      </w:pPr>
      <w:r>
        <w:rPr>
          <w:rFonts w:ascii="Courier New" w:cs="Courier New" w:eastAsia="Courier New" w:hAnsi="Courier New"/>
          <w:sz w:val="18"/>
          <w:szCs w:val="18"/>
          <w:color w:val="auto"/>
        </w:rPr>
        <w:t>FIRST AMENDMENT TO CONSULTING AGREEMENT</w:t>
      </w:r>
    </w:p>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FIRST AMENDMENT (the "Amendment"), dated as of May 26, 2004, to the CONSULTING AGREEMENT (the "Agreement"), made as of May 26, 2004, by and between Comcast Corporation, a Pennsylvania corporation (together with its successors and assigns permitted under this Agreement, the "Company") and C. Michael Armstrong (the "Consultant").</w:t>
      </w:r>
    </w:p>
    <w:p>
      <w:pPr>
        <w:spacing w:after="0" w:line="203"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WITNESSETH:</w:t>
      </w:r>
    </w:p>
    <w:p>
      <w:pPr>
        <w:spacing w:after="0" w:line="207" w:lineRule="exact"/>
        <w:rPr>
          <w:sz w:val="20"/>
          <w:szCs w:val="20"/>
          <w:color w:val="auto"/>
        </w:rPr>
      </w:pPr>
    </w:p>
    <w:p>
      <w:pPr>
        <w:ind w:right="2319" w:firstLine="948"/>
        <w:spacing w:after="0" w:line="235" w:lineRule="auto"/>
        <w:rPr>
          <w:sz w:val="20"/>
          <w:szCs w:val="20"/>
          <w:color w:val="auto"/>
        </w:rPr>
      </w:pPr>
      <w:r>
        <w:rPr>
          <w:rFonts w:ascii="Courier New" w:cs="Courier New" w:eastAsia="Courier New" w:hAnsi="Courier New"/>
          <w:sz w:val="18"/>
          <w:szCs w:val="18"/>
          <w:color w:val="auto"/>
        </w:rPr>
        <w:t>WHEREAS, the Consultant is employed by the Company pursuant to the Employment Agreement;</w:t>
      </w:r>
    </w:p>
    <w:p>
      <w:pPr>
        <w:spacing w:after="0" w:line="208" w:lineRule="exact"/>
        <w:rPr>
          <w:sz w:val="20"/>
          <w:szCs w:val="20"/>
          <w:color w:val="auto"/>
        </w:rPr>
      </w:pPr>
    </w:p>
    <w:p>
      <w:pPr>
        <w:ind w:right="2319" w:firstLine="948"/>
        <w:spacing w:after="0" w:line="236" w:lineRule="auto"/>
        <w:rPr>
          <w:sz w:val="20"/>
          <w:szCs w:val="20"/>
          <w:color w:val="auto"/>
        </w:rPr>
      </w:pPr>
      <w:r>
        <w:rPr>
          <w:rFonts w:ascii="Courier New" w:cs="Courier New" w:eastAsia="Courier New" w:hAnsi="Courier New"/>
          <w:sz w:val="18"/>
          <w:szCs w:val="18"/>
          <w:color w:val="auto"/>
        </w:rPr>
        <w:t>WHEREAS, the Consultant has elected to retire from his position as Non-Executive Chairman of the Board and to retire from employment with the Company, effective May 26, 2004;</w:t>
      </w:r>
    </w:p>
    <w:p>
      <w:pPr>
        <w:spacing w:after="0" w:line="209" w:lineRule="exact"/>
        <w:rPr>
          <w:sz w:val="20"/>
          <w:szCs w:val="20"/>
          <w:color w:val="auto"/>
        </w:rPr>
      </w:pPr>
    </w:p>
    <w:p>
      <w:pPr>
        <w:ind w:right="2099" w:firstLine="948"/>
        <w:spacing w:after="0" w:line="237" w:lineRule="auto"/>
        <w:rPr>
          <w:sz w:val="20"/>
          <w:szCs w:val="20"/>
          <w:color w:val="auto"/>
        </w:rPr>
      </w:pPr>
      <w:r>
        <w:rPr>
          <w:rFonts w:ascii="Courier New" w:cs="Courier New" w:eastAsia="Courier New" w:hAnsi="Courier New"/>
          <w:sz w:val="18"/>
          <w:szCs w:val="18"/>
          <w:color w:val="auto"/>
        </w:rPr>
        <w:t>WHEREAS, the Agreement reflects the Company's desire to retain the benefit of the Consultant's knowledge and experience by retaining the Consultant, and the Consultant's desire to accept such position, for the term and upon the other conditions set forth in the Agreement;</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WHEREAS, the Company and the Consultant wish to supplement the conditions stated in the Agreement to permit Consultant to defer the receipt of Consultant Compensation on the same basis as if the Consultant's employment were continuing through the term of the Agreement;</w:t>
      </w:r>
    </w:p>
    <w:p>
      <w:pPr>
        <w:spacing w:after="0" w:line="207" w:lineRule="exact"/>
        <w:rPr>
          <w:sz w:val="20"/>
          <w:szCs w:val="20"/>
          <w:color w:val="auto"/>
        </w:rPr>
      </w:pPr>
    </w:p>
    <w:p>
      <w:pPr>
        <w:ind w:right="2199" w:firstLine="948"/>
        <w:spacing w:after="0" w:line="237" w:lineRule="auto"/>
        <w:rPr>
          <w:sz w:val="20"/>
          <w:szCs w:val="20"/>
          <w:color w:val="auto"/>
        </w:rPr>
      </w:pPr>
      <w:r>
        <w:rPr>
          <w:rFonts w:ascii="Courier New" w:cs="Courier New" w:eastAsia="Courier New" w:hAnsi="Courier New"/>
          <w:sz w:val="18"/>
          <w:szCs w:val="18"/>
          <w:color w:val="auto"/>
        </w:rPr>
        <w:t>NOW, THEREFORE, pursuant to Section 18 of the Agreement, and in consideration of the mutual promises and agreements contained herein and for other good and valuable consideration, the receipt of which is mutually acknowledged, the Company and the Consultant hereby amend the Agreement as follows:</w:t>
      </w:r>
    </w:p>
    <w:p>
      <w:pPr>
        <w:spacing w:after="0" w:line="209" w:lineRule="exact"/>
        <w:rPr>
          <w:sz w:val="20"/>
          <w:szCs w:val="20"/>
          <w:color w:val="auto"/>
        </w:rPr>
      </w:pPr>
    </w:p>
    <w:p>
      <w:pPr>
        <w:jc w:val="both"/>
        <w:ind w:right="2419" w:firstLine="948"/>
        <w:spacing w:after="0" w:line="236" w:lineRule="auto"/>
        <w:rPr>
          <w:sz w:val="20"/>
          <w:szCs w:val="20"/>
          <w:color w:val="auto"/>
        </w:rPr>
      </w:pPr>
      <w:r>
        <w:rPr>
          <w:rFonts w:ascii="Courier New" w:cs="Courier New" w:eastAsia="Courier New" w:hAnsi="Courier New"/>
          <w:sz w:val="18"/>
          <w:szCs w:val="18"/>
          <w:color w:val="auto"/>
        </w:rPr>
        <w:t>SECTION 1. Definitions. All capitalized terms shall have the same meanings as set forth in the Agreement, or as defined in this Amendment as follows:</w:t>
      </w:r>
    </w:p>
    <w:p>
      <w:pPr>
        <w:spacing w:after="0" w:line="209" w:lineRule="exact"/>
        <w:rPr>
          <w:sz w:val="20"/>
          <w:szCs w:val="20"/>
          <w:color w:val="auto"/>
        </w:rPr>
      </w:pPr>
    </w:p>
    <w:p>
      <w:pPr>
        <w:jc w:val="both"/>
        <w:ind w:right="1879" w:firstLine="956"/>
        <w:spacing w:after="0" w:line="275" w:lineRule="auto"/>
        <w:tabs>
          <w:tab w:leader="none" w:pos="1369" w:val="left"/>
        </w:tabs>
        <w:numPr>
          <w:ilvl w:val="0"/>
          <w:numId w:val="1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"Account" means the bookkeeping account established and maintained by the Company in the name of the Consultant, to which all amounts deferred and earnings allocated under the Amendment shall be credited, and from which all amounts distributed pursuant to the Amendment shall be debited.</w:t>
      </w:r>
    </w:p>
    <w:p>
      <w:pPr>
        <w:spacing w:after="0" w:line="176" w:lineRule="exact"/>
        <w:rPr>
          <w:rFonts w:ascii="Courier New" w:cs="Courier New" w:eastAsia="Courier New" w:hAnsi="Courier New"/>
          <w:sz w:val="16"/>
          <w:szCs w:val="16"/>
          <w:color w:val="auto"/>
        </w:rPr>
      </w:pPr>
    </w:p>
    <w:p>
      <w:pPr>
        <w:ind w:left="1380" w:hanging="424"/>
        <w:spacing w:after="0"/>
        <w:tabs>
          <w:tab w:leader="none" w:pos="1380" w:val="left"/>
        </w:tabs>
        <w:numPr>
          <w:ilvl w:val="0"/>
          <w:numId w:val="1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"Applicable Interest Rate" means:</w:t>
      </w:r>
    </w:p>
    <w:p>
      <w:pPr>
        <w:spacing w:after="0" w:line="206" w:lineRule="exact"/>
        <w:rPr>
          <w:rFonts w:ascii="Courier New" w:cs="Courier New" w:eastAsia="Courier New" w:hAnsi="Courier New"/>
          <w:sz w:val="18"/>
          <w:szCs w:val="18"/>
          <w:color w:val="auto"/>
        </w:rPr>
      </w:pPr>
    </w:p>
    <w:p>
      <w:pPr>
        <w:ind w:right="1879" w:firstLine="1904"/>
        <w:spacing w:after="0" w:line="237" w:lineRule="auto"/>
        <w:tabs>
          <w:tab w:leader="none" w:pos="2318" w:val="left"/>
        </w:tabs>
        <w:numPr>
          <w:ilvl w:val="1"/>
          <w:numId w:val="1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otherwise provided in Section 1(b)(ii), the interest rate that, when compounded daily pursuant to rules established under the Deferred Compensation Plan from time to time, is mathematically equivalent to 12% per annum, compounded annually, or such other rate as generally applies to active participants in the Deferred Compensation Plan as in effect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right="1779" w:firstLine="1904"/>
        <w:spacing w:after="0" w:line="236" w:lineRule="auto"/>
        <w:tabs>
          <w:tab w:leader="none" w:pos="2423" w:val="left"/>
        </w:tabs>
        <w:numPr>
          <w:ilvl w:val="1"/>
          <w:numId w:val="1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Effective for the period beginning at the end of the Term until the date the Account is distributed in full, the Prime Rate plus one percent.</w:t>
      </w:r>
    </w:p>
    <w:p>
      <w:pPr>
        <w:spacing w:after="0" w:line="208" w:lineRule="exact"/>
        <w:rPr>
          <w:rFonts w:ascii="Courier New" w:cs="Courier New" w:eastAsia="Courier New" w:hAnsi="Courier New"/>
          <w:sz w:val="18"/>
          <w:szCs w:val="18"/>
          <w:color w:val="auto"/>
        </w:rPr>
      </w:pPr>
    </w:p>
    <w:p>
      <w:pPr>
        <w:ind w:right="1879" w:firstLine="956"/>
        <w:spacing w:after="0" w:line="235" w:lineRule="auto"/>
        <w:tabs>
          <w:tab w:leader="none" w:pos="1369" w:val="left"/>
        </w:tabs>
        <w:numPr>
          <w:ilvl w:val="0"/>
          <w:numId w:val="1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"Consultant Compensation" means the amounts described in Section 5 of the Agreement.</w:t>
      </w:r>
    </w:p>
    <w:p>
      <w:pPr>
        <w:spacing w:after="0" w:line="208" w:lineRule="exact"/>
        <w:rPr>
          <w:sz w:val="20"/>
          <w:szCs w:val="20"/>
          <w:color w:val="auto"/>
        </w:rPr>
      </w:pPr>
    </w:p>
    <w:p>
      <w:pPr>
        <w:ind w:right="2199" w:firstLine="956"/>
        <w:spacing w:after="0" w:line="235" w:lineRule="auto"/>
        <w:tabs>
          <w:tab w:leader="none" w:pos="1369" w:val="left"/>
        </w:tabs>
        <w:numPr>
          <w:ilvl w:val="0"/>
          <w:numId w:val="1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"Deferred Compensation Plan" means the Comcast Corporation 2002 Deferred Compensation Plan, as amended from time to time.</w:t>
      </w:r>
    </w:p>
    <w:p>
      <w:pPr>
        <w:spacing w:after="0" w:line="208" w:lineRule="exact"/>
        <w:rPr>
          <w:rFonts w:ascii="Courier New" w:cs="Courier New" w:eastAsia="Courier New" w:hAnsi="Courier New"/>
          <w:sz w:val="18"/>
          <w:szCs w:val="18"/>
          <w:color w:val="auto"/>
        </w:rPr>
      </w:pPr>
    </w:p>
    <w:p>
      <w:pPr>
        <w:ind w:right="2199" w:firstLine="956"/>
        <w:spacing w:after="0" w:line="236" w:lineRule="auto"/>
        <w:tabs>
          <w:tab w:leader="none" w:pos="1369" w:val="left"/>
        </w:tabs>
        <w:numPr>
          <w:ilvl w:val="0"/>
          <w:numId w:val="1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"Income Fund" means a hypothetical investment fund pursuant to which income, gains and losses are credited to the Account as if the Account were credited with interest at the Applicable Interest Rate.</w:t>
      </w:r>
    </w:p>
    <w:p>
      <w:pPr>
        <w:spacing w:after="0" w:line="209" w:lineRule="exact"/>
        <w:rPr>
          <w:sz w:val="20"/>
          <w:szCs w:val="20"/>
          <w:color w:val="auto"/>
        </w:rPr>
      </w:pPr>
    </w:p>
    <w:p>
      <w:pPr>
        <w:ind w:right="1999" w:firstLine="956"/>
        <w:spacing w:after="0" w:line="235" w:lineRule="auto"/>
        <w:tabs>
          <w:tab w:leader="none" w:pos="1369" w:val="left"/>
        </w:tabs>
        <w:numPr>
          <w:ilvl w:val="0"/>
          <w:numId w:val="1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"Initial Election" means a written election on a form provided by the Company, pursuant to which the Consultant may:</w:t>
      </w:r>
    </w:p>
    <w:p>
      <w:pPr>
        <w:spacing w:after="0" w:line="208" w:lineRule="exact"/>
        <w:rPr>
          <w:rFonts w:ascii="Courier New" w:cs="Courier New" w:eastAsia="Courier New" w:hAnsi="Courier New"/>
          <w:sz w:val="18"/>
          <w:szCs w:val="18"/>
          <w:color w:val="auto"/>
        </w:rPr>
      </w:pPr>
    </w:p>
    <w:p>
      <w:pPr>
        <w:ind w:right="2519" w:firstLine="1904"/>
        <w:spacing w:after="0" w:line="290" w:lineRule="auto"/>
        <w:tabs>
          <w:tab w:leader="none" w:pos="2318" w:val="left"/>
        </w:tabs>
        <w:numPr>
          <w:ilvl w:val="1"/>
          <w:numId w:val="1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Elect to defer all or any portion of the Consultant Compensation earned following the time that such election is filed; and</w:t>
      </w:r>
    </w:p>
    <w:p>
      <w:pPr>
        <w:spacing w:after="0" w:line="169" w:lineRule="exact"/>
        <w:rPr>
          <w:rFonts w:ascii="Courier New" w:cs="Courier New" w:eastAsia="Courier New" w:hAnsi="Courier New"/>
          <w:sz w:val="16"/>
          <w:szCs w:val="16"/>
          <w:color w:val="auto"/>
        </w:rPr>
      </w:pPr>
    </w:p>
    <w:p>
      <w:pPr>
        <w:ind w:left="2440" w:hanging="536"/>
        <w:spacing w:after="0"/>
        <w:tabs>
          <w:tab w:leader="none" w:pos="2440" w:val="left"/>
        </w:tabs>
        <w:numPr>
          <w:ilvl w:val="1"/>
          <w:numId w:val="1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Designate the time of payment of the deferred Consultant</w:t>
      </w:r>
    </w:p>
    <w:p>
      <w:pPr>
        <w:sectPr>
          <w:pgSz w:w="11900" w:h="16838" w:orient="portrait"/>
          <w:cols w:equalWidth="0" w:num="1">
            <w:col w:w="10219"/>
          </w:cols>
          <w:pgMar w:left="240" w:top="339" w:right="1440" w:bottom="0" w:gutter="0" w:footer="0" w:header="0"/>
        </w:sectPr>
      </w:pPr>
    </w:p>
    <w:bookmarkStart w:id="112" w:name="page113"/>
    <w:bookmarkEnd w:id="112"/>
    <w:p>
      <w:pPr>
        <w:spacing w:after="0"/>
        <w:rPr>
          <w:sz w:val="20"/>
          <w:szCs w:val="20"/>
          <w:color w:val="auto"/>
        </w:rPr>
      </w:pPr>
      <w:r>
        <w:rPr>
          <w:rFonts w:ascii="Courier New" w:cs="Courier New" w:eastAsia="Courier New" w:hAnsi="Courier New"/>
          <w:sz w:val="18"/>
          <w:szCs w:val="18"/>
          <w:color w:val="auto"/>
        </w:rPr>
        <w:t>Compensation to which the Initial Election relates.</w:t>
      </w:r>
    </w:p>
    <w:p>
      <w:pPr>
        <w:spacing w:after="0" w:line="207" w:lineRule="exact"/>
        <w:rPr>
          <w:sz w:val="20"/>
          <w:szCs w:val="20"/>
          <w:color w:val="auto"/>
        </w:rPr>
      </w:pPr>
    </w:p>
    <w:p>
      <w:pPr>
        <w:ind w:right="1779" w:firstLine="956"/>
        <w:spacing w:after="0" w:line="237" w:lineRule="auto"/>
        <w:tabs>
          <w:tab w:leader="none" w:pos="1369" w:val="left"/>
        </w:tabs>
        <w:numPr>
          <w:ilvl w:val="0"/>
          <w:numId w:val="1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"Prime Rate" means, for any calendar year, the interest rate that, when compounded daily pursuant to rules established under the Deferred Compensation Plan from time to time, is mathematically equivalent to the prime rate of interest (compounded annually) as published in the Eastern Edition of The Wall Street Journal on the last business day preceding the first day of such calendar year, and as adjusted as of the last business day preceding the first day of each calendar year beginning thereafter.</w:t>
      </w:r>
    </w:p>
    <w:p>
      <w:pPr>
        <w:spacing w:after="0" w:line="211" w:lineRule="exact"/>
        <w:rPr>
          <w:rFonts w:ascii="Courier New" w:cs="Courier New" w:eastAsia="Courier New" w:hAnsi="Courier New"/>
          <w:sz w:val="18"/>
          <w:szCs w:val="18"/>
          <w:color w:val="auto"/>
        </w:rPr>
      </w:pPr>
    </w:p>
    <w:p>
      <w:pPr>
        <w:ind w:right="1999" w:firstLine="956"/>
        <w:spacing w:after="0" w:line="273" w:lineRule="auto"/>
        <w:tabs>
          <w:tab w:leader="none" w:pos="1369" w:val="left"/>
        </w:tabs>
        <w:numPr>
          <w:ilvl w:val="0"/>
          <w:numId w:val="1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"Subsequent Election" means a written election on a form provided by the Company, pursuant to which the Consultant (or his beneficiaries) may elect to defer (or, in limited cases, accelerate) the time of payment or to change the manner of payment of amounts previously deferred in accordance with the terms of a previously made Initial Election or Subsequent Election.</w:t>
      </w:r>
    </w:p>
    <w:p>
      <w:pPr>
        <w:spacing w:after="0" w:line="179"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SECTION 2. Election to Defer Receipt of Compensation..</w:t>
      </w:r>
    </w:p>
    <w:p>
      <w:pPr>
        <w:spacing w:after="0" w:line="201" w:lineRule="exact"/>
        <w:rPr>
          <w:sz w:val="20"/>
          <w:szCs w:val="20"/>
          <w:color w:val="auto"/>
        </w:rPr>
      </w:pPr>
    </w:p>
    <w:p>
      <w:pPr>
        <w:ind w:left="1380" w:hanging="424"/>
        <w:spacing w:after="0"/>
        <w:tabs>
          <w:tab w:leader="none" w:pos="1380" w:val="left"/>
        </w:tabs>
        <w:numPr>
          <w:ilvl w:val="0"/>
          <w:numId w:val="1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Elections.</w:t>
      </w:r>
    </w:p>
    <w:p>
      <w:pPr>
        <w:spacing w:after="0" w:line="206" w:lineRule="exact"/>
        <w:rPr>
          <w:rFonts w:ascii="Courier New" w:cs="Courier New" w:eastAsia="Courier New" w:hAnsi="Courier New"/>
          <w:sz w:val="18"/>
          <w:szCs w:val="18"/>
          <w:color w:val="auto"/>
        </w:rPr>
      </w:pPr>
    </w:p>
    <w:p>
      <w:pPr>
        <w:ind w:right="1879" w:firstLine="1904"/>
        <w:spacing w:after="0" w:line="237" w:lineRule="auto"/>
        <w:tabs>
          <w:tab w:leader="none" w:pos="2318" w:val="left"/>
        </w:tabs>
        <w:numPr>
          <w:ilvl w:val="1"/>
          <w:numId w:val="1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Initial Elections. Notwithstanding Section 5 of the Agreement, the Consultant shall have the right to defer all or any portion of the Consultant Compensation that he would otherwise be entitled to receive in a calendar year by filing an Initial Election at the time and in the manner described in this Section 2. The Consultant Compensation for a calendar year shall be reduced in an amount equal to the portion of the Consultant Compensation deferred by the Consultant for such calendar year pursuant to the Consultant's Initial Election.</w:t>
      </w:r>
    </w:p>
    <w:p>
      <w:pPr>
        <w:spacing w:after="0" w:line="200" w:lineRule="exact"/>
        <w:rPr>
          <w:sz w:val="20"/>
          <w:szCs w:val="20"/>
          <w:color w:val="auto"/>
        </w:rPr>
      </w:pPr>
    </w:p>
    <w:p>
      <w:pPr>
        <w:spacing w:after="0" w:line="20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136" w:right="1440" w:bottom="1440" w:gutter="0" w:footer="0" w:header="0"/>
        </w:sectPr>
      </w:pPr>
    </w:p>
    <w:bookmarkStart w:id="113" w:name="page114"/>
    <w:bookmarkEnd w:id="113"/>
    <w:p>
      <w:pPr>
        <w:ind w:left="-956" w:right="1779" w:firstLine="1904"/>
        <w:spacing w:after="0" w:line="237" w:lineRule="auto"/>
        <w:tabs>
          <w:tab w:leader="none" w:pos="1467" w:val="left"/>
        </w:tabs>
        <w:numPr>
          <w:ilvl w:val="1"/>
          <w:numId w:val="1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Subsequent Elections. The Consultant shall have the right to elect to defer the time of payment or to change the manner of payment of amounts previously deferred in accordance with the terms of a previously made Initial Election by filing a Subsequent Election at the time, to the extent, and in the manner described in this Section 2.</w:t>
      </w:r>
    </w:p>
    <w:p>
      <w:pPr>
        <w:spacing w:after="0" w:line="203" w:lineRule="exact"/>
        <w:rPr>
          <w:rFonts w:ascii="Courier New" w:cs="Courier New" w:eastAsia="Courier New" w:hAnsi="Courier New"/>
          <w:sz w:val="18"/>
          <w:szCs w:val="18"/>
          <w:color w:val="auto"/>
        </w:rPr>
      </w:pPr>
    </w:p>
    <w:p>
      <w:pPr>
        <w:ind w:left="424" w:hanging="424"/>
        <w:spacing w:after="0"/>
        <w:tabs>
          <w:tab w:leader="none" w:pos="424" w:val="left"/>
        </w:tabs>
        <w:numPr>
          <w:ilvl w:val="0"/>
          <w:numId w:val="1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Filing of Initial Election.</w:t>
      </w:r>
    </w:p>
    <w:p>
      <w:pPr>
        <w:spacing w:after="0" w:line="206" w:lineRule="exact"/>
        <w:rPr>
          <w:rFonts w:ascii="Courier New" w:cs="Courier New" w:eastAsia="Courier New" w:hAnsi="Courier New"/>
          <w:sz w:val="18"/>
          <w:szCs w:val="18"/>
          <w:color w:val="auto"/>
        </w:rPr>
      </w:pPr>
    </w:p>
    <w:p>
      <w:pPr>
        <w:ind w:left="-956" w:right="1779" w:firstLine="1904"/>
        <w:spacing w:after="0" w:line="271" w:lineRule="auto"/>
        <w:tabs>
          <w:tab w:leader="none" w:pos="1361" w:val="left"/>
        </w:tabs>
        <w:numPr>
          <w:ilvl w:val="1"/>
          <w:numId w:val="1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Consultant may make an Initial Election on a form provided by the Company for this purpose. An Initial Election with respect to Consultant Compensation earned in calendar year 2004 shall be effective only if it is made within 30 days after the commencement of the Term of the Agreement (and may apply only with respect to Consultant Compensation payable after the Consultant files the Initial Election with the Company). An Initial Election with respect to Consultant Compensation earned in any calendar year beginning after 2004 shall be effective only if it is made on or before December 31 of the calendar year preceding the calendar year to which the Initial Election applies.</w:t>
      </w:r>
    </w:p>
    <w:p>
      <w:pPr>
        <w:spacing w:after="0" w:line="184" w:lineRule="exact"/>
        <w:rPr>
          <w:sz w:val="20"/>
          <w:szCs w:val="20"/>
          <w:color w:val="auto"/>
        </w:rPr>
      </w:pPr>
    </w:p>
    <w:p>
      <w:pPr>
        <w:ind w:left="-956" w:right="1779" w:firstLine="1904"/>
        <w:spacing w:after="0" w:line="237" w:lineRule="auto"/>
        <w:tabs>
          <w:tab w:leader="none" w:pos="1467" w:val="left"/>
        </w:tabs>
        <w:numPr>
          <w:ilvl w:val="1"/>
          <w:numId w:val="1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Contemporaneously with an Initial Election, the Consultant shall also elect the time of payment of the amount of the deferred Consultant Compensation to which such Initial Election relates; provided, however, that except as otherwise provided in this Amendment, no distribution may commence earlier than January 2nd of the second calendar year beginning after the date the Initial Election is filed with the Company, nor later than January 2nd of the eleventh calendar year beginning after the date the Initial Election is filed with the Company. Further, the Consultant may select with each Initial Election the manner of distribution in accordance with Section 3 of this Amendment.</w:t>
      </w:r>
    </w:p>
    <w:p>
      <w:pPr>
        <w:spacing w:after="0" w:line="209" w:lineRule="exact"/>
        <w:rPr>
          <w:rFonts w:ascii="Courier New" w:cs="Courier New" w:eastAsia="Courier New" w:hAnsi="Courier New"/>
          <w:sz w:val="18"/>
          <w:szCs w:val="18"/>
          <w:color w:val="auto"/>
        </w:rPr>
      </w:pPr>
    </w:p>
    <w:p>
      <w:pPr>
        <w:ind w:left="424" w:hanging="424"/>
        <w:spacing w:after="0"/>
        <w:tabs>
          <w:tab w:leader="none" w:pos="424" w:val="left"/>
        </w:tabs>
        <w:numPr>
          <w:ilvl w:val="0"/>
          <w:numId w:val="1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Subsequent Elections.</w:t>
      </w:r>
    </w:p>
    <w:p>
      <w:pPr>
        <w:spacing w:after="0" w:line="206" w:lineRule="exact"/>
        <w:rPr>
          <w:rFonts w:ascii="Courier New" w:cs="Courier New" w:eastAsia="Courier New" w:hAnsi="Courier New"/>
          <w:sz w:val="18"/>
          <w:szCs w:val="18"/>
          <w:color w:val="auto"/>
        </w:rPr>
      </w:pPr>
    </w:p>
    <w:p>
      <w:pPr>
        <w:ind w:left="-956" w:right="1779" w:firstLine="1904"/>
        <w:spacing w:after="0" w:line="237" w:lineRule="auto"/>
        <w:tabs>
          <w:tab w:leader="none" w:pos="1361" w:val="left"/>
        </w:tabs>
        <w:numPr>
          <w:ilvl w:val="1"/>
          <w:numId w:val="1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During the Term. Following an Initial Election or Subsequent Election, and during the Term, the Consultant may elect to change the manner of distribution or defer the time of payment of any part or all of the Account for a minimum of two and a maximum of ten additional years from the previously-elected payment date, by filing a Subsequent Election with the Company on or before the close of business on June 30 of the calendar year preceding the calendar year in which the lump-sum distribution or initial installment payment would otherwise be made. The Consultant may not make any Subsequent Elections after the Term.</w:t>
      </w:r>
    </w:p>
    <w:p>
      <w:pPr>
        <w:spacing w:after="0" w:line="214" w:lineRule="exact"/>
        <w:rPr>
          <w:sz w:val="20"/>
          <w:szCs w:val="20"/>
          <w:color w:val="auto"/>
        </w:rPr>
      </w:pPr>
    </w:p>
    <w:p>
      <w:pPr>
        <w:ind w:left="-956" w:right="1779" w:firstLine="1904"/>
        <w:spacing w:after="0" w:line="271" w:lineRule="auto"/>
        <w:tabs>
          <w:tab w:leader="none" w:pos="1467" w:val="left"/>
        </w:tabs>
        <w:numPr>
          <w:ilvl w:val="0"/>
          <w:numId w:val="1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Following the Consultant's Death: Surviving Spouse as Beneficiary. If the Consultant designates his surviving spouse as the beneficiary of all or a portion of the Account, the surviving spouse may elect to change the time and manner of distribution of the portion of the Account subject to the beneficiary designation on the same basis and subject to the same rules as if the Account were held under the Deferred Compensation Plan and the surviving spouse were named as the Consultant's beneficiary thereunder.</w:t>
      </w:r>
    </w:p>
    <w:p>
      <w:pPr>
        <w:spacing w:after="0" w:line="187" w:lineRule="exact"/>
        <w:rPr>
          <w:rFonts w:ascii="Courier New" w:cs="Courier New" w:eastAsia="Courier New" w:hAnsi="Courier New"/>
          <w:sz w:val="16"/>
          <w:szCs w:val="16"/>
          <w:color w:val="auto"/>
        </w:rPr>
      </w:pPr>
    </w:p>
    <w:p>
      <w:pPr>
        <w:ind w:left="-956" w:right="1779" w:firstLine="1904"/>
        <w:spacing w:after="0" w:line="273" w:lineRule="auto"/>
        <w:tabs>
          <w:tab w:leader="none" w:pos="1572" w:val="left"/>
        </w:tabs>
        <w:numPr>
          <w:ilvl w:val="0"/>
          <w:numId w:val="1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Following the Consultant's Death: Beneficiary Other Than the Surviving Spouse. If the Consultant designates an individual other than his surviving spouse as the beneficiary of all or a portion of the Account, such individual may elect to change the time and manner of distribution of the portion of the Account subject to the beneficiary designation on</w:t>
      </w:r>
    </w:p>
    <w:p>
      <w:pPr>
        <w:spacing w:after="0" w:line="200" w:lineRule="exact"/>
        <w:rPr>
          <w:sz w:val="20"/>
          <w:szCs w:val="20"/>
          <w:color w:val="auto"/>
        </w:rPr>
      </w:pPr>
    </w:p>
    <w:p>
      <w:pPr>
        <w:spacing w:after="0" w:line="384" w:lineRule="exact"/>
        <w:rPr>
          <w:sz w:val="20"/>
          <w:szCs w:val="20"/>
          <w:color w:val="auto"/>
        </w:rPr>
      </w:pPr>
    </w:p>
    <w:p>
      <w:pPr>
        <w:ind w:left="3064"/>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9263"/>
          </w:cols>
          <w:pgMar w:left="1196" w:top="925" w:right="1440" w:bottom="1440" w:gutter="0" w:footer="0" w:header="0"/>
        </w:sectPr>
      </w:pPr>
    </w:p>
    <w:bookmarkStart w:id="114" w:name="page115"/>
    <w:bookmarkEnd w:id="114"/>
    <w:p>
      <w:pPr>
        <w:ind w:right="1999"/>
        <w:spacing w:after="0" w:line="236" w:lineRule="auto"/>
        <w:rPr>
          <w:sz w:val="20"/>
          <w:szCs w:val="20"/>
          <w:color w:val="auto"/>
        </w:rPr>
      </w:pPr>
      <w:r>
        <w:rPr>
          <w:rFonts w:ascii="Courier New" w:cs="Courier New" w:eastAsia="Courier New" w:hAnsi="Courier New"/>
          <w:sz w:val="18"/>
          <w:szCs w:val="18"/>
          <w:color w:val="auto"/>
        </w:rPr>
        <w:t>the same basis and subject to the same rules as if the Account were held under the Deferred Compensation Plan and such individual were named as the Consultant's beneficiary thereunder.</w:t>
      </w:r>
    </w:p>
    <w:p>
      <w:pPr>
        <w:spacing w:after="0" w:line="209" w:lineRule="exact"/>
        <w:rPr>
          <w:sz w:val="20"/>
          <w:szCs w:val="20"/>
          <w:color w:val="auto"/>
        </w:rPr>
      </w:pPr>
    </w:p>
    <w:p>
      <w:pPr>
        <w:ind w:right="1879" w:firstLine="1904"/>
        <w:spacing w:after="0" w:line="237" w:lineRule="auto"/>
        <w:tabs>
          <w:tab w:leader="none" w:pos="2423" w:val="left"/>
        </w:tabs>
        <w:numPr>
          <w:ilvl w:val="0"/>
          <w:numId w:val="1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Most Recently Filed Initial Election or Subsequent Election Controlling. Unless the distribution of the Account is subject to acceleration pursuant to Section 2(c)(ii) or Section 2(c)(iii), no distribution of the amounts credited to the Account shall be made before the payment date designated by the Consultant (or his beneficiary) on the most recently filed Initial Election or Subsequent Election.</w:t>
      </w:r>
    </w:p>
    <w:p>
      <w:pPr>
        <w:spacing w:after="0" w:line="20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SECTION 3. Manner of Distribution.</w:t>
      </w:r>
    </w:p>
    <w:p>
      <w:pPr>
        <w:spacing w:after="0" w:line="207" w:lineRule="exact"/>
        <w:rPr>
          <w:sz w:val="20"/>
          <w:szCs w:val="20"/>
          <w:color w:val="auto"/>
        </w:rPr>
      </w:pPr>
    </w:p>
    <w:p>
      <w:pPr>
        <w:ind w:right="1879" w:firstLine="1904"/>
        <w:spacing w:after="0" w:line="273" w:lineRule="auto"/>
        <w:tabs>
          <w:tab w:leader="none" w:pos="2318" w:val="left"/>
        </w:tabs>
        <w:numPr>
          <w:ilvl w:val="0"/>
          <w:numId w:val="1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Manner of Distribution. Amounts credited to an Account shall be distributed, pursuant to an Initial Election or Subsequent Election in either (i) a lump sum payment or (ii) substantially equal annual installments over a five (5), ten (10) or fifteen (15) year period or (iii) substantially equal monthly installments over a period not exceeding fifteen (15) years.</w:t>
      </w:r>
    </w:p>
    <w:p>
      <w:pPr>
        <w:spacing w:after="0" w:line="184" w:lineRule="exact"/>
        <w:rPr>
          <w:rFonts w:ascii="Courier New" w:cs="Courier New" w:eastAsia="Courier New" w:hAnsi="Courier New"/>
          <w:sz w:val="16"/>
          <w:szCs w:val="16"/>
          <w:color w:val="auto"/>
        </w:rPr>
      </w:pPr>
    </w:p>
    <w:p>
      <w:pPr>
        <w:ind w:right="2099" w:firstLine="1904"/>
        <w:spacing w:after="0" w:line="235" w:lineRule="auto"/>
        <w:tabs>
          <w:tab w:leader="none" w:pos="2318" w:val="left"/>
        </w:tabs>
        <w:numPr>
          <w:ilvl w:val="0"/>
          <w:numId w:val="1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Small Balances. Notwithstanding any Initial Election or Subsequent Election to the contrary:</w:t>
      </w:r>
    </w:p>
    <w:p>
      <w:pPr>
        <w:spacing w:after="0" w:line="202" w:lineRule="exact"/>
        <w:rPr>
          <w:rFonts w:ascii="Courier New" w:cs="Courier New" w:eastAsia="Courier New" w:hAnsi="Courier New"/>
          <w:sz w:val="18"/>
          <w:szCs w:val="18"/>
          <w:color w:val="auto"/>
        </w:rPr>
      </w:pPr>
    </w:p>
    <w:p>
      <w:pPr>
        <w:ind w:left="3280" w:hanging="428"/>
        <w:spacing w:after="0"/>
        <w:tabs>
          <w:tab w:leader="none" w:pos="3280" w:val="left"/>
        </w:tabs>
        <w:numPr>
          <w:ilvl w:val="1"/>
          <w:numId w:val="1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Distributions pursuant to Initial Elections or</w:t>
      </w:r>
    </w:p>
    <w:p>
      <w:pPr>
        <w:spacing w:after="0" w:line="4" w:lineRule="exact"/>
        <w:rPr>
          <w:rFonts w:ascii="Courier New" w:cs="Courier New" w:eastAsia="Courier New" w:hAnsi="Courier New"/>
          <w:sz w:val="18"/>
          <w:szCs w:val="18"/>
          <w:color w:val="auto"/>
        </w:rPr>
      </w:pPr>
    </w:p>
    <w:p>
      <w:pPr>
        <w:ind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Subsequent Elections shall be made in one lump sum payment unless the portion of the Account subject to distribution, as of both the date of the Initial Election or Subsequent Election and the benefit commencement date, has a value of more than $10,000; and</w:t>
      </w:r>
    </w:p>
    <w:p>
      <w:pPr>
        <w:spacing w:after="0" w:line="201" w:lineRule="exact"/>
        <w:rPr>
          <w:rFonts w:ascii="Courier New" w:cs="Courier New" w:eastAsia="Courier New" w:hAnsi="Courier New"/>
          <w:sz w:val="18"/>
          <w:szCs w:val="18"/>
          <w:color w:val="auto"/>
        </w:rPr>
      </w:pPr>
    </w:p>
    <w:p>
      <w:pPr>
        <w:ind w:left="3380" w:hanging="528"/>
        <w:spacing w:after="0"/>
        <w:tabs>
          <w:tab w:leader="none" w:pos="3380" w:val="left"/>
        </w:tabs>
        <w:numPr>
          <w:ilvl w:val="1"/>
          <w:numId w:val="1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Following the end of the Term, if the amount</w:t>
      </w:r>
    </w:p>
    <w:p>
      <w:pPr>
        <w:spacing w:after="0" w:line="4" w:lineRule="exact"/>
        <w:rPr>
          <w:rFonts w:ascii="Courier New" w:cs="Courier New" w:eastAsia="Courier New" w:hAnsi="Courier New"/>
          <w:sz w:val="18"/>
          <w:szCs w:val="18"/>
          <w:color w:val="auto"/>
        </w:rPr>
      </w:pPr>
    </w:p>
    <w:p>
      <w:pPr>
        <w:ind w:right="18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credited to the Account has a value of $25,000 or less, the Company may, in its sole discretion, direct that such amount be distributed to the Consultant (or his beneficiary, as applicable) in one lump sum payment.</w:t>
      </w:r>
    </w:p>
    <w:p>
      <w:pPr>
        <w:spacing w:after="0" w:line="209"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SECTION 4. Crediting of Income, Gains and Losses on Account. The Company shall credit income, gains and losses with respect to the Account as if it were invested in the Income Fund.</w:t>
      </w:r>
    </w:p>
    <w:p>
      <w:pPr>
        <w:spacing w:after="0" w:line="209" w:lineRule="exact"/>
        <w:rPr>
          <w:sz w:val="20"/>
          <w:szCs w:val="20"/>
          <w:color w:val="auto"/>
        </w:rPr>
      </w:pPr>
    </w:p>
    <w:p>
      <w:pPr>
        <w:ind w:right="2099" w:firstLine="948"/>
        <w:spacing w:after="0" w:line="236" w:lineRule="auto"/>
        <w:rPr>
          <w:sz w:val="20"/>
          <w:szCs w:val="20"/>
          <w:color w:val="auto"/>
        </w:rPr>
      </w:pPr>
      <w:r>
        <w:rPr>
          <w:rFonts w:ascii="Courier New" w:cs="Courier New" w:eastAsia="Courier New" w:hAnsi="Courier New"/>
          <w:sz w:val="18"/>
          <w:szCs w:val="18"/>
          <w:color w:val="auto"/>
        </w:rPr>
        <w:t>SECTION 5. Status of Deferred Amounts. All Consultant Compensation deferred under this Amendment shall continue for all purposes to be a part of the general funds of the Company.</w:t>
      </w:r>
    </w:p>
    <w:p>
      <w:pPr>
        <w:spacing w:after="0" w:line="20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SECTION 6. Consultant's and Beneficiaries' Status as General Creditors. The Account shall at all times represent a general obligation of the Company. The Consultant (and his beneficiaries) shall be general creditors of the Company with respect to this obligation, and shall not have a secured or preferred position with respect to the Accounts. Nothing contained herein shall be deemed to create an escrow, trust, custodial account or fiduciary relationship of any kind. Nothing contained herein shall be construed to eliminate any priority or preferred position of a the Consultant (or his beneficiaries) in a bankruptcy matter with respect to claims for wages.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1128" w:right="1440" w:bottom="1440" w:gutter="0" w:footer="0" w:header="0"/>
        </w:sectPr>
      </w:pPr>
    </w:p>
    <w:bookmarkStart w:id="115" w:name="page116"/>
    <w:bookmarkEnd w:id="115"/>
    <w:p>
      <w:pPr>
        <w:ind w:right="1879" w:firstLine="1896"/>
        <w:spacing w:after="0" w:line="237" w:lineRule="auto"/>
        <w:rPr>
          <w:sz w:val="20"/>
          <w:szCs w:val="20"/>
          <w:color w:val="auto"/>
        </w:rPr>
      </w:pPr>
      <w:r>
        <w:rPr>
          <w:rFonts w:ascii="Courier New" w:cs="Courier New" w:eastAsia="Courier New" w:hAnsi="Courier New"/>
          <w:sz w:val="18"/>
          <w:szCs w:val="18"/>
          <w:color w:val="auto"/>
        </w:rPr>
        <w:t>SECTION 7. No Alienation of Benefits. Except as otherwise required by applicable law, the right of the Consultant (and his beneficiaries) to any benefit or interest under any of the provisions of this Amendment shall not be subject to encumbrance, attachment, execution, garnishment, assignment, pledge, alienation, sale, transfer, or anticipation, either by the voluntary or involuntary act of the Consultant (or the Consultant's beneficiaries) or by operation of law, nor shall such payment, right, or interest be subject to any other legal or equitable process.</w:t>
      </w:r>
    </w:p>
    <w:p>
      <w:pPr>
        <w:spacing w:after="0" w:line="207" w:lineRule="exact"/>
        <w:rPr>
          <w:sz w:val="20"/>
          <w:szCs w:val="20"/>
          <w:color w:val="auto"/>
        </w:rPr>
      </w:pPr>
    </w:p>
    <w:p>
      <w:pPr>
        <w:ind w:left="1900"/>
        <w:spacing w:after="0"/>
        <w:tabs>
          <w:tab w:leader="none" w:pos="3780" w:val="left"/>
        </w:tabs>
        <w:rPr>
          <w:sz w:val="20"/>
          <w:szCs w:val="20"/>
          <w:color w:val="auto"/>
        </w:rPr>
      </w:pPr>
      <w:r>
        <w:rPr>
          <w:rFonts w:ascii="Courier New" w:cs="Courier New" w:eastAsia="Courier New" w:hAnsi="Courier New"/>
          <w:sz w:val="18"/>
          <w:szCs w:val="18"/>
          <w:color w:val="auto"/>
        </w:rPr>
        <w:t>SECTION 8.</w:t>
      </w:r>
      <w:r>
        <w:rPr>
          <w:sz w:val="20"/>
          <w:szCs w:val="20"/>
          <w:color w:val="auto"/>
        </w:rPr>
        <w:tab/>
      </w:r>
      <w:r>
        <w:rPr>
          <w:rFonts w:ascii="Courier New" w:cs="Courier New" w:eastAsia="Courier New" w:hAnsi="Courier New"/>
          <w:sz w:val="16"/>
          <w:szCs w:val="16"/>
          <w:color w:val="auto"/>
        </w:rPr>
        <w:t>Death of Consultant.</w:t>
      </w:r>
    </w:p>
    <w:p>
      <w:pPr>
        <w:spacing w:after="0" w:line="207" w:lineRule="exact"/>
        <w:rPr>
          <w:sz w:val="20"/>
          <w:szCs w:val="20"/>
          <w:color w:val="auto"/>
        </w:rPr>
      </w:pPr>
    </w:p>
    <w:p>
      <w:pPr>
        <w:ind w:right="1879" w:firstLine="1904"/>
        <w:spacing w:after="0" w:line="273" w:lineRule="auto"/>
        <w:tabs>
          <w:tab w:leader="none" w:pos="2318" w:val="left"/>
        </w:tabs>
        <w:numPr>
          <w:ilvl w:val="0"/>
          <w:numId w:val="1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Death of Consultant. The Consultant's Account shall be distributed in accordance with the last Initial Election or Subsequent Election made by the Consultant before his death, unless the Consultant's surviving spouse or other beneficiary timely elects to accelerate or defer the time or change the manner of payment pursuant to Section 2(c)(ii) or Section 2(c)(iii).</w:t>
      </w:r>
    </w:p>
    <w:p>
      <w:pPr>
        <w:spacing w:after="0" w:line="184" w:lineRule="exact"/>
        <w:rPr>
          <w:rFonts w:ascii="Courier New" w:cs="Courier New" w:eastAsia="Courier New" w:hAnsi="Courier New"/>
          <w:sz w:val="16"/>
          <w:szCs w:val="16"/>
          <w:color w:val="auto"/>
        </w:rPr>
      </w:pPr>
    </w:p>
    <w:p>
      <w:pPr>
        <w:ind w:right="1879" w:firstLine="1904"/>
        <w:spacing w:after="0" w:line="237" w:lineRule="auto"/>
        <w:tabs>
          <w:tab w:leader="none" w:pos="2318" w:val="left"/>
        </w:tabs>
        <w:numPr>
          <w:ilvl w:val="0"/>
          <w:numId w:val="1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Designation of Beneficiaries. The Consultant (and his beneficiaries) shall have the right to designate one or more beneficiaries to receive distributions in the event of the Consultant's (or his beneficiaries') death by filing with the Company a beneficiary designation on the form provided by the Company for such purpose. The designation of a beneficiary or beneficiaries may be changed by the Consultant or his beneficiaries at any time prior to their death by the delivery to the Company of a new beneficiary designation form.</w:t>
      </w:r>
    </w:p>
    <w:p>
      <w:pPr>
        <w:spacing w:after="0" w:line="212" w:lineRule="exact"/>
        <w:rPr>
          <w:sz w:val="20"/>
          <w:szCs w:val="20"/>
          <w:color w:val="auto"/>
        </w:rPr>
      </w:pPr>
    </w:p>
    <w:p>
      <w:pPr>
        <w:ind w:right="1779" w:firstLine="1896"/>
        <w:spacing w:after="0" w:line="238" w:lineRule="auto"/>
        <w:rPr>
          <w:sz w:val="20"/>
          <w:szCs w:val="20"/>
          <w:color w:val="auto"/>
        </w:rPr>
      </w:pPr>
      <w:r>
        <w:rPr>
          <w:rFonts w:ascii="Courier New" w:cs="Courier New" w:eastAsia="Courier New" w:hAnsi="Courier New"/>
          <w:sz w:val="18"/>
          <w:szCs w:val="18"/>
          <w:color w:val="auto"/>
        </w:rPr>
        <w:t>SECTION 9. Interpretation; Notices. The purpose of this Amendment is to permit the Consultant to defer the receipt of his Consultant Compensation on substantially the same basis as if the Consultant Compensation constituted "compensation" eligible for deferral under the terms and conditions of the Comcast Corporation 2002 Deferred Compensation Plan, and the Amendment shall be construed consistent with such purpose. If the Consultant or his beneficiaries do not receive timely payment of benefits to which such individual believes he or she is entitled under the Amendment, such individual may make a claim for benefits to the Company which shall be administered on substantially the same basis as would apply if such claim were a claim for benefits under the Deferred Compensation Plan. Claims for benefits under the Amendment, and all other filings referenced in the Amendment, shall be treated as notices pursuant to the Agreement.</w:t>
      </w:r>
    </w:p>
    <w:p>
      <w:pPr>
        <w:spacing w:after="0" w:line="207" w:lineRule="exact"/>
        <w:rPr>
          <w:sz w:val="20"/>
          <w:szCs w:val="20"/>
          <w:color w:val="auto"/>
        </w:rPr>
      </w:pPr>
    </w:p>
    <w:p>
      <w:pPr>
        <w:ind w:right="1779" w:firstLine="1896"/>
        <w:spacing w:after="0" w:line="238" w:lineRule="auto"/>
        <w:rPr>
          <w:sz w:val="20"/>
          <w:szCs w:val="20"/>
          <w:color w:val="auto"/>
        </w:rPr>
      </w:pPr>
      <w:r>
        <w:rPr>
          <w:rFonts w:ascii="Courier New" w:cs="Courier New" w:eastAsia="Courier New" w:hAnsi="Courier New"/>
          <w:sz w:val="18"/>
          <w:szCs w:val="18"/>
          <w:color w:val="auto"/>
        </w:rPr>
        <w:t>SECTION 10. Withholding of Taxes. Whenever the Company is required to credit deferred Consultant Compensation to the Account, the Company shall have the right to require the Consultant to remit to the Company an amount sufficient to satisfy any federal, state and local withholding tax requirements prior to the date on which the deferred Consultant Compensation shall be deemed credited to the Account, or take any action whatever that it deems necessary to protect its interests with respect to tax liabilities. The Company's obligation to credit deferred Consultant Compensation to the Account shall be conditioned on the Consultant's compliance, to the Company's satisfaction, with any withholding requirement. To the maximum extent possible, the Company shall satisfy all applicable withholding tax requirements by withholding tax from other Consultant Compensation or other compensation payable by the Company to the Consultant, or by the Consultant's delivery of cash to the Company in an amount equal to the applicable withholding tax, as determined by the Company in good faith.</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925" w:right="1440" w:bottom="1440" w:gutter="0" w:footer="0" w:header="0"/>
        </w:sectPr>
      </w:pPr>
    </w:p>
    <w:bookmarkStart w:id="116" w:name="page117"/>
    <w:bookmarkEnd w:id="116"/>
    <w:p>
      <w:pPr>
        <w:ind w:left="1900"/>
        <w:spacing w:after="0"/>
        <w:tabs>
          <w:tab w:leader="none" w:pos="3780" w:val="left"/>
        </w:tabs>
        <w:rPr>
          <w:sz w:val="20"/>
          <w:szCs w:val="20"/>
          <w:color w:val="auto"/>
        </w:rPr>
      </w:pPr>
      <w:r>
        <w:rPr>
          <w:rFonts w:ascii="Courier New" w:cs="Courier New" w:eastAsia="Courier New" w:hAnsi="Courier New"/>
          <w:sz w:val="18"/>
          <w:szCs w:val="18"/>
          <w:color w:val="auto"/>
        </w:rPr>
        <w:t>SECTION 11.</w:t>
      </w:r>
      <w:r>
        <w:rPr>
          <w:sz w:val="20"/>
          <w:szCs w:val="20"/>
          <w:color w:val="auto"/>
        </w:rPr>
        <w:tab/>
      </w:r>
      <w:r>
        <w:rPr>
          <w:rFonts w:ascii="Courier New" w:cs="Courier New" w:eastAsia="Courier New" w:hAnsi="Courier New"/>
          <w:sz w:val="16"/>
          <w:szCs w:val="16"/>
          <w:color w:val="auto"/>
        </w:rPr>
        <w:t>Miscellaneous Provisions.</w:t>
      </w:r>
    </w:p>
    <w:p>
      <w:pPr>
        <w:spacing w:after="0" w:line="207" w:lineRule="exact"/>
        <w:rPr>
          <w:sz w:val="20"/>
          <w:szCs w:val="20"/>
          <w:color w:val="auto"/>
        </w:rPr>
      </w:pPr>
    </w:p>
    <w:p>
      <w:pPr>
        <w:ind w:right="1879" w:firstLine="1904"/>
        <w:spacing w:after="0" w:line="237" w:lineRule="auto"/>
        <w:tabs>
          <w:tab w:leader="none" w:pos="2318" w:val="left"/>
        </w:tabs>
        <w:numPr>
          <w:ilvl w:val="0"/>
          <w:numId w:val="1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Effect of Amendment. This Amendment is intended only to amend Section 5 of the Agreement, relating to the timing of payment of Consultant Compensation, as provided in this Amendment. Each other provision of the Agreement shall continue in full force and effect.</w:t>
      </w:r>
    </w:p>
    <w:p>
      <w:pPr>
        <w:spacing w:after="0" w:line="201" w:lineRule="exact"/>
        <w:rPr>
          <w:rFonts w:ascii="Courier New" w:cs="Courier New" w:eastAsia="Courier New" w:hAnsi="Courier New"/>
          <w:sz w:val="18"/>
          <w:szCs w:val="18"/>
          <w:color w:val="auto"/>
        </w:rPr>
      </w:pPr>
    </w:p>
    <w:p>
      <w:pPr>
        <w:ind w:left="2320" w:hanging="416"/>
        <w:spacing w:after="0"/>
        <w:tabs>
          <w:tab w:leader="none" w:pos="2320" w:val="left"/>
        </w:tabs>
        <w:numPr>
          <w:ilvl w:val="0"/>
          <w:numId w:val="1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Tax Matters. The Consultant acknowledges that:</w:t>
      </w:r>
    </w:p>
    <w:p>
      <w:pPr>
        <w:spacing w:after="0" w:line="201" w:lineRule="exact"/>
        <w:rPr>
          <w:rFonts w:ascii="Courier New" w:cs="Courier New" w:eastAsia="Courier New" w:hAnsi="Courier New"/>
          <w:sz w:val="18"/>
          <w:szCs w:val="18"/>
          <w:color w:val="auto"/>
        </w:rPr>
      </w:pPr>
    </w:p>
    <w:p>
      <w:pPr>
        <w:ind w:left="3280" w:hanging="428"/>
        <w:spacing w:after="0"/>
        <w:tabs>
          <w:tab w:leader="none" w:pos="3280" w:val="left"/>
        </w:tabs>
        <w:numPr>
          <w:ilvl w:val="1"/>
          <w:numId w:val="1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has advised him to consult his tax</w:t>
      </w:r>
    </w:p>
    <w:p>
      <w:pPr>
        <w:spacing w:after="0" w:line="4" w:lineRule="exact"/>
        <w:rPr>
          <w:rFonts w:ascii="Courier New" w:cs="Courier New" w:eastAsia="Courier New" w:hAnsi="Courier New"/>
          <w:sz w:val="18"/>
          <w:szCs w:val="18"/>
          <w:color w:val="auto"/>
        </w:rPr>
      </w:pPr>
    </w:p>
    <w:p>
      <w:pPr>
        <w:ind w:right="187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advisor with respect to the federal, state and local income tax consequences of making Initial Elections and Subsequent Elections pursuant to the Amendment.</w:t>
      </w:r>
    </w:p>
    <w:p>
      <w:pPr>
        <w:spacing w:after="0" w:line="169" w:lineRule="exact"/>
        <w:rPr>
          <w:rFonts w:ascii="Courier New" w:cs="Courier New" w:eastAsia="Courier New" w:hAnsi="Courier New"/>
          <w:sz w:val="18"/>
          <w:szCs w:val="18"/>
          <w:color w:val="auto"/>
        </w:rPr>
      </w:pPr>
    </w:p>
    <w:p>
      <w:pPr>
        <w:ind w:left="3380" w:hanging="528"/>
        <w:spacing w:after="0"/>
        <w:tabs>
          <w:tab w:leader="none" w:pos="3380" w:val="left"/>
        </w:tabs>
        <w:numPr>
          <w:ilvl w:val="1"/>
          <w:numId w:val="1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has delivered to him a copy of the</w:t>
      </w:r>
    </w:p>
    <w:p>
      <w:pPr>
        <w:spacing w:after="0" w:line="21" w:lineRule="exact"/>
        <w:rPr>
          <w:rFonts w:ascii="Courier New" w:cs="Courier New" w:eastAsia="Courier New" w:hAnsi="Courier New"/>
          <w:sz w:val="16"/>
          <w:szCs w:val="16"/>
          <w:color w:val="auto"/>
        </w:rPr>
      </w:pPr>
    </w:p>
    <w:p>
      <w:pPr>
        <w:ind w:right="187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Prospectus for the Deferred Compensation Plan and he has read the provisions of the Prospectus relating to tax consequences.</w:t>
      </w:r>
    </w:p>
    <w:p>
      <w:pPr>
        <w:spacing w:after="0" w:line="202" w:lineRule="exact"/>
        <w:rPr>
          <w:rFonts w:ascii="Courier New" w:cs="Courier New" w:eastAsia="Courier New" w:hAnsi="Courier New"/>
          <w:sz w:val="16"/>
          <w:szCs w:val="16"/>
          <w:color w:val="auto"/>
        </w:rPr>
      </w:pPr>
    </w:p>
    <w:p>
      <w:pPr>
        <w:ind w:left="2320" w:hanging="416"/>
        <w:spacing w:after="0"/>
        <w:tabs>
          <w:tab w:leader="none" w:pos="2320" w:val="left"/>
        </w:tabs>
        <w:numPr>
          <w:ilvl w:val="0"/>
          <w:numId w:val="1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Counterparts. This Amendment may be executed in</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counterparts.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1122" w:right="1440" w:bottom="1440" w:gutter="0" w:footer="0" w:header="0"/>
        </w:sectPr>
      </w:pPr>
    </w:p>
    <w:bookmarkStart w:id="117" w:name="page118"/>
    <w:bookmarkEnd w:id="117"/>
    <w:p>
      <w:pPr>
        <w:ind w:right="2619" w:firstLine="1896"/>
        <w:spacing w:after="0" w:line="235" w:lineRule="auto"/>
        <w:rPr>
          <w:sz w:val="20"/>
          <w:szCs w:val="20"/>
          <w:color w:val="auto"/>
        </w:rPr>
      </w:pPr>
      <w:r>
        <w:rPr>
          <w:rFonts w:ascii="Courier New" w:cs="Courier New" w:eastAsia="Courier New" w:hAnsi="Courier New"/>
          <w:sz w:val="18"/>
          <w:szCs w:val="18"/>
          <w:color w:val="auto"/>
        </w:rPr>
        <w:t>IN WITNESS WHEREOF, the undersigned have executed this Amendment on May 26, 2004.</w:t>
      </w:r>
    </w:p>
    <w:p>
      <w:pPr>
        <w:spacing w:after="0" w:line="203"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COMCAST CORPORATION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By:/s/ Arthur R. Block</w:t>
      </w:r>
    </w:p>
    <w:p>
      <w:pPr>
        <w:spacing w:after="0" w:line="4" w:lineRule="exact"/>
        <w:rPr>
          <w:sz w:val="20"/>
          <w:szCs w:val="20"/>
          <w:color w:val="auto"/>
        </w:rPr>
      </w:pPr>
    </w:p>
    <w:p>
      <w:pPr>
        <w:ind w:left="28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2860"/>
        <w:spacing w:after="0"/>
        <w:tabs>
          <w:tab w:leader="none" w:pos="378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Arthur R. Block</w:t>
      </w:r>
    </w:p>
    <w:p>
      <w:pPr>
        <w:ind w:left="2860"/>
        <w:spacing w:after="0" w:line="238" w:lineRule="auto"/>
        <w:tabs>
          <w:tab w:leader="none" w:pos="378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8"/>
          <w:szCs w:val="18"/>
          <w:color w:val="auto"/>
        </w:rPr>
        <w:t>Senior Vice President,</w:t>
      </w:r>
    </w:p>
    <w:p>
      <w:pPr>
        <w:ind w:left="3800"/>
        <w:spacing w:after="0"/>
        <w:rPr>
          <w:sz w:val="20"/>
          <w:szCs w:val="20"/>
          <w:color w:val="auto"/>
        </w:rPr>
      </w:pPr>
      <w:r>
        <w:rPr>
          <w:rFonts w:ascii="Courier New" w:cs="Courier New" w:eastAsia="Courier New" w:hAnsi="Courier New"/>
          <w:sz w:val="18"/>
          <w:szCs w:val="18"/>
          <w:color w:val="auto"/>
        </w:rPr>
        <w:t>General Counsel and</w:t>
      </w:r>
    </w:p>
    <w:p>
      <w:pPr>
        <w:ind w:left="3800"/>
        <w:spacing w:after="0" w:line="237" w:lineRule="auto"/>
        <w:rPr>
          <w:sz w:val="20"/>
          <w:szCs w:val="20"/>
          <w:color w:val="auto"/>
        </w:rPr>
      </w:pPr>
      <w:r>
        <w:rPr>
          <w:rFonts w:ascii="Courier New" w:cs="Courier New" w:eastAsia="Courier New" w:hAnsi="Courier New"/>
          <w:sz w:val="18"/>
          <w:szCs w:val="18"/>
          <w:color w:val="auto"/>
        </w:rPr>
        <w:t>Secretary</w:t>
      </w:r>
    </w:p>
    <w:p>
      <w:pPr>
        <w:spacing w:after="0" w:line="200" w:lineRule="exact"/>
        <w:rPr>
          <w:sz w:val="20"/>
          <w:szCs w:val="20"/>
          <w:color w:val="auto"/>
        </w:rPr>
      </w:pPr>
    </w:p>
    <w:p>
      <w:pPr>
        <w:spacing w:after="0" w:line="204"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/s/ C. Michael Armstrong</w:t>
      </w:r>
    </w:p>
    <w:p>
      <w:pPr>
        <w:spacing w:after="0" w:line="4" w:lineRule="exact"/>
        <w:rPr>
          <w:sz w:val="20"/>
          <w:szCs w:val="20"/>
          <w:color w:val="auto"/>
        </w:rPr>
      </w:pPr>
    </w:p>
    <w:p>
      <w:pPr>
        <w:ind w:left="28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C. Michael Armstrong</w:t>
      </w:r>
    </w:p>
    <w:p>
      <w:pPr>
        <w:sectPr>
          <w:pgSz w:w="11900" w:h="16838" w:orient="portrait"/>
          <w:cols w:equalWidth="0" w:num="1">
            <w:col w:w="10219"/>
          </w:cols>
          <w:pgMar w:left="240" w:top="1128" w:right="1440" w:bottom="1440" w:gutter="0" w:footer="0" w:header="0"/>
        </w:sectPr>
      </w:pPr>
    </w:p>
    <w:bookmarkStart w:id="118" w:name="page119"/>
    <w:bookmarkEnd w:id="118"/>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19" w:name="page120"/>
    <w:bookmarkEnd w:id="119"/>
    <w:p>
      <w:pPr>
        <w:jc w:val="right"/>
        <w:ind w:right="1779"/>
        <w:spacing w:after="0"/>
        <w:rPr>
          <w:sz w:val="20"/>
          <w:szCs w:val="20"/>
          <w:color w:val="auto"/>
        </w:rPr>
      </w:pPr>
      <w:r>
        <w:rPr>
          <w:rFonts w:ascii="Courier New" w:cs="Courier New" w:eastAsia="Courier New" w:hAnsi="Courier New"/>
          <w:sz w:val="18"/>
          <w:szCs w:val="18"/>
          <w:color w:val="auto"/>
        </w:rPr>
        <w:t>Exhibit 31</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CERTIFICATIONS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 Brian L. Roberts, certify that:</w:t>
      </w:r>
    </w:p>
    <w:p>
      <w:pPr>
        <w:spacing w:after="0" w:line="207" w:lineRule="exact"/>
        <w:rPr>
          <w:sz w:val="20"/>
          <w:szCs w:val="20"/>
          <w:color w:val="auto"/>
        </w:rPr>
      </w:pPr>
    </w:p>
    <w:p>
      <w:pPr>
        <w:ind w:left="540" w:hanging="532"/>
        <w:spacing w:after="0"/>
        <w:tabs>
          <w:tab w:leader="none" w:pos="540" w:val="left"/>
        </w:tabs>
        <w:numPr>
          <w:ilvl w:val="0"/>
          <w:numId w:val="1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have reviewed this quarterly report on Form 10-Q of Comcast Corporation;</w:t>
      </w:r>
    </w:p>
    <w:p>
      <w:pPr>
        <w:spacing w:after="0" w:line="223" w:lineRule="exact"/>
        <w:rPr>
          <w:rFonts w:ascii="Courier New" w:cs="Courier New" w:eastAsia="Courier New" w:hAnsi="Courier New"/>
          <w:sz w:val="16"/>
          <w:szCs w:val="16"/>
          <w:color w:val="auto"/>
        </w:rPr>
      </w:pPr>
    </w:p>
    <w:p>
      <w:pPr>
        <w:ind w:left="540" w:right="1779" w:hanging="532"/>
        <w:spacing w:after="0" w:line="237" w:lineRule="auto"/>
        <w:tabs>
          <w:tab w:leader="none" w:pos="540" w:val="left"/>
        </w:tabs>
        <w:numPr>
          <w:ilvl w:val="0"/>
          <w:numId w:val="1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Courier New" w:cs="Courier New" w:eastAsia="Courier New" w:hAnsi="Courier New"/>
          <w:sz w:val="18"/>
          <w:szCs w:val="18"/>
          <w:color w:val="auto"/>
        </w:rPr>
      </w:pPr>
    </w:p>
    <w:p>
      <w:pPr>
        <w:ind w:left="540" w:right="1999" w:hanging="532"/>
        <w:spacing w:after="0" w:line="237" w:lineRule="auto"/>
        <w:tabs>
          <w:tab w:leader="none" w:pos="540" w:val="left"/>
        </w:tabs>
        <w:numPr>
          <w:ilvl w:val="0"/>
          <w:numId w:val="1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7" w:lineRule="exact"/>
        <w:rPr>
          <w:rFonts w:ascii="Courier New" w:cs="Courier New" w:eastAsia="Courier New" w:hAnsi="Courier New"/>
          <w:sz w:val="18"/>
          <w:szCs w:val="18"/>
          <w:color w:val="auto"/>
        </w:rPr>
      </w:pPr>
    </w:p>
    <w:p>
      <w:pPr>
        <w:ind w:left="540" w:right="1779" w:hanging="532"/>
        <w:spacing w:after="0" w:line="279" w:lineRule="auto"/>
        <w:tabs>
          <w:tab w:leader="none" w:pos="540" w:val="left"/>
        </w:tabs>
        <w:numPr>
          <w:ilvl w:val="0"/>
          <w:numId w:val="1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registrant's other certifying officers and I are responsible for establishing and maintaining disclosure controls and procedures (as defined in Exchange Act Rules 13a-15(e) and 15d-15(e)) for the registrant and have:</w:t>
      </w:r>
    </w:p>
    <w:p>
      <w:pPr>
        <w:spacing w:after="0" w:line="178" w:lineRule="exact"/>
        <w:rPr>
          <w:rFonts w:ascii="Courier New" w:cs="Courier New" w:eastAsia="Courier New" w:hAnsi="Courier New"/>
          <w:sz w:val="16"/>
          <w:szCs w:val="16"/>
          <w:color w:val="auto"/>
        </w:rPr>
      </w:pPr>
    </w:p>
    <w:p>
      <w:pPr>
        <w:ind w:left="960" w:right="1999" w:hanging="425"/>
        <w:spacing w:after="0" w:line="237" w:lineRule="auto"/>
        <w:tabs>
          <w:tab w:leader="none" w:pos="960" w:val="left"/>
        </w:tabs>
        <w:numPr>
          <w:ilvl w:val="1"/>
          <w:numId w:val="1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9" w:lineRule="exact"/>
        <w:rPr>
          <w:rFonts w:ascii="Courier New" w:cs="Courier New" w:eastAsia="Courier New" w:hAnsi="Courier New"/>
          <w:sz w:val="18"/>
          <w:szCs w:val="18"/>
          <w:color w:val="auto"/>
        </w:rPr>
      </w:pPr>
    </w:p>
    <w:p>
      <w:pPr>
        <w:ind w:left="960" w:hanging="425"/>
        <w:spacing w:after="0"/>
        <w:tabs>
          <w:tab w:leader="none" w:pos="960" w:val="left"/>
        </w:tabs>
        <w:numPr>
          <w:ilvl w:val="1"/>
          <w:numId w:val="1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[Paragraph omitted pursuant to SEC Release Nos. 33-8238 and 34-47986.]</w:t>
      </w:r>
    </w:p>
    <w:p>
      <w:pPr>
        <w:spacing w:after="0" w:line="223" w:lineRule="exact"/>
        <w:rPr>
          <w:rFonts w:ascii="Courier New" w:cs="Courier New" w:eastAsia="Courier New" w:hAnsi="Courier New"/>
          <w:sz w:val="16"/>
          <w:szCs w:val="16"/>
          <w:color w:val="auto"/>
        </w:rPr>
      </w:pPr>
    </w:p>
    <w:p>
      <w:pPr>
        <w:ind w:left="960" w:right="1779" w:hanging="425"/>
        <w:spacing w:after="0" w:line="275" w:lineRule="auto"/>
        <w:tabs>
          <w:tab w:leader="none" w:pos="960" w:val="left"/>
        </w:tabs>
        <w:numPr>
          <w:ilvl w:val="1"/>
          <w:numId w:val="1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2" w:lineRule="exact"/>
        <w:rPr>
          <w:rFonts w:ascii="Courier New" w:cs="Courier New" w:eastAsia="Courier New" w:hAnsi="Courier New"/>
          <w:sz w:val="16"/>
          <w:szCs w:val="16"/>
          <w:color w:val="auto"/>
        </w:rPr>
      </w:pPr>
    </w:p>
    <w:p>
      <w:pPr>
        <w:ind w:left="960" w:right="1879" w:hanging="425"/>
        <w:spacing w:after="0" w:line="237" w:lineRule="auto"/>
        <w:tabs>
          <w:tab w:leader="none" w:pos="960" w:val="left"/>
        </w:tabs>
        <w:numPr>
          <w:ilvl w:val="1"/>
          <w:numId w:val="1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9" w:lineRule="exact"/>
        <w:rPr>
          <w:rFonts w:ascii="Courier New" w:cs="Courier New" w:eastAsia="Courier New" w:hAnsi="Courier New"/>
          <w:sz w:val="18"/>
          <w:szCs w:val="18"/>
          <w:color w:val="auto"/>
        </w:rPr>
      </w:pPr>
    </w:p>
    <w:p>
      <w:pPr>
        <w:ind w:left="540" w:right="1779" w:hanging="532"/>
        <w:spacing w:after="0" w:line="237" w:lineRule="auto"/>
        <w:tabs>
          <w:tab w:leader="none" w:pos="540" w:val="left"/>
        </w:tabs>
        <w:numPr>
          <w:ilvl w:val="0"/>
          <w:numId w:val="1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7" w:lineRule="exact"/>
        <w:rPr>
          <w:rFonts w:ascii="Courier New" w:cs="Courier New" w:eastAsia="Courier New" w:hAnsi="Courier New"/>
          <w:sz w:val="18"/>
          <w:szCs w:val="18"/>
          <w:color w:val="auto"/>
        </w:rPr>
      </w:pPr>
    </w:p>
    <w:p>
      <w:pPr>
        <w:ind w:left="960" w:right="1999" w:hanging="425"/>
        <w:spacing w:after="0" w:line="237" w:lineRule="auto"/>
        <w:tabs>
          <w:tab w:leader="none" w:pos="960" w:val="left"/>
        </w:tabs>
        <w:numPr>
          <w:ilvl w:val="1"/>
          <w:numId w:val="1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7" w:lineRule="exact"/>
        <w:rPr>
          <w:rFonts w:ascii="Courier New" w:cs="Courier New" w:eastAsia="Courier New" w:hAnsi="Courier New"/>
          <w:sz w:val="18"/>
          <w:szCs w:val="18"/>
          <w:color w:val="auto"/>
        </w:rPr>
      </w:pPr>
    </w:p>
    <w:p>
      <w:pPr>
        <w:ind w:left="960" w:right="1999" w:hanging="425"/>
        <w:spacing w:after="0" w:line="236" w:lineRule="auto"/>
        <w:tabs>
          <w:tab w:leader="none" w:pos="960" w:val="left"/>
        </w:tabs>
        <w:numPr>
          <w:ilvl w:val="1"/>
          <w:numId w:val="1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July 30, 2004</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Brian L. Roberts</w:t>
      </w:r>
    </w:p>
    <w:p>
      <w:pPr>
        <w:ind w:left="220" w:hanging="212"/>
        <w:spacing w:after="0" w:line="238" w:lineRule="auto"/>
        <w:tabs>
          <w:tab w:leader="none" w:pos="220" w:val="left"/>
        </w:tabs>
        <w:numPr>
          <w:ilvl w:val="0"/>
          <w:numId w:val="1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right="777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Name: Brian L. Roberts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 Lawrence S. Smith, certify that:</w:t>
      </w:r>
    </w:p>
    <w:p>
      <w:pPr>
        <w:spacing w:after="0" w:line="207"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6"/>
          <w:szCs w:val="16"/>
          <w:color w:val="auto"/>
        </w:rPr>
        <w:t>1.</w:t>
      </w:r>
      <w:r>
        <w:rPr>
          <w:sz w:val="20"/>
          <w:szCs w:val="20"/>
          <w:color w:val="auto"/>
        </w:rPr>
        <w:tab/>
      </w:r>
      <w:r>
        <w:rPr>
          <w:rFonts w:ascii="Courier New" w:cs="Courier New" w:eastAsia="Courier New" w:hAnsi="Courier New"/>
          <w:sz w:val="16"/>
          <w:szCs w:val="16"/>
          <w:color w:val="auto"/>
        </w:rPr>
        <w:t>I have reviewed this quarterly report on Form 10-Q of Comcast Corporation;</w:t>
      </w:r>
    </w:p>
    <w:p>
      <w:pPr>
        <w:sectPr>
          <w:pgSz w:w="11900" w:h="16838" w:orient="portrait"/>
          <w:cols w:equalWidth="0" w:num="1">
            <w:col w:w="10219"/>
          </w:cols>
          <w:pgMar w:left="240" w:top="136" w:right="1440" w:bottom="0" w:gutter="0" w:footer="0" w:header="0"/>
        </w:sectPr>
      </w:pPr>
    </w:p>
    <w:bookmarkStart w:id="120" w:name="page121"/>
    <w:bookmarkEnd w:id="120"/>
    <w:p>
      <w:pPr>
        <w:ind w:left="540" w:right="1779" w:hanging="532"/>
        <w:spacing w:after="0" w:line="237" w:lineRule="auto"/>
        <w:tabs>
          <w:tab w:leader="none" w:pos="540" w:val="left"/>
        </w:tabs>
        <w:numPr>
          <w:ilvl w:val="0"/>
          <w:numId w:val="1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Courier New" w:cs="Courier New" w:eastAsia="Courier New" w:hAnsi="Courier New"/>
          <w:sz w:val="18"/>
          <w:szCs w:val="18"/>
          <w:color w:val="auto"/>
        </w:rPr>
      </w:pPr>
    </w:p>
    <w:p>
      <w:pPr>
        <w:ind w:left="540" w:right="1999" w:hanging="532"/>
        <w:spacing w:after="0" w:line="237" w:lineRule="auto"/>
        <w:tabs>
          <w:tab w:leader="none" w:pos="540" w:val="left"/>
        </w:tabs>
        <w:numPr>
          <w:ilvl w:val="0"/>
          <w:numId w:val="1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7" w:lineRule="exact"/>
        <w:rPr>
          <w:rFonts w:ascii="Courier New" w:cs="Courier New" w:eastAsia="Courier New" w:hAnsi="Courier New"/>
          <w:sz w:val="18"/>
          <w:szCs w:val="18"/>
          <w:color w:val="auto"/>
        </w:rPr>
      </w:pPr>
    </w:p>
    <w:p>
      <w:pPr>
        <w:ind w:left="540" w:right="1779" w:hanging="532"/>
        <w:spacing w:after="0" w:line="279" w:lineRule="auto"/>
        <w:tabs>
          <w:tab w:leader="none" w:pos="540" w:val="left"/>
        </w:tabs>
        <w:numPr>
          <w:ilvl w:val="0"/>
          <w:numId w:val="1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registrant's other certifying officers and I are responsible for establishing and maintaining disclosure controls and procedures (as defined in Exchange Act Rules 13a-15(e) and 15d-15(e)) for the registrant and have:</w:t>
      </w:r>
    </w:p>
    <w:p>
      <w:pPr>
        <w:spacing w:after="0" w:line="178" w:lineRule="exact"/>
        <w:rPr>
          <w:rFonts w:ascii="Courier New" w:cs="Courier New" w:eastAsia="Courier New" w:hAnsi="Courier New"/>
          <w:sz w:val="16"/>
          <w:szCs w:val="16"/>
          <w:color w:val="auto"/>
        </w:rPr>
      </w:pPr>
    </w:p>
    <w:p>
      <w:pPr>
        <w:ind w:left="960" w:right="1999" w:hanging="425"/>
        <w:spacing w:after="0" w:line="237" w:lineRule="auto"/>
        <w:tabs>
          <w:tab w:leader="none" w:pos="960" w:val="left"/>
        </w:tabs>
        <w:numPr>
          <w:ilvl w:val="1"/>
          <w:numId w:val="1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9" w:lineRule="exact"/>
        <w:rPr>
          <w:rFonts w:ascii="Courier New" w:cs="Courier New" w:eastAsia="Courier New" w:hAnsi="Courier New"/>
          <w:sz w:val="18"/>
          <w:szCs w:val="18"/>
          <w:color w:val="auto"/>
        </w:rPr>
      </w:pPr>
    </w:p>
    <w:p>
      <w:pPr>
        <w:ind w:left="960" w:hanging="425"/>
        <w:spacing w:after="0"/>
        <w:tabs>
          <w:tab w:leader="none" w:pos="960" w:val="left"/>
        </w:tabs>
        <w:numPr>
          <w:ilvl w:val="1"/>
          <w:numId w:val="1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[Paragraph omitted pursuant to SEC Release Nos. 33-8238 and 34-47986.]</w:t>
      </w:r>
    </w:p>
    <w:p>
      <w:pPr>
        <w:spacing w:after="0" w:line="223" w:lineRule="exact"/>
        <w:rPr>
          <w:rFonts w:ascii="Courier New" w:cs="Courier New" w:eastAsia="Courier New" w:hAnsi="Courier New"/>
          <w:sz w:val="16"/>
          <w:szCs w:val="16"/>
          <w:color w:val="auto"/>
        </w:rPr>
      </w:pPr>
    </w:p>
    <w:p>
      <w:pPr>
        <w:ind w:left="960" w:right="1779" w:hanging="425"/>
        <w:spacing w:after="0" w:line="275" w:lineRule="auto"/>
        <w:tabs>
          <w:tab w:leader="none" w:pos="960" w:val="left"/>
        </w:tabs>
        <w:numPr>
          <w:ilvl w:val="1"/>
          <w:numId w:val="1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2" w:lineRule="exact"/>
        <w:rPr>
          <w:rFonts w:ascii="Courier New" w:cs="Courier New" w:eastAsia="Courier New" w:hAnsi="Courier New"/>
          <w:sz w:val="16"/>
          <w:szCs w:val="16"/>
          <w:color w:val="auto"/>
        </w:rPr>
      </w:pPr>
    </w:p>
    <w:p>
      <w:pPr>
        <w:ind w:left="960" w:right="1879" w:hanging="425"/>
        <w:spacing w:after="0" w:line="237" w:lineRule="auto"/>
        <w:tabs>
          <w:tab w:leader="none" w:pos="960" w:val="left"/>
        </w:tabs>
        <w:numPr>
          <w:ilvl w:val="1"/>
          <w:numId w:val="1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9" w:lineRule="exact"/>
        <w:rPr>
          <w:rFonts w:ascii="Courier New" w:cs="Courier New" w:eastAsia="Courier New" w:hAnsi="Courier New"/>
          <w:sz w:val="18"/>
          <w:szCs w:val="18"/>
          <w:color w:val="auto"/>
        </w:rPr>
      </w:pPr>
    </w:p>
    <w:p>
      <w:pPr>
        <w:ind w:left="540" w:right="1779" w:hanging="532"/>
        <w:spacing w:after="0" w:line="237" w:lineRule="auto"/>
        <w:tabs>
          <w:tab w:leader="none" w:pos="540" w:val="left"/>
        </w:tabs>
        <w:numPr>
          <w:ilvl w:val="0"/>
          <w:numId w:val="1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7" w:lineRule="exact"/>
        <w:rPr>
          <w:rFonts w:ascii="Courier New" w:cs="Courier New" w:eastAsia="Courier New" w:hAnsi="Courier New"/>
          <w:sz w:val="18"/>
          <w:szCs w:val="18"/>
          <w:color w:val="auto"/>
        </w:rPr>
      </w:pPr>
    </w:p>
    <w:p>
      <w:pPr>
        <w:ind w:left="960" w:right="1999" w:hanging="425"/>
        <w:spacing w:after="0" w:line="237" w:lineRule="auto"/>
        <w:tabs>
          <w:tab w:leader="none" w:pos="960" w:val="left"/>
        </w:tabs>
        <w:numPr>
          <w:ilvl w:val="1"/>
          <w:numId w:val="1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7" w:lineRule="exact"/>
        <w:rPr>
          <w:rFonts w:ascii="Courier New" w:cs="Courier New" w:eastAsia="Courier New" w:hAnsi="Courier New"/>
          <w:sz w:val="18"/>
          <w:szCs w:val="18"/>
          <w:color w:val="auto"/>
        </w:rPr>
      </w:pPr>
    </w:p>
    <w:p>
      <w:pPr>
        <w:ind w:left="960" w:right="1999" w:hanging="425"/>
        <w:spacing w:after="0" w:line="236" w:lineRule="auto"/>
        <w:tabs>
          <w:tab w:leader="none" w:pos="960" w:val="left"/>
        </w:tabs>
        <w:numPr>
          <w:ilvl w:val="1"/>
          <w:numId w:val="1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fraud, whether or not material, that involves management or other employees who have a significant role in the registrant's internal control over financial reporting.</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July 30, 2004</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Lawrence S. Smith</w:t>
      </w:r>
    </w:p>
    <w:p>
      <w:pPr>
        <w:ind w:left="220" w:hanging="212"/>
        <w:spacing w:after="0" w:line="238" w:lineRule="auto"/>
        <w:tabs>
          <w:tab w:leader="none" w:pos="220" w:val="left"/>
        </w:tabs>
        <w:numPr>
          <w:ilvl w:val="0"/>
          <w:numId w:val="1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right="747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Name: Lawrence S. Smith Co-Chief Financial Officer</w:t>
      </w:r>
    </w:p>
    <w:p>
      <w:pPr>
        <w:sectPr>
          <w:pgSz w:w="11900" w:h="16838" w:orient="portrait"/>
          <w:cols w:equalWidth="0" w:num="1">
            <w:col w:w="10219"/>
          </w:cols>
          <w:pgMar w:left="240" w:top="344" w:right="1440" w:bottom="1440" w:gutter="0" w:footer="0" w:header="0"/>
        </w:sectPr>
      </w:pPr>
    </w:p>
    <w:bookmarkStart w:id="121" w:name="page122"/>
    <w:bookmarkEnd w:id="121"/>
    <w:p>
      <w:pPr>
        <w:spacing w:after="0"/>
        <w:rPr>
          <w:sz w:val="20"/>
          <w:szCs w:val="20"/>
          <w:color w:val="auto"/>
        </w:rPr>
      </w:pPr>
      <w:r>
        <w:rPr>
          <w:rFonts w:ascii="Courier New" w:cs="Courier New" w:eastAsia="Courier New" w:hAnsi="Courier New"/>
          <w:sz w:val="18"/>
          <w:szCs w:val="18"/>
          <w:color w:val="auto"/>
        </w:rPr>
        <w:t>I, John R. Alchin, certify that:</w:t>
      </w:r>
    </w:p>
    <w:p>
      <w:pPr>
        <w:spacing w:after="0" w:line="207" w:lineRule="exact"/>
        <w:rPr>
          <w:sz w:val="20"/>
          <w:szCs w:val="20"/>
          <w:color w:val="auto"/>
        </w:rPr>
      </w:pPr>
    </w:p>
    <w:p>
      <w:pPr>
        <w:ind w:left="540" w:hanging="532"/>
        <w:spacing w:after="0"/>
        <w:tabs>
          <w:tab w:leader="none" w:pos="540" w:val="left"/>
        </w:tabs>
        <w:numPr>
          <w:ilvl w:val="0"/>
          <w:numId w:val="1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have reviewed this quarterly report on Form 10-Q of Comcast Corporation;</w:t>
      </w:r>
    </w:p>
    <w:p>
      <w:pPr>
        <w:spacing w:after="0" w:line="223" w:lineRule="exact"/>
        <w:rPr>
          <w:rFonts w:ascii="Courier New" w:cs="Courier New" w:eastAsia="Courier New" w:hAnsi="Courier New"/>
          <w:sz w:val="16"/>
          <w:szCs w:val="16"/>
          <w:color w:val="auto"/>
        </w:rPr>
      </w:pPr>
    </w:p>
    <w:p>
      <w:pPr>
        <w:ind w:left="540" w:right="1779" w:hanging="532"/>
        <w:spacing w:after="0" w:line="237" w:lineRule="auto"/>
        <w:tabs>
          <w:tab w:leader="none" w:pos="540" w:val="left"/>
        </w:tabs>
        <w:numPr>
          <w:ilvl w:val="0"/>
          <w:numId w:val="1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Courier New" w:cs="Courier New" w:eastAsia="Courier New" w:hAnsi="Courier New"/>
          <w:sz w:val="18"/>
          <w:szCs w:val="18"/>
          <w:color w:val="auto"/>
        </w:rPr>
      </w:pPr>
    </w:p>
    <w:p>
      <w:pPr>
        <w:ind w:left="540" w:right="1999" w:hanging="532"/>
        <w:spacing w:after="0" w:line="237" w:lineRule="auto"/>
        <w:tabs>
          <w:tab w:leader="none" w:pos="540" w:val="left"/>
        </w:tabs>
        <w:numPr>
          <w:ilvl w:val="0"/>
          <w:numId w:val="1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7" w:lineRule="exact"/>
        <w:rPr>
          <w:rFonts w:ascii="Courier New" w:cs="Courier New" w:eastAsia="Courier New" w:hAnsi="Courier New"/>
          <w:sz w:val="18"/>
          <w:szCs w:val="18"/>
          <w:color w:val="auto"/>
        </w:rPr>
      </w:pPr>
    </w:p>
    <w:p>
      <w:pPr>
        <w:ind w:left="540" w:right="1779" w:hanging="532"/>
        <w:spacing w:after="0" w:line="279" w:lineRule="auto"/>
        <w:tabs>
          <w:tab w:leader="none" w:pos="540" w:val="left"/>
        </w:tabs>
        <w:numPr>
          <w:ilvl w:val="0"/>
          <w:numId w:val="1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registrant's other certifying officers and I are responsible for establishing and maintaining disclosure controls and procedures (as defined in Exchange Act Rules 13a-15(e) and 15d-15(e)) for the registrant and have:</w:t>
      </w:r>
    </w:p>
    <w:p>
      <w:pPr>
        <w:spacing w:after="0" w:line="178" w:lineRule="exact"/>
        <w:rPr>
          <w:rFonts w:ascii="Courier New" w:cs="Courier New" w:eastAsia="Courier New" w:hAnsi="Courier New"/>
          <w:sz w:val="16"/>
          <w:szCs w:val="16"/>
          <w:color w:val="auto"/>
        </w:rPr>
      </w:pPr>
    </w:p>
    <w:p>
      <w:pPr>
        <w:ind w:left="960" w:right="1999" w:hanging="425"/>
        <w:spacing w:after="0" w:line="237" w:lineRule="auto"/>
        <w:tabs>
          <w:tab w:leader="none" w:pos="960" w:val="left"/>
        </w:tabs>
        <w:numPr>
          <w:ilvl w:val="1"/>
          <w:numId w:val="1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9" w:lineRule="exact"/>
        <w:rPr>
          <w:rFonts w:ascii="Courier New" w:cs="Courier New" w:eastAsia="Courier New" w:hAnsi="Courier New"/>
          <w:sz w:val="18"/>
          <w:szCs w:val="18"/>
          <w:color w:val="auto"/>
        </w:rPr>
      </w:pPr>
    </w:p>
    <w:p>
      <w:pPr>
        <w:ind w:left="960" w:hanging="425"/>
        <w:spacing w:after="0"/>
        <w:tabs>
          <w:tab w:leader="none" w:pos="960" w:val="left"/>
        </w:tabs>
        <w:numPr>
          <w:ilvl w:val="1"/>
          <w:numId w:val="1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[Paragraph omitted pursuant to SEC Release Nos. 33-8238 and 34-47986.]</w:t>
      </w:r>
    </w:p>
    <w:p>
      <w:pPr>
        <w:spacing w:after="0" w:line="223" w:lineRule="exact"/>
        <w:rPr>
          <w:rFonts w:ascii="Courier New" w:cs="Courier New" w:eastAsia="Courier New" w:hAnsi="Courier New"/>
          <w:sz w:val="16"/>
          <w:szCs w:val="16"/>
          <w:color w:val="auto"/>
        </w:rPr>
      </w:pPr>
    </w:p>
    <w:p>
      <w:pPr>
        <w:ind w:left="960" w:right="1779" w:hanging="425"/>
        <w:spacing w:after="0" w:line="275" w:lineRule="auto"/>
        <w:tabs>
          <w:tab w:leader="none" w:pos="960" w:val="left"/>
        </w:tabs>
        <w:numPr>
          <w:ilvl w:val="1"/>
          <w:numId w:val="1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2" w:lineRule="exact"/>
        <w:rPr>
          <w:rFonts w:ascii="Courier New" w:cs="Courier New" w:eastAsia="Courier New" w:hAnsi="Courier New"/>
          <w:sz w:val="16"/>
          <w:szCs w:val="16"/>
          <w:color w:val="auto"/>
        </w:rPr>
      </w:pPr>
    </w:p>
    <w:p>
      <w:pPr>
        <w:ind w:left="960" w:right="1879" w:hanging="425"/>
        <w:spacing w:after="0" w:line="237" w:lineRule="auto"/>
        <w:tabs>
          <w:tab w:leader="none" w:pos="960" w:val="left"/>
        </w:tabs>
        <w:numPr>
          <w:ilvl w:val="1"/>
          <w:numId w:val="1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9" w:lineRule="exact"/>
        <w:rPr>
          <w:rFonts w:ascii="Courier New" w:cs="Courier New" w:eastAsia="Courier New" w:hAnsi="Courier New"/>
          <w:sz w:val="18"/>
          <w:szCs w:val="18"/>
          <w:color w:val="auto"/>
        </w:rPr>
      </w:pPr>
    </w:p>
    <w:p>
      <w:pPr>
        <w:ind w:left="540" w:right="1779" w:hanging="532"/>
        <w:spacing w:after="0" w:line="237" w:lineRule="auto"/>
        <w:tabs>
          <w:tab w:leader="none" w:pos="540" w:val="left"/>
        </w:tabs>
        <w:numPr>
          <w:ilvl w:val="0"/>
          <w:numId w:val="1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7" w:lineRule="exact"/>
        <w:rPr>
          <w:rFonts w:ascii="Courier New" w:cs="Courier New" w:eastAsia="Courier New" w:hAnsi="Courier New"/>
          <w:sz w:val="18"/>
          <w:szCs w:val="18"/>
          <w:color w:val="auto"/>
        </w:rPr>
      </w:pPr>
    </w:p>
    <w:p>
      <w:pPr>
        <w:ind w:left="960" w:right="1999" w:hanging="425"/>
        <w:spacing w:after="0" w:line="237" w:lineRule="auto"/>
        <w:tabs>
          <w:tab w:leader="none" w:pos="960" w:val="left"/>
        </w:tabs>
        <w:numPr>
          <w:ilvl w:val="1"/>
          <w:numId w:val="1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7" w:lineRule="exact"/>
        <w:rPr>
          <w:rFonts w:ascii="Courier New" w:cs="Courier New" w:eastAsia="Courier New" w:hAnsi="Courier New"/>
          <w:sz w:val="18"/>
          <w:szCs w:val="18"/>
          <w:color w:val="auto"/>
        </w:rPr>
      </w:pPr>
    </w:p>
    <w:p>
      <w:pPr>
        <w:ind w:left="960" w:right="1999" w:hanging="425"/>
        <w:spacing w:after="0" w:line="236" w:lineRule="auto"/>
        <w:tabs>
          <w:tab w:leader="none" w:pos="960" w:val="left"/>
        </w:tabs>
        <w:numPr>
          <w:ilvl w:val="1"/>
          <w:numId w:val="1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fraud, whether or not material, that involves management or other employees who have a significant role in the registrant's internal control over financial reporting.</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July 30, 2004</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John R. Alchin</w:t>
      </w:r>
    </w:p>
    <w:p>
      <w:pPr>
        <w:ind w:left="220" w:hanging="212"/>
        <w:spacing w:after="0" w:line="238" w:lineRule="auto"/>
        <w:tabs>
          <w:tab w:leader="none" w:pos="220" w:val="left"/>
        </w:tabs>
        <w:numPr>
          <w:ilvl w:val="0"/>
          <w:numId w:val="1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right="74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Name: John R. Alchin Co-Chief Financial Officer</w:t>
      </w:r>
    </w:p>
    <w:p>
      <w:pPr>
        <w:sectPr>
          <w:pgSz w:w="11900" w:h="16838" w:orient="portrait"/>
          <w:cols w:equalWidth="0" w:num="1">
            <w:col w:w="10219"/>
          </w:cols>
          <w:pgMar w:left="240" w:top="1325" w:right="1440" w:bottom="1440" w:gutter="0" w:footer="0" w:header="0"/>
        </w:sectPr>
      </w:pPr>
    </w:p>
    <w:bookmarkStart w:id="122" w:name="page123"/>
    <w:bookmarkEnd w:id="122"/>
    <w:p>
      <w:pPr>
        <w:jc w:val="right"/>
        <w:ind w:right="1779"/>
        <w:spacing w:after="0"/>
        <w:rPr>
          <w:sz w:val="20"/>
          <w:szCs w:val="20"/>
          <w:color w:val="auto"/>
        </w:rPr>
      </w:pPr>
      <w:r>
        <w:rPr>
          <w:rFonts w:ascii="Courier New" w:cs="Courier New" w:eastAsia="Courier New" w:hAnsi="Courier New"/>
          <w:sz w:val="18"/>
          <w:szCs w:val="18"/>
          <w:color w:val="auto"/>
        </w:rPr>
        <w:t>Exhibit 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Certification Pursuant to Section 906 of the Sarbanes-Oxley Act</w:t>
      </w:r>
    </w:p>
    <w:p>
      <w:pPr>
        <w:spacing w:after="0" w:line="201"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July 30, 2004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38" w:lineRule="auto"/>
        <w:rPr>
          <w:sz w:val="20"/>
          <w:szCs w:val="20"/>
          <w:color w:val="auto"/>
        </w:rPr>
      </w:pPr>
      <w:r>
        <w:rPr>
          <w:rFonts w:ascii="Courier New" w:cs="Courier New" w:eastAsia="Courier New" w:hAnsi="Courier New"/>
          <w:sz w:val="18"/>
          <w:szCs w:val="18"/>
          <w:color w:val="auto"/>
        </w:rPr>
        <w:t>450 Fifth Street, N.W.</w:t>
      </w: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Ladies and Gentlemen:</w:t>
      </w:r>
    </w:p>
    <w:p>
      <w:pPr>
        <w:spacing w:after="0" w:line="207"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The certification set forth below is being submitted in connection with the quarterly report on Form 10-Q of Comcast Corporation (the "Report") for the purpose of complying with Rule 13a-14(b) or Rule 15d-14(b) of the Securities Exchange Act of 1934 (the "Exchange Act") and Section 1350 of Chapter 63 of Title 18 of the United States Code.</w:t>
      </w:r>
    </w:p>
    <w:p>
      <w:pPr>
        <w:spacing w:after="0" w:line="209"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Brian L. Roberts, the Chief Executive Officer, Lawrence S. Smith, the Co-Chief Financial Officer and John R. Alchin, the Co-Chief Financial Officer of Comcast Corporation, each certifies that, to the best of his knowledge:</w:t>
      </w:r>
    </w:p>
    <w:p>
      <w:pPr>
        <w:spacing w:after="0" w:line="209" w:lineRule="exact"/>
        <w:rPr>
          <w:sz w:val="20"/>
          <w:szCs w:val="20"/>
          <w:color w:val="auto"/>
        </w:rPr>
      </w:pPr>
    </w:p>
    <w:p>
      <w:pPr>
        <w:ind w:left="1060" w:right="1779" w:hanging="525"/>
        <w:spacing w:after="0" w:line="235" w:lineRule="auto"/>
        <w:tabs>
          <w:tab w:leader="none" w:pos="1060" w:val="left"/>
        </w:tabs>
        <w:numPr>
          <w:ilvl w:val="0"/>
          <w:numId w:val="1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Report fully complies with the requirements of Section 13(a) or 15(d) of the Exchange Act; and</w:t>
      </w:r>
    </w:p>
    <w:p>
      <w:pPr>
        <w:spacing w:after="0" w:line="208" w:lineRule="exact"/>
        <w:rPr>
          <w:rFonts w:ascii="Courier New" w:cs="Courier New" w:eastAsia="Courier New" w:hAnsi="Courier New"/>
          <w:sz w:val="18"/>
          <w:szCs w:val="18"/>
          <w:color w:val="auto"/>
        </w:rPr>
      </w:pPr>
    </w:p>
    <w:p>
      <w:pPr>
        <w:jc w:val="both"/>
        <w:ind w:left="1060" w:right="1779" w:hanging="525"/>
        <w:spacing w:after="0" w:line="236" w:lineRule="auto"/>
        <w:tabs>
          <w:tab w:leader="none" w:pos="1060" w:val="left"/>
        </w:tabs>
        <w:numPr>
          <w:ilvl w:val="0"/>
          <w:numId w:val="1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information contained in the Report fairly presents, in all material respects, the financial condition and results of operations of Comcast Corporation.</w:t>
      </w:r>
    </w:p>
    <w:p>
      <w:pPr>
        <w:spacing w:after="0" w:line="200" w:lineRule="exact"/>
        <w:rPr>
          <w:sz w:val="20"/>
          <w:szCs w:val="20"/>
          <w:color w:val="auto"/>
        </w:rPr>
      </w:pPr>
    </w:p>
    <w:p>
      <w:pPr>
        <w:spacing w:after="0" w:line="206"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/s/ Brian L. Roberts</w:t>
      </w:r>
    </w:p>
    <w:p>
      <w:pPr>
        <w:ind w:left="2220"/>
        <w:spacing w:after="0" w:line="238" w:lineRule="auto"/>
        <w:rPr>
          <w:sz w:val="20"/>
          <w:szCs w:val="20"/>
          <w:color w:val="auto"/>
        </w:rPr>
      </w:pPr>
      <w:r>
        <w:rPr>
          <w:rFonts w:ascii="Courier New" w:cs="Courier New" w:eastAsia="Courier New" w:hAnsi="Courier New"/>
          <w:sz w:val="18"/>
          <w:szCs w:val="18"/>
          <w:color w:val="auto"/>
        </w:rPr>
        <w:t>--------------------------------------</w:t>
      </w:r>
    </w:p>
    <w:p>
      <w:pPr>
        <w:ind w:left="2220"/>
        <w:spacing w:after="0"/>
        <w:rPr>
          <w:sz w:val="20"/>
          <w:szCs w:val="20"/>
          <w:color w:val="auto"/>
        </w:rPr>
      </w:pPr>
      <w:r>
        <w:rPr>
          <w:rFonts w:ascii="Courier New" w:cs="Courier New" w:eastAsia="Courier New" w:hAnsi="Courier New"/>
          <w:sz w:val="18"/>
          <w:szCs w:val="18"/>
          <w:color w:val="auto"/>
        </w:rPr>
        <w:t>Name: Brian L. Roberts</w:t>
      </w:r>
    </w:p>
    <w:p>
      <w:pPr>
        <w:ind w:left="2220"/>
        <w:spacing w:after="0" w:line="237" w:lineRule="auto"/>
        <w:rPr>
          <w:sz w:val="20"/>
          <w:szCs w:val="20"/>
          <w:color w:val="auto"/>
        </w:rPr>
      </w:pPr>
      <w:r>
        <w:rPr>
          <w:rFonts w:ascii="Courier New" w:cs="Courier New" w:eastAsia="Courier New" w:hAnsi="Courier New"/>
          <w:sz w:val="18"/>
          <w:szCs w:val="18"/>
          <w:color w:val="auto"/>
        </w:rPr>
        <w:t>Chief Executive Officer</w:t>
      </w:r>
    </w:p>
    <w:p>
      <w:pPr>
        <w:spacing w:after="0" w:line="200" w:lineRule="exact"/>
        <w:rPr>
          <w:sz w:val="20"/>
          <w:szCs w:val="20"/>
          <w:color w:val="auto"/>
        </w:rPr>
      </w:pPr>
    </w:p>
    <w:p>
      <w:pPr>
        <w:spacing w:after="0" w:line="204"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/s/ Lawrence S. Smith</w:t>
      </w:r>
    </w:p>
    <w:p>
      <w:pPr>
        <w:ind w:left="2220"/>
        <w:spacing w:after="0" w:line="238" w:lineRule="auto"/>
        <w:rPr>
          <w:sz w:val="20"/>
          <w:szCs w:val="20"/>
          <w:color w:val="auto"/>
        </w:rPr>
      </w:pPr>
      <w:r>
        <w:rPr>
          <w:rFonts w:ascii="Courier New" w:cs="Courier New" w:eastAsia="Courier New" w:hAnsi="Courier New"/>
          <w:sz w:val="18"/>
          <w:szCs w:val="18"/>
          <w:color w:val="auto"/>
        </w:rPr>
        <w:t>--------------------------------------</w:t>
      </w:r>
    </w:p>
    <w:p>
      <w:pPr>
        <w:ind w:left="2220"/>
        <w:spacing w:after="0"/>
        <w:rPr>
          <w:sz w:val="20"/>
          <w:szCs w:val="20"/>
          <w:color w:val="auto"/>
        </w:rPr>
      </w:pPr>
      <w:r>
        <w:rPr>
          <w:rFonts w:ascii="Courier New" w:cs="Courier New" w:eastAsia="Courier New" w:hAnsi="Courier New"/>
          <w:sz w:val="18"/>
          <w:szCs w:val="18"/>
          <w:color w:val="auto"/>
        </w:rPr>
        <w:t>Name: Lawrence S. Smith</w:t>
      </w:r>
    </w:p>
    <w:p>
      <w:pPr>
        <w:ind w:left="2220"/>
        <w:spacing w:after="0" w:line="237" w:lineRule="auto"/>
        <w:rPr>
          <w:sz w:val="20"/>
          <w:szCs w:val="20"/>
          <w:color w:val="auto"/>
        </w:rPr>
      </w:pPr>
      <w:r>
        <w:rPr>
          <w:rFonts w:ascii="Courier New" w:cs="Courier New" w:eastAsia="Courier New" w:hAnsi="Courier New"/>
          <w:sz w:val="18"/>
          <w:szCs w:val="18"/>
          <w:color w:val="auto"/>
        </w:rPr>
        <w:t>Co-Chief Financial Officer</w:t>
      </w:r>
    </w:p>
    <w:p>
      <w:pPr>
        <w:spacing w:after="0" w:line="200" w:lineRule="exact"/>
        <w:rPr>
          <w:sz w:val="20"/>
          <w:szCs w:val="20"/>
          <w:color w:val="auto"/>
        </w:rPr>
      </w:pPr>
    </w:p>
    <w:p>
      <w:pPr>
        <w:spacing w:after="0" w:line="204"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/s/ John R. Alchin</w:t>
      </w:r>
    </w:p>
    <w:p>
      <w:pPr>
        <w:ind w:left="2220"/>
        <w:spacing w:after="0" w:line="238" w:lineRule="auto"/>
        <w:rPr>
          <w:sz w:val="20"/>
          <w:szCs w:val="20"/>
          <w:color w:val="auto"/>
        </w:rPr>
      </w:pPr>
      <w:r>
        <w:rPr>
          <w:rFonts w:ascii="Courier New" w:cs="Courier New" w:eastAsia="Courier New" w:hAnsi="Courier New"/>
          <w:sz w:val="18"/>
          <w:szCs w:val="18"/>
          <w:color w:val="auto"/>
        </w:rPr>
        <w:t>--------------------------------------</w:t>
      </w:r>
    </w:p>
    <w:p>
      <w:pPr>
        <w:ind w:left="2220"/>
        <w:spacing w:after="0"/>
        <w:rPr>
          <w:sz w:val="20"/>
          <w:szCs w:val="20"/>
          <w:color w:val="auto"/>
        </w:rPr>
      </w:pPr>
      <w:r>
        <w:rPr>
          <w:rFonts w:ascii="Courier New" w:cs="Courier New" w:eastAsia="Courier New" w:hAnsi="Courier New"/>
          <w:sz w:val="18"/>
          <w:szCs w:val="18"/>
          <w:color w:val="auto"/>
        </w:rPr>
        <w:t>Name: John R. Alchin</w:t>
      </w:r>
    </w:p>
    <w:p>
      <w:pPr>
        <w:ind w:left="2220"/>
        <w:spacing w:after="0" w:line="237" w:lineRule="auto"/>
        <w:rPr>
          <w:sz w:val="20"/>
          <w:szCs w:val="20"/>
          <w:color w:val="auto"/>
        </w:rPr>
      </w:pPr>
      <w:r>
        <w:rPr>
          <w:rFonts w:ascii="Courier New" w:cs="Courier New" w:eastAsia="Courier New" w:hAnsi="Courier New"/>
          <w:sz w:val="18"/>
          <w:szCs w:val="18"/>
          <w:color w:val="auto"/>
        </w:rPr>
        <w:t>Co-Chief Financial Officer</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B94764"/>
    <w:multiLevelType w:val="hybridMultilevel"/>
    <w:lvl w:ilvl="0">
      <w:lvlJc w:val="left"/>
      <w:lvlText w:val="("/>
      <w:numFmt w:val="bullet"/>
      <w:start w:val="1"/>
    </w:lvl>
  </w:abstractNum>
  <w:abstractNum w:abstractNumId="1">
    <w:nsid w:val="42C296BD"/>
    <w:multiLevelType w:val="hybridMultilevel"/>
    <w:lvl w:ilvl="0">
      <w:lvlJc w:val="left"/>
      <w:lvlText w:val="•"/>
      <w:numFmt w:val="bullet"/>
      <w:start w:val="1"/>
    </w:lvl>
  </w:abstractNum>
  <w:abstractNum w:abstractNumId="2">
    <w:nsid w:val="168E121F"/>
    <w:multiLevelType w:val="hybridMultilevel"/>
    <w:lvl w:ilvl="0">
      <w:lvlJc w:val="left"/>
      <w:lvlText w:val="%1."/>
      <w:numFmt w:val="decimal"/>
      <w:start w:val="1"/>
    </w:lvl>
  </w:abstractNum>
  <w:abstractNum w:abstractNumId="3">
    <w:nsid w:val="1EBA5D23"/>
    <w:multiLevelType w:val="hybridMultilevel"/>
    <w:lvl w:ilvl="0">
      <w:lvlJc w:val="left"/>
      <w:lvlText w:val="%1."/>
      <w:numFmt w:val="decimal"/>
      <w:start w:val="2"/>
    </w:lvl>
  </w:abstractNum>
  <w:abstractNum w:abstractNumId="4">
    <w:nsid w:val="661E3F1E"/>
    <w:multiLevelType w:val="hybridMultilevel"/>
    <w:lvl w:ilvl="0">
      <w:lvlJc w:val="left"/>
      <w:lvlText w:val="%1."/>
      <w:numFmt w:val="decimal"/>
      <w:start w:val="3"/>
    </w:lvl>
  </w:abstractNum>
  <w:abstractNum w:abstractNumId="5">
    <w:nsid w:val="5DC79EA8"/>
    <w:multiLevelType w:val="hybridMultilevel"/>
    <w:lvl w:ilvl="0">
      <w:lvlJc w:val="left"/>
      <w:lvlText w:val="%1."/>
      <w:numFmt w:val="decimal"/>
      <w:start w:val="4"/>
    </w:lvl>
  </w:abstractNum>
  <w:abstractNum w:abstractNumId="6">
    <w:nsid w:val="540A471C"/>
    <w:multiLevelType w:val="hybridMultilevel"/>
    <w:lvl w:ilvl="0">
      <w:lvlJc w:val="left"/>
      <w:lvlText w:val="%1."/>
      <w:numFmt w:val="decimal"/>
      <w:start w:val="7"/>
    </w:lvl>
  </w:abstractNum>
  <w:abstractNum w:abstractNumId="7">
    <w:nsid w:val="7BD3EE7B"/>
    <w:multiLevelType w:val="hybridMultilevel"/>
    <w:lvl w:ilvl="0">
      <w:lvlJc w:val="left"/>
      <w:lvlText w:val="%1."/>
      <w:numFmt w:val="decimal"/>
      <w:start w:val="8"/>
    </w:lvl>
  </w:abstractNum>
  <w:abstractNum w:abstractNumId="8">
    <w:nsid w:val="51D9C564"/>
    <w:multiLevelType w:val="hybridMultilevel"/>
    <w:lvl w:ilvl="0">
      <w:lvlJc w:val="left"/>
      <w:lvlText w:val="%1."/>
      <w:numFmt w:val="decimal"/>
      <w:start w:val="9"/>
    </w:lvl>
  </w:abstractNum>
  <w:abstractNum w:abstractNumId="9">
    <w:nsid w:val="613EFDC5"/>
    <w:multiLevelType w:val="hybridMultilevel"/>
    <w:lvl w:ilvl="0">
      <w:lvlJc w:val="left"/>
      <w:lvlText w:val="%1."/>
      <w:numFmt w:val="decimal"/>
      <w:start w:val="10"/>
    </w:lvl>
  </w:abstractNum>
  <w:abstractNum w:abstractNumId="10">
    <w:nsid w:val="BF72B14"/>
    <w:multiLevelType w:val="hybridMultilevel"/>
    <w:lvl w:ilvl="0">
      <w:lvlJc w:val="left"/>
      <w:lvlText w:val="(%1)"/>
      <w:numFmt w:val="decimal"/>
      <w:start w:val="1"/>
    </w:lvl>
  </w:abstractNum>
  <w:abstractNum w:abstractNumId="11">
    <w:nsid w:val="11447B73"/>
    <w:multiLevelType w:val="hybridMultilevel"/>
    <w:lvl w:ilvl="0">
      <w:lvlJc w:val="left"/>
      <w:lvlText w:val="(%1)"/>
      <w:numFmt w:val="decimal"/>
      <w:start w:val="3"/>
    </w:lvl>
  </w:abstractNum>
  <w:abstractNum w:abstractNumId="12">
    <w:nsid w:val="42963E5A"/>
    <w:multiLevelType w:val="hybridMultilevel"/>
    <w:lvl w:ilvl="0">
      <w:lvlJc w:val="left"/>
      <w:lvlText w:val="%1."/>
      <w:numFmt w:val="decimal"/>
      <w:start w:val="11"/>
    </w:lvl>
  </w:abstractNum>
  <w:abstractNum w:abstractNumId="13">
    <w:nsid w:val="A0382C5"/>
    <w:multiLevelType w:val="hybridMultilevel"/>
    <w:lvl w:ilvl="0">
      <w:lvlJc w:val="left"/>
      <w:lvlText w:val="•"/>
      <w:numFmt w:val="bullet"/>
      <w:start w:val="1"/>
    </w:lvl>
  </w:abstractNum>
  <w:abstractNum w:abstractNumId="14">
    <w:nsid w:val="8F2B15E"/>
    <w:multiLevelType w:val="hybridMultilevel"/>
    <w:lvl w:ilvl="0">
      <w:lvlJc w:val="left"/>
      <w:lvlText w:val="(%1)"/>
      <w:numFmt w:val="lowerLetter"/>
      <w:start w:val="1"/>
    </w:lvl>
  </w:abstractNum>
  <w:abstractNum w:abstractNumId="15">
    <w:nsid w:val="1A32234B"/>
    <w:multiLevelType w:val="hybridMultilevel"/>
    <w:lvl w:ilvl="0">
      <w:lvlJc w:val="left"/>
      <w:lvlText w:val="•"/>
      <w:numFmt w:val="bullet"/>
      <w:start w:val="1"/>
    </w:lvl>
  </w:abstractNum>
  <w:abstractNum w:abstractNumId="16">
    <w:nsid w:val="3B0FD379"/>
    <w:multiLevelType w:val="hybridMultilevel"/>
    <w:lvl w:ilvl="0">
      <w:lvlJc w:val="left"/>
      <w:lvlText w:val="•"/>
      <w:numFmt w:val="bullet"/>
      <w:start w:val="1"/>
    </w:lvl>
  </w:abstractNum>
  <w:abstractNum w:abstractNumId="17">
    <w:nsid w:val="68EB2F63"/>
    <w:multiLevelType w:val="hybridMultilevel"/>
    <w:lvl w:ilvl="0">
      <w:lvlJc w:val="left"/>
      <w:lvlText w:val="%1"/>
      <w:numFmt w:val="lowerLetter"/>
      <w:start w:val="1"/>
    </w:lvl>
    <w:lvl w:ilvl="1">
      <w:lvlJc w:val="left"/>
      <w:lvlText w:val="%2"/>
      <w:numFmt w:val="decimal"/>
      <w:start w:val="31"/>
    </w:lvl>
  </w:abstractNum>
  <w:abstractNum w:abstractNumId="18">
    <w:nsid w:val="4962813B"/>
    <w:multiLevelType w:val="hybridMultilevel"/>
    <w:lvl w:ilvl="0">
      <w:lvlJc w:val="left"/>
      <w:lvlText w:val="(%1)"/>
      <w:numFmt w:val="lowerLetter"/>
      <w:start w:val="2"/>
    </w:lvl>
    <w:lvl w:ilvl="1">
      <w:lvlJc w:val="left"/>
      <w:lvlText w:val="%2"/>
      <w:numFmt w:val="decimal"/>
      <w:start w:val="1"/>
    </w:lvl>
  </w:abstractNum>
  <w:abstractNum w:abstractNumId="19">
    <w:nsid w:val="60B6DF70"/>
    <w:multiLevelType w:val="hybridMultilevel"/>
    <w:lvl w:ilvl="0">
      <w:lvlJc w:val="left"/>
      <w:lvlText w:val="(%1)"/>
      <w:numFmt w:val="lowerRoman"/>
      <w:start w:val="1"/>
    </w:lvl>
  </w:abstractNum>
  <w:abstractNum w:abstractNumId="20">
    <w:nsid w:val="6A5EE64"/>
    <w:multiLevelType w:val="hybridMultilevel"/>
    <w:lvl w:ilvl="0">
      <w:lvlJc w:val="left"/>
      <w:lvlText w:val="-"/>
      <w:numFmt w:val="bullet"/>
      <w:start w:val="1"/>
    </w:lvl>
  </w:abstractNum>
  <w:abstractNum w:abstractNumId="21">
    <w:nsid w:val="14330624"/>
    <w:multiLevelType w:val="hybridMultilevel"/>
    <w:lvl w:ilvl="0">
      <w:lvlJc w:val="left"/>
      <w:lvlText w:val="-"/>
      <w:numFmt w:val="bullet"/>
      <w:start w:val="1"/>
    </w:lvl>
  </w:abstractNum>
  <w:abstractNum w:abstractNumId="22">
    <w:nsid w:val="7FFFCA11"/>
    <w:multiLevelType w:val="hybridMultilevel"/>
    <w:lvl w:ilvl="0">
      <w:lvlJc w:val="left"/>
      <w:lvlText w:val="%1."/>
      <w:numFmt w:val="decimal"/>
      <w:start w:val="1"/>
    </w:lvl>
  </w:abstractNum>
  <w:abstractNum w:abstractNumId="23">
    <w:nsid w:val="1A27709E"/>
    <w:multiLevelType w:val="hybridMultilevel"/>
    <w:lvl w:ilvl="0">
      <w:lvlJc w:val="left"/>
      <w:lvlText w:val="%1."/>
      <w:numFmt w:val="decimal"/>
      <w:start w:val="2"/>
    </w:lvl>
  </w:abstractNum>
  <w:abstractNum w:abstractNumId="24">
    <w:nsid w:val="71EA1109"/>
    <w:multiLevelType w:val="hybridMultilevel"/>
    <w:lvl w:ilvl="0">
      <w:lvlJc w:val="left"/>
      <w:lvlText w:val="%1."/>
      <w:numFmt w:val="decimal"/>
      <w:start w:val="3"/>
    </w:lvl>
  </w:abstractNum>
  <w:abstractNum w:abstractNumId="25">
    <w:nsid w:val="100F59DC"/>
    <w:multiLevelType w:val="hybridMultilevel"/>
    <w:lvl w:ilvl="0">
      <w:lvlJc w:val="left"/>
      <w:lvlText w:val="%1."/>
      <w:numFmt w:val="decimal"/>
      <w:start w:val="4"/>
    </w:lvl>
  </w:abstractNum>
  <w:abstractNum w:abstractNumId="26">
    <w:nsid w:val="7FB7E0AA"/>
    <w:multiLevelType w:val="hybridMultilevel"/>
    <w:lvl w:ilvl="0">
      <w:lvlJc w:val="left"/>
      <w:lvlText w:val="%1."/>
      <w:numFmt w:val="decimal"/>
      <w:start w:val="5"/>
    </w:lvl>
  </w:abstractNum>
  <w:abstractNum w:abstractNumId="27">
    <w:nsid w:val="6EB5BD4"/>
    <w:multiLevelType w:val="hybridMultilevel"/>
    <w:lvl w:ilvl="0">
      <w:lvlJc w:val="left"/>
      <w:lvlText w:val="%1."/>
      <w:numFmt w:val="decimal"/>
      <w:start w:val="6"/>
    </w:lvl>
  </w:abstractNum>
  <w:abstractNum w:abstractNumId="28">
    <w:nsid w:val="6F6DD9AC"/>
    <w:multiLevelType w:val="hybridMultilevel"/>
    <w:lvl w:ilvl="0">
      <w:lvlJc w:val="left"/>
      <w:lvlText w:val="%1."/>
      <w:numFmt w:val="decimal"/>
      <w:start w:val="7"/>
    </w:lvl>
  </w:abstractNum>
  <w:abstractNum w:abstractNumId="29">
    <w:nsid w:val="94211F2"/>
    <w:multiLevelType w:val="hybridMultilevel"/>
    <w:lvl w:ilvl="0">
      <w:lvlJc w:val="left"/>
      <w:lvlText w:val="%1"/>
      <w:numFmt w:val="lowerRoman"/>
      <w:start w:val="1"/>
    </w:lvl>
    <w:lvl w:ilvl="1">
      <w:lvlJc w:val="left"/>
      <w:lvlText w:val="%2."/>
      <w:numFmt w:val="decimal"/>
      <w:start w:val="1"/>
    </w:lvl>
  </w:abstractNum>
  <w:abstractNum w:abstractNumId="30">
    <w:nsid w:val="885E1B"/>
    <w:multiLevelType w:val="hybridMultilevel"/>
    <w:lvl w:ilvl="0">
      <w:lvlJc w:val="left"/>
      <w:lvlText w:val="(%1)"/>
      <w:numFmt w:val="lowerRoman"/>
      <w:start w:val="1"/>
    </w:lvl>
    <w:lvl w:ilvl="1">
      <w:lvlJc w:val="left"/>
      <w:lvlText w:val="%2"/>
      <w:numFmt w:val="decimal"/>
      <w:start w:val="1"/>
    </w:lvl>
  </w:abstractNum>
  <w:abstractNum w:abstractNumId="31">
    <w:nsid w:val="76272110"/>
    <w:multiLevelType w:val="hybridMultilevel"/>
    <w:lvl w:ilvl="0">
      <w:lvlJc w:val="left"/>
      <w:lvlText w:val="(%1)"/>
      <w:numFmt w:val="lowerLetter"/>
      <w:start w:val="2"/>
    </w:lvl>
  </w:abstractNum>
  <w:abstractNum w:abstractNumId="32">
    <w:nsid w:val="4C04A8AF"/>
    <w:multiLevelType w:val="hybridMultilevel"/>
    <w:lvl w:ilvl="0">
      <w:lvlJc w:val="left"/>
      <w:lvlText w:val="%1."/>
      <w:numFmt w:val="decimal"/>
      <w:start w:val="2"/>
    </w:lvl>
  </w:abstractNum>
  <w:abstractNum w:abstractNumId="33">
    <w:nsid w:val="1716703B"/>
    <w:multiLevelType w:val="hybridMultilevel"/>
    <w:lvl w:ilvl="0">
      <w:lvlJc w:val="left"/>
      <w:lvlText w:val="%1."/>
      <w:numFmt w:val="decimal"/>
      <w:start w:val="4"/>
    </w:lvl>
  </w:abstractNum>
  <w:abstractNum w:abstractNumId="34">
    <w:nsid w:val="14E17E33"/>
    <w:multiLevelType w:val="hybridMultilevel"/>
    <w:lvl w:ilvl="0">
      <w:lvlJc w:val="left"/>
      <w:lvlText w:val="%1"/>
      <w:numFmt w:val="upperLetter"/>
      <w:start w:val="1"/>
    </w:lvl>
    <w:lvl w:ilvl="1">
      <w:lvlJc w:val="left"/>
      <w:lvlText w:val="%2."/>
      <w:numFmt w:val="decimal"/>
      <w:start w:val="10"/>
    </w:lvl>
  </w:abstractNum>
  <w:abstractNum w:abstractNumId="35">
    <w:nsid w:val="3222E7CD"/>
    <w:multiLevelType w:val="hybridMultilevel"/>
    <w:lvl w:ilvl="0">
      <w:lvlJc w:val="left"/>
      <w:lvlText w:val="%1."/>
      <w:numFmt w:val="upperLetter"/>
      <w:start w:val="3"/>
    </w:lvl>
    <w:lvl w:ilvl="1">
      <w:lvlJc w:val="left"/>
      <w:lvlText w:val="%2."/>
      <w:numFmt w:val="decimal"/>
      <w:start w:val="1"/>
    </w:lvl>
  </w:abstractNum>
  <w:abstractNum w:abstractNumId="36">
    <w:nsid w:val="74DE0EE3"/>
    <w:multiLevelType w:val="hybridMultilevel"/>
    <w:lvl w:ilvl="0">
      <w:lvlJc w:val="left"/>
      <w:lvlText w:val="(%1)"/>
      <w:numFmt w:val="lowerLetter"/>
      <w:start w:val="2"/>
    </w:lvl>
  </w:abstractNum>
  <w:abstractNum w:abstractNumId="37">
    <w:nsid w:val="68EBC550"/>
    <w:multiLevelType w:val="hybridMultilevel"/>
    <w:lvl w:ilvl="0">
      <w:lvlJc w:val="left"/>
      <w:lvlText w:val="%1."/>
      <w:numFmt w:val="decimal"/>
      <w:start w:val="3"/>
    </w:lvl>
  </w:abstractNum>
  <w:abstractNum w:abstractNumId="38">
    <w:nsid w:val="2DF6D648"/>
    <w:multiLevelType w:val="hybridMultilevel"/>
    <w:lvl w:ilvl="0">
      <w:lvlJc w:val="left"/>
      <w:lvlText w:val="(%1)"/>
      <w:numFmt w:val="lowerLetter"/>
      <w:start w:val="1"/>
    </w:lvl>
  </w:abstractNum>
  <w:abstractNum w:abstractNumId="39">
    <w:nsid w:val="46B7D447"/>
    <w:multiLevelType w:val="hybridMultilevel"/>
    <w:lvl w:ilvl="0">
      <w:lvlJc w:val="left"/>
      <w:lvlText w:val="(%1)"/>
      <w:numFmt w:val="lowerRoman"/>
      <w:start w:val="2"/>
    </w:lvl>
  </w:abstractNum>
  <w:abstractNum w:abstractNumId="40">
    <w:nsid w:val="4A2AC315"/>
    <w:multiLevelType w:val="hybridMultilevel"/>
    <w:lvl w:ilvl="0">
      <w:lvlJc w:val="left"/>
      <w:lvlText w:val="(%1)"/>
      <w:numFmt w:val="lowerRoman"/>
      <w:start w:val="4"/>
    </w:lvl>
  </w:abstractNum>
  <w:abstractNum w:abstractNumId="41">
    <w:nsid w:val="39EE015C"/>
    <w:multiLevelType w:val="hybridMultilevel"/>
    <w:lvl w:ilvl="0">
      <w:lvlJc w:val="left"/>
      <w:lvlText w:val="(%1)"/>
      <w:numFmt w:val="lowerLetter"/>
      <w:start w:val="4"/>
    </w:lvl>
  </w:abstractNum>
  <w:abstractNum w:abstractNumId="42">
    <w:nsid w:val="57FC4FBB"/>
    <w:multiLevelType w:val="hybridMultilevel"/>
    <w:lvl w:ilvl="0">
      <w:lvlJc w:val="left"/>
      <w:lvlText w:val="%1."/>
      <w:numFmt w:val="decimal"/>
      <w:start w:val="4"/>
    </w:lvl>
  </w:abstractNum>
  <w:abstractNum w:abstractNumId="43">
    <w:nsid w:val="CC1016F"/>
    <w:multiLevelType w:val="hybridMultilevel"/>
    <w:lvl w:ilvl="0">
      <w:lvlJc w:val="left"/>
      <w:lvlText w:val="(%1)"/>
      <w:numFmt w:val="lowerRoman"/>
      <w:start w:val="1"/>
    </w:lvl>
  </w:abstractNum>
  <w:abstractNum w:abstractNumId="44">
    <w:nsid w:val="43F18422"/>
    <w:multiLevelType w:val="hybridMultilevel"/>
    <w:lvl w:ilvl="0">
      <w:lvlJc w:val="left"/>
      <w:lvlText w:val="(%1)"/>
      <w:numFmt w:val="lowerRoman"/>
      <w:start w:val="3"/>
    </w:lvl>
  </w:abstractNum>
  <w:abstractNum w:abstractNumId="45">
    <w:nsid w:val="60EF0119"/>
    <w:multiLevelType w:val="hybridMultilevel"/>
    <w:lvl w:ilvl="0">
      <w:lvlJc w:val="left"/>
      <w:lvlText w:val="(%1)"/>
      <w:numFmt w:val="lowerRoman"/>
      <w:start w:val="4"/>
    </w:lvl>
  </w:abstractNum>
  <w:abstractNum w:abstractNumId="46">
    <w:nsid w:val="26F324BA"/>
    <w:multiLevelType w:val="hybridMultilevel"/>
    <w:lvl w:ilvl="0">
      <w:lvlJc w:val="left"/>
      <w:lvlText w:val="(%1)"/>
      <w:numFmt w:val="lowerLetter"/>
      <w:start w:val="2"/>
    </w:lvl>
  </w:abstractNum>
  <w:abstractNum w:abstractNumId="47">
    <w:nsid w:val="7F01579B"/>
    <w:multiLevelType w:val="hybridMultilevel"/>
    <w:lvl w:ilvl="0">
      <w:lvlJc w:val="left"/>
      <w:lvlText w:val="%1"/>
      <w:numFmt w:val="lowerLetter"/>
      <w:start w:val="1"/>
    </w:lvl>
    <w:lvl w:ilvl="1">
      <w:lvlJc w:val="left"/>
      <w:lvlText w:val="%2."/>
      <w:numFmt w:val="decimal"/>
      <w:start w:val="5"/>
    </w:lvl>
  </w:abstractNum>
  <w:abstractNum w:abstractNumId="48">
    <w:nsid w:val="49DA307D"/>
    <w:multiLevelType w:val="hybridMultilevel"/>
    <w:lvl w:ilvl="0">
      <w:lvlJc w:val="left"/>
      <w:lvlText w:val="(%1)"/>
      <w:numFmt w:val="lowerLetter"/>
      <w:start w:val="1"/>
    </w:lvl>
    <w:lvl w:ilvl="1">
      <w:lvlJc w:val="left"/>
      <w:lvlText w:val="%2."/>
      <w:numFmt w:val="decimal"/>
      <w:start w:val="7"/>
    </w:lvl>
  </w:abstractNum>
  <w:abstractNum w:abstractNumId="49">
    <w:nsid w:val="7055A5F5"/>
    <w:multiLevelType w:val="hybridMultilevel"/>
    <w:lvl w:ilvl="0">
      <w:lvlJc w:val="left"/>
      <w:lvlText w:val="%1."/>
      <w:numFmt w:val="decimal"/>
      <w:start w:val="8"/>
    </w:lvl>
  </w:abstractNum>
  <w:abstractNum w:abstractNumId="50">
    <w:nsid w:val="5FB8370B"/>
    <w:multiLevelType w:val="hybridMultilevel"/>
    <w:lvl w:ilvl="0">
      <w:lvlJc w:val="left"/>
      <w:lvlText w:val="%1."/>
      <w:numFmt w:val="upperLetter"/>
      <w:start w:val="1"/>
    </w:lvl>
    <w:lvl w:ilvl="1">
      <w:lvlJc w:val="left"/>
      <w:lvlText w:val="%2."/>
      <w:numFmt w:val="decimal"/>
      <w:start w:val="1"/>
    </w:lvl>
  </w:abstractNum>
  <w:abstractNum w:abstractNumId="51">
    <w:nsid w:val="50801EE1"/>
    <w:multiLevelType w:val="hybridMultilevel"/>
    <w:lvl w:ilvl="0">
      <w:lvlJc w:val="left"/>
      <w:lvlText w:val="%1"/>
      <w:numFmt w:val="upperLetter"/>
      <w:start w:val="1"/>
    </w:lvl>
    <w:lvl w:ilvl="1">
      <w:lvlJc w:val="left"/>
      <w:lvlText w:val="%2."/>
      <w:numFmt w:val="decimal"/>
      <w:start w:val="15"/>
    </w:lvl>
  </w:abstractNum>
  <w:abstractNum w:abstractNumId="52">
    <w:nsid w:val="488AC1A"/>
    <w:multiLevelType w:val="hybridMultilevel"/>
    <w:lvl w:ilvl="0">
      <w:lvlJc w:val="left"/>
      <w:lvlText w:val="%1."/>
      <w:numFmt w:val="upperLetter"/>
      <w:start w:val="2"/>
    </w:lvl>
    <w:lvl w:ilvl="1">
      <w:lvlJc w:val="left"/>
      <w:lvlText w:val="%2."/>
      <w:numFmt w:val="decimal"/>
      <w:start w:val="1"/>
    </w:lvl>
  </w:abstractNum>
  <w:abstractNum w:abstractNumId="53">
    <w:nsid w:val="5FB8011C"/>
    <w:multiLevelType w:val="hybridMultilevel"/>
    <w:lvl w:ilvl="0">
      <w:lvlJc w:val="left"/>
      <w:lvlText w:val="%1."/>
      <w:numFmt w:val="decimal"/>
      <w:start w:val="2"/>
    </w:lvl>
  </w:abstractNum>
  <w:abstractNum w:abstractNumId="54">
    <w:nsid w:val="6AA78F7F"/>
    <w:multiLevelType w:val="hybridMultilevel"/>
    <w:lvl w:ilvl="0">
      <w:lvlJc w:val="left"/>
      <w:lvlText w:val="%1."/>
      <w:numFmt w:val="decimal"/>
      <w:start w:val="6"/>
    </w:lvl>
  </w:abstractNum>
  <w:abstractNum w:abstractNumId="55">
    <w:nsid w:val="7672BD23"/>
    <w:multiLevelType w:val="hybridMultilevel"/>
    <w:lvl w:ilvl="0">
      <w:lvlJc w:val="left"/>
      <w:lvlText w:val="%1"/>
      <w:numFmt w:val="upperLetter"/>
      <w:start w:val="1"/>
    </w:lvl>
    <w:lvl w:ilvl="1">
      <w:lvlJc w:val="left"/>
      <w:lvlText w:val="%2."/>
      <w:numFmt w:val="decimal"/>
      <w:start w:val="7"/>
    </w:lvl>
  </w:abstractNum>
  <w:abstractNum w:abstractNumId="56">
    <w:nsid w:val="6FC75AF8"/>
    <w:multiLevelType w:val="hybridMultilevel"/>
    <w:lvl w:ilvl="0">
      <w:lvlJc w:val="left"/>
      <w:lvlText w:val="%1."/>
      <w:numFmt w:val="upperLetter"/>
      <w:start w:val="3"/>
    </w:lvl>
    <w:lvl w:ilvl="1">
      <w:lvlJc w:val="left"/>
      <w:lvlText w:val="%2."/>
      <w:numFmt w:val="decimal"/>
      <w:start w:val="1"/>
    </w:lvl>
  </w:abstractNum>
  <w:abstractNum w:abstractNumId="57">
    <w:nsid w:val="6A5F7029"/>
    <w:multiLevelType w:val="hybridMultilevel"/>
    <w:lvl w:ilvl="0">
      <w:lvlJc w:val="left"/>
      <w:lvlText w:val="%1"/>
      <w:numFmt w:val="lowerLetter"/>
      <w:start w:val="1"/>
    </w:lvl>
    <w:lvl w:ilvl="1">
      <w:lvlJc w:val="left"/>
      <w:lvlText w:val="(%2)"/>
      <w:numFmt w:val="lowerLetter"/>
      <w:start w:val="1"/>
    </w:lvl>
  </w:abstractNum>
  <w:abstractNum w:abstractNumId="58">
    <w:nsid w:val="7D5E18F8"/>
    <w:multiLevelType w:val="hybridMultilevel"/>
    <w:lvl w:ilvl="0">
      <w:lvlJc w:val="left"/>
      <w:lvlText w:val="(%1)"/>
      <w:numFmt w:val="lowerLetter"/>
      <w:start w:val="9"/>
    </w:lvl>
    <w:lvl w:ilvl="1">
      <w:lvlJc w:val="left"/>
      <w:lvlText w:val="%2"/>
      <w:numFmt w:val="lowerLetter"/>
      <w:start w:val="1"/>
    </w:lvl>
  </w:abstractNum>
  <w:abstractNum w:abstractNumId="59">
    <w:nsid w:val="5F3534A4"/>
    <w:multiLevelType w:val="hybridMultilevel"/>
    <w:lvl w:ilvl="0">
      <w:lvlJc w:val="left"/>
      <w:lvlText w:val="%1."/>
      <w:numFmt w:val="decimal"/>
      <w:start w:val="2"/>
    </w:lvl>
  </w:abstractNum>
  <w:abstractNum w:abstractNumId="60">
    <w:nsid w:val="73A1821B"/>
    <w:multiLevelType w:val="hybridMultilevel"/>
    <w:lvl w:ilvl="0">
      <w:lvlJc w:val="left"/>
      <w:lvlText w:val="%1"/>
      <w:numFmt w:val="upperLetter"/>
      <w:start w:val="1"/>
    </w:lvl>
    <w:lvl w:ilvl="1">
      <w:lvlJc w:val="left"/>
      <w:lvlText w:val="%2"/>
      <w:numFmt w:val="upperLetter"/>
      <w:start w:val="1"/>
    </w:lvl>
    <w:lvl w:ilvl="2">
      <w:lvlJc w:val="left"/>
      <w:lvlText w:val="(%3)"/>
      <w:numFmt w:val="lowerLetter"/>
      <w:start w:val="1"/>
    </w:lvl>
    <w:lvl w:ilvl="3">
      <w:lvlJc w:val="left"/>
      <w:lvlText w:val="(%4)"/>
      <w:numFmt w:val="lowerRoman"/>
      <w:start w:val="1"/>
    </w:lvl>
  </w:abstractNum>
  <w:abstractNum w:abstractNumId="61">
    <w:nsid w:val="7DE67713"/>
    <w:multiLevelType w:val="hybridMultilevel"/>
    <w:lvl w:ilvl="0">
      <w:lvlJc w:val="left"/>
      <w:lvlText w:val="%1"/>
      <w:numFmt w:val="upperLetter"/>
      <w:start w:val="1"/>
    </w:lvl>
    <w:lvl w:ilvl="1">
      <w:lvlJc w:val="left"/>
      <w:lvlText w:val="%2."/>
      <w:numFmt w:val="upperLetter"/>
      <w:start w:val="5"/>
    </w:lvl>
    <w:lvl w:ilvl="2">
      <w:lvlJc w:val="left"/>
      <w:lvlText w:val="%3"/>
      <w:numFmt w:val="lowerLetter"/>
      <w:start w:val="1"/>
    </w:lvl>
    <w:lvl w:ilvl="3">
      <w:lvlJc w:val="left"/>
      <w:lvlText w:val="%4"/>
      <w:numFmt w:val="lowerRoman"/>
      <w:start w:val="1"/>
    </w:lvl>
  </w:abstractNum>
  <w:abstractNum w:abstractNumId="62">
    <w:nsid w:val="555C55B5"/>
    <w:multiLevelType w:val="hybridMultilevel"/>
    <w:lvl w:ilvl="0">
      <w:lvlJc w:val="left"/>
      <w:lvlText w:val="(%1)"/>
      <w:numFmt w:val="upperLetter"/>
      <w:start w:val="1"/>
    </w:lvl>
    <w:lvl w:ilvl="1">
      <w:lvlJc w:val="left"/>
      <w:lvlText w:val="%2"/>
      <w:numFmt w:val="upperLetter"/>
      <w:start w:val="1"/>
    </w:lvl>
    <w:lvl w:ilvl="2">
      <w:lvlJc w:val="left"/>
      <w:lvlText w:val="%3"/>
      <w:numFmt w:val="lowerLetter"/>
      <w:start w:val="1"/>
    </w:lvl>
    <w:lvl w:ilvl="3">
      <w:lvlJc w:val="left"/>
      <w:lvlText w:val="%4"/>
      <w:numFmt w:val="lowerRoman"/>
      <w:start w:val="1"/>
    </w:lvl>
  </w:abstractNum>
  <w:abstractNum w:abstractNumId="63">
    <w:nsid w:val="3FA62ACA"/>
    <w:multiLevelType w:val="hybridMultilevel"/>
    <w:lvl w:ilvl="0">
      <w:lvlJc w:val="left"/>
      <w:lvlText w:val="(%1)"/>
      <w:numFmt w:val="lowerLetter"/>
      <w:start w:val="1"/>
    </w:lvl>
  </w:abstractNum>
  <w:abstractNum w:abstractNumId="64">
    <w:nsid w:val="14FCE74E"/>
    <w:multiLevelType w:val="hybridMultilevel"/>
    <w:lvl w:ilvl="0">
      <w:lvlJc w:val="left"/>
      <w:lvlText w:val="(%1)"/>
      <w:numFmt w:val="lowerLetter"/>
      <w:start w:val="1"/>
    </w:lvl>
  </w:abstractNum>
  <w:abstractNum w:abstractNumId="65">
    <w:nsid w:val="6A3DD3E8"/>
    <w:multiLevelType w:val="hybridMultilevel"/>
    <w:lvl w:ilvl="0">
      <w:lvlJc w:val="left"/>
      <w:lvlText w:val="(%1)"/>
      <w:numFmt w:val="lowerLetter"/>
      <w:start w:val="2"/>
    </w:lvl>
  </w:abstractNum>
  <w:abstractNum w:abstractNumId="66">
    <w:nsid w:val="71C91298"/>
    <w:multiLevelType w:val="hybridMultilevel"/>
    <w:lvl w:ilvl="0">
      <w:lvlJc w:val="left"/>
      <w:lvlText w:val="(%1)"/>
      <w:numFmt w:val="lowerLetter"/>
      <w:start w:val="1"/>
    </w:lvl>
  </w:abstractNum>
  <w:abstractNum w:abstractNumId="67">
    <w:nsid w:val="9DAF632"/>
    <w:multiLevelType w:val="hybridMultilevel"/>
    <w:lvl w:ilvl="0">
      <w:lvlJc w:val="left"/>
      <w:lvlText w:val="(%1)"/>
      <w:numFmt w:val="lowerLetter"/>
      <w:start w:val="3"/>
    </w:lvl>
  </w:abstractNum>
  <w:abstractNum w:abstractNumId="68">
    <w:nsid w:val="53299938"/>
    <w:multiLevelType w:val="hybridMultilevel"/>
    <w:lvl w:ilvl="0">
      <w:lvlJc w:val="left"/>
      <w:lvlText w:val="(%1)"/>
      <w:numFmt w:val="lowerLetter"/>
      <w:start w:val="1"/>
    </w:lvl>
  </w:abstractNum>
  <w:abstractNum w:abstractNumId="69">
    <w:nsid w:val="1FBFE8E0"/>
    <w:multiLevelType w:val="hybridMultilevel"/>
    <w:lvl w:ilvl="0">
      <w:lvlJc w:val="left"/>
      <w:lvlText w:val="(%1)"/>
      <w:numFmt w:val="lowerLetter"/>
      <w:start w:val="4"/>
    </w:lvl>
  </w:abstractNum>
  <w:abstractNum w:abstractNumId="70">
    <w:nsid w:val="5092CA79"/>
    <w:multiLevelType w:val="hybridMultilevel"/>
    <w:lvl w:ilvl="0">
      <w:lvlJc w:val="left"/>
      <w:lvlText w:val="(%1)"/>
      <w:numFmt w:val="lowerLetter"/>
      <w:start w:val="2"/>
    </w:lvl>
  </w:abstractNum>
  <w:abstractNum w:abstractNumId="71">
    <w:nsid w:val="1D545C4D"/>
    <w:multiLevelType w:val="hybridMultilevel"/>
    <w:lvl w:ilvl="0">
      <w:lvlJc w:val="left"/>
      <w:lvlText w:val="(%1)"/>
      <w:numFmt w:val="lowerRoman"/>
      <w:start w:val="1"/>
    </w:lvl>
  </w:abstractNum>
  <w:abstractNum w:abstractNumId="72">
    <w:nsid w:val="59ADEA3D"/>
    <w:multiLevelType w:val="hybridMultilevel"/>
    <w:lvl w:ilvl="0">
      <w:lvlJc w:val="left"/>
      <w:lvlText w:val="(%1)"/>
      <w:numFmt w:val="lowerLetter"/>
      <w:start w:val="1"/>
    </w:lvl>
  </w:abstractNum>
  <w:abstractNum w:abstractNumId="73">
    <w:nsid w:val="288F1A34"/>
    <w:multiLevelType w:val="hybridMultilevel"/>
    <w:lvl w:ilvl="0">
      <w:lvlJc w:val="left"/>
      <w:lvlText w:val="(%1)"/>
      <w:numFmt w:val="lowerLetter"/>
      <w:start w:val="3"/>
    </w:lvl>
  </w:abstractNum>
  <w:abstractNum w:abstractNumId="74">
    <w:nsid w:val="2A155DBC"/>
    <w:multiLevelType w:val="hybridMultilevel"/>
    <w:lvl w:ilvl="0">
      <w:lvlJc w:val="left"/>
      <w:lvlText w:val="(%1)"/>
      <w:numFmt w:val="lowerLetter"/>
      <w:start w:val="1"/>
    </w:lvl>
  </w:abstractNum>
  <w:abstractNum w:abstractNumId="75">
    <w:nsid w:val="1D9F6E5F"/>
    <w:multiLevelType w:val="hybridMultilevel"/>
    <w:lvl w:ilvl="0">
      <w:lvlJc w:val="left"/>
      <w:lvlText w:val="(%1)"/>
      <w:numFmt w:val="lowerLetter"/>
      <w:start w:val="1"/>
    </w:lvl>
  </w:abstractNum>
  <w:abstractNum w:abstractNumId="76">
    <w:nsid w:val="97E1B4E"/>
    <w:multiLevelType w:val="hybridMultilevel"/>
    <w:lvl w:ilvl="0">
      <w:lvlJc w:val="left"/>
      <w:lvlText w:val="(%1)"/>
      <w:numFmt w:val="lowerLetter"/>
      <w:start w:val="1"/>
    </w:lvl>
    <w:lvl w:ilvl="1">
      <w:lvlJc w:val="left"/>
      <w:lvlText w:val="(%2)"/>
      <w:numFmt w:val="lowerRoman"/>
      <w:start w:val="1"/>
    </w:lvl>
  </w:abstractNum>
  <w:abstractNum w:abstractNumId="77">
    <w:nsid w:val="51088277"/>
    <w:multiLevelType w:val="hybridMultilevel"/>
    <w:lvl w:ilvl="0">
      <w:lvlJc w:val="left"/>
      <w:lvlText w:val="(%1)"/>
      <w:numFmt w:val="lowerLetter"/>
      <w:start w:val="3"/>
    </w:lvl>
  </w:abstractNum>
  <w:abstractNum w:abstractNumId="78">
    <w:nsid w:val="1CA0C5FA"/>
    <w:multiLevelType w:val="hybridMultilevel"/>
    <w:lvl w:ilvl="0">
      <w:lvlJc w:val="left"/>
      <w:lvlText w:val="(%1)"/>
      <w:numFmt w:val="lowerRoman"/>
      <w:start w:val="2"/>
    </w:lvl>
  </w:abstractNum>
  <w:abstractNum w:abstractNumId="79">
    <w:nsid w:val="53584BCB"/>
    <w:multiLevelType w:val="hybridMultilevel"/>
    <w:lvl w:ilvl="0">
      <w:lvlJc w:val="left"/>
      <w:lvlText w:val="(%1)"/>
      <w:numFmt w:val="lowerLetter"/>
      <w:start w:val="1"/>
    </w:lvl>
  </w:abstractNum>
  <w:abstractNum w:abstractNumId="80">
    <w:nsid w:val="415E286C"/>
    <w:multiLevelType w:val="hybridMultilevel"/>
    <w:lvl w:ilvl="0">
      <w:lvlJc w:val="left"/>
      <w:lvlText w:val="(%1)"/>
      <w:numFmt w:val="lowerLetter"/>
      <w:start w:val="1"/>
    </w:lvl>
    <w:lvl w:ilvl="1">
      <w:lvlJc w:val="left"/>
      <w:lvlText w:val="(%2)"/>
      <w:numFmt w:val="lowerRoman"/>
      <w:start w:val="1"/>
    </w:lvl>
  </w:abstractNum>
  <w:abstractNum w:abstractNumId="81">
    <w:nsid w:val="7C58FD05"/>
    <w:multiLevelType w:val="hybridMultilevel"/>
    <w:lvl w:ilvl="0">
      <w:lvlJc w:val="left"/>
      <w:lvlText w:val="(%1)"/>
      <w:numFmt w:val="lowerRoman"/>
      <w:start w:val="4"/>
    </w:lvl>
  </w:abstractNum>
  <w:abstractNum w:abstractNumId="82">
    <w:nsid w:val="23D86AAC"/>
    <w:multiLevelType w:val="hybridMultilevel"/>
    <w:lvl w:ilvl="0">
      <w:lvlJc w:val="left"/>
      <w:lvlText w:val="(%1)"/>
      <w:numFmt w:val="lowerLetter"/>
      <w:start w:val="1"/>
    </w:lvl>
  </w:abstractNum>
  <w:abstractNum w:abstractNumId="83">
    <w:nsid w:val="45E6D486"/>
    <w:multiLevelType w:val="hybridMultilevel"/>
    <w:lvl w:ilvl="0">
      <w:lvlJc w:val="left"/>
      <w:lvlText w:val="(%1)"/>
      <w:numFmt w:val="lowerLetter"/>
      <w:start w:val="1"/>
    </w:lvl>
    <w:lvl w:ilvl="1">
      <w:lvlJc w:val="left"/>
      <w:lvlText w:val="(%2)"/>
      <w:numFmt w:val="lowerRoman"/>
      <w:start w:val="1"/>
    </w:lvl>
  </w:abstractNum>
  <w:abstractNum w:abstractNumId="84">
    <w:nsid w:val="5C10FE21"/>
    <w:multiLevelType w:val="hybridMultilevel"/>
    <w:lvl w:ilvl="0">
      <w:lvlJc w:val="left"/>
      <w:lvlText w:val="(%1)"/>
      <w:numFmt w:val="lowerLetter"/>
      <w:start w:val="2"/>
    </w:lvl>
  </w:abstractNum>
  <w:abstractNum w:abstractNumId="85">
    <w:nsid w:val="E7FFA2B"/>
    <w:multiLevelType w:val="hybridMultilevel"/>
    <w:lvl w:ilvl="0">
      <w:lvlJc w:val="left"/>
      <w:lvlText w:val="(%1)"/>
      <w:numFmt w:val="lowerLetter"/>
      <w:start w:val="1"/>
    </w:lvl>
  </w:abstractNum>
  <w:abstractNum w:abstractNumId="86">
    <w:nsid w:val="3C5991AA"/>
    <w:multiLevelType w:val="hybridMultilevel"/>
    <w:lvl w:ilvl="0">
      <w:lvlJc w:val="left"/>
      <w:lvlText w:val="(%1)"/>
      <w:numFmt w:val="lowerLetter"/>
      <w:start w:val="1"/>
    </w:lvl>
  </w:abstractNum>
  <w:abstractNum w:abstractNumId="87">
    <w:nsid w:val="4BD8591A"/>
    <w:multiLevelType w:val="hybridMultilevel"/>
    <w:lvl w:ilvl="0">
      <w:lvlJc w:val="left"/>
      <w:lvlText w:val="(%1)"/>
      <w:numFmt w:val="lowerLetter"/>
      <w:start w:val="4"/>
    </w:lvl>
    <w:lvl w:ilvl="1">
      <w:lvlJc w:val="left"/>
      <w:lvlText w:val="(%2)"/>
      <w:numFmt w:val="lowerRoman"/>
      <w:start w:val="1"/>
    </w:lvl>
  </w:abstractNum>
  <w:abstractNum w:abstractNumId="88">
    <w:nsid w:val="78DF6A55"/>
    <w:multiLevelType w:val="hybridMultilevel"/>
    <w:lvl w:ilvl="0">
      <w:lvlJc w:val="left"/>
      <w:lvlText w:val="(%1)"/>
      <w:numFmt w:val="lowerRoman"/>
      <w:start w:val="2"/>
    </w:lvl>
  </w:abstractNum>
  <w:abstractNum w:abstractNumId="89">
    <w:nsid w:val="39B7AAA2"/>
    <w:multiLevelType w:val="hybridMultilevel"/>
    <w:lvl w:ilvl="0">
      <w:lvlJc w:val="left"/>
      <w:lvlText w:val="(%1)"/>
      <w:numFmt w:val="lowerRoman"/>
      <w:start w:val="3"/>
    </w:lvl>
  </w:abstractNum>
  <w:abstractNum w:abstractNumId="90">
    <w:nsid w:val="2B0D8DBE"/>
    <w:multiLevelType w:val="hybridMultilevel"/>
    <w:lvl w:ilvl="0">
      <w:lvlJc w:val="left"/>
      <w:lvlText w:val="%1"/>
      <w:numFmt w:val="lowerLetter"/>
      <w:start w:val="1"/>
    </w:lvl>
    <w:lvl w:ilvl="1">
      <w:lvlJc w:val="left"/>
      <w:lvlText w:val="(%2)"/>
      <w:numFmt w:val="lowerRoman"/>
      <w:start w:val="4"/>
    </w:lvl>
  </w:abstractNum>
  <w:abstractNum w:abstractNumId="91">
    <w:nsid w:val="6C80EC70"/>
    <w:multiLevelType w:val="hybridMultilevel"/>
    <w:lvl w:ilvl="0">
      <w:lvlJc w:val="left"/>
      <w:lvlText w:val="(%1)"/>
      <w:numFmt w:val="lowerLetter"/>
      <w:start w:val="7"/>
    </w:lvl>
    <w:lvl w:ilvl="1">
      <w:lvlJc w:val="left"/>
      <w:lvlText w:val="(%2)"/>
      <w:numFmt w:val="lowerRoman"/>
      <w:start w:val="1"/>
    </w:lvl>
  </w:abstractNum>
  <w:abstractNum w:abstractNumId="92">
    <w:nsid w:val="379E21B5"/>
    <w:multiLevelType w:val="hybridMultilevel"/>
    <w:lvl w:ilvl="0">
      <w:lvlJc w:val="left"/>
      <w:lvlText w:val="(%1)"/>
      <w:numFmt w:val="lowerRoman"/>
      <w:start w:val="1"/>
    </w:lvl>
  </w:abstractNum>
  <w:abstractNum w:abstractNumId="93">
    <w:nsid w:val="69E373"/>
    <w:multiLevelType w:val="hybridMultilevel"/>
    <w:lvl w:ilvl="0">
      <w:lvlJc w:val="left"/>
      <w:lvlText w:val="(%1)"/>
      <w:numFmt w:val="lowerLetter"/>
      <w:start w:val="10"/>
    </w:lvl>
  </w:abstractNum>
  <w:abstractNum w:abstractNumId="94">
    <w:nsid w:val="2C27173B"/>
    <w:multiLevelType w:val="hybridMultilevel"/>
    <w:lvl w:ilvl="0">
      <w:lvlJc w:val="left"/>
      <w:lvlText w:val="(%1)"/>
      <w:numFmt w:val="lowerLetter"/>
      <w:start w:val="1"/>
    </w:lvl>
  </w:abstractNum>
  <w:abstractNum w:abstractNumId="95">
    <w:nsid w:val="4C9B0904"/>
    <w:multiLevelType w:val="hybridMultilevel"/>
    <w:lvl w:ilvl="0">
      <w:lvlJc w:val="left"/>
      <w:lvlText w:val="(%1)"/>
      <w:numFmt w:val="lowerLetter"/>
      <w:start w:val="2"/>
    </w:lvl>
  </w:abstractNum>
  <w:abstractNum w:abstractNumId="96">
    <w:nsid w:val="6AA7B75C"/>
    <w:multiLevelType w:val="hybridMultilevel"/>
    <w:lvl w:ilvl="0">
      <w:lvlJc w:val="left"/>
      <w:lvlText w:val="(%1)"/>
      <w:numFmt w:val="lowerLetter"/>
      <w:start w:val="1"/>
    </w:lvl>
  </w:abstractNum>
  <w:abstractNum w:abstractNumId="97">
    <w:nsid w:val="1DF029D3"/>
    <w:multiLevelType w:val="hybridMultilevel"/>
    <w:lvl w:ilvl="0">
      <w:lvlJc w:val="left"/>
      <w:lvlText w:val="(%1)"/>
      <w:numFmt w:val="lowerLetter"/>
      <w:start w:val="1"/>
    </w:lvl>
  </w:abstractNum>
  <w:abstractNum w:abstractNumId="98">
    <w:nsid w:val="5675FF36"/>
    <w:multiLevelType w:val="hybridMultilevel"/>
    <w:lvl w:ilvl="0">
      <w:lvlJc w:val="left"/>
      <w:lvlText w:val="(%1)"/>
      <w:numFmt w:val="lowerLetter"/>
      <w:start w:val="1"/>
    </w:lvl>
  </w:abstractNum>
  <w:abstractNum w:abstractNumId="99">
    <w:nsid w:val="3DD15094"/>
    <w:multiLevelType w:val="hybridMultilevel"/>
    <w:lvl w:ilvl="0">
      <w:lvlJc w:val="left"/>
      <w:lvlText w:val="(%1)"/>
      <w:numFmt w:val="lowerLetter"/>
      <w:start w:val="5"/>
    </w:lvl>
  </w:abstractNum>
  <w:abstractNum w:abstractNumId="100">
    <w:nsid w:val="3DB012B3"/>
    <w:multiLevelType w:val="hybridMultilevel"/>
    <w:lvl w:ilvl="0">
      <w:lvlJc w:val="left"/>
      <w:lvlText w:val="(%1)"/>
      <w:numFmt w:val="lowerLetter"/>
      <w:start w:val="1"/>
    </w:lvl>
    <w:lvl w:ilvl="1">
      <w:lvlJc w:val="left"/>
      <w:lvlText w:val="(%2)"/>
      <w:numFmt w:val="lowerRoman"/>
      <w:start w:val="1"/>
    </w:lvl>
  </w:abstractNum>
  <w:abstractNum w:abstractNumId="101">
    <w:nsid w:val="2708C9AF"/>
    <w:multiLevelType w:val="hybridMultilevel"/>
    <w:lvl w:ilvl="0">
      <w:lvlJc w:val="left"/>
      <w:lvlText w:val="(%1)"/>
      <w:numFmt w:val="lowerLetter"/>
      <w:start w:val="2"/>
    </w:lvl>
    <w:lvl w:ilvl="1">
      <w:lvlJc w:val="left"/>
      <w:lvlText w:val="(%2)"/>
      <w:numFmt w:val="lowerRoman"/>
      <w:start w:val="1"/>
    </w:lvl>
  </w:abstractNum>
  <w:abstractNum w:abstractNumId="102">
    <w:nsid w:val="5B25ACE2"/>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103">
    <w:nsid w:val="175DFCF0"/>
    <w:multiLevelType w:val="hybridMultilevel"/>
    <w:lvl w:ilvl="0">
      <w:lvlJc w:val="left"/>
      <w:lvlText w:val="%1"/>
      <w:numFmt w:val="decimal"/>
      <w:start w:val="1"/>
    </w:lvl>
    <w:lvl w:ilvl="1">
      <w:lvlJc w:val="left"/>
      <w:lvlText w:val="(%2)"/>
      <w:numFmt w:val="lowerRoman"/>
      <w:start w:val="3"/>
    </w:lvl>
  </w:abstractNum>
  <w:abstractNum w:abstractNumId="104">
    <w:nsid w:val="4F97E3E4"/>
    <w:multiLevelType w:val="hybridMultilevel"/>
    <w:lvl w:ilvl="0">
      <w:lvlJc w:val="left"/>
      <w:lvlText w:val="(%1)"/>
      <w:numFmt w:val="decimal"/>
      <w:start w:val="1"/>
    </w:lvl>
    <w:lvl w:ilvl="1">
      <w:lvlJc w:val="left"/>
      <w:lvlText w:val="%2"/>
      <w:numFmt w:val="lowerRoman"/>
      <w:start w:val="1"/>
    </w:lvl>
  </w:abstractNum>
  <w:abstractNum w:abstractNumId="105">
    <w:nsid w:val="53B0A9E"/>
    <w:multiLevelType w:val="hybridMultilevel"/>
    <w:lvl w:ilvl="0">
      <w:lvlJc w:val="left"/>
      <w:lvlText w:val="(%1)"/>
      <w:numFmt w:val="lowerLetter"/>
      <w:start w:val="5"/>
    </w:lvl>
    <w:lvl w:ilvl="1">
      <w:lvlJc w:val="left"/>
      <w:lvlText w:val="(%2)"/>
      <w:numFmt w:val="lowerLetter"/>
      <w:start w:val="9"/>
    </w:lvl>
  </w:abstractNum>
  <w:abstractNum w:abstractNumId="106">
    <w:nsid w:val="34FD6B4F"/>
    <w:multiLevelType w:val="hybridMultilevel"/>
    <w:lvl w:ilvl="0">
      <w:lvlJc w:val="left"/>
      <w:lvlText w:val="(%1)"/>
      <w:numFmt w:val="lowerRoman"/>
      <w:start w:val="2"/>
    </w:lvl>
  </w:abstractNum>
  <w:abstractNum w:abstractNumId="107">
    <w:nsid w:val="5915FF32"/>
    <w:multiLevelType w:val="hybridMultilevel"/>
    <w:lvl w:ilvl="0">
      <w:lvlJc w:val="left"/>
      <w:lvlText w:val="(%1)"/>
      <w:numFmt w:val="upperLetter"/>
      <w:start w:val="1"/>
    </w:lvl>
  </w:abstractNum>
  <w:abstractNum w:abstractNumId="108">
    <w:nsid w:val="56438D15"/>
    <w:multiLevelType w:val="hybridMultilevel"/>
    <w:lvl w:ilvl="0">
      <w:lvlJc w:val="left"/>
      <w:lvlText w:val="(%1)"/>
      <w:numFmt w:val="lowerLetter"/>
      <w:start w:val="6"/>
    </w:lvl>
    <w:lvl w:ilvl="1">
      <w:lvlJc w:val="left"/>
      <w:lvlText w:val="(%2)"/>
      <w:numFmt w:val="lowerRoman"/>
      <w:start w:val="1"/>
    </w:lvl>
  </w:abstractNum>
  <w:abstractNum w:abstractNumId="109">
    <w:nsid w:val="519E3149"/>
    <w:multiLevelType w:val="hybridMultilevel"/>
    <w:lvl w:ilvl="0">
      <w:lvlJc w:val="left"/>
      <w:lvlText w:val="%1"/>
      <w:numFmt w:val="lowerLetter"/>
      <w:start w:val="1"/>
    </w:lvl>
    <w:lvl w:ilvl="1">
      <w:lvlJc w:val="left"/>
      <w:lvlText w:val="(%2)"/>
      <w:numFmt w:val="lowerRoman"/>
      <w:start w:val="4"/>
    </w:lvl>
  </w:abstractNum>
  <w:abstractNum w:abstractNumId="110">
    <w:nsid w:val="2C6E4AFD"/>
    <w:multiLevelType w:val="hybridMultilevel"/>
    <w:lvl w:ilvl="0">
      <w:lvlJc w:val="left"/>
      <w:lvlText w:val="(%1)"/>
      <w:numFmt w:val="lowerLetter"/>
      <w:start w:val="7"/>
    </w:lvl>
    <w:lvl w:ilvl="1">
      <w:lvlJc w:val="left"/>
      <w:lvlText w:val="%2"/>
      <w:numFmt w:val="lowerRoman"/>
      <w:start w:val="1"/>
    </w:lvl>
  </w:abstractNum>
  <w:abstractNum w:abstractNumId="111">
    <w:nsid w:val="17A1B582"/>
    <w:multiLevelType w:val="hybridMultilevel"/>
    <w:lvl w:ilvl="0">
      <w:lvlJc w:val="left"/>
      <w:lvlText w:val="(%1)"/>
      <w:numFmt w:val="lowerLetter"/>
      <w:start w:val="1"/>
    </w:lvl>
  </w:abstractNum>
  <w:abstractNum w:abstractNumId="112">
    <w:nsid w:val="4DF72E4E"/>
    <w:multiLevelType w:val="hybridMultilevel"/>
    <w:lvl w:ilvl="0">
      <w:lvlJc w:val="left"/>
      <w:lvlText w:val="(%1)"/>
      <w:numFmt w:val="decimal"/>
      <w:start w:val="1"/>
    </w:lvl>
    <w:lvl w:ilvl="1">
      <w:lvlJc w:val="left"/>
      <w:lvlText w:val="(%2)"/>
      <w:numFmt w:val="lowerLetter"/>
      <w:start w:val="2"/>
    </w:lvl>
  </w:abstractNum>
  <w:abstractNum w:abstractNumId="113">
    <w:nsid w:val="5046B5A9"/>
    <w:multiLevelType w:val="hybridMultilevel"/>
    <w:lvl w:ilvl="0">
      <w:lvlJc w:val="left"/>
      <w:lvlText w:val="(%1)"/>
      <w:numFmt w:val="lowerLetter"/>
      <w:start w:val="1"/>
    </w:lvl>
  </w:abstractNum>
  <w:abstractNum w:abstractNumId="114">
    <w:nsid w:val="5D888A08"/>
    <w:multiLevelType w:val="hybridMultilevel"/>
    <w:lvl w:ilvl="0">
      <w:lvlJc w:val="left"/>
      <w:lvlText w:val="(%1)"/>
      <w:numFmt w:val="lowerLetter"/>
      <w:start w:val="3"/>
    </w:lvl>
  </w:abstractNum>
  <w:abstractNum w:abstractNumId="115">
    <w:nsid w:val="2A082C70"/>
    <w:multiLevelType w:val="hybridMultilevel"/>
    <w:lvl w:ilvl="0">
      <w:lvlJc w:val="left"/>
      <w:lvlText w:val="(%1)"/>
      <w:numFmt w:val="lowerLetter"/>
      <w:start w:val="1"/>
    </w:lvl>
  </w:abstractNum>
  <w:abstractNum w:abstractNumId="116">
    <w:nsid w:val="5EC6AFD4"/>
    <w:multiLevelType w:val="hybridMultilevel"/>
    <w:lvl w:ilvl="0">
      <w:lvlJc w:val="left"/>
      <w:lvlText w:val="(%1)"/>
      <w:numFmt w:val="lowerLetter"/>
      <w:start w:val="2"/>
    </w:lvl>
  </w:abstractNum>
  <w:abstractNum w:abstractNumId="117">
    <w:nsid w:val="19E21BB2"/>
    <w:multiLevelType w:val="hybridMultilevel"/>
    <w:lvl w:ilvl="0">
      <w:lvlJc w:val="left"/>
      <w:lvlText w:val="(%1)"/>
      <w:numFmt w:val="lowerLetter"/>
      <w:start w:val="1"/>
    </w:lvl>
  </w:abstractNum>
  <w:abstractNum w:abstractNumId="118">
    <w:nsid w:val="75E0858A"/>
    <w:multiLevelType w:val="hybridMultilevel"/>
    <w:lvl w:ilvl="0">
      <w:lvlJc w:val="left"/>
      <w:lvlText w:val="%1."/>
      <w:numFmt w:val="decimal"/>
      <w:start w:val="1"/>
    </w:lvl>
  </w:abstractNum>
  <w:abstractNum w:abstractNumId="119">
    <w:nsid w:val="57A61A29"/>
    <w:multiLevelType w:val="hybridMultilevel"/>
    <w:lvl w:ilvl="0">
      <w:lvlJc w:val="left"/>
      <w:lvlText w:val="(%1)"/>
      <w:numFmt w:val="lowerLetter"/>
      <w:start w:val="1"/>
    </w:lvl>
    <w:lvl w:ilvl="1">
      <w:lvlJc w:val="left"/>
      <w:lvlText w:val="(%2)"/>
      <w:numFmt w:val="lowerLetter"/>
      <w:start w:val="9"/>
    </w:lvl>
  </w:abstractNum>
  <w:abstractNum w:abstractNumId="120">
    <w:nsid w:val="5399C654"/>
    <w:multiLevelType w:val="hybridMultilevel"/>
    <w:lvl w:ilvl="0">
      <w:lvlJc w:val="left"/>
      <w:lvlText w:val="%1"/>
      <w:numFmt w:val="lowerLetter"/>
      <w:start w:val="1"/>
    </w:lvl>
    <w:lvl w:ilvl="1">
      <w:lvlJc w:val="left"/>
      <w:lvlText w:val="(%2)"/>
      <w:numFmt w:val="lowerLetter"/>
      <w:start w:val="35"/>
    </w:lvl>
  </w:abstractNum>
  <w:abstractNum w:abstractNumId="121">
    <w:nsid w:val="20EE1348"/>
    <w:multiLevelType w:val="hybridMultilevel"/>
    <w:lvl w:ilvl="0">
      <w:lvlJc w:val="left"/>
      <w:lvlText w:val="(%1)"/>
      <w:numFmt w:val="lowerLetter"/>
      <w:start w:val="3"/>
    </w:lvl>
    <w:lvl w:ilvl="1">
      <w:lvlJc w:val="left"/>
      <w:lvlText w:val="%2"/>
      <w:numFmt w:val="lowerLetter"/>
      <w:start w:val="1"/>
    </w:lvl>
  </w:abstractNum>
  <w:abstractNum w:abstractNumId="122">
    <w:nsid w:val="4427069A"/>
    <w:multiLevelType w:val="hybridMultilevel"/>
    <w:lvl w:ilvl="0">
      <w:lvlJc w:val="left"/>
      <w:lvlText w:val="(%1)"/>
      <w:numFmt w:val="lowerLetter"/>
      <w:start w:val="3"/>
    </w:lvl>
  </w:abstractNum>
  <w:abstractNum w:abstractNumId="123">
    <w:nsid w:val="B37E80A"/>
    <w:multiLevelType w:val="hybridMultilevel"/>
    <w:lvl w:ilvl="0">
      <w:lvlJc w:val="left"/>
      <w:lvlText w:val="(%1)"/>
      <w:numFmt w:val="lowerLetter"/>
      <w:start w:val="3"/>
    </w:lvl>
    <w:lvl w:ilvl="1">
      <w:lvlJc w:val="left"/>
      <w:lvlText w:val="(%2)"/>
      <w:numFmt w:val="lowerRoman"/>
      <w:start w:val="1"/>
    </w:lvl>
  </w:abstractNum>
  <w:abstractNum w:abstractNumId="124">
    <w:nsid w:val="2157F6BC"/>
    <w:multiLevelType w:val="hybridMultilevel"/>
    <w:lvl w:ilvl="0">
      <w:lvlJc w:val="left"/>
      <w:lvlText w:val="(%1)"/>
      <w:numFmt w:val="lowerLetter"/>
      <w:start w:val="4"/>
    </w:lvl>
  </w:abstractNum>
  <w:abstractNum w:abstractNumId="125">
    <w:nsid w:val="704E1DD5"/>
    <w:multiLevelType w:val="hybridMultilevel"/>
    <w:lvl w:ilvl="0">
      <w:lvlJc w:val="left"/>
      <w:lvlText w:val="(%1)"/>
      <w:numFmt w:val="lowerLetter"/>
      <w:start w:val="1"/>
    </w:lvl>
    <w:lvl w:ilvl="1">
      <w:lvlJc w:val="left"/>
      <w:lvlText w:val="(%2)"/>
      <w:numFmt w:val="lowerLetter"/>
      <w:start w:val="9"/>
    </w:lvl>
  </w:abstractNum>
  <w:abstractNum w:abstractNumId="126">
    <w:nsid w:val="57D2F10E"/>
    <w:multiLevelType w:val="hybridMultilevel"/>
    <w:lvl w:ilvl="0">
      <w:lvlJc w:val="left"/>
      <w:lvlText w:val="%1"/>
      <w:numFmt w:val="lowerLetter"/>
      <w:start w:val="1"/>
    </w:lvl>
    <w:lvl w:ilvl="1">
      <w:lvlJc w:val="left"/>
      <w:lvlText w:val="(%2)"/>
      <w:numFmt w:val="lowerLetter"/>
      <w:start w:val="35"/>
    </w:lvl>
  </w:abstractNum>
  <w:abstractNum w:abstractNumId="127">
    <w:nsid w:val="BFFAE18"/>
    <w:multiLevelType w:val="hybridMultilevel"/>
    <w:lvl w:ilvl="0">
      <w:lvlJc w:val="left"/>
      <w:lvlText w:val="(%1)"/>
      <w:numFmt w:val="lowerLetter"/>
      <w:start w:val="2"/>
    </w:lvl>
    <w:lvl w:ilvl="1">
      <w:lvlJc w:val="left"/>
      <w:lvlText w:val="(%2)"/>
      <w:numFmt w:val="lowerLetter"/>
      <w:start w:val="9"/>
    </w:lvl>
  </w:abstractNum>
  <w:abstractNum w:abstractNumId="128">
    <w:nsid w:val="E3E47A8"/>
    <w:multiLevelType w:val="hybridMultilevel"/>
    <w:lvl w:ilvl="0">
      <w:lvlJc w:val="left"/>
      <w:lvlText w:val="%1"/>
      <w:numFmt w:val="lowerLetter"/>
      <w:start w:val="1"/>
    </w:lvl>
    <w:lvl w:ilvl="1">
      <w:lvlJc w:val="left"/>
      <w:lvlText w:val="(%2)"/>
      <w:numFmt w:val="lowerLetter"/>
      <w:start w:val="35"/>
    </w:lvl>
  </w:abstractNum>
  <w:abstractNum w:abstractNumId="129">
    <w:nsid w:val="2E48F044"/>
    <w:multiLevelType w:val="hybridMultilevel"/>
    <w:lvl w:ilvl="0">
      <w:lvlJc w:val="left"/>
      <w:lvlText w:val="(%1)"/>
      <w:numFmt w:val="lowerLetter"/>
      <w:start w:val="3"/>
    </w:lvl>
    <w:lvl w:ilvl="1">
      <w:lvlJc w:val="left"/>
      <w:lvlText w:val="(%2)"/>
      <w:numFmt w:val="lowerLetter"/>
      <w:start w:val="9"/>
    </w:lvl>
  </w:abstractNum>
  <w:abstractNum w:abstractNumId="130">
    <w:nsid w:val="49D0FEAC"/>
    <w:multiLevelType w:val="hybridMultilevel"/>
    <w:lvl w:ilvl="0">
      <w:lvlJc w:val="left"/>
      <w:lvlText w:val="(%1)"/>
      <w:numFmt w:val="lowerRoman"/>
      <w:start w:val="2"/>
    </w:lvl>
  </w:abstractNum>
  <w:abstractNum w:abstractNumId="131">
    <w:nsid w:val="4BEE5A5B"/>
    <w:multiLevelType w:val="hybridMultilevel"/>
    <w:lvl w:ilvl="0">
      <w:lvlJc w:val="left"/>
      <w:lvlText w:val="(%1)"/>
      <w:numFmt w:val="lowerRoman"/>
      <w:start w:val="4"/>
    </w:lvl>
  </w:abstractNum>
  <w:abstractNum w:abstractNumId="132">
    <w:nsid w:val="5551B9F3"/>
    <w:multiLevelType w:val="hybridMultilevel"/>
    <w:lvl w:ilvl="0">
      <w:lvlJc w:val="left"/>
      <w:lvlText w:val="(%1)"/>
      <w:numFmt w:val="lowerLetter"/>
      <w:start w:val="1"/>
    </w:lvl>
    <w:lvl w:ilvl="1">
      <w:lvlJc w:val="left"/>
      <w:lvlText w:val="(%2)"/>
      <w:numFmt w:val="lowerRoman"/>
      <w:start w:val="1"/>
    </w:lvl>
  </w:abstractNum>
  <w:abstractNum w:abstractNumId="133">
    <w:nsid w:val="24F6AB8E"/>
    <w:multiLevelType w:val="hybridMultilevel"/>
    <w:lvl w:ilvl="0">
      <w:lvlJc w:val="left"/>
      <w:lvlText w:val="(%1)"/>
      <w:numFmt w:val="lowerLetter"/>
      <w:start w:val="1"/>
    </w:lvl>
  </w:abstractNum>
  <w:abstractNum w:abstractNumId="134">
    <w:nsid w:val="634C574C"/>
    <w:multiLevelType w:val="hybridMultilevel"/>
    <w:lvl w:ilvl="0">
      <w:lvlJc w:val="left"/>
      <w:lvlText w:val="(%1)"/>
      <w:numFmt w:val="lowerLetter"/>
      <w:start w:val="1"/>
    </w:lvl>
    <w:lvl w:ilvl="1">
      <w:lvlJc w:val="left"/>
      <w:lvlText w:val="(%2)"/>
      <w:numFmt w:val="lowerRoman"/>
      <w:start w:val="1"/>
    </w:lvl>
  </w:abstractNum>
  <w:abstractNum w:abstractNumId="135">
    <w:nsid w:val="24E99DD7"/>
    <w:multiLevelType w:val="hybridMultilevel"/>
    <w:lvl w:ilvl="0">
      <w:lvlJc w:val="left"/>
      <w:lvlText w:val="%1."/>
      <w:numFmt w:val="decimal"/>
      <w:start w:val="1"/>
    </w:lvl>
    <w:lvl w:ilvl="1">
      <w:lvlJc w:val="left"/>
      <w:lvlText w:val="%2)"/>
      <w:numFmt w:val="lowerLetter"/>
      <w:start w:val="1"/>
    </w:lvl>
  </w:abstractNum>
  <w:abstractNum w:abstractNumId="136">
    <w:nsid w:val="2A31B62D"/>
    <w:multiLevelType w:val="hybridMultilevel"/>
    <w:lvl w:ilvl="0">
      <w:lvlJc w:val="left"/>
      <w:lvlText w:val="-"/>
      <w:numFmt w:val="bullet"/>
      <w:start w:val="1"/>
    </w:lvl>
  </w:abstractNum>
  <w:abstractNum w:abstractNumId="137">
    <w:nsid w:val="1849C29B"/>
    <w:multiLevelType w:val="hybridMultilevel"/>
    <w:lvl w:ilvl="0">
      <w:lvlJc w:val="left"/>
      <w:lvlText w:val="%1."/>
      <w:numFmt w:val="decimal"/>
      <w:start w:val="2"/>
    </w:lvl>
    <w:lvl w:ilvl="1">
      <w:lvlJc w:val="left"/>
      <w:lvlText w:val="%2)"/>
      <w:numFmt w:val="lowerLetter"/>
      <w:start w:val="1"/>
    </w:lvl>
  </w:abstractNum>
  <w:abstractNum w:abstractNumId="138">
    <w:nsid w:val="7DFF9D09"/>
    <w:multiLevelType w:val="hybridMultilevel"/>
    <w:lvl w:ilvl="0">
      <w:lvlJc w:val="left"/>
      <w:lvlText w:val="-"/>
      <w:numFmt w:val="bullet"/>
      <w:start w:val="1"/>
    </w:lvl>
  </w:abstractNum>
  <w:abstractNum w:abstractNumId="139">
    <w:nsid w:val="754342"/>
    <w:multiLevelType w:val="hybridMultilevel"/>
    <w:lvl w:ilvl="0">
      <w:lvlJc w:val="left"/>
      <w:lvlText w:val="%1."/>
      <w:numFmt w:val="decimal"/>
      <w:start w:val="1"/>
    </w:lvl>
    <w:lvl w:ilvl="1">
      <w:lvlJc w:val="left"/>
      <w:lvlText w:val="%2)"/>
      <w:numFmt w:val="lowerLetter"/>
      <w:start w:val="1"/>
    </w:lvl>
  </w:abstractNum>
  <w:abstractNum w:abstractNumId="140">
    <w:nsid w:val="69E7F3E5"/>
    <w:multiLevelType w:val="hybridMultilevel"/>
    <w:lvl w:ilvl="0">
      <w:lvlJc w:val="left"/>
      <w:lvlText w:val="-"/>
      <w:numFmt w:val="bullet"/>
      <w:start w:val="1"/>
    </w:lvl>
  </w:abstractNum>
  <w:abstractNum w:abstractNumId="141">
    <w:nsid w:val="2A6DE80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2019-12-15T06:10:57Z</dcterms:created>
  <dcterms:modified xsi:type="dcterms:W3CDTF">2019-12-15T06:10:57Z</dcterms:modified>
</cp:coreProperties>
</file>