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 w:type="dxa"/>
        <w:tblCellMar>
          <w:top w:w="0" w:type="dxa"/>
          <w:left w:w="0" w:type="dxa"/>
          <w:bottom w:w="0" w:type="dxa"/>
          <w:right w:w="0" w:type="dxa"/>
        </w:tblCellMar>
      </w:tblPr>
      <w:tr>
        <w:trPr>
          <w:trHeight w:val="181"/>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rPr>
              <w:t>As Filed with the Securities and Exchange Commission on September 9, 2002</w:t>
            </w:r>
          </w:p>
        </w:tc>
      </w:tr>
      <w:tr>
        <w:trPr>
          <w:trHeight w:val="358"/>
        </w:trPr>
        <w:tc>
          <w:tcPr>
            <w:tcW w:w="7620" w:type="dxa"/>
            <w:vAlign w:val="bottom"/>
            <w:gridSpan w:val="2"/>
          </w:tcPr>
          <w:p>
            <w:pPr>
              <w:spacing w:after="0"/>
              <w:rPr>
                <w:sz w:val="20"/>
                <w:szCs w:val="20"/>
                <w:color w:val="auto"/>
              </w:rPr>
            </w:pPr>
            <w:r>
              <w:rPr>
                <w:rFonts w:ascii="Courier New" w:cs="Courier New" w:eastAsia="Courier New" w:hAnsi="Courier New"/>
                <w:sz w:val="16"/>
                <w:szCs w:val="16"/>
                <w:color w:val="auto"/>
                <w:w w:val="96"/>
              </w:rPr>
              <w:t>- --------------------------------------------------------------------------------</w:t>
            </w:r>
          </w:p>
        </w:tc>
      </w:tr>
      <w:tr>
        <w:trPr>
          <w:trHeight w:val="358"/>
        </w:trPr>
        <w:tc>
          <w:tcPr>
            <w:tcW w:w="762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6"/>
              </w:rPr>
              <w:t>SECURITIES AND EXCHANGE COMMISSION</w:t>
            </w:r>
          </w:p>
        </w:tc>
      </w:tr>
      <w:tr>
        <w:trPr>
          <w:trHeight w:val="179"/>
        </w:trPr>
        <w:tc>
          <w:tcPr>
            <w:tcW w:w="7620" w:type="dxa"/>
            <w:vAlign w:val="bottom"/>
            <w:gridSpan w:val="2"/>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Washington, DC 20549</w:t>
            </w:r>
          </w:p>
        </w:tc>
      </w:tr>
      <w:tr>
        <w:trPr>
          <w:trHeight w:val="358"/>
        </w:trPr>
        <w:tc>
          <w:tcPr>
            <w:tcW w:w="2880" w:type="dxa"/>
            <w:vAlign w:val="bottom"/>
          </w:tcPr>
          <w:p>
            <w:pPr>
              <w:spacing w:after="0"/>
              <w:rPr>
                <w:sz w:val="24"/>
                <w:szCs w:val="24"/>
                <w:color w:val="auto"/>
              </w:rPr>
            </w:pPr>
          </w:p>
        </w:tc>
        <w:tc>
          <w:tcPr>
            <w:tcW w:w="4740" w:type="dxa"/>
            <w:vAlign w:val="bottom"/>
          </w:tcPr>
          <w:p>
            <w:pPr>
              <w:jc w:val="center"/>
              <w:ind w:right="2982"/>
              <w:spacing w:after="0"/>
              <w:rPr>
                <w:sz w:val="20"/>
                <w:szCs w:val="20"/>
                <w:color w:val="auto"/>
              </w:rPr>
            </w:pPr>
            <w:r>
              <w:rPr>
                <w:rFonts w:ascii="Courier New" w:cs="Courier New" w:eastAsia="Courier New" w:hAnsi="Courier New"/>
                <w:sz w:val="16"/>
                <w:szCs w:val="16"/>
                <w:color w:val="auto"/>
                <w:w w:val="97"/>
              </w:rPr>
              <w:t>------------</w:t>
            </w:r>
          </w:p>
        </w:tc>
      </w:tr>
      <w:tr>
        <w:trPr>
          <w:trHeight w:val="358"/>
        </w:trPr>
        <w:tc>
          <w:tcPr>
            <w:tcW w:w="2880" w:type="dxa"/>
            <w:vAlign w:val="bottom"/>
          </w:tcPr>
          <w:p>
            <w:pPr>
              <w:spacing w:after="0"/>
              <w:rPr>
                <w:sz w:val="24"/>
                <w:szCs w:val="24"/>
                <w:color w:val="auto"/>
              </w:rPr>
            </w:pPr>
          </w:p>
        </w:tc>
        <w:tc>
          <w:tcPr>
            <w:tcW w:w="4740" w:type="dxa"/>
            <w:vAlign w:val="bottom"/>
          </w:tcPr>
          <w:p>
            <w:pPr>
              <w:jc w:val="center"/>
              <w:ind w:right="3002"/>
              <w:spacing w:after="0"/>
              <w:rPr>
                <w:sz w:val="20"/>
                <w:szCs w:val="20"/>
                <w:color w:val="auto"/>
              </w:rPr>
            </w:pPr>
            <w:r>
              <w:rPr>
                <w:rFonts w:ascii="Courier New" w:cs="Courier New" w:eastAsia="Courier New" w:hAnsi="Courier New"/>
                <w:sz w:val="16"/>
                <w:szCs w:val="16"/>
                <w:color w:val="auto"/>
                <w:w w:val="96"/>
              </w:rPr>
              <w:t>FORM S-8</w:t>
            </w:r>
          </w:p>
        </w:tc>
      </w:tr>
      <w:tr>
        <w:trPr>
          <w:trHeight w:val="179"/>
        </w:trPr>
        <w:tc>
          <w:tcPr>
            <w:tcW w:w="7620" w:type="dxa"/>
            <w:vAlign w:val="bottom"/>
            <w:gridSpan w:val="2"/>
          </w:tcPr>
          <w:p>
            <w:pPr>
              <w:jc w:val="center"/>
              <w:ind w:right="102"/>
              <w:spacing w:after="0" w:line="179" w:lineRule="exact"/>
              <w:rPr>
                <w:sz w:val="20"/>
                <w:szCs w:val="20"/>
                <w:color w:val="auto"/>
              </w:rPr>
            </w:pPr>
            <w:r>
              <w:rPr>
                <w:rFonts w:ascii="Courier New" w:cs="Courier New" w:eastAsia="Courier New" w:hAnsi="Courier New"/>
                <w:sz w:val="16"/>
                <w:szCs w:val="16"/>
                <w:color w:val="auto"/>
                <w:w w:val="96"/>
              </w:rPr>
              <w:t>REGISTRATION STATEMENT</w:t>
            </w:r>
          </w:p>
        </w:tc>
      </w:tr>
      <w:tr>
        <w:trPr>
          <w:trHeight w:val="179"/>
        </w:trPr>
        <w:tc>
          <w:tcPr>
            <w:tcW w:w="2880" w:type="dxa"/>
            <w:vAlign w:val="bottom"/>
          </w:tcPr>
          <w:p>
            <w:pPr>
              <w:spacing w:after="0"/>
              <w:rPr>
                <w:sz w:val="15"/>
                <w:szCs w:val="15"/>
                <w:color w:val="auto"/>
              </w:rPr>
            </w:pPr>
          </w:p>
        </w:tc>
        <w:tc>
          <w:tcPr>
            <w:tcW w:w="4740" w:type="dxa"/>
            <w:vAlign w:val="bottom"/>
          </w:tcPr>
          <w:p>
            <w:pPr>
              <w:jc w:val="center"/>
              <w:ind w:right="2882"/>
              <w:spacing w:after="0" w:line="179" w:lineRule="exact"/>
              <w:rPr>
                <w:sz w:val="20"/>
                <w:szCs w:val="20"/>
                <w:color w:val="auto"/>
              </w:rPr>
            </w:pPr>
            <w:r>
              <w:rPr>
                <w:rFonts w:ascii="Courier New" w:cs="Courier New" w:eastAsia="Courier New" w:hAnsi="Courier New"/>
                <w:sz w:val="16"/>
                <w:szCs w:val="16"/>
                <w:color w:val="auto"/>
                <w:w w:val="95"/>
              </w:rPr>
              <w:t>Under</w:t>
            </w:r>
          </w:p>
        </w:tc>
      </w:tr>
      <w:tr>
        <w:trPr>
          <w:trHeight w:val="179"/>
        </w:trPr>
        <w:tc>
          <w:tcPr>
            <w:tcW w:w="7620" w:type="dxa"/>
            <w:vAlign w:val="bottom"/>
            <w:gridSpan w:val="2"/>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THE SECURITIES ACT OF 1933</w:t>
            </w:r>
          </w:p>
        </w:tc>
      </w:tr>
      <w:tr>
        <w:trPr>
          <w:trHeight w:val="358"/>
        </w:trPr>
        <w:tc>
          <w:tcPr>
            <w:tcW w:w="2880" w:type="dxa"/>
            <w:vAlign w:val="bottom"/>
          </w:tcPr>
          <w:p>
            <w:pPr>
              <w:spacing w:after="0"/>
              <w:rPr>
                <w:sz w:val="24"/>
                <w:szCs w:val="24"/>
                <w:color w:val="auto"/>
              </w:rPr>
            </w:pPr>
          </w:p>
        </w:tc>
        <w:tc>
          <w:tcPr>
            <w:tcW w:w="4740" w:type="dxa"/>
            <w:vAlign w:val="bottom"/>
          </w:tcPr>
          <w:p>
            <w:pPr>
              <w:jc w:val="center"/>
              <w:ind w:right="2982"/>
              <w:spacing w:after="0"/>
              <w:rPr>
                <w:sz w:val="20"/>
                <w:szCs w:val="20"/>
                <w:color w:val="auto"/>
              </w:rPr>
            </w:pPr>
            <w:r>
              <w:rPr>
                <w:rFonts w:ascii="Courier New" w:cs="Courier New" w:eastAsia="Courier New" w:hAnsi="Courier New"/>
                <w:sz w:val="16"/>
                <w:szCs w:val="16"/>
                <w:color w:val="auto"/>
                <w:w w:val="97"/>
              </w:rPr>
              <w:t>------------</w:t>
            </w:r>
          </w:p>
        </w:tc>
      </w:tr>
      <w:tr>
        <w:trPr>
          <w:trHeight w:val="358"/>
        </w:trPr>
        <w:tc>
          <w:tcPr>
            <w:tcW w:w="2880" w:type="dxa"/>
            <w:vAlign w:val="bottom"/>
          </w:tcPr>
          <w:p>
            <w:pPr>
              <w:spacing w:after="0"/>
              <w:rPr>
                <w:sz w:val="24"/>
                <w:szCs w:val="24"/>
                <w:color w:val="auto"/>
              </w:rPr>
            </w:pPr>
          </w:p>
        </w:tc>
        <w:tc>
          <w:tcPr>
            <w:tcW w:w="4740" w:type="dxa"/>
            <w:vAlign w:val="bottom"/>
          </w:tcPr>
          <w:p>
            <w:pPr>
              <w:jc w:val="center"/>
              <w:ind w:right="2902"/>
              <w:spacing w:after="0"/>
              <w:rPr>
                <w:sz w:val="20"/>
                <w:szCs w:val="20"/>
                <w:color w:val="auto"/>
              </w:rPr>
            </w:pPr>
            <w:r>
              <w:rPr>
                <w:rFonts w:ascii="Courier New" w:cs="Courier New" w:eastAsia="Courier New" w:hAnsi="Courier New"/>
                <w:sz w:val="16"/>
                <w:szCs w:val="16"/>
                <w:color w:val="auto"/>
                <w:w w:val="96"/>
              </w:rPr>
              <w:t>COMCAST CORPORATION</w:t>
            </w:r>
          </w:p>
        </w:tc>
      </w:tr>
      <w:tr>
        <w:trPr>
          <w:trHeight w:val="179"/>
        </w:trPr>
        <w:tc>
          <w:tcPr>
            <w:tcW w:w="7620" w:type="dxa"/>
            <w:vAlign w:val="bottom"/>
            <w:gridSpan w:val="2"/>
          </w:tcPr>
          <w:p>
            <w:pPr>
              <w:jc w:val="center"/>
              <w:ind w:right="102"/>
              <w:spacing w:after="0" w:line="179" w:lineRule="exact"/>
              <w:rPr>
                <w:sz w:val="20"/>
                <w:szCs w:val="20"/>
                <w:color w:val="auto"/>
              </w:rPr>
            </w:pPr>
            <w:r>
              <w:rPr>
                <w:rFonts w:ascii="Courier New" w:cs="Courier New" w:eastAsia="Courier New" w:hAnsi="Courier New"/>
                <w:sz w:val="16"/>
                <w:szCs w:val="16"/>
                <w:color w:val="auto"/>
                <w:w w:val="96"/>
              </w:rPr>
              <w:t>(Exact name of registrant as specified in charter)</w:t>
            </w:r>
          </w:p>
        </w:tc>
      </w:tr>
      <w:tr>
        <w:trPr>
          <w:trHeight w:val="358"/>
        </w:trPr>
        <w:tc>
          <w:tcPr>
            <w:tcW w:w="288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4740" w:type="dxa"/>
            <w:vAlign w:val="bottom"/>
          </w:tcPr>
          <w:p>
            <w:pPr>
              <w:ind w:left="1020"/>
              <w:spacing w:after="0"/>
              <w:rPr>
                <w:sz w:val="20"/>
                <w:szCs w:val="20"/>
                <w:color w:val="auto"/>
              </w:rPr>
            </w:pPr>
            <w:r>
              <w:rPr>
                <w:rFonts w:ascii="Courier New" w:cs="Courier New" w:eastAsia="Courier New" w:hAnsi="Courier New"/>
                <w:sz w:val="16"/>
                <w:szCs w:val="16"/>
                <w:color w:val="auto"/>
              </w:rPr>
              <w:t>23-1709202</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(State or other jurisdiction of</w:t>
            </w:r>
          </w:p>
        </w:tc>
        <w:tc>
          <w:tcPr>
            <w:tcW w:w="474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(I.R.S. Employer Identification No.)</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incorporation or organization)</w:t>
            </w:r>
          </w:p>
        </w:tc>
        <w:tc>
          <w:tcPr>
            <w:tcW w:w="4740" w:type="dxa"/>
            <w:vAlign w:val="bottom"/>
          </w:tcPr>
          <w:p>
            <w:pPr>
              <w:spacing w:after="0"/>
              <w:rPr>
                <w:sz w:val="15"/>
                <w:szCs w:val="15"/>
                <w:color w:val="auto"/>
              </w:rPr>
            </w:pPr>
          </w:p>
        </w:tc>
      </w:tr>
      <w:tr>
        <w:trPr>
          <w:trHeight w:val="358"/>
        </w:trPr>
        <w:tc>
          <w:tcPr>
            <w:tcW w:w="2880" w:type="dxa"/>
            <w:vAlign w:val="bottom"/>
          </w:tcPr>
          <w:p>
            <w:pPr>
              <w:spacing w:after="0"/>
              <w:rPr>
                <w:sz w:val="24"/>
                <w:szCs w:val="24"/>
                <w:color w:val="auto"/>
              </w:rPr>
            </w:pPr>
          </w:p>
        </w:tc>
        <w:tc>
          <w:tcPr>
            <w:tcW w:w="4740" w:type="dxa"/>
            <w:vAlign w:val="bottom"/>
          </w:tcPr>
          <w:p>
            <w:pPr>
              <w:jc w:val="center"/>
              <w:ind w:right="2982"/>
              <w:spacing w:after="0"/>
              <w:rPr>
                <w:sz w:val="20"/>
                <w:szCs w:val="20"/>
                <w:color w:val="auto"/>
              </w:rPr>
            </w:pPr>
            <w:r>
              <w:rPr>
                <w:rFonts w:ascii="Courier New" w:cs="Courier New" w:eastAsia="Courier New" w:hAnsi="Courier New"/>
                <w:sz w:val="16"/>
                <w:szCs w:val="16"/>
                <w:color w:val="auto"/>
                <w:w w:val="97"/>
              </w:rPr>
              <w:t>1500 Market Street</w:t>
            </w:r>
          </w:p>
        </w:tc>
      </w:tr>
      <w:tr>
        <w:trPr>
          <w:trHeight w:val="179"/>
        </w:trPr>
        <w:tc>
          <w:tcPr>
            <w:tcW w:w="7620" w:type="dxa"/>
            <w:vAlign w:val="bottom"/>
            <w:gridSpan w:val="2"/>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Philadelphia, PA 19102-2148</w:t>
            </w:r>
          </w:p>
        </w:tc>
      </w:tr>
      <w:tr>
        <w:trPr>
          <w:trHeight w:val="179"/>
        </w:trPr>
        <w:tc>
          <w:tcPr>
            <w:tcW w:w="7620" w:type="dxa"/>
            <w:vAlign w:val="bottom"/>
            <w:gridSpan w:val="2"/>
          </w:tcPr>
          <w:p>
            <w:pPr>
              <w:jc w:val="center"/>
              <w:ind w:right="102"/>
              <w:spacing w:after="0" w:line="179" w:lineRule="exact"/>
              <w:rPr>
                <w:sz w:val="20"/>
                <w:szCs w:val="20"/>
                <w:color w:val="auto"/>
              </w:rPr>
            </w:pPr>
            <w:r>
              <w:rPr>
                <w:rFonts w:ascii="Courier New" w:cs="Courier New" w:eastAsia="Courier New" w:hAnsi="Courier New"/>
                <w:sz w:val="16"/>
                <w:szCs w:val="16"/>
                <w:color w:val="auto"/>
                <w:w w:val="96"/>
              </w:rPr>
              <w:t>(Address of principal executive offices)</w:t>
            </w:r>
          </w:p>
        </w:tc>
      </w:tr>
      <w:tr>
        <w:trPr>
          <w:trHeight w:val="358"/>
        </w:trPr>
        <w:tc>
          <w:tcPr>
            <w:tcW w:w="7620" w:type="dxa"/>
            <w:vAlign w:val="bottom"/>
            <w:gridSpan w:val="2"/>
          </w:tcPr>
          <w:p>
            <w:pPr>
              <w:jc w:val="center"/>
              <w:ind w:right="102"/>
              <w:spacing w:after="0"/>
              <w:rPr>
                <w:sz w:val="20"/>
                <w:szCs w:val="20"/>
                <w:color w:val="auto"/>
              </w:rPr>
            </w:pPr>
            <w:r>
              <w:rPr>
                <w:rFonts w:ascii="Courier New" w:cs="Courier New" w:eastAsia="Courier New" w:hAnsi="Courier New"/>
                <w:sz w:val="16"/>
                <w:szCs w:val="16"/>
                <w:color w:val="auto"/>
                <w:w w:val="96"/>
              </w:rPr>
              <w:t>COMCAST CORPORATION 1990 RESTRICTED STOCK PLAN</w:t>
            </w:r>
          </w:p>
        </w:tc>
      </w:tr>
      <w:tr>
        <w:trPr>
          <w:trHeight w:val="179"/>
        </w:trPr>
        <w:tc>
          <w:tcPr>
            <w:tcW w:w="7620" w:type="dxa"/>
            <w:vAlign w:val="bottom"/>
            <w:gridSpan w:val="2"/>
          </w:tcPr>
          <w:p>
            <w:pPr>
              <w:jc w:val="center"/>
              <w:ind w:right="102"/>
              <w:spacing w:after="0" w:line="179" w:lineRule="exact"/>
              <w:rPr>
                <w:sz w:val="20"/>
                <w:szCs w:val="20"/>
                <w:color w:val="auto"/>
              </w:rPr>
            </w:pPr>
            <w:r>
              <w:rPr>
                <w:rFonts w:ascii="Courier New" w:cs="Courier New" w:eastAsia="Courier New" w:hAnsi="Courier New"/>
                <w:sz w:val="16"/>
                <w:szCs w:val="16"/>
                <w:color w:val="auto"/>
                <w:w w:val="97"/>
              </w:rPr>
              <w:t>(Full title of the plan)</w:t>
            </w:r>
          </w:p>
        </w:tc>
      </w:tr>
      <w:tr>
        <w:trPr>
          <w:trHeight w:val="358"/>
        </w:trPr>
        <w:tc>
          <w:tcPr>
            <w:tcW w:w="2880" w:type="dxa"/>
            <w:vAlign w:val="bottom"/>
          </w:tcPr>
          <w:p>
            <w:pPr>
              <w:spacing w:after="0"/>
              <w:rPr>
                <w:sz w:val="24"/>
                <w:szCs w:val="24"/>
                <w:color w:val="auto"/>
              </w:rPr>
            </w:pPr>
          </w:p>
        </w:tc>
        <w:tc>
          <w:tcPr>
            <w:tcW w:w="4740" w:type="dxa"/>
            <w:vAlign w:val="bottom"/>
          </w:tcPr>
          <w:p>
            <w:pPr>
              <w:jc w:val="center"/>
              <w:ind w:right="2902"/>
              <w:spacing w:after="0"/>
              <w:rPr>
                <w:sz w:val="20"/>
                <w:szCs w:val="20"/>
                <w:color w:val="auto"/>
              </w:rPr>
            </w:pPr>
            <w:r>
              <w:rPr>
                <w:rFonts w:ascii="Courier New" w:cs="Courier New" w:eastAsia="Courier New" w:hAnsi="Courier New"/>
                <w:sz w:val="16"/>
                <w:szCs w:val="16"/>
                <w:color w:val="auto"/>
                <w:w w:val="97"/>
              </w:rPr>
              <w:t>Arthur R. Block</w:t>
            </w:r>
          </w:p>
        </w:tc>
      </w:tr>
      <w:tr>
        <w:trPr>
          <w:trHeight w:val="179"/>
        </w:trPr>
        <w:tc>
          <w:tcPr>
            <w:tcW w:w="7620" w:type="dxa"/>
            <w:vAlign w:val="bottom"/>
            <w:gridSpan w:val="2"/>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Senior Vice President and General Counsel</w:t>
            </w:r>
          </w:p>
        </w:tc>
      </w:tr>
      <w:tr>
        <w:trPr>
          <w:trHeight w:val="179"/>
        </w:trPr>
        <w:tc>
          <w:tcPr>
            <w:tcW w:w="2880" w:type="dxa"/>
            <w:vAlign w:val="bottom"/>
          </w:tcPr>
          <w:p>
            <w:pPr>
              <w:spacing w:after="0"/>
              <w:rPr>
                <w:sz w:val="15"/>
                <w:szCs w:val="15"/>
                <w:color w:val="auto"/>
              </w:rPr>
            </w:pPr>
          </w:p>
        </w:tc>
        <w:tc>
          <w:tcPr>
            <w:tcW w:w="4740" w:type="dxa"/>
            <w:vAlign w:val="bottom"/>
          </w:tcPr>
          <w:p>
            <w:pPr>
              <w:jc w:val="center"/>
              <w:ind w:right="2902"/>
              <w:spacing w:after="0" w:line="179" w:lineRule="exact"/>
              <w:rPr>
                <w:sz w:val="20"/>
                <w:szCs w:val="20"/>
                <w:color w:val="auto"/>
              </w:rPr>
            </w:pPr>
            <w:r>
              <w:rPr>
                <w:rFonts w:ascii="Courier New" w:cs="Courier New" w:eastAsia="Courier New" w:hAnsi="Courier New"/>
                <w:sz w:val="16"/>
                <w:szCs w:val="16"/>
                <w:color w:val="auto"/>
                <w:w w:val="96"/>
              </w:rPr>
              <w:t>Comcast Corporation</w:t>
            </w:r>
          </w:p>
        </w:tc>
      </w:tr>
      <w:tr>
        <w:trPr>
          <w:trHeight w:val="179"/>
        </w:trPr>
        <w:tc>
          <w:tcPr>
            <w:tcW w:w="2880" w:type="dxa"/>
            <w:vAlign w:val="bottom"/>
          </w:tcPr>
          <w:p>
            <w:pPr>
              <w:spacing w:after="0"/>
              <w:rPr>
                <w:sz w:val="15"/>
                <w:szCs w:val="15"/>
                <w:color w:val="auto"/>
              </w:rPr>
            </w:pPr>
          </w:p>
        </w:tc>
        <w:tc>
          <w:tcPr>
            <w:tcW w:w="4740" w:type="dxa"/>
            <w:vAlign w:val="bottom"/>
          </w:tcPr>
          <w:p>
            <w:pPr>
              <w:jc w:val="center"/>
              <w:ind w:right="2982"/>
              <w:spacing w:after="0" w:line="179" w:lineRule="exact"/>
              <w:rPr>
                <w:sz w:val="20"/>
                <w:szCs w:val="20"/>
                <w:color w:val="auto"/>
              </w:rPr>
            </w:pPr>
            <w:r>
              <w:rPr>
                <w:rFonts w:ascii="Courier New" w:cs="Courier New" w:eastAsia="Courier New" w:hAnsi="Courier New"/>
                <w:sz w:val="16"/>
                <w:szCs w:val="16"/>
                <w:color w:val="auto"/>
                <w:w w:val="97"/>
              </w:rPr>
              <w:t>1500 Market Street</w:t>
            </w:r>
          </w:p>
        </w:tc>
      </w:tr>
      <w:tr>
        <w:trPr>
          <w:trHeight w:val="179"/>
        </w:trPr>
        <w:tc>
          <w:tcPr>
            <w:tcW w:w="7620" w:type="dxa"/>
            <w:vAlign w:val="bottom"/>
            <w:gridSpan w:val="2"/>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Philadelphia, Pennsylvania 19102-2148</w:t>
            </w:r>
          </w:p>
        </w:tc>
      </w:tr>
      <w:tr>
        <w:trPr>
          <w:trHeight w:val="179"/>
        </w:trPr>
        <w:tc>
          <w:tcPr>
            <w:tcW w:w="7620" w:type="dxa"/>
            <w:vAlign w:val="bottom"/>
            <w:gridSpan w:val="2"/>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(Name and address of agent for service)</w:t>
            </w:r>
          </w:p>
        </w:tc>
      </w:tr>
      <w:tr>
        <w:trPr>
          <w:trHeight w:val="358"/>
        </w:trPr>
        <w:tc>
          <w:tcPr>
            <w:tcW w:w="2880" w:type="dxa"/>
            <w:vAlign w:val="bottom"/>
          </w:tcPr>
          <w:p>
            <w:pPr>
              <w:spacing w:after="0"/>
              <w:rPr>
                <w:sz w:val="24"/>
                <w:szCs w:val="24"/>
                <w:color w:val="auto"/>
              </w:rPr>
            </w:pPr>
          </w:p>
        </w:tc>
        <w:tc>
          <w:tcPr>
            <w:tcW w:w="4740" w:type="dxa"/>
            <w:vAlign w:val="bottom"/>
          </w:tcPr>
          <w:p>
            <w:pPr>
              <w:jc w:val="center"/>
              <w:ind w:right="3002"/>
              <w:spacing w:after="0"/>
              <w:rPr>
                <w:sz w:val="20"/>
                <w:szCs w:val="20"/>
                <w:color w:val="auto"/>
              </w:rPr>
            </w:pPr>
            <w:r>
              <w:rPr>
                <w:rFonts w:ascii="Courier New" w:cs="Courier New" w:eastAsia="Courier New" w:hAnsi="Courier New"/>
                <w:sz w:val="16"/>
                <w:szCs w:val="16"/>
                <w:color w:val="auto"/>
                <w:w w:val="96"/>
              </w:rPr>
              <w:t>(215) 665-1700</w:t>
            </w:r>
          </w:p>
        </w:tc>
      </w:tr>
      <w:tr>
        <w:trPr>
          <w:trHeight w:val="179"/>
        </w:trPr>
        <w:tc>
          <w:tcPr>
            <w:tcW w:w="7620" w:type="dxa"/>
            <w:vAlign w:val="bottom"/>
            <w:gridSpan w:val="2"/>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(Telephone number, including area code, of agent for service)</w:t>
            </w:r>
          </w:p>
        </w:tc>
      </w:tr>
      <w:tr>
        <w:trPr>
          <w:trHeight w:val="358"/>
        </w:trPr>
        <w:tc>
          <w:tcPr>
            <w:tcW w:w="7620" w:type="dxa"/>
            <w:vAlign w:val="bottom"/>
            <w:gridSpan w:val="2"/>
          </w:tcPr>
          <w:p>
            <w:pPr>
              <w:jc w:val="center"/>
              <w:ind w:right="22"/>
              <w:spacing w:after="0"/>
              <w:rPr>
                <w:sz w:val="20"/>
                <w:szCs w:val="20"/>
                <w:color w:val="auto"/>
              </w:rPr>
            </w:pPr>
            <w:r>
              <w:rPr>
                <w:rFonts w:ascii="Courier New" w:cs="Courier New" w:eastAsia="Courier New" w:hAnsi="Courier New"/>
                <w:sz w:val="16"/>
                <w:szCs w:val="16"/>
                <w:color w:val="auto"/>
                <w:w w:val="96"/>
              </w:rPr>
              <w:t>CALCULATION OF REGISTRATION FEE</w:t>
            </w:r>
          </w:p>
        </w:tc>
      </w:tr>
    </w:tbl>
    <w:p>
      <w:pPr>
        <w:spacing w:after="0" w:line="200" w:lineRule="exact"/>
        <w:rPr>
          <w:sz w:val="24"/>
          <w:szCs w:val="24"/>
          <w:color w:val="auto"/>
        </w:rPr>
      </w:pPr>
    </w:p>
    <w:p>
      <w:pPr>
        <w:spacing w:after="0" w:line="340"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p>
    <w:p>
      <w:pPr>
        <w:ind w:left="5" w:right="260"/>
        <w:spacing w:after="0" w:line="234" w:lineRule="auto"/>
        <w:rPr>
          <w:sz w:val="20"/>
          <w:szCs w:val="20"/>
          <w:color w:val="auto"/>
        </w:rPr>
      </w:pPr>
      <w:r>
        <w:rPr>
          <w:rFonts w:ascii="Courier New" w:cs="Courier New" w:eastAsia="Courier New" w:hAnsi="Courier New"/>
          <w:sz w:val="16"/>
          <w:szCs w:val="16"/>
          <w:color w:val="auto"/>
        </w:rPr>
        <w:t>Title of Securities to be Amount to be Proposed Maximum Offering Proposed Maximum Aggregate Amount of Registered (1) Registered (2) Price (3) Offering Price (3) Registration Fee</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1440" w:type="dxa"/>
            <w:vAlign w:val="bottom"/>
          </w:tcPr>
          <w:p>
            <w:pPr>
              <w:spacing w:after="0"/>
              <w:rPr>
                <w:sz w:val="20"/>
                <w:szCs w:val="20"/>
                <w:color w:val="auto"/>
              </w:rPr>
            </w:pPr>
            <w:r>
              <w:rPr>
                <w:rFonts w:ascii="Courier New" w:cs="Courier New" w:eastAsia="Courier New" w:hAnsi="Courier New"/>
                <w:sz w:val="16"/>
                <w:szCs w:val="16"/>
                <w:color w:val="auto"/>
                <w:w w:val="98"/>
              </w:rPr>
              <w:t>Class A Special</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Common Stock,</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9,750,000</w:t>
            </w:r>
          </w:p>
        </w:tc>
        <w:tc>
          <w:tcPr>
            <w:tcW w:w="186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$22.095</w:t>
            </w:r>
          </w:p>
        </w:tc>
        <w:tc>
          <w:tcPr>
            <w:tcW w:w="2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$215,426,250</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$19,819</w:t>
            </w:r>
          </w:p>
        </w:tc>
      </w:tr>
      <w:tr>
        <w:trPr>
          <w:trHeight w:val="179"/>
        </w:trPr>
        <w:tc>
          <w:tcPr>
            <w:tcW w:w="1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par value $1.00</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per share(1)</w:t>
            </w:r>
          </w:p>
        </w:tc>
        <w:tc>
          <w:tcPr>
            <w:tcW w:w="1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378" w:lineRule="exact"/>
        <w:rPr>
          <w:sz w:val="24"/>
          <w:szCs w:val="24"/>
          <w:color w:val="auto"/>
        </w:rPr>
      </w:pPr>
    </w:p>
    <w:p>
      <w:pPr>
        <w:ind w:left="465" w:right="4260" w:hanging="465"/>
        <w:spacing w:after="0" w:line="236" w:lineRule="auto"/>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registers the issuance of 9,750,000 shares of the Class A Special Common Stock of Comcast Corporation, par value $1.00 (the "Common Stock"), which are issuable pursuant to the Comcast Corporation 1990 Restricted Stock Plan, as amended and restated (the "Plan"). This Registration Statement also registers the issuance of deferral elections relating to such shares.</w:t>
      </w:r>
    </w:p>
    <w:p>
      <w:pPr>
        <w:spacing w:after="0" w:line="182" w:lineRule="exact"/>
        <w:rPr>
          <w:rFonts w:ascii="Courier New" w:cs="Courier New" w:eastAsia="Courier New" w:hAnsi="Courier New"/>
          <w:sz w:val="16"/>
          <w:szCs w:val="16"/>
          <w:color w:val="auto"/>
        </w:rPr>
      </w:pPr>
    </w:p>
    <w:p>
      <w:pPr>
        <w:ind w:left="465" w:right="4080" w:hanging="465"/>
        <w:spacing w:after="0" w:line="235" w:lineRule="auto"/>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416 under the Securities Act of 1933, this registration statement also covers additional shares which may be necessary to adjust the number of shares reserved for issuance pursuant to the Plan for any future stock split, stock dividend or similar adjustment of the outstanding Common Stock of the registrant.</w:t>
      </w:r>
    </w:p>
    <w:p>
      <w:pPr>
        <w:spacing w:after="0" w:line="185" w:lineRule="exact"/>
        <w:rPr>
          <w:rFonts w:ascii="Courier New" w:cs="Courier New" w:eastAsia="Courier New" w:hAnsi="Courier New"/>
          <w:sz w:val="16"/>
          <w:szCs w:val="16"/>
          <w:color w:val="auto"/>
        </w:rPr>
      </w:pPr>
    </w:p>
    <w:p>
      <w:pPr>
        <w:ind w:left="465" w:right="4080" w:hanging="465"/>
        <w:spacing w:after="0" w:line="279" w:lineRule="auto"/>
        <w:tabs>
          <w:tab w:leader="none" w:pos="46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pursuant to rule 457(c) under the Securities Act of 1933, as amended, solely for the purpose of calculating the registration fee, based on the average of the high and low sales prices of Common Stock reported on September 5, 2002, as reported on the Nasdaq National Market.</w:t>
      </w:r>
    </w:p>
    <w:p>
      <w:pPr>
        <w:sectPr>
          <w:pgSz w:w="11900" w:h="16838" w:orient="portrait"/>
          <w:cols w:equalWidth="0" w:num="1">
            <w:col w:w="11525"/>
          </w:cols>
          <w:pgMar w:left="235" w:top="589" w:right="139" w:bottom="1440" w:gutter="0" w:footer="0" w:header="0"/>
        </w:sectPr>
      </w:pPr>
    </w:p>
    <w:bookmarkStart w:id="1" w:name="page2"/>
    <w:bookmarkEnd w:id="1"/>
    <w:p>
      <w:pPr>
        <w:jc w:val="center"/>
        <w:ind w:right="2779"/>
        <w:spacing w:after="0"/>
        <w:rPr>
          <w:sz w:val="20"/>
          <w:szCs w:val="20"/>
          <w:color w:val="auto"/>
        </w:rPr>
      </w:pPr>
      <w:r>
        <w:rPr>
          <w:rFonts w:ascii="Courier New" w:cs="Courier New" w:eastAsia="Courier New" w:hAnsi="Courier New"/>
          <w:sz w:val="16"/>
          <w:szCs w:val="16"/>
          <w:color w:val="auto"/>
        </w:rPr>
        <w:t>PART I</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INFORMATION REQUIRED IN THE SECTION 10(A) PROSPECTUS</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information required by Part I of Form S-8 is included in documents to be given to the recipient of the securities registered hereby in accordance with Rule 428(b)(1) under the Securities Act of 1933, as amended.</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PART II</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Incorporation of Documents by Reference.</w:t>
      </w:r>
    </w:p>
    <w:p>
      <w:pPr>
        <w:spacing w:after="0" w:line="183" w:lineRule="exact"/>
        <w:rPr>
          <w:sz w:val="20"/>
          <w:szCs w:val="20"/>
          <w:color w:val="auto"/>
        </w:rPr>
      </w:pPr>
    </w:p>
    <w:p>
      <w:pPr>
        <w:ind w:right="3439" w:firstLine="465"/>
        <w:spacing w:after="0" w:line="279" w:lineRule="auto"/>
        <w:rPr>
          <w:sz w:val="20"/>
          <w:szCs w:val="20"/>
          <w:color w:val="auto"/>
        </w:rPr>
      </w:pPr>
      <w:r>
        <w:rPr>
          <w:rFonts w:ascii="Courier New" w:cs="Courier New" w:eastAsia="Courier New" w:hAnsi="Courier New"/>
          <w:sz w:val="14"/>
          <w:szCs w:val="14"/>
          <w:color w:val="auto"/>
        </w:rPr>
        <w:t>The following documents, as filed with the Securities and Exchange Commission (the "Commission") by Comcast Corporation (the "Registrant" or "Company"), are incorporated by reference in this Form S-8 Registration Statement (the "Registration Statement") and made a part hereof:</w:t>
      </w:r>
    </w:p>
    <w:p>
      <w:pPr>
        <w:spacing w:after="0" w:line="157" w:lineRule="exact"/>
        <w:rPr>
          <w:sz w:val="20"/>
          <w:szCs w:val="20"/>
          <w:color w:val="auto"/>
        </w:rPr>
      </w:pPr>
    </w:p>
    <w:p>
      <w:pPr>
        <w:ind w:right="3239" w:firstLine="461"/>
        <w:spacing w:after="0" w:line="234" w:lineRule="auto"/>
        <w:tabs>
          <w:tab w:leader="none" w:pos="83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fiscal year ended December 31, 2001, as filed with the Commission.</w:t>
      </w:r>
    </w:p>
    <w:p>
      <w:pPr>
        <w:spacing w:after="0" w:line="183" w:lineRule="exact"/>
        <w:rPr>
          <w:rFonts w:ascii="Courier New" w:cs="Courier New" w:eastAsia="Courier New" w:hAnsi="Courier New"/>
          <w:sz w:val="16"/>
          <w:szCs w:val="16"/>
          <w:color w:val="auto"/>
        </w:rPr>
      </w:pPr>
    </w:p>
    <w:p>
      <w:pPr>
        <w:ind w:right="2959" w:firstLine="461"/>
        <w:spacing w:after="0" w:line="235" w:lineRule="auto"/>
        <w:tabs>
          <w:tab w:leader="none" w:pos="83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financial statements for the year ended December 31, 2001 and Independent Auditors' Report (included as Exhibit 99.1 to our Registration Statement on Form S-8, related to the registration of 25,000,000 shares of Class A Special Common Stock pursuant to the Company's 1996 Stock Option Plan filed on September 9, 2002).</w:t>
      </w:r>
    </w:p>
    <w:p>
      <w:pPr>
        <w:spacing w:after="0" w:line="185" w:lineRule="exact"/>
        <w:rPr>
          <w:rFonts w:ascii="Courier New" w:cs="Courier New" w:eastAsia="Courier New" w:hAnsi="Courier New"/>
          <w:sz w:val="16"/>
          <w:szCs w:val="16"/>
          <w:color w:val="auto"/>
        </w:rPr>
      </w:pPr>
    </w:p>
    <w:p>
      <w:pPr>
        <w:ind w:right="3059" w:firstLine="461"/>
        <w:spacing w:after="0" w:line="295" w:lineRule="auto"/>
        <w:tabs>
          <w:tab w:leader="none" w:pos="83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Quarterly Reports on Form 10-Q for the fiscal quarters ended March 31, 2002 and June 30, 2002, as filed with the Commission.</w:t>
      </w:r>
    </w:p>
    <w:p>
      <w:pPr>
        <w:spacing w:after="0" w:line="146" w:lineRule="exact"/>
        <w:rPr>
          <w:rFonts w:ascii="Courier New" w:cs="Courier New" w:eastAsia="Courier New" w:hAnsi="Courier New"/>
          <w:sz w:val="14"/>
          <w:szCs w:val="14"/>
          <w:color w:val="auto"/>
        </w:rPr>
      </w:pPr>
    </w:p>
    <w:p>
      <w:pPr>
        <w:ind w:right="2879" w:firstLine="461"/>
        <w:spacing w:after="0" w:line="234" w:lineRule="auto"/>
        <w:tabs>
          <w:tab w:leader="none" w:pos="83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Reports on Form 8-K filed with the Commission on May 3, 2002, July 10, 2002 and August 1, 2002.</w:t>
      </w:r>
    </w:p>
    <w:p>
      <w:pPr>
        <w:spacing w:after="0" w:line="183" w:lineRule="exact"/>
        <w:rPr>
          <w:rFonts w:ascii="Courier New" w:cs="Courier New" w:eastAsia="Courier New" w:hAnsi="Courier New"/>
          <w:sz w:val="16"/>
          <w:szCs w:val="16"/>
          <w:color w:val="auto"/>
        </w:rPr>
      </w:pPr>
    </w:p>
    <w:p>
      <w:pPr>
        <w:ind w:right="2879" w:firstLine="461"/>
        <w:spacing w:after="0" w:line="236" w:lineRule="auto"/>
        <w:tabs>
          <w:tab w:leader="none" w:pos="83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Class A Special Common Stock, $1.00 par value per share (the "Class A Special Common Stock") contained in the Company's registration statement on Form 8-A dated November 4, 1986 and as amended on Form 8-A/A filed on July 16, 1996 pursuant to Section 12(g) of the Securities Exchange Act of 1934 (the "1934 Act"), which contain descriptions of the Class A Special Common Stock of the Company, and any amendment or reports filed for the purpose of updating such descriptions.</w:t>
      </w:r>
    </w:p>
    <w:p>
      <w:pPr>
        <w:spacing w:after="0" w:line="184"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All documents filed by the Company pursuant to Sections 13(a), 13(c), 14 and 15(d) of the Exchange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Description of Securities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Comcast Corporation 1990 Restricted Stock Plan, as amended and restated (the "Plan"), allows participants to elect to defer the receipt of restricted stock to which restrictions have lapsed pursuant to the terms of an award and the Plan (the "Deferral</w:t>
      </w:r>
    </w:p>
    <w:p>
      <w:pPr>
        <w:sectPr>
          <w:pgSz w:w="11900" w:h="16838" w:orient="portrait"/>
          <w:cols w:equalWidth="0" w:num="1">
            <w:col w:w="10219"/>
          </w:cols>
          <w:pgMar w:left="240" w:top="648" w:right="1440" w:bottom="1440" w:gutter="0" w:footer="0" w:header="0"/>
        </w:sectPr>
      </w:pPr>
    </w:p>
    <w:bookmarkStart w:id="2" w:name="page3"/>
    <w:bookmarkEnd w:id="2"/>
    <w:p>
      <w:pPr>
        <w:ind w:right="2779"/>
        <w:spacing w:after="0" w:line="236" w:lineRule="auto"/>
        <w:rPr>
          <w:sz w:val="20"/>
          <w:szCs w:val="20"/>
          <w:color w:val="auto"/>
        </w:rPr>
      </w:pPr>
      <w:r>
        <w:rPr>
          <w:rFonts w:ascii="Courier New" w:cs="Courier New" w:eastAsia="Courier New" w:hAnsi="Courier New"/>
          <w:sz w:val="16"/>
          <w:szCs w:val="16"/>
          <w:color w:val="auto"/>
        </w:rPr>
        <w:t>Elections"). The following description of the Deferral Elections which may be made pursuant to the Plan is qualified by reference to the Plan, which is included as an exhibit to this Registration Statement. The shares of Class A Special Common Stock, $1.00 par value (the "Common Stock") issuable under the Plan are not described herein as they are registered pursuant to Section 12 of the 1934 Act. Capitalized terms used in this Item 4 and not otherwise defined in this Registration Statement shall have the respective meanings assigned to such terms in the Plan. The Deferral Elections will be unsecured obligations of the Registrant to pay the shares deferred in accordance with the terms of the Plan. The Plan is administered by the Subcommittee on Performance Based Compensation of the Compensation Committee of the Board of Directors of the Registrant (the "Plan Administrator").</w:t>
      </w:r>
    </w:p>
    <w:p>
      <w:pPr>
        <w:spacing w:after="0" w:line="18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Under the Plan, the Registrant will provide certain eligible management employees with the opportunity to defer receipt of Common Stock, to which forfeiture restrictions may lapse for a period of two to ten years from the vesting date. A Deferral Election must generally be filed by the last day of the second calendar year that precedes the vesting date. If restrictions on an award of restricted stock do not lapse before the distribution date identified in a Deferral Election because of a failure to satisfy any condition precedent, a Deferral Election will be null and void. If applicable restrictions on Common Stock may lapse within the same plan year as the plan year in which the award is granted, an election to defer receipt of those shares will be effective if it is filed on or before the earlier of the 30/th/ day following the date of grant or the last day of the month that precedes the month on which the applicable restrictions may lapse. The plan year is from January 3 to the next January 2. Participants in the Plan may elect to re-defer receipt of any previously deferred shares for an additional period of two to ten years if the election to defer receipt is made on or before June 30/th/ of the calendar year preceding the year in which the shares would otherwise be paid.</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Shares subject to a Deferral Election will be distributed by the Registrant in accordance with the Plan. In general, if a participant's employment terminates before the end of a deferral period, the participant will receive his or her shares on the date stated in the Deferral Election form. However, if a participant dies before the end of a deferral period, his or her estate or beneficiary may elect to: (1) defer the payment date for two years from the scheduled payment date, provided that the payment date may not be extended for more than five years from the date of death or (2) accelerate the payment date to the January 2 of the calendar year beginning after his or her death. If a participant becomes disabled before the scheduled payment date, he or she may elect to accelerate the payment to January 2 of the calendar year beginning after he or she becomes disabled. If a participant retires before the end of a deferral period, he or she may elect to defer the payment date for two years from the scheduled payment date, provided that the payment date may not be extended for more than five years from the date of retirement. The Plan Administrator has the authority to determine whether the termination of a participant's employment is a "retirement."</w:t>
      </w:r>
    </w:p>
    <w:p>
      <w:pPr>
        <w:spacing w:after="0" w:line="19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right to receive shares of Common Stock deferred under the Plan will at all times represent the general obligation of the Registrant. Each participant will be a general creditor of the Registrant with respect to his or her Deferral Elections. Nothing contained in the Plan will be deemed to create an escrow, trust, custodial account or fiduciary relationship of any kind. Furthermore, nothing contained in the Plan or an award of restricted stock will be construed to eliminate any priority or preferred position of a grantee in a bankruptcy matter with</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3" w:name="page4"/>
    <w:bookmarkEnd w:id="3"/>
    <w:p>
      <w:pPr>
        <w:ind w:right="2779"/>
        <w:spacing w:after="0" w:line="235" w:lineRule="auto"/>
        <w:rPr>
          <w:sz w:val="20"/>
          <w:szCs w:val="20"/>
          <w:color w:val="auto"/>
        </w:rPr>
      </w:pPr>
      <w:r>
        <w:rPr>
          <w:rFonts w:ascii="Courier New" w:cs="Courier New" w:eastAsia="Courier New" w:hAnsi="Courier New"/>
          <w:sz w:val="16"/>
          <w:szCs w:val="16"/>
          <w:color w:val="auto"/>
        </w:rPr>
        <w:t>respect to a claim for wages. The right to receive shares subject to a Deferral Election will not be subject in any manner to attachment or other legal process, nor is such right subject to anticipation, alienation, sale, transfer, assignment or encumbrance.</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Board of Directors of the Registrant has the authority to terminate the Plan at any time. Furthermore, the Plan may be amended by the Board of Directors or the Plan Administrator at any time. No award of restricted stock granted under the Plan will be affected by any such termination or amendment without a participant's written consent.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Interests of Named Experts and Counsel</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Indemnification of Directors and Officers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190"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62"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Section 1744 provides that, unless ordered by a court, any indemnification under Section 1741 or 1742 shall be made by the corporation as authorized in the specific case upon a determination that the representative met the applicable standard of conduct set forth in those sections and such determination shall be made: (1) by the board of directors by majority vote of a quorum of directors not parties to the action or proceeding; (2) if a quorum is not obtainable and a majority of disinterested directors so directs, by independent legal counsel; or (3) by the shareholders.</w:t>
      </w:r>
    </w:p>
    <w:p>
      <w:pPr>
        <w:spacing w:after="0" w:line="33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4" w:name="page5"/>
    <w:bookmarkEnd w:id="4"/>
    <w:p>
      <w:pPr>
        <w:ind w:right="2959" w:firstLine="465"/>
        <w:spacing w:after="0" w:line="236" w:lineRule="auto"/>
        <w:rPr>
          <w:sz w:val="20"/>
          <w:szCs w:val="20"/>
          <w:color w:val="auto"/>
        </w:rPr>
      </w:pPr>
      <w:r>
        <w:rPr>
          <w:rFonts w:ascii="Courier New" w:cs="Courier New" w:eastAsia="Courier New" w:hAnsi="Courier New"/>
          <w:sz w:val="16"/>
          <w:szCs w:val="16"/>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Section 1746 also provides that a corporation may create a fund of any nature which may, but need not be, under the control of a trustee, or otherwise secure or insure in any manner its indemnification obligations.</w:t>
      </w:r>
    </w:p>
    <w:p>
      <w:pPr>
        <w:spacing w:after="0" w:line="34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1747 grants a corporation the power to purchase and maintain insurance on behalf of any director or officer against any liability incurred by him in his capacity as officer or director, whether or not the corporation would have the power to indemnify him against that liability under this Subchapter of the BCL.</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Sections 1748 and 1749 extend the indemnification and advancement of expenses provisions contained in Sections 1741 through 1750 of the BCL to successor corporations in fundamental changes and to representatives serving as fiduciaries of employee benefit plans.</w:t>
      </w:r>
    </w:p>
    <w:p>
      <w:pPr>
        <w:spacing w:after="0" w:line="185"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Section 1750 provides that the indemnification and advancement of expenses provided by, or granted pursuant to, Sections 1741 through 1750 of the BCL shall, unless otherwise provided when authorized or ratified, continue as to a person who has ceased to be a director, officer, employee or agent and shall inure to the benefit of the heirs and personal representatives of such person.</w:t>
      </w:r>
    </w:p>
    <w:p>
      <w:pPr>
        <w:spacing w:after="0" w:line="161"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7-2 of the Registrant's By-laws provides that the Registrant will indemnify any director or officer of the Registrant to the fullest extent permitted by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 at the request or for the benefit of the Registrant in any capacity for another corporation or other enterprise. No indemnification pursuant to Section 7-2 may be made, however, in any case where the act or failure to act giving rise to the claim for indemnification is determined by a court to have constituted willful misconduct or recklessness.</w:t>
      </w:r>
    </w:p>
    <w:p>
      <w:pPr>
        <w:spacing w:after="0" w:line="34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Section 7-2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7-2 provides that the Registrant may purchase and maintain insurance for the benefit of any person on behalf of whom insurance is permitted to be</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5" w:name="page6"/>
    <w:bookmarkEnd w:id="5"/>
    <w:p>
      <w:pPr>
        <w:ind w:right="2779"/>
        <w:spacing w:after="0" w:line="236" w:lineRule="auto"/>
        <w:rPr>
          <w:sz w:val="20"/>
          <w:szCs w:val="20"/>
          <w:color w:val="auto"/>
        </w:rPr>
      </w:pPr>
      <w:r>
        <w:rPr>
          <w:rFonts w:ascii="Courier New" w:cs="Courier New" w:eastAsia="Courier New" w:hAnsi="Courier New"/>
          <w:sz w:val="16"/>
          <w:szCs w:val="16"/>
          <w:color w:val="auto"/>
        </w:rPr>
        <w:t>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By-laws or otherwise. Furthermore, Section 7-2 states that the Registrant may create a fund of any nature or otherwise may secure in any manner its indemnification obligations, whether arising under the By-laws or otherwise. Indemnification pursuant to Section 7-2 shall continue as to an indemnified person who has ceased to be a director or officer and shall inure to the benefit of his heirs, executors and administrators.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7-3 of the Registrant's By-laws states that the provisions of the By-laws relating to indemnification constitute a contract between the Registrant and each of its directors and officers which may be modified as to any director and officer only with that person's consent or as provided in Section 7-3. Furthermore, any repeal or amendment of the indemnification provisions of the By-laws adverse to any director or officer will apply only on a prospective basis. In addition, no repeal or amendment of the By-laws may affect the indemnification provisions of the By-laws so as to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188"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Registrant has purchased directors and officers liability insurance for its directors and officers.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Exemption from Registration Claimed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Exhibits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exhibits are filed as part of this Registration Statement.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Exhibit</w:t>
            </w:r>
          </w:p>
        </w:tc>
        <w:tc>
          <w:tcPr>
            <w:tcW w:w="9080" w:type="dxa"/>
            <w:vAlign w:val="bottom"/>
          </w:tcPr>
          <w:p>
            <w:pPr>
              <w:spacing w:after="0"/>
              <w:rPr>
                <w:sz w:val="15"/>
                <w:szCs w:val="15"/>
                <w:color w:val="auto"/>
              </w:rPr>
            </w:pPr>
          </w:p>
        </w:tc>
      </w:tr>
      <w:tr>
        <w:trPr>
          <w:trHeight w:val="179"/>
        </w:trPr>
        <w:tc>
          <w:tcPr>
            <w:tcW w:w="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Number</w:t>
            </w:r>
          </w:p>
        </w:tc>
        <w:tc>
          <w:tcPr>
            <w:tcW w:w="90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Exhibit</w:t>
            </w:r>
          </w:p>
        </w:tc>
      </w:tr>
      <w:tr>
        <w:trPr>
          <w:trHeight w:val="179"/>
        </w:trPr>
        <w:tc>
          <w:tcPr>
            <w:tcW w:w="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 -------</w:t>
            </w:r>
          </w:p>
        </w:tc>
        <w:tc>
          <w:tcPr>
            <w:tcW w:w="90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r>
      <w:tr>
        <w:trPr>
          <w:trHeight w:val="85"/>
        </w:trPr>
        <w:tc>
          <w:tcPr>
            <w:tcW w:w="6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9080" w:type="dxa"/>
            <w:vAlign w:val="bottom"/>
          </w:tcPr>
          <w:p>
            <w:pPr>
              <w:spacing w:after="0"/>
              <w:rPr>
                <w:sz w:val="7"/>
                <w:szCs w:val="7"/>
                <w:color w:val="auto"/>
              </w:rPr>
            </w:pPr>
          </w:p>
        </w:tc>
      </w:tr>
      <w:tr>
        <w:trPr>
          <w:trHeight w:val="253"/>
        </w:trPr>
        <w:tc>
          <w:tcPr>
            <w:tcW w:w="64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240" w:type="dxa"/>
            <w:vAlign w:val="bottom"/>
          </w:tcPr>
          <w:p>
            <w:pPr>
              <w:spacing w:after="0"/>
              <w:rPr>
                <w:sz w:val="21"/>
                <w:szCs w:val="21"/>
                <w:color w:val="auto"/>
              </w:rPr>
            </w:pPr>
          </w:p>
        </w:tc>
        <w:tc>
          <w:tcPr>
            <w:tcW w:w="9080" w:type="dxa"/>
            <w:vAlign w:val="bottom"/>
          </w:tcPr>
          <w:p>
            <w:pPr>
              <w:ind w:left="40"/>
              <w:spacing w:after="0"/>
              <w:rPr>
                <w:sz w:val="20"/>
                <w:szCs w:val="20"/>
                <w:color w:val="auto"/>
              </w:rPr>
            </w:pPr>
            <w:r>
              <w:rPr>
                <w:rFonts w:ascii="Courier New" w:cs="Courier New" w:eastAsia="Courier New" w:hAnsi="Courier New"/>
                <w:sz w:val="16"/>
                <w:szCs w:val="16"/>
                <w:color w:val="auto"/>
                <w:w w:val="96"/>
              </w:rPr>
              <w:t>Comcast Corporation 1990 Restricted Stock Plan, as amended and restated, effective June 21, 1999.</w:t>
            </w:r>
          </w:p>
        </w:tc>
      </w:tr>
      <w:tr>
        <w:trPr>
          <w:trHeight w:val="358"/>
        </w:trPr>
        <w:tc>
          <w:tcPr>
            <w:tcW w:w="64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240" w:type="dxa"/>
            <w:vAlign w:val="bottom"/>
          </w:tcPr>
          <w:p>
            <w:pPr>
              <w:spacing w:after="0"/>
              <w:rPr>
                <w:sz w:val="24"/>
                <w:szCs w:val="24"/>
                <w:color w:val="auto"/>
              </w:rPr>
            </w:pPr>
          </w:p>
        </w:tc>
        <w:tc>
          <w:tcPr>
            <w:tcW w:w="9080" w:type="dxa"/>
            <w:vAlign w:val="bottom"/>
          </w:tcPr>
          <w:p>
            <w:pPr>
              <w:ind w:left="40"/>
              <w:spacing w:after="0"/>
              <w:rPr>
                <w:sz w:val="20"/>
                <w:szCs w:val="20"/>
                <w:color w:val="auto"/>
              </w:rPr>
            </w:pPr>
            <w:r>
              <w:rPr>
                <w:rFonts w:ascii="Courier New" w:cs="Courier New" w:eastAsia="Courier New" w:hAnsi="Courier New"/>
                <w:sz w:val="16"/>
                <w:szCs w:val="16"/>
                <w:color w:val="auto"/>
              </w:rPr>
              <w:t>Opinion of Pepper Hamilton LLP.</w:t>
            </w:r>
          </w:p>
        </w:tc>
      </w:tr>
      <w:tr>
        <w:trPr>
          <w:trHeight w:val="358"/>
        </w:trPr>
        <w:tc>
          <w:tcPr>
            <w:tcW w:w="64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240" w:type="dxa"/>
            <w:vAlign w:val="bottom"/>
          </w:tcPr>
          <w:p>
            <w:pPr>
              <w:spacing w:after="0"/>
              <w:rPr>
                <w:sz w:val="24"/>
                <w:szCs w:val="24"/>
                <w:color w:val="auto"/>
              </w:rPr>
            </w:pPr>
          </w:p>
        </w:tc>
        <w:tc>
          <w:tcPr>
            <w:tcW w:w="9080" w:type="dxa"/>
            <w:vAlign w:val="bottom"/>
          </w:tcPr>
          <w:p>
            <w:pPr>
              <w:ind w:left="40"/>
              <w:spacing w:after="0"/>
              <w:rPr>
                <w:sz w:val="20"/>
                <w:szCs w:val="20"/>
                <w:color w:val="auto"/>
              </w:rPr>
            </w:pPr>
            <w:r>
              <w:rPr>
                <w:rFonts w:ascii="Courier New" w:cs="Courier New" w:eastAsia="Courier New" w:hAnsi="Courier New"/>
                <w:sz w:val="16"/>
                <w:szCs w:val="16"/>
                <w:color w:val="auto"/>
              </w:rPr>
              <w:t>Opinion of Pepper Hamilton LLP.</w:t>
            </w:r>
          </w:p>
        </w:tc>
      </w:tr>
      <w:tr>
        <w:trPr>
          <w:trHeight w:val="358"/>
        </w:trPr>
        <w:tc>
          <w:tcPr>
            <w:tcW w:w="64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240" w:type="dxa"/>
            <w:vAlign w:val="bottom"/>
          </w:tcPr>
          <w:p>
            <w:pPr>
              <w:spacing w:after="0"/>
              <w:rPr>
                <w:sz w:val="24"/>
                <w:szCs w:val="24"/>
                <w:color w:val="auto"/>
              </w:rPr>
            </w:pPr>
          </w:p>
        </w:tc>
        <w:tc>
          <w:tcPr>
            <w:tcW w:w="9080" w:type="dxa"/>
            <w:vAlign w:val="bottom"/>
          </w:tcPr>
          <w:p>
            <w:pPr>
              <w:ind w:left="4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358"/>
        </w:trPr>
        <w:tc>
          <w:tcPr>
            <w:tcW w:w="64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240" w:type="dxa"/>
            <w:vAlign w:val="bottom"/>
          </w:tcPr>
          <w:p>
            <w:pPr>
              <w:spacing w:after="0"/>
              <w:rPr>
                <w:sz w:val="24"/>
                <w:szCs w:val="24"/>
                <w:color w:val="auto"/>
              </w:rPr>
            </w:pPr>
          </w:p>
        </w:tc>
        <w:tc>
          <w:tcPr>
            <w:tcW w:w="9080" w:type="dxa"/>
            <w:vAlign w:val="bottom"/>
          </w:tcPr>
          <w:p>
            <w:pPr>
              <w:ind w:left="40"/>
              <w:spacing w:after="0"/>
              <w:rPr>
                <w:sz w:val="20"/>
                <w:szCs w:val="20"/>
                <w:color w:val="auto"/>
              </w:rPr>
            </w:pPr>
            <w:r>
              <w:rPr>
                <w:rFonts w:ascii="Courier New" w:cs="Courier New" w:eastAsia="Courier New" w:hAnsi="Courier New"/>
                <w:sz w:val="16"/>
                <w:szCs w:val="16"/>
                <w:color w:val="auto"/>
              </w:rPr>
              <w:t>Consent of Pepper Hamilton LLP (included in Exhibits 5.1 and 5.2 hereto).</w:t>
            </w:r>
          </w:p>
        </w:tc>
      </w:tr>
      <w:tr>
        <w:trPr>
          <w:trHeight w:val="358"/>
        </w:trPr>
        <w:tc>
          <w:tcPr>
            <w:tcW w:w="64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240" w:type="dxa"/>
            <w:vAlign w:val="bottom"/>
          </w:tcPr>
          <w:p>
            <w:pPr>
              <w:spacing w:after="0"/>
              <w:rPr>
                <w:sz w:val="24"/>
                <w:szCs w:val="24"/>
                <w:color w:val="auto"/>
              </w:rPr>
            </w:pPr>
          </w:p>
        </w:tc>
        <w:tc>
          <w:tcPr>
            <w:tcW w:w="9080" w:type="dxa"/>
            <w:vAlign w:val="bottom"/>
          </w:tcPr>
          <w:p>
            <w:pPr>
              <w:ind w:left="40"/>
              <w:spacing w:after="0"/>
              <w:rPr>
                <w:sz w:val="20"/>
                <w:szCs w:val="20"/>
                <w:color w:val="auto"/>
              </w:rPr>
            </w:pPr>
            <w:r>
              <w:rPr>
                <w:rFonts w:ascii="Courier New" w:cs="Courier New" w:eastAsia="Courier New" w:hAnsi="Courier New"/>
                <w:sz w:val="16"/>
                <w:szCs w:val="16"/>
                <w:color w:val="auto"/>
              </w:rPr>
              <w:t>Power of Attorney (included on signature page).</w:t>
            </w:r>
          </w:p>
        </w:tc>
      </w:tr>
      <w:tr>
        <w:trPr>
          <w:trHeight w:val="537"/>
        </w:trPr>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80" w:type="dxa"/>
            <w:vAlign w:val="bottom"/>
          </w:tcPr>
          <w:p>
            <w:pPr>
              <w:ind w:left="2740"/>
              <w:spacing w:after="0"/>
              <w:rPr>
                <w:sz w:val="20"/>
                <w:szCs w:val="20"/>
                <w:color w:val="auto"/>
              </w:rPr>
            </w:pPr>
            <w:r>
              <w:rPr>
                <w:rFonts w:ascii="Courier New" w:cs="Courier New" w:eastAsia="Courier New" w:hAnsi="Courier New"/>
                <w:sz w:val="16"/>
                <w:szCs w:val="16"/>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-1535430</wp:posOffset>
            </wp:positionV>
            <wp:extent cx="63214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14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-1308735</wp:posOffset>
            </wp:positionV>
            <wp:extent cx="24225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25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-1081405</wp:posOffset>
            </wp:positionV>
            <wp:extent cx="24225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25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-854075</wp:posOffset>
            </wp:positionV>
            <wp:extent cx="25406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06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-626745</wp:posOffset>
            </wp:positionV>
            <wp:extent cx="49034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034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-399415</wp:posOffset>
            </wp:positionV>
            <wp:extent cx="3367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74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-59055</wp:posOffset>
            </wp:positionV>
            <wp:extent cx="24809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0945" cy="7620"/>
                    </a:xfrm>
                    <a:prstGeom prst="rect">
                      <a:avLst/>
                    </a:prstGeom>
                    <a:noFill/>
                  </pic:spPr>
                </pic:pic>
              </a:graphicData>
            </a:graphic>
          </wp:anchor>
        </w:drawing>
      </w:r>
    </w:p>
    <w:p>
      <w:pPr>
        <w:sectPr>
          <w:pgSz w:w="11900" w:h="16838" w:orient="portrait"/>
          <w:cols w:equalWidth="0" w:num="1">
            <w:col w:w="10219"/>
          </w:cols>
          <w:pgMar w:left="240" w:top="65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strike w:val="1"/>
        </w:rPr>
        <w:t>Item 9. Undertakings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undersigned registrant hereby undertakes: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29540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54020" cy="7620"/>
                    </a:xfrm>
                    <a:prstGeom prst="rect">
                      <a:avLst/>
                    </a:prstGeom>
                    <a:noFill/>
                  </pic:spPr>
                </pic:pic>
              </a:graphicData>
            </a:graphic>
          </wp:anchor>
        </w:drawing>
      </w:r>
    </w:p>
    <w:p>
      <w:pPr>
        <w:spacing w:after="0" w:line="163" w:lineRule="exact"/>
        <w:rPr>
          <w:sz w:val="20"/>
          <w:szCs w:val="20"/>
          <w:color w:val="auto"/>
        </w:rPr>
      </w:pPr>
    </w:p>
    <w:p>
      <w:pPr>
        <w:jc w:val="both"/>
        <w:ind w:right="3239" w:firstLine="461"/>
        <w:spacing w:after="0" w:line="235" w:lineRule="auto"/>
        <w:tabs>
          <w:tab w:leader="none" w:pos="83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To file, during any period in which offers or sales are being made </w:t>
      </w:r>
      <w:r>
        <w:rPr>
          <w:rFonts w:ascii="Courier New" w:cs="Courier New" w:eastAsia="Courier New" w:hAnsi="Courier New"/>
          <w:sz w:val="16"/>
          <w:szCs w:val="16"/>
          <w:color w:val="auto"/>
          <w:strike w:val="1"/>
        </w:rPr>
        <w:t>pursuant to this Registration Statement, a post-effective amendment to this Registration Statement:</w:t>
      </w:r>
    </w:p>
    <w:p>
      <w:pPr>
        <w:spacing w:after="0" w:line="183" w:lineRule="exact"/>
        <w:rPr>
          <w:rFonts w:ascii="Courier New" w:cs="Courier New" w:eastAsia="Courier New" w:hAnsi="Courier New"/>
          <w:sz w:val="16"/>
          <w:szCs w:val="16"/>
          <w:color w:val="auto"/>
        </w:rPr>
      </w:pPr>
    </w:p>
    <w:p>
      <w:pPr>
        <w:ind w:right="3159" w:firstLine="833"/>
        <w:spacing w:after="0" w:line="234" w:lineRule="auto"/>
        <w:tabs>
          <w:tab w:leader="none" w:pos="139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To include any prospectus required by Section 10(a)(3) of the </w:t>
      </w:r>
      <w:r>
        <w:rPr>
          <w:rFonts w:ascii="Courier New" w:cs="Courier New" w:eastAsia="Courier New" w:hAnsi="Courier New"/>
          <w:sz w:val="16"/>
          <w:szCs w:val="16"/>
          <w:color w:val="auto"/>
          <w:strike w:val="1"/>
        </w:rPr>
        <w:t>Securities Act of 1933;</w:t>
      </w:r>
    </w:p>
    <w:p>
      <w:pPr>
        <w:spacing w:after="0" w:line="183" w:lineRule="exact"/>
        <w:rPr>
          <w:rFonts w:ascii="Courier New" w:cs="Courier New" w:eastAsia="Courier New" w:hAnsi="Courier New"/>
          <w:sz w:val="16"/>
          <w:szCs w:val="16"/>
          <w:color w:val="auto"/>
        </w:rPr>
      </w:pPr>
    </w:p>
    <w:p>
      <w:pPr>
        <w:ind w:right="2779" w:firstLine="833"/>
        <w:spacing w:after="0" w:line="236" w:lineRule="auto"/>
        <w:tabs>
          <w:tab w:leader="none" w:pos="139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To reflect in the prospectus any facts or events arising after </w:t>
      </w:r>
      <w:r>
        <w:rPr>
          <w:rFonts w:ascii="Courier New" w:cs="Courier New" w:eastAsia="Courier New" w:hAnsi="Courier New"/>
          <w:sz w:val="16"/>
          <w:szCs w:val="16"/>
          <w:color w:val="auto"/>
          <w:strike w:val="1"/>
        </w:rPr>
        <w:t>the effective date of this Registration Statement (or the most recent post-effective amendment thereof) which, individually or in aggregate, represent a fundamental change in the information set forth in this Registration Statement. Notwithstanding the foregoing, any increase or decrease in volume of securities offered (if the total dollar value of securities offered would not exceed that which is registered) and any deviation from the low or high end of the estimated maximum range may be reflected in the form of prospectus filed with the Commission pursuant to Rule 424(b) if, in the aggregate, the changes in volume and price represent no more than 20 percent change in the maximum aggregate offering price set forth in "Calculation of Registration Fee" table in the effective registration statement;</w:t>
      </w:r>
    </w:p>
    <w:p>
      <w:pPr>
        <w:spacing w:after="0" w:line="186" w:lineRule="exact"/>
        <w:rPr>
          <w:rFonts w:ascii="Courier New" w:cs="Courier New" w:eastAsia="Courier New" w:hAnsi="Courier New"/>
          <w:sz w:val="16"/>
          <w:szCs w:val="16"/>
          <w:color w:val="auto"/>
        </w:rPr>
      </w:pPr>
    </w:p>
    <w:p>
      <w:pPr>
        <w:ind w:right="2959" w:firstLine="833"/>
        <w:spacing w:after="0" w:line="235" w:lineRule="auto"/>
        <w:tabs>
          <w:tab w:leader="none" w:pos="139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To include any material information with respect to the plan of </w:t>
      </w:r>
      <w:r>
        <w:rPr>
          <w:rFonts w:ascii="Courier New" w:cs="Courier New" w:eastAsia="Courier New" w:hAnsi="Courier New"/>
          <w:sz w:val="16"/>
          <w:szCs w:val="16"/>
          <w:color w:val="auto"/>
          <w:strike w:val="1"/>
        </w:rPr>
        <w:t>distribution not previously disclosed in this Registration Statement or any material change to such information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-2557780</wp:posOffset>
            </wp:positionV>
            <wp:extent cx="44310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-2103120</wp:posOffset>
            </wp:positionV>
            <wp:extent cx="44900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-1762760</wp:posOffset>
            </wp:positionV>
            <wp:extent cx="45491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-285750</wp:posOffset>
            </wp:positionV>
            <wp:extent cx="46081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08195" cy="7620"/>
                    </a:xfrm>
                    <a:prstGeom prst="rect">
                      <a:avLst/>
                    </a:prstGeom>
                    <a:noFill/>
                  </pic:spPr>
                </pic:pic>
              </a:graphicData>
            </a:graphic>
          </wp:anchor>
        </w:drawing>
      </w:r>
    </w:p>
    <w:p>
      <w:pPr>
        <w:spacing w:after="0" w:line="16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 xml:space="preserve">provided, however, that paragraphs (i) and (ii) above do not apply if the </w:t>
      </w:r>
      <w:r>
        <w:rPr>
          <w:rFonts w:ascii="Courier New" w:cs="Courier New" w:eastAsia="Courier New" w:hAnsi="Courier New"/>
          <w:sz w:val="16"/>
          <w:szCs w:val="16"/>
          <w:color w:val="auto"/>
          <w:strike w:val="1"/>
        </w:rPr>
        <w:t>information required to be included in a post-effective amendment by those paragraphs is contained in periodic reports filed by the Registrant pursuant to Section 13 or 15(d) of the Securities Exchange Act of 1934 that are incorporated by reference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-511175</wp:posOffset>
            </wp:positionV>
            <wp:extent cx="46081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08195" cy="7620"/>
                    </a:xfrm>
                    <a:prstGeom prst="rect">
                      <a:avLst/>
                    </a:prstGeom>
                    <a:noFill/>
                  </pic:spPr>
                </pic:pic>
              </a:graphicData>
            </a:graphic>
          </wp:anchor>
        </w:drawing>
      </w:r>
    </w:p>
    <w:p>
      <w:pPr>
        <w:spacing w:after="0" w:line="166" w:lineRule="exact"/>
        <w:rPr>
          <w:sz w:val="20"/>
          <w:szCs w:val="20"/>
          <w:color w:val="auto"/>
        </w:rPr>
      </w:pPr>
    </w:p>
    <w:p>
      <w:pPr>
        <w:ind w:right="2779" w:firstLine="461"/>
        <w:spacing w:after="0" w:line="235" w:lineRule="auto"/>
        <w:tabs>
          <w:tab w:leader="none" w:pos="83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That, for the purpose of determining any liability under the Securities </w:t>
      </w:r>
      <w:r>
        <w:rPr>
          <w:rFonts w:ascii="Courier New" w:cs="Courier New" w:eastAsia="Courier New" w:hAnsi="Courier New"/>
          <w:sz w:val="16"/>
          <w:szCs w:val="16"/>
          <w:color w:val="auto"/>
          <w:strike w:val="1"/>
        </w:rPr>
        <w:t>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To remove from registration by means of a post-effective amendment any </w:t>
      </w:r>
      <w:r>
        <w:rPr>
          <w:rFonts w:ascii="Courier New" w:cs="Courier New" w:eastAsia="Courier New" w:hAnsi="Courier New"/>
          <w:sz w:val="16"/>
          <w:szCs w:val="16"/>
          <w:color w:val="auto"/>
          <w:strike w:val="1"/>
        </w:rPr>
        <w:t>of the securities being registered which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-967105</wp:posOffset>
            </wp:positionV>
            <wp:extent cx="47263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-285750</wp:posOffset>
            </wp:positionV>
            <wp:extent cx="46672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67250" cy="7620"/>
                    </a:xfrm>
                    <a:prstGeom prst="rect">
                      <a:avLst/>
                    </a:prstGeom>
                    <a:noFill/>
                  </pic:spPr>
                </pic:pic>
              </a:graphicData>
            </a:graphic>
          </wp:anchor>
        </w:drawing>
      </w:r>
    </w:p>
    <w:p>
      <w:pPr>
        <w:spacing w:after="0" w:line="16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 xml:space="preserve">The undersigned Registrant hereby undertakes that, for purposes of </w:t>
      </w:r>
      <w:r>
        <w:rPr>
          <w:rFonts w:ascii="Courier New" w:cs="Courier New" w:eastAsia="Courier New" w:hAnsi="Courier New"/>
          <w:sz w:val="14"/>
          <w:szCs w:val="14"/>
          <w:color w:val="auto"/>
          <w:strike w:val="1"/>
        </w:rPr>
        <w:t>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-867410</wp:posOffset>
            </wp:positionV>
            <wp:extent cx="41948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94810" cy="7620"/>
                    </a:xfrm>
                    <a:prstGeom prst="rect">
                      <a:avLst/>
                    </a:prstGeom>
                    <a:noFill/>
                  </pic:spPr>
                </pic:pic>
              </a:graphicData>
            </a:graphic>
          </wp:anchor>
        </w:drawing>
      </w: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24809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0945" cy="7620"/>
                    </a:xfrm>
                    <a:prstGeom prst="rect">
                      <a:avLst/>
                    </a:prstGeom>
                    <a:noFill/>
                  </pic:spPr>
                </pic:pic>
              </a:graphicData>
            </a:graphic>
          </wp:anchor>
        </w:drawing>
      </w:r>
    </w:p>
    <w:p>
      <w:pPr>
        <w:sectPr>
          <w:pgSz w:w="11900" w:h="16838" w:orient="portrait"/>
          <w:cols w:equalWidth="0" w:num="1">
            <w:col w:w="10219"/>
          </w:cols>
          <w:pgMar w:left="240" w:top="648" w:right="1440" w:bottom="1440" w:gutter="0" w:footer="0" w:header="0"/>
        </w:sectPr>
      </w:pPr>
    </w:p>
    <w:bookmarkStart w:id="7" w:name="page8"/>
    <w:bookmarkEnd w:id="7"/>
    <w:p>
      <w:pPr>
        <w:ind w:right="2779" w:firstLine="465"/>
        <w:spacing w:after="0" w:line="272" w:lineRule="auto"/>
        <w:rPr>
          <w:sz w:val="20"/>
          <w:szCs w:val="20"/>
          <w:color w:val="auto"/>
        </w:rPr>
      </w:pPr>
      <w:r>
        <w:rPr>
          <w:rFonts w:ascii="Courier New" w:cs="Courier New" w:eastAsia="Courier New" w:hAnsi="Courier New"/>
          <w:sz w:val="14"/>
          <w:szCs w:val="14"/>
          <w:color w:val="auto"/>
        </w:rPr>
        <w:t xml:space="preserve">Insofar as indemnification for liabilities arising under the Securities Act </w:t>
      </w:r>
      <w:r>
        <w:rPr>
          <w:rFonts w:ascii="Courier New" w:cs="Courier New" w:eastAsia="Courier New" w:hAnsi="Courier New"/>
          <w:sz w:val="14"/>
          <w:szCs w:val="14"/>
          <w:color w:val="auto"/>
          <w:strike w:val="1"/>
        </w:rPr>
        <w:t>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-1431290</wp:posOffset>
            </wp:positionV>
            <wp:extent cx="472630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26305" cy="762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24809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80945" cy="7620"/>
                    </a:xfrm>
                    <a:prstGeom prst="rect">
                      <a:avLst/>
                    </a:prstGeom>
                    <a:noFill/>
                  </pic:spPr>
                </pic:pic>
              </a:graphicData>
            </a:graphic>
          </wp:anchor>
        </w:drawing>
      </w:r>
    </w:p>
    <w:p>
      <w:pPr>
        <w:sectPr>
          <w:pgSz w:w="11900" w:h="16838" w:orient="portrait"/>
          <w:cols w:equalWidth="0" w:num="1">
            <w:col w:w="10219"/>
          </w:cols>
          <w:pgMar w:left="240" w:top="654" w:right="1440" w:bottom="1440" w:gutter="0" w:footer="0" w:header="0"/>
        </w:sectPr>
      </w:pPr>
    </w:p>
    <w:bookmarkStart w:id="8" w:name="page9"/>
    <w:bookmarkEnd w:id="8"/>
    <w:p>
      <w:pPr>
        <w:ind w:left="3260"/>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26587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8745" cy="7620"/>
                    </a:xfrm>
                    <a:prstGeom prst="rect">
                      <a:avLst/>
                    </a:prstGeom>
                    <a:noFill/>
                  </pic:spPr>
                </pic:pic>
              </a:graphicData>
            </a:graphic>
          </wp:anchor>
        </w:drawing>
      </w:r>
    </w:p>
    <w:p>
      <w:pPr>
        <w:spacing w:after="0" w:line="163" w:lineRule="exact"/>
        <w:rPr>
          <w:sz w:val="20"/>
          <w:szCs w:val="20"/>
          <w:color w:val="auto"/>
        </w:rPr>
      </w:pPr>
    </w:p>
    <w:p>
      <w:pPr>
        <w:ind w:right="3440" w:firstLine="465"/>
        <w:spacing w:after="0" w:line="276" w:lineRule="auto"/>
        <w:rPr>
          <w:sz w:val="20"/>
          <w:szCs w:val="20"/>
          <w:color w:val="auto"/>
        </w:rPr>
      </w:pPr>
      <w:r>
        <w:rPr>
          <w:rFonts w:ascii="Courier New" w:cs="Courier New" w:eastAsia="Courier New" w:hAnsi="Courier New"/>
          <w:sz w:val="14"/>
          <w:szCs w:val="14"/>
          <w:color w:val="auto"/>
        </w:rPr>
        <w:t xml:space="preserve">Pursuant to the requirements of the Securities Act of 1933, the Registrant </w:t>
      </w:r>
      <w:r>
        <w:rPr>
          <w:rFonts w:ascii="Courier New" w:cs="Courier New" w:eastAsia="Courier New" w:hAnsi="Courier New"/>
          <w:sz w:val="14"/>
          <w:szCs w:val="14"/>
          <w:color w:val="auto"/>
          <w:strike w:val="1"/>
        </w:rPr>
        <w:t>certifies that it has reasonable grounds to believe that it meets all of the requirements for filing on Form S-8 and has duly caused this Registration Statement to be signed on its behalf by the undersigned, thereunto duly authorized, in Philadelphia, Pennsylvania, on September 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-526415</wp:posOffset>
            </wp:positionV>
            <wp:extent cx="46672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67250" cy="7620"/>
                    </a:xfrm>
                    <a:prstGeom prst="rect">
                      <a:avLst/>
                    </a:prstGeom>
                    <a:noFill/>
                  </pic:spPr>
                </pic:pic>
              </a:graphicData>
            </a:graphic>
          </wp:anchor>
        </w:drawing>
      </w:r>
    </w:p>
    <w:p>
      <w:pPr>
        <w:spacing w:after="0" w:line="13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32492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49295" cy="7620"/>
                    </a:xfrm>
                    <a:prstGeom prst="rect">
                      <a:avLst/>
                    </a:prstGeom>
                    <a:noFill/>
                  </pic:spPr>
                </pic:pic>
              </a:graphicData>
            </a:graphic>
          </wp:anchor>
        </w:drawing>
      </w:r>
    </w:p>
    <w:p>
      <w:pPr>
        <w:sectPr>
          <w:pgSz w:w="11900" w:h="16838" w:orient="portrait"/>
          <w:cols w:equalWidth="0" w:num="1">
            <w:col w:w="10780"/>
          </w:cols>
          <w:pgMar w:left="240" w:top="648" w:right="879" w:bottom="1440" w:gutter="0" w:footer="0" w:header="0"/>
        </w:sectPr>
      </w:pPr>
    </w:p>
    <w:p>
      <w:pPr>
        <w:spacing w:after="0" w:line="18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-48260</wp:posOffset>
            </wp:positionV>
            <wp:extent cx="39579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579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178435</wp:posOffset>
            </wp:positionV>
            <wp:extent cx="449008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900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3340" w:firstLine="558"/>
        <w:spacing w:after="0" w:line="279" w:lineRule="auto"/>
        <w:rPr>
          <w:sz w:val="20"/>
          <w:szCs w:val="20"/>
          <w:color w:val="auto"/>
        </w:rPr>
      </w:pPr>
      <w:r>
        <w:rPr>
          <w:rFonts w:ascii="Courier New" w:cs="Courier New" w:eastAsia="Courier New" w:hAnsi="Courier New"/>
          <w:sz w:val="14"/>
          <w:szCs w:val="14"/>
          <w:color w:val="auto"/>
        </w:rPr>
        <w:t>/s/ Lawrence J. Salva ---------------------------------------- Name: Lawrence J. Salva, Senior Vice President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-302260</wp:posOffset>
            </wp:positionV>
            <wp:extent cx="47263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-74930</wp:posOffset>
            </wp:positionV>
            <wp:extent cx="472630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26305" cy="762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3620" w:space="100"/>
            <w:col w:w="7060"/>
          </w:cols>
          <w:pgMar w:left="240" w:top="648" w:right="879" w:bottom="1440" w:gutter="0" w:footer="0" w:header="0"/>
          <w:type w:val="continuous"/>
        </w:sectPr>
      </w:pPr>
    </w:p>
    <w:p>
      <w:pPr>
        <w:ind w:left="2980"/>
        <w:spacing w:after="0"/>
        <w:rPr>
          <w:sz w:val="20"/>
          <w:szCs w:val="20"/>
          <w:color w:val="auto"/>
        </w:rPr>
      </w:pPr>
      <w:r>
        <w:rPr>
          <w:rFonts w:ascii="Courier New" w:cs="Courier New" w:eastAsia="Courier New" w:hAnsi="Courier New"/>
          <w:sz w:val="16"/>
          <w:szCs w:val="16"/>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289496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4965" cy="7620"/>
                    </a:xfrm>
                    <a:prstGeom prst="rect">
                      <a:avLst/>
                    </a:prstGeom>
                    <a:noFill/>
                  </pic:spPr>
                </pic:pic>
              </a:graphicData>
            </a:graphic>
          </wp:anchor>
        </w:drawing>
      </w:r>
    </w:p>
    <w:p>
      <w:pPr>
        <w:spacing w:after="0" w:line="163" w:lineRule="exact"/>
        <w:rPr>
          <w:sz w:val="20"/>
          <w:szCs w:val="20"/>
          <w:color w:val="auto"/>
        </w:rPr>
      </w:pPr>
    </w:p>
    <w:p>
      <w:pPr>
        <w:ind w:right="3340" w:firstLine="465"/>
        <w:spacing w:after="0" w:line="272" w:lineRule="auto"/>
        <w:rPr>
          <w:sz w:val="20"/>
          <w:szCs w:val="20"/>
          <w:color w:val="auto"/>
        </w:rPr>
      </w:pPr>
      <w:r>
        <w:rPr>
          <w:rFonts w:ascii="Courier New" w:cs="Courier New" w:eastAsia="Courier New" w:hAnsi="Courier New"/>
          <w:sz w:val="14"/>
          <w:szCs w:val="14"/>
          <w:color w:val="auto"/>
        </w:rPr>
        <w:t xml:space="preserve">KNOW ALL MEN BY THESE PRESENTS, that each individual whose signature </w:t>
      </w:r>
      <w:r>
        <w:rPr>
          <w:rFonts w:ascii="Courier New" w:cs="Courier New" w:eastAsia="Courier New" w:hAnsi="Courier New"/>
          <w:sz w:val="14"/>
          <w:szCs w:val="14"/>
          <w:color w:val="auto"/>
          <w:strike w:val="1"/>
        </w:rPr>
        <w:t>appears below constitutes and appoints Ralph J. Roberts, Brian L. Roberts, John R. Alchin, Stanley Wang, Lawrence J. Salva and Arthur R. Block, and each or any of them, his/her true and lawful attorney-in-fact and agent, with full power of substitution and resubstitution, for him/her and in his/her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he/she might or could do in person, hereby ratifying and confirming all that said attorneys-in-fact and agents, or any of them, or their, his/her substitutes or substitute,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-1545590</wp:posOffset>
            </wp:positionV>
            <wp:extent cx="431292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2920" cy="7620"/>
                    </a:xfrm>
                    <a:prstGeom prst="rect">
                      <a:avLst/>
                    </a:prstGeom>
                    <a:noFill/>
                  </pic:spPr>
                </pic:pic>
              </a:graphicData>
            </a:graphic>
          </wp:anchor>
        </w:drawing>
      </w:r>
    </w:p>
    <w:p>
      <w:pPr>
        <w:spacing w:after="0" w:line="326" w:lineRule="exact"/>
        <w:rPr>
          <w:sz w:val="20"/>
          <w:szCs w:val="20"/>
          <w:color w:val="auto"/>
        </w:rPr>
      </w:pPr>
    </w:p>
    <w:p>
      <w:pPr>
        <w:ind w:right="3720" w:firstLine="465"/>
        <w:spacing w:after="0" w:line="235" w:lineRule="auto"/>
        <w:rPr>
          <w:sz w:val="20"/>
          <w:szCs w:val="20"/>
          <w:color w:val="auto"/>
        </w:rPr>
      </w:pPr>
      <w:r>
        <w:rPr>
          <w:rFonts w:ascii="Courier New" w:cs="Courier New" w:eastAsia="Courier New" w:hAnsi="Courier New"/>
          <w:sz w:val="16"/>
          <w:szCs w:val="16"/>
          <w:color w:val="auto"/>
        </w:rPr>
        <w:t xml:space="preserve">Pursuant to the requirements of the Securities Act of 1933, this </w:t>
      </w:r>
      <w:r>
        <w:rPr>
          <w:rFonts w:ascii="Courier New" w:cs="Courier New" w:eastAsia="Courier New" w:hAnsi="Courier New"/>
          <w:sz w:val="16"/>
          <w:szCs w:val="16"/>
          <w:color w:val="auto"/>
          <w:strike w:val="1"/>
        </w:rPr>
        <w:t>Registration Statement has been signed below by the following persons in the capacities and on the date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-285750</wp:posOffset>
            </wp:positionV>
            <wp:extent cx="4076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76700" cy="7620"/>
                    </a:xfrm>
                    <a:prstGeom prst="rect">
                      <a:avLst/>
                    </a:prstGeom>
                    <a:noFill/>
                  </pic:spPr>
                </pic:pic>
              </a:graphicData>
            </a:graphic>
          </wp:anchor>
        </w:drawing>
      </w:r>
    </w:p>
    <w:p>
      <w:pPr>
        <w:sectPr>
          <w:pgSz w:w="11900" w:h="16838" w:orient="portrait"/>
          <w:cols w:equalWidth="0" w:num="1">
            <w:col w:w="10780"/>
          </w:cols>
          <w:pgMar w:left="240" w:top="648" w:right="87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-48260</wp:posOffset>
            </wp:positionV>
            <wp:extent cx="61442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44260" cy="7620"/>
                    </a:xfrm>
                    <a:prstGeom prst="rect">
                      <a:avLst/>
                    </a:prstGeom>
                    <a:noFill/>
                  </pic:spPr>
                </pic:pic>
              </a:graphicData>
            </a:graphic>
          </wp:anchor>
        </w:drawing>
        <w:drawing>
          <wp:anchor simplePos="0" relativeHeight="251657728" behindDoc="1" locked="0" layoutInCell="0" allowOverlap="1">
            <wp:simplePos x="0" y="0"/>
            <wp:positionH relativeFrom="column">
              <wp:posOffset>-3660140</wp:posOffset>
            </wp:positionH>
            <wp:positionV relativeFrom="paragraph">
              <wp:posOffset>64770</wp:posOffset>
            </wp:positionV>
            <wp:extent cx="53759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759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93" w:lineRule="exact"/>
        <w:rPr>
          <w:sz w:val="20"/>
          <w:szCs w:val="20"/>
          <w:color w:val="auto"/>
        </w:rPr>
      </w:pPr>
    </w:p>
    <w:p>
      <w:pPr>
        <w:sectPr>
          <w:pgSz w:w="11900" w:h="16838" w:orient="portrait"/>
          <w:cols w:equalWidth="0" w:num="3">
            <w:col w:w="5040" w:space="720"/>
            <w:col w:w="2820" w:space="720"/>
            <w:col w:w="1480"/>
          </w:cols>
          <w:pgMar w:left="240" w:top="648" w:right="879" w:bottom="1440" w:gutter="0" w:footer="0" w:header="0"/>
          <w:type w:val="continuous"/>
        </w:sectPr>
      </w:pPr>
    </w:p>
    <w:p>
      <w:pPr>
        <w:ind w:left="460"/>
        <w:spacing w:after="0"/>
        <w:rPr>
          <w:sz w:val="20"/>
          <w:szCs w:val="20"/>
          <w:color w:val="auto"/>
        </w:rPr>
      </w:pPr>
      <w:r>
        <w:rPr>
          <w:rFonts w:ascii="Courier New" w:cs="Courier New" w:eastAsia="Courier New" w:hAnsi="Courier New"/>
          <w:sz w:val="16"/>
          <w:szCs w:val="16"/>
          <w:color w:val="auto"/>
        </w:rPr>
        <w:t>/s/ Ralph J. Roberts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of Directors;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-2415540</wp:posOffset>
            </wp:positionH>
            <wp:positionV relativeFrom="paragraph">
              <wp:posOffset>-48260</wp:posOffset>
            </wp:positionV>
            <wp:extent cx="67348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4810" cy="7620"/>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64770</wp:posOffset>
            </wp:positionV>
            <wp:extent cx="685292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29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September 9, 2002</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3">
            <w:col w:w="3540" w:space="260"/>
            <w:col w:w="4500" w:space="720"/>
            <w:col w:w="1760"/>
          </w:cols>
          <w:pgMar w:left="240" w:top="648" w:right="8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Ralph J. Roberts</w:t>
      </w:r>
    </w:p>
    <w:p>
      <w:pPr>
        <w:sectPr>
          <w:pgSz w:w="11900" w:h="16838" w:orient="portrait"/>
          <w:cols w:equalWidth="0" w:num="1">
            <w:col w:w="10780"/>
          </w:cols>
          <w:pgMar w:left="240" w:top="648" w:right="879" w:bottom="1440" w:gutter="0" w:footer="0" w:header="0"/>
          <w:type w:val="continuous"/>
        </w:sectPr>
      </w:pPr>
    </w:p>
    <w:p>
      <w:pPr>
        <w:spacing w:after="0" w:line="19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 Julian A. Brodsky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 of the Board of Directors;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-2415540</wp:posOffset>
            </wp:positionH>
            <wp:positionV relativeFrom="paragraph">
              <wp:posOffset>-48260</wp:posOffset>
            </wp:positionV>
            <wp:extent cx="67348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4810" cy="7620"/>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64770</wp:posOffset>
            </wp:positionV>
            <wp:extent cx="685292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29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9, 2002</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ectPr>
          <w:pgSz w:w="11900" w:h="16838" w:orient="portrait"/>
          <w:cols w:equalWidth="0" w:num="3">
            <w:col w:w="3540" w:space="260"/>
            <w:col w:w="4560" w:space="660"/>
            <w:col w:w="1760"/>
          </w:cols>
          <w:pgMar w:left="240" w:top="648" w:right="87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strike w:val="1"/>
        </w:rPr>
        <w:t>Julian A. Brodsky</w:t>
      </w:r>
    </w:p>
    <w:p>
      <w:pPr>
        <w:spacing w:after="0" w:line="3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-48260</wp:posOffset>
            </wp:positionV>
            <wp:extent cx="248094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80945" cy="7620"/>
                    </a:xfrm>
                    <a:prstGeom prst="rect">
                      <a:avLst/>
                    </a:prstGeom>
                    <a:noFill/>
                  </pic:spPr>
                </pic:pic>
              </a:graphicData>
            </a:graphic>
          </wp:anchor>
        </w:drawing>
      </w:r>
    </w:p>
    <w:p>
      <w:pPr>
        <w:sectPr>
          <w:pgSz w:w="11900" w:h="16838" w:orient="portrait"/>
          <w:cols w:equalWidth="0" w:num="1">
            <w:col w:w="10780"/>
          </w:cols>
          <w:pgMar w:left="240" w:top="648" w:right="879" w:bottom="1440" w:gutter="0" w:footer="0" w:header="0"/>
          <w:type w:val="continuous"/>
        </w:sectPr>
      </w:pPr>
    </w:p>
    <w:bookmarkStart w:id="9" w:name="page10"/>
    <w:bookmarkEnd w:id="9"/>
    <w:p>
      <w:pPr>
        <w:ind w:left="80"/>
        <w:spacing w:after="0"/>
        <w:rPr>
          <w:sz w:val="20"/>
          <w:szCs w:val="20"/>
          <w:color w:val="auto"/>
        </w:rPr>
      </w:pPr>
      <w:r>
        <w:rPr>
          <w:rFonts w:ascii="Courier New" w:cs="Courier New" w:eastAsia="Courier New" w:hAnsi="Courier New"/>
          <w:sz w:val="16"/>
          <w:szCs w:val="16"/>
          <w:color w:val="auto"/>
        </w:rPr>
        <w:t>/s/ Brian L. Roberts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-161925</wp:posOffset>
            </wp:positionV>
            <wp:extent cx="466725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-48260</wp:posOffset>
            </wp:positionV>
            <wp:extent cx="632142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21425" cy="762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64770</wp:posOffset>
            </wp:positionV>
            <wp:extent cx="67348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48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September 9,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3">
            <w:col w:w="2700" w:space="80"/>
            <w:col w:w="4580" w:space="720"/>
            <w:col w:w="2520"/>
          </w:cols>
          <w:pgMar w:left="240" w:top="1006" w:right="1059" w:bottom="1440" w:gutter="0" w:footer="0" w:header="0"/>
        </w:sectPr>
      </w:pPr>
    </w:p>
    <w:p>
      <w:pPr>
        <w:spacing w:after="0"/>
        <w:rPr>
          <w:sz w:val="20"/>
          <w:szCs w:val="20"/>
          <w:color w:val="auto"/>
        </w:rPr>
      </w:pPr>
      <w:r>
        <w:rPr>
          <w:rFonts w:ascii="Courier New" w:cs="Courier New" w:eastAsia="Courier New" w:hAnsi="Courier New"/>
          <w:sz w:val="14"/>
          <w:szCs w:val="14"/>
          <w:color w:val="auto"/>
          <w:strike w:val="1"/>
        </w:rPr>
        <w:t>Brian L. Roberts</w:t>
      </w:r>
    </w:p>
    <w:p>
      <w:pPr>
        <w:sectPr>
          <w:pgSz w:w="11900" w:h="16838" w:orient="portrait"/>
          <w:cols w:equalWidth="0" w:num="1">
            <w:col w:w="10600"/>
          </w:cols>
          <w:pgMar w:left="240" w:top="1006" w:right="1059" w:bottom="1440" w:gutter="0" w:footer="0" w:header="0"/>
          <w:type w:val="continuous"/>
        </w:sectPr>
      </w:pPr>
    </w:p>
    <w:p>
      <w:pPr>
        <w:spacing w:after="0" w:line="19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 John R. Alchin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Treasurer (Co-Principal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-48260</wp:posOffset>
            </wp:positionV>
            <wp:extent cx="632142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21425" cy="762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64770</wp:posOffset>
            </wp:positionV>
            <wp:extent cx="67348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48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September 9,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3">
            <w:col w:w="2700" w:space="80"/>
            <w:col w:w="4580" w:space="720"/>
            <w:col w:w="2520"/>
          </w:cols>
          <w:pgMar w:left="240" w:top="1006" w:right="10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John R. Alchin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-48260</wp:posOffset>
            </wp:positionV>
            <wp:extent cx="28359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35910" cy="762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2060" w:space="720"/>
            <w:col w:w="7820"/>
          </w:cols>
          <w:pgMar w:left="240" w:top="1006" w:right="1059" w:bottom="1440" w:gutter="0" w:footer="0" w:header="0"/>
          <w:type w:val="continuous"/>
        </w:sectPr>
      </w:pPr>
    </w:p>
    <w:p>
      <w:pPr>
        <w:ind w:left="80"/>
        <w:spacing w:after="0"/>
        <w:rPr>
          <w:sz w:val="20"/>
          <w:szCs w:val="20"/>
          <w:color w:val="auto"/>
        </w:rPr>
      </w:pPr>
      <w:r>
        <w:rPr>
          <w:rFonts w:ascii="Courier New" w:cs="Courier New" w:eastAsia="Courier New" w:hAnsi="Courier New"/>
          <w:sz w:val="16"/>
          <w:szCs w:val="16"/>
          <w:color w:val="auto"/>
        </w:rPr>
        <w:t>/s/ Lawrence S. 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 (Co-Principal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-48260</wp:posOffset>
            </wp:positionV>
            <wp:extent cx="632142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21425" cy="762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64770</wp:posOffset>
            </wp:positionV>
            <wp:extent cx="67348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48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September 9,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3">
            <w:col w:w="2700" w:space="80"/>
            <w:col w:w="4580" w:space="720"/>
            <w:col w:w="2520"/>
          </w:cols>
          <w:pgMar w:left="240" w:top="1006" w:right="10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-48260</wp:posOffset>
            </wp:positionV>
            <wp:extent cx="224472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447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Officer)</w:t>
      </w:r>
    </w:p>
    <w:p>
      <w:pPr>
        <w:spacing w:after="0" w:line="193" w:lineRule="exact"/>
        <w:rPr>
          <w:sz w:val="20"/>
          <w:szCs w:val="20"/>
          <w:color w:val="auto"/>
        </w:rPr>
      </w:pPr>
    </w:p>
    <w:p>
      <w:pPr>
        <w:sectPr>
          <w:pgSz w:w="11900" w:h="16838" w:orient="portrait"/>
          <w:cols w:equalWidth="0" w:num="2">
            <w:col w:w="2060" w:space="720"/>
            <w:col w:w="7820"/>
          </w:cols>
          <w:pgMar w:left="240" w:top="1006" w:right="1059" w:bottom="1440" w:gutter="0" w:footer="0" w:header="0"/>
          <w:type w:val="continuous"/>
        </w:sectPr>
      </w:pPr>
    </w:p>
    <w:p>
      <w:pPr>
        <w:ind w:left="80"/>
        <w:spacing w:after="0"/>
        <w:rPr>
          <w:sz w:val="20"/>
          <w:szCs w:val="20"/>
          <w:color w:val="auto"/>
        </w:rPr>
      </w:pPr>
      <w:r>
        <w:rPr>
          <w:rFonts w:ascii="Courier New" w:cs="Courier New" w:eastAsia="Courier New" w:hAnsi="Courier New"/>
          <w:sz w:val="16"/>
          <w:szCs w:val="16"/>
          <w:color w:val="auto"/>
        </w:rPr>
        <w:t>/s/ Lawrence J. Salva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-48260</wp:posOffset>
            </wp:positionV>
            <wp:extent cx="632142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21425" cy="762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64770</wp:posOffset>
            </wp:positionV>
            <wp:extent cx="67348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48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September 9,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3">
            <w:col w:w="2700" w:space="80"/>
            <w:col w:w="4840" w:space="460"/>
            <w:col w:w="2520"/>
          </w:cols>
          <w:pgMar w:left="240" w:top="1006" w:right="10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Lawrence J. Salva</w:t>
      </w:r>
    </w:p>
    <w:p>
      <w:pPr>
        <w:sectPr>
          <w:pgSz w:w="11900" w:h="16838" w:orient="portrait"/>
          <w:cols w:equalWidth="0" w:num="1">
            <w:col w:w="10600"/>
          </w:cols>
          <w:pgMar w:left="240" w:top="1006" w:right="1059" w:bottom="1440" w:gutter="0" w:footer="0" w:header="0"/>
          <w:type w:val="continuous"/>
        </w:sectPr>
      </w:pPr>
    </w:p>
    <w:p>
      <w:pPr>
        <w:spacing w:after="0" w:line="19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 Decker Anstrom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-48260</wp:posOffset>
            </wp:positionV>
            <wp:extent cx="632142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21425" cy="762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64770</wp:posOffset>
            </wp:positionV>
            <wp:extent cx="67348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48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September 9,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3">
            <w:col w:w="2700" w:space="80"/>
            <w:col w:w="4580" w:space="720"/>
            <w:col w:w="2520"/>
          </w:cols>
          <w:pgMar w:left="240" w:top="1006" w:right="10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Decker Anstrom</w:t>
      </w:r>
    </w:p>
    <w:p>
      <w:pPr>
        <w:sectPr>
          <w:pgSz w:w="11900" w:h="16838" w:orient="portrait"/>
          <w:cols w:equalWidth="0" w:num="1">
            <w:col w:w="10600"/>
          </w:cols>
          <w:pgMar w:left="240" w:top="1006" w:right="105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___________________________</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strike w:val="1"/>
        </w:rPr>
        <w:t>Director</w:t>
      </w:r>
    </w:p>
    <w:p>
      <w:pPr>
        <w:spacing w:after="0" w:line="20" w:lineRule="exact"/>
        <w:rPr>
          <w:sz w:val="20"/>
          <w:szCs w:val="20"/>
          <w:color w:val="auto"/>
        </w:rPr>
      </w:pPr>
    </w:p>
    <w:p>
      <w:pPr>
        <w:sectPr>
          <w:pgSz w:w="11900" w:h="16838" w:orient="portrait"/>
          <w:cols w:equalWidth="0" w:num="2">
            <w:col w:w="2500" w:space="280"/>
            <w:col w:w="7820"/>
          </w:cols>
          <w:pgMar w:left="240" w:top="1006" w:right="10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Sheldon M. Bonovitz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-48260</wp:posOffset>
            </wp:positionV>
            <wp:extent cx="6616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6700" cy="7620"/>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7180" w:space="720"/>
            <w:col w:w="2700"/>
          </w:cols>
          <w:pgMar w:left="240" w:top="1006" w:right="10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strike w:val="1"/>
        </w:rPr>
        <w:t>Director</w:t>
      </w:r>
    </w:p>
    <w:p>
      <w:pPr>
        <w:spacing w:after="0" w:line="20" w:lineRule="exact"/>
        <w:rPr>
          <w:sz w:val="20"/>
          <w:szCs w:val="20"/>
          <w:color w:val="auto"/>
        </w:rPr>
      </w:pPr>
    </w:p>
    <w:p>
      <w:pPr>
        <w:sectPr>
          <w:pgSz w:w="11900" w:h="16838" w:orient="portrait"/>
          <w:cols w:equalWidth="0" w:num="2">
            <w:col w:w="2500" w:space="280"/>
            <w:col w:w="7820"/>
          </w:cols>
          <w:pgMar w:left="240" w:top="1006" w:right="10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Joseph L. Castle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-48260</wp:posOffset>
            </wp:positionV>
            <wp:extent cx="6616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6700" cy="762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7180" w:space="720"/>
            <w:col w:w="2700"/>
          </w:cols>
          <w:pgMar w:left="240" w:top="1006" w:right="1059" w:bottom="1440" w:gutter="0" w:footer="0" w:header="0"/>
          <w:type w:val="continuous"/>
        </w:sectPr>
      </w:pPr>
    </w:p>
    <w:p>
      <w:pPr>
        <w:ind w:left="80"/>
        <w:spacing w:after="0"/>
        <w:rPr>
          <w:sz w:val="20"/>
          <w:szCs w:val="20"/>
          <w:color w:val="auto"/>
        </w:rPr>
      </w:pPr>
      <w:r>
        <w:rPr>
          <w:rFonts w:ascii="Courier New" w:cs="Courier New" w:eastAsia="Courier New" w:hAnsi="Courier New"/>
          <w:sz w:val="16"/>
          <w:szCs w:val="16"/>
          <w:color w:val="auto"/>
        </w:rPr>
        <w:t>/s/ Felix G. Rohatyn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-48260</wp:posOffset>
            </wp:positionV>
            <wp:extent cx="632142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21425" cy="762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64770</wp:posOffset>
            </wp:positionV>
            <wp:extent cx="67348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48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September 9,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3">
            <w:col w:w="2700" w:space="80"/>
            <w:col w:w="4580" w:space="720"/>
            <w:col w:w="2520"/>
          </w:cols>
          <w:pgMar w:left="240" w:top="1006" w:right="10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Felix G. Rohatyn</w:t>
      </w:r>
    </w:p>
    <w:p>
      <w:pPr>
        <w:sectPr>
          <w:pgSz w:w="11900" w:h="16838" w:orient="portrait"/>
          <w:cols w:equalWidth="0" w:num="1">
            <w:col w:w="10600"/>
          </w:cols>
          <w:pgMar w:left="240" w:top="1006" w:right="1059" w:bottom="1440" w:gutter="0" w:footer="0" w:header="0"/>
          <w:type w:val="continuous"/>
        </w:sectPr>
      </w:pPr>
    </w:p>
    <w:p>
      <w:pPr>
        <w:spacing w:after="0" w:line="19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 Bernard C. Watson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-48260</wp:posOffset>
            </wp:positionV>
            <wp:extent cx="632142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21425" cy="762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64770</wp:posOffset>
            </wp:positionV>
            <wp:extent cx="67348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48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September 9,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3">
            <w:col w:w="2700" w:space="80"/>
            <w:col w:w="4580" w:space="720"/>
            <w:col w:w="2520"/>
          </w:cols>
          <w:pgMar w:left="240" w:top="1006" w:right="10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Bernard C. Watson</w:t>
      </w:r>
    </w:p>
    <w:p>
      <w:pPr>
        <w:sectPr>
          <w:pgSz w:w="11900" w:h="16838" w:orient="portrait"/>
          <w:cols w:equalWidth="0" w:num="1">
            <w:col w:w="10600"/>
          </w:cols>
          <w:pgMar w:left="240" w:top="1006" w:right="1059" w:bottom="1440" w:gutter="0" w:footer="0" w:header="0"/>
          <w:type w:val="continuous"/>
        </w:sectPr>
      </w:pPr>
    </w:p>
    <w:p>
      <w:pPr>
        <w:spacing w:after="0" w:line="19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 Irving A. Wechsler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-48260</wp:posOffset>
            </wp:positionV>
            <wp:extent cx="632142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21425" cy="762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64770</wp:posOffset>
            </wp:positionV>
            <wp:extent cx="67348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48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September 9,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3">
            <w:col w:w="2700" w:space="80"/>
            <w:col w:w="4580" w:space="720"/>
            <w:col w:w="2520"/>
          </w:cols>
          <w:pgMar w:left="240" w:top="1006" w:right="10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strike w:val="1"/>
        </w:rPr>
        <w:t>Irving A. Wechsler</w:t>
      </w:r>
    </w:p>
    <w:p>
      <w:pPr>
        <w:sectPr>
          <w:pgSz w:w="11900" w:h="16838" w:orient="portrait"/>
          <w:cols w:equalWidth="0" w:num="1">
            <w:col w:w="10600"/>
          </w:cols>
          <w:pgMar w:left="240" w:top="1006" w:right="1059" w:bottom="1440" w:gutter="0" w:footer="0" w:header="0"/>
          <w:type w:val="continuous"/>
        </w:sectPr>
      </w:pPr>
    </w:p>
    <w:p>
      <w:pPr>
        <w:spacing w:after="0" w:line="19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 Anne Wexler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-48260</wp:posOffset>
            </wp:positionV>
            <wp:extent cx="632142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21425" cy="762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64770</wp:posOffset>
            </wp:positionV>
            <wp:extent cx="67348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48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September 9,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ectPr>
          <w:pgSz w:w="11900" w:h="16838" w:orient="portrait"/>
          <w:cols w:equalWidth="0" w:num="3">
            <w:col w:w="2700" w:space="80"/>
            <w:col w:w="4580" w:space="720"/>
            <w:col w:w="2520"/>
          </w:cols>
          <w:pgMar w:left="240" w:top="1006" w:right="105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strike w:val="1"/>
        </w:rPr>
        <w:t>Anne Wexler</w:t>
      </w:r>
    </w:p>
    <w:p>
      <w:pPr>
        <w:spacing w:after="0" w:line="3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-48260</wp:posOffset>
            </wp:positionV>
            <wp:extent cx="248094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80945" cy="7620"/>
                    </a:xfrm>
                    <a:prstGeom prst="rect">
                      <a:avLst/>
                    </a:prstGeom>
                    <a:noFill/>
                  </pic:spPr>
                </pic:pic>
              </a:graphicData>
            </a:graphic>
          </wp:anchor>
        </w:drawing>
      </w:r>
    </w:p>
    <w:p>
      <w:pPr>
        <w:sectPr>
          <w:pgSz w:w="11900" w:h="16838" w:orient="portrait"/>
          <w:cols w:equalWidth="0" w:num="1">
            <w:col w:w="10600"/>
          </w:cols>
          <w:pgMar w:left="240" w:top="1006" w:right="105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81"/>
        </w:trPr>
        <w:tc>
          <w:tcPr>
            <w:tcW w:w="1020" w:type="dxa"/>
            <w:vAlign w:val="bottom"/>
          </w:tcPr>
          <w:p>
            <w:pPr>
              <w:spacing w:after="0"/>
              <w:rPr>
                <w:sz w:val="15"/>
                <w:szCs w:val="15"/>
                <w:color w:val="auto"/>
              </w:rPr>
            </w:pPr>
          </w:p>
        </w:tc>
        <w:tc>
          <w:tcPr>
            <w:tcW w:w="6040" w:type="dxa"/>
            <w:vAlign w:val="bottom"/>
          </w:tcPr>
          <w:p>
            <w:pPr>
              <w:ind w:left="1860"/>
              <w:spacing w:after="0"/>
              <w:rPr>
                <w:sz w:val="20"/>
                <w:szCs w:val="20"/>
                <w:color w:val="auto"/>
              </w:rPr>
            </w:pPr>
            <w:r>
              <w:rPr>
                <w:rFonts w:ascii="Courier New" w:cs="Courier New" w:eastAsia="Courier New" w:hAnsi="Courier New"/>
                <w:sz w:val="16"/>
                <w:szCs w:val="16"/>
                <w:color w:val="auto"/>
              </w:rPr>
              <w:t>COMCAST CORPORATION</w:t>
            </w:r>
          </w:p>
        </w:tc>
      </w:tr>
      <w:tr>
        <w:trPr>
          <w:trHeight w:val="358"/>
        </w:trPr>
        <w:tc>
          <w:tcPr>
            <w:tcW w:w="1020" w:type="dxa"/>
            <w:vAlign w:val="bottom"/>
          </w:tcPr>
          <w:p>
            <w:pPr>
              <w:spacing w:after="0"/>
              <w:rPr>
                <w:sz w:val="24"/>
                <w:szCs w:val="24"/>
                <w:color w:val="auto"/>
              </w:rPr>
            </w:pPr>
          </w:p>
        </w:tc>
        <w:tc>
          <w:tcPr>
            <w:tcW w:w="6040" w:type="dxa"/>
            <w:vAlign w:val="bottom"/>
          </w:tcPr>
          <w:p>
            <w:pPr>
              <w:ind w:left="1960"/>
              <w:spacing w:after="0"/>
              <w:rPr>
                <w:sz w:val="20"/>
                <w:szCs w:val="20"/>
                <w:color w:val="auto"/>
              </w:rPr>
            </w:pPr>
            <w:r>
              <w:rPr>
                <w:rFonts w:ascii="Courier New" w:cs="Courier New" w:eastAsia="Courier New" w:hAnsi="Courier New"/>
                <w:sz w:val="16"/>
                <w:szCs w:val="16"/>
                <w:color w:val="auto"/>
              </w:rPr>
              <w:t>INDEX TO EXHIBITS</w:t>
            </w:r>
          </w:p>
        </w:tc>
      </w:tr>
      <w:tr>
        <w:trPr>
          <w:trHeight w:val="358"/>
        </w:trPr>
        <w:tc>
          <w:tcPr>
            <w:tcW w:w="1020" w:type="dxa"/>
            <w:vAlign w:val="bottom"/>
          </w:tcPr>
          <w:p>
            <w:pPr>
              <w:spacing w:after="0"/>
              <w:rPr>
                <w:sz w:val="20"/>
                <w:szCs w:val="20"/>
                <w:color w:val="auto"/>
              </w:rPr>
            </w:pPr>
            <w:r>
              <w:rPr>
                <w:rFonts w:ascii="Courier New" w:cs="Courier New" w:eastAsia="Courier New" w:hAnsi="Courier New"/>
                <w:sz w:val="16"/>
                <w:szCs w:val="16"/>
                <w:color w:val="auto"/>
                <w:strike w:val="1"/>
              </w:rPr>
              <w:t>Exhibit</w:t>
            </w:r>
          </w:p>
        </w:tc>
        <w:tc>
          <w:tcPr>
            <w:tcW w:w="6040" w:type="dxa"/>
            <w:vAlign w:val="bottom"/>
          </w:tcPr>
          <w:p>
            <w:pPr>
              <w:spacing w:after="0"/>
              <w:rPr>
                <w:sz w:val="24"/>
                <w:szCs w:val="24"/>
                <w:color w:val="auto"/>
              </w:rPr>
            </w:pP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w:t>
            </w:r>
          </w:p>
        </w:tc>
        <w:tc>
          <w:tcPr>
            <w:tcW w:w="60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Document</w:t>
            </w: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60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4.1</w:t>
            </w:r>
          </w:p>
        </w:tc>
        <w:tc>
          <w:tcPr>
            <w:tcW w:w="60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Comcast Corporation 1990 Restricted Stock Plan (as amended and</w:t>
            </w:r>
          </w:p>
        </w:tc>
      </w:tr>
      <w:tr>
        <w:trPr>
          <w:trHeight w:val="179"/>
        </w:trPr>
        <w:tc>
          <w:tcPr>
            <w:tcW w:w="1020" w:type="dxa"/>
            <w:vAlign w:val="bottom"/>
          </w:tcPr>
          <w:p>
            <w:pPr>
              <w:spacing w:after="0"/>
              <w:rPr>
                <w:sz w:val="15"/>
                <w:szCs w:val="15"/>
                <w:color w:val="auto"/>
              </w:rPr>
            </w:pPr>
          </w:p>
        </w:tc>
        <w:tc>
          <w:tcPr>
            <w:tcW w:w="60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restated, effective June 21, 1999).</w:t>
            </w:r>
          </w:p>
        </w:tc>
      </w:tr>
      <w:tr>
        <w:trPr>
          <w:trHeight w:val="358"/>
        </w:trPr>
        <w:tc>
          <w:tcPr>
            <w:tcW w:w="10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040" w:type="dxa"/>
            <w:vAlign w:val="bottom"/>
          </w:tcPr>
          <w:p>
            <w:pPr>
              <w:ind w:left="100"/>
              <w:spacing w:after="0"/>
              <w:rPr>
                <w:sz w:val="20"/>
                <w:szCs w:val="20"/>
                <w:color w:val="auto"/>
              </w:rPr>
            </w:pPr>
            <w:r>
              <w:rPr>
                <w:rFonts w:ascii="Courier New" w:cs="Courier New" w:eastAsia="Courier New" w:hAnsi="Courier New"/>
                <w:sz w:val="16"/>
                <w:szCs w:val="16"/>
                <w:color w:val="auto"/>
              </w:rPr>
              <w:t>Opinion of Pepper Hamilton LLP.</w:t>
            </w:r>
          </w:p>
        </w:tc>
      </w:tr>
      <w:tr>
        <w:trPr>
          <w:trHeight w:val="358"/>
        </w:trPr>
        <w:tc>
          <w:tcPr>
            <w:tcW w:w="102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6040" w:type="dxa"/>
            <w:vAlign w:val="bottom"/>
          </w:tcPr>
          <w:p>
            <w:pPr>
              <w:ind w:left="100"/>
              <w:spacing w:after="0"/>
              <w:rPr>
                <w:sz w:val="20"/>
                <w:szCs w:val="20"/>
                <w:color w:val="auto"/>
              </w:rPr>
            </w:pPr>
            <w:r>
              <w:rPr>
                <w:rFonts w:ascii="Courier New" w:cs="Courier New" w:eastAsia="Courier New" w:hAnsi="Courier New"/>
                <w:sz w:val="16"/>
                <w:szCs w:val="16"/>
                <w:color w:val="auto"/>
              </w:rPr>
              <w:t>Opinion of Pepper Hamilton LLP.</w:t>
            </w:r>
          </w:p>
        </w:tc>
      </w:tr>
      <w:tr>
        <w:trPr>
          <w:trHeight w:val="358"/>
        </w:trPr>
        <w:tc>
          <w:tcPr>
            <w:tcW w:w="10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040" w:type="dxa"/>
            <w:vAlign w:val="bottom"/>
          </w:tcPr>
          <w:p>
            <w:pPr>
              <w:ind w:left="10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358"/>
        </w:trPr>
        <w:tc>
          <w:tcPr>
            <w:tcW w:w="10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040" w:type="dxa"/>
            <w:vAlign w:val="bottom"/>
          </w:tcPr>
          <w:p>
            <w:pPr>
              <w:ind w:left="100"/>
              <w:spacing w:after="0"/>
              <w:rPr>
                <w:sz w:val="20"/>
                <w:szCs w:val="20"/>
                <w:color w:val="auto"/>
              </w:rPr>
            </w:pPr>
            <w:r>
              <w:rPr>
                <w:rFonts w:ascii="Courier New" w:cs="Courier New" w:eastAsia="Courier New" w:hAnsi="Courier New"/>
                <w:sz w:val="16"/>
                <w:szCs w:val="16"/>
                <w:color w:val="auto"/>
                <w:w w:val="96"/>
              </w:rPr>
              <w:t>Consent of Pepper Hamilton LLP (included in Exhibits 5.1 and 5.2</w:t>
            </w:r>
          </w:p>
        </w:tc>
      </w:tr>
      <w:tr>
        <w:trPr>
          <w:trHeight w:val="179"/>
        </w:trPr>
        <w:tc>
          <w:tcPr>
            <w:tcW w:w="1020" w:type="dxa"/>
            <w:vAlign w:val="bottom"/>
          </w:tcPr>
          <w:p>
            <w:pPr>
              <w:spacing w:after="0"/>
              <w:rPr>
                <w:sz w:val="15"/>
                <w:szCs w:val="15"/>
                <w:color w:val="auto"/>
              </w:rPr>
            </w:pPr>
          </w:p>
        </w:tc>
        <w:tc>
          <w:tcPr>
            <w:tcW w:w="60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hereto).</w:t>
            </w:r>
          </w:p>
        </w:tc>
      </w:tr>
      <w:tr>
        <w:trPr>
          <w:trHeight w:val="358"/>
        </w:trPr>
        <w:tc>
          <w:tcPr>
            <w:tcW w:w="102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040" w:type="dxa"/>
            <w:vAlign w:val="bottom"/>
          </w:tcPr>
          <w:p>
            <w:pPr>
              <w:ind w:left="100"/>
              <w:spacing w:after="0"/>
              <w:rPr>
                <w:sz w:val="20"/>
                <w:szCs w:val="20"/>
                <w:color w:val="auto"/>
              </w:rPr>
            </w:pPr>
            <w:r>
              <w:rPr>
                <w:rFonts w:ascii="Courier New" w:cs="Courier New" w:eastAsia="Courier New" w:hAnsi="Courier New"/>
                <w:sz w:val="16"/>
                <w:szCs w:val="16"/>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-2217420</wp:posOffset>
            </wp:positionV>
            <wp:extent cx="295402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540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-1990090</wp:posOffset>
            </wp:positionV>
            <wp:extent cx="289496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49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-1649095</wp:posOffset>
            </wp:positionV>
            <wp:extent cx="118173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817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-1535430</wp:posOffset>
            </wp:positionV>
            <wp:extent cx="13589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589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-1421765</wp:posOffset>
            </wp:positionV>
            <wp:extent cx="437197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719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-1308735</wp:posOffset>
            </wp:positionV>
            <wp:extent cx="277685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768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-1081405</wp:posOffset>
            </wp:positionV>
            <wp:extent cx="254063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406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-854075</wp:posOffset>
            </wp:positionV>
            <wp:extent cx="254063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406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-626745</wp:posOffset>
            </wp:positionV>
            <wp:extent cx="265874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-399415</wp:posOffset>
            </wp:positionV>
            <wp:extent cx="449008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-285750</wp:posOffset>
            </wp:positionV>
            <wp:extent cx="118173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8173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-59055</wp:posOffset>
            </wp:positionV>
            <wp:extent cx="348551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85515" cy="7620"/>
                    </a:xfrm>
                    <a:prstGeom prst="rect">
                      <a:avLst/>
                    </a:prstGeom>
                    <a:noFill/>
                  </pic:spPr>
                </pic:pic>
              </a:graphicData>
            </a:graphic>
          </wp:anchor>
        </w:drawing>
      </w:r>
    </w:p>
    <w:p>
      <w:pPr>
        <w:sectPr>
          <w:pgSz w:w="11900" w:h="16838" w:orient="portrait"/>
          <w:cols w:equalWidth="0" w:num="1">
            <w:col w:w="10219"/>
          </w:cols>
          <w:pgMar w:left="240" w:top="648" w:right="1440" w:bottom="1440" w:gutter="0" w:footer="0" w:header="0"/>
        </w:sectPr>
      </w:pPr>
    </w:p>
    <w:bookmarkStart w:id="11" w:name="page12"/>
    <w:bookmarkEnd w:id="11"/>
    <w:p>
      <w:pPr>
        <w:jc w:val="right"/>
        <w:ind w:right="2779"/>
        <w:spacing w:after="0"/>
        <w:rPr>
          <w:sz w:val="20"/>
          <w:szCs w:val="20"/>
          <w:color w:val="auto"/>
        </w:rPr>
      </w:pPr>
      <w:r>
        <w:rPr>
          <w:rFonts w:ascii="Courier New" w:cs="Courier New" w:eastAsia="Courier New" w:hAnsi="Courier New"/>
          <w:sz w:val="16"/>
          <w:szCs w:val="16"/>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472630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26305" cy="7620"/>
                    </a:xfrm>
                    <a:prstGeom prst="rect">
                      <a:avLst/>
                    </a:prstGeom>
                    <a:noFill/>
                  </pic:spPr>
                </pic:pic>
              </a:graphicData>
            </a:graphic>
          </wp:anchor>
        </w:drawing>
      </w:r>
    </w:p>
    <w:p>
      <w:pPr>
        <w:spacing w:after="0" w:line="157"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295402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54020" cy="7620"/>
                    </a:xfrm>
                    <a:prstGeom prst="rect">
                      <a:avLst/>
                    </a:prstGeom>
                    <a:noFill/>
                  </pic:spPr>
                </pic:pic>
              </a:graphicData>
            </a:graphic>
          </wp:anchor>
        </w:drawing>
      </w:r>
    </w:p>
    <w:p>
      <w:pPr>
        <w:ind w:left="2505"/>
        <w:spacing w:after="0" w:line="236" w:lineRule="auto"/>
        <w:rPr>
          <w:sz w:val="20"/>
          <w:szCs w:val="20"/>
          <w:color w:val="auto"/>
        </w:rPr>
      </w:pPr>
      <w:r>
        <w:rPr>
          <w:rFonts w:ascii="Courier New" w:cs="Courier New" w:eastAsia="Courier New" w:hAnsi="Courier New"/>
          <w:sz w:val="16"/>
          <w:szCs w:val="16"/>
          <w:color w:val="auto"/>
        </w:rPr>
        <w:t>1990 RESTRICTED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313118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31185" cy="7620"/>
                    </a:xfrm>
                    <a:prstGeom prst="rect">
                      <a:avLst/>
                    </a:prstGeom>
                    <a:noFill/>
                  </pic:spPr>
                </pic:pic>
              </a:graphicData>
            </a:graphic>
          </wp:anchor>
        </w:drawing>
      </w:r>
    </w:p>
    <w:p>
      <w:pPr>
        <w:spacing w:after="0" w:line="157" w:lineRule="exact"/>
        <w:rPr>
          <w:sz w:val="20"/>
          <w:szCs w:val="20"/>
          <w:color w:val="auto"/>
        </w:rPr>
      </w:pPr>
    </w:p>
    <w:p>
      <w:pPr>
        <w:ind w:left="1405"/>
        <w:spacing w:after="0"/>
        <w:rPr>
          <w:sz w:val="20"/>
          <w:szCs w:val="20"/>
          <w:color w:val="auto"/>
        </w:rPr>
      </w:pPr>
      <w:r>
        <w:rPr>
          <w:rFonts w:ascii="Courier New" w:cs="Courier New" w:eastAsia="Courier New" w:hAnsi="Courier New"/>
          <w:sz w:val="16"/>
          <w:szCs w:val="16"/>
          <w:color w:val="auto"/>
        </w:rPr>
        <w:t>(As Amended and Restated, Effective June 21,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383984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39845" cy="7620"/>
                    </a:xfrm>
                    <a:prstGeom prst="rect">
                      <a:avLst/>
                    </a:prstGeom>
                    <a:noFill/>
                  </pic:spPr>
                </pic:pic>
              </a:graphicData>
            </a:graphic>
          </wp:anchor>
        </w:drawing>
      </w:r>
    </w:p>
    <w:p>
      <w:pPr>
        <w:spacing w:after="0" w:line="157" w:lineRule="exact"/>
        <w:rPr>
          <w:sz w:val="20"/>
          <w:szCs w:val="20"/>
          <w:color w:val="auto"/>
        </w:rPr>
      </w:pPr>
    </w:p>
    <w:p>
      <w:pPr>
        <w:ind w:left="465" w:hanging="465"/>
        <w:spacing w:after="0"/>
        <w:tabs>
          <w:tab w:leader="none" w:pos="465" w:val="left"/>
        </w:tabs>
        <w:numPr>
          <w:ilvl w:val="0"/>
          <w:numId w:val="5"/>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PURPOSE</w:t>
      </w:r>
    </w:p>
    <w:p>
      <w:pPr>
        <w:spacing w:after="0" w:line="183" w:lineRule="exact"/>
        <w:rPr>
          <w:sz w:val="20"/>
          <w:szCs w:val="20"/>
          <w:color w:val="auto"/>
        </w:rPr>
      </w:pPr>
    </w:p>
    <w:p>
      <w:pPr>
        <w:ind w:left="5" w:right="2879" w:firstLine="930"/>
        <w:spacing w:after="0" w:line="279" w:lineRule="auto"/>
        <w:rPr>
          <w:sz w:val="20"/>
          <w:szCs w:val="20"/>
          <w:color w:val="auto"/>
        </w:rPr>
      </w:pPr>
      <w:r>
        <w:rPr>
          <w:rFonts w:ascii="Courier New" w:cs="Courier New" w:eastAsia="Courier New" w:hAnsi="Courier New"/>
          <w:sz w:val="14"/>
          <w:szCs w:val="14"/>
          <w:color w:val="auto"/>
        </w:rPr>
        <w:t xml:space="preserve">The purpose of the Plan is to promote the ability of Comcast </w:t>
      </w:r>
      <w:r>
        <w:rPr>
          <w:rFonts w:ascii="Courier New" w:cs="Courier New" w:eastAsia="Courier New" w:hAnsi="Courier New"/>
          <w:sz w:val="14"/>
          <w:szCs w:val="14"/>
          <w:color w:val="auto"/>
          <w:strike w:val="1"/>
        </w:rPr>
        <w:t>Corporation (the "Company") to retain certain key employees and enhance the growth and profitability of the Company by providing the incentive of long-term awards for continued employment and the attainment of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413575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35755" cy="7620"/>
                    </a:xfrm>
                    <a:prstGeom prst="rect">
                      <a:avLst/>
                    </a:prstGeom>
                    <a:noFill/>
                  </pic:spPr>
                </pic:pic>
              </a:graphicData>
            </a:graphic>
          </wp:anchor>
        </w:drawing>
      </w:r>
    </w:p>
    <w:p>
      <w:pPr>
        <w:spacing w:after="0" w:line="131" w:lineRule="exact"/>
        <w:rPr>
          <w:sz w:val="20"/>
          <w:szCs w:val="20"/>
          <w:color w:val="auto"/>
        </w:rPr>
      </w:pPr>
    </w:p>
    <w:p>
      <w:pPr>
        <w:ind w:left="465" w:hanging="465"/>
        <w:spacing w:after="0"/>
        <w:tabs>
          <w:tab w:leader="none" w:pos="465" w:val="left"/>
        </w:tabs>
        <w:numPr>
          <w:ilvl w:val="0"/>
          <w:numId w:val="6"/>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DEFINITIONS</w:t>
      </w:r>
    </w:p>
    <w:p>
      <w:pPr>
        <w:spacing w:after="0" w:line="182" w:lineRule="exact"/>
        <w:rPr>
          <w:rFonts w:ascii="Courier New" w:cs="Courier New" w:eastAsia="Courier New" w:hAnsi="Courier New"/>
          <w:sz w:val="16"/>
          <w:szCs w:val="16"/>
          <w:color w:val="auto"/>
          <w:strike w:val="1"/>
        </w:rPr>
      </w:pPr>
    </w:p>
    <w:p>
      <w:pPr>
        <w:ind w:left="5" w:right="3239" w:firstLine="461"/>
        <w:spacing w:after="0" w:line="234" w:lineRule="auto"/>
        <w:tabs>
          <w:tab w:leader="none" w:pos="93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"Active Grantee" means each Grantee who is actively employed by a </w:t>
      </w:r>
      <w:r>
        <w:rPr>
          <w:rFonts w:ascii="Courier New" w:cs="Courier New" w:eastAsia="Courier New" w:hAnsi="Courier New"/>
          <w:sz w:val="16"/>
          <w:szCs w:val="16"/>
          <w:color w:val="auto"/>
          <w:strike w:val="1"/>
        </w:rPr>
        <w:t>Participating Company.</w:t>
      </w:r>
    </w:p>
    <w:p>
      <w:pPr>
        <w:spacing w:after="0" w:line="183" w:lineRule="exact"/>
        <w:rPr>
          <w:rFonts w:ascii="Courier New" w:cs="Courier New" w:eastAsia="Courier New" w:hAnsi="Courier New"/>
          <w:sz w:val="16"/>
          <w:szCs w:val="16"/>
          <w:color w:val="auto"/>
        </w:rPr>
      </w:pPr>
    </w:p>
    <w:p>
      <w:pPr>
        <w:ind w:left="5" w:right="2779" w:firstLine="461"/>
        <w:spacing w:after="0" w:line="236" w:lineRule="auto"/>
        <w:tabs>
          <w:tab w:leader="none" w:pos="93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"Affiliate" means, with respect to any Person, any other person that, </w:t>
      </w:r>
      <w:r>
        <w:rPr>
          <w:rFonts w:ascii="Courier New" w:cs="Courier New" w:eastAsia="Courier New" w:hAnsi="Courier New"/>
          <w:sz w:val="16"/>
          <w:szCs w:val="16"/>
          <w:color w:val="auto"/>
          <w:strike w:val="1"/>
        </w:rPr>
        <w:t>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8" w:lineRule="exact"/>
        <w:rPr>
          <w:rFonts w:ascii="Courier New" w:cs="Courier New" w:eastAsia="Courier New" w:hAnsi="Courier New"/>
          <w:sz w:val="16"/>
          <w:szCs w:val="16"/>
          <w:color w:val="auto"/>
        </w:rPr>
      </w:pPr>
    </w:p>
    <w:p>
      <w:pPr>
        <w:ind w:left="925" w:hanging="459"/>
        <w:spacing w:after="0"/>
        <w:tabs>
          <w:tab w:leader="none" w:pos="92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an award of Restricted Stock granted under the Plan.</w:t>
      </w:r>
    </w:p>
    <w:p>
      <w:pPr>
        <w:spacing w:after="0" w:line="176" w:lineRule="exact"/>
        <w:rPr>
          <w:rFonts w:ascii="Courier New" w:cs="Courier New" w:eastAsia="Courier New" w:hAnsi="Courier New"/>
          <w:sz w:val="16"/>
          <w:szCs w:val="16"/>
          <w:color w:val="auto"/>
        </w:rPr>
      </w:pPr>
    </w:p>
    <w:p>
      <w:pPr>
        <w:ind w:left="925" w:hanging="459"/>
        <w:spacing w:after="0"/>
        <w:tabs>
          <w:tab w:leader="none" w:pos="92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82" w:lineRule="exact"/>
        <w:rPr>
          <w:rFonts w:ascii="Courier New" w:cs="Courier New" w:eastAsia="Courier New" w:hAnsi="Courier New"/>
          <w:sz w:val="16"/>
          <w:szCs w:val="16"/>
          <w:color w:val="auto"/>
        </w:rPr>
      </w:pPr>
    </w:p>
    <w:p>
      <w:pPr>
        <w:ind w:left="5" w:right="2779" w:firstLine="461"/>
        <w:spacing w:after="0" w:line="235" w:lineRule="auto"/>
        <w:tabs>
          <w:tab w:leader="none" w:pos="93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"Change of Control" means any transaction or series of transactions as </w:t>
      </w:r>
      <w:r>
        <w:rPr>
          <w:rFonts w:ascii="Courier New" w:cs="Courier New" w:eastAsia="Courier New" w:hAnsi="Courier New"/>
          <w:sz w:val="16"/>
          <w:szCs w:val="16"/>
          <w:color w:val="auto"/>
          <w:strike w:val="1"/>
        </w:rPr>
        <w:t>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79" w:lineRule="exact"/>
        <w:rPr>
          <w:rFonts w:ascii="Courier New" w:cs="Courier New" w:eastAsia="Courier New" w:hAnsi="Courier New"/>
          <w:sz w:val="16"/>
          <w:szCs w:val="16"/>
          <w:color w:val="auto"/>
        </w:rPr>
      </w:pPr>
    </w:p>
    <w:p>
      <w:pPr>
        <w:ind w:left="925" w:hanging="459"/>
        <w:spacing w:after="0"/>
        <w:tabs>
          <w:tab w:leader="none" w:pos="92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82" w:lineRule="exact"/>
        <w:rPr>
          <w:rFonts w:ascii="Courier New" w:cs="Courier New" w:eastAsia="Courier New" w:hAnsi="Courier New"/>
          <w:sz w:val="16"/>
          <w:szCs w:val="16"/>
          <w:color w:val="auto"/>
        </w:rPr>
      </w:pPr>
    </w:p>
    <w:p>
      <w:pPr>
        <w:ind w:left="5" w:right="2779" w:firstLine="461"/>
        <w:spacing w:after="0" w:line="276" w:lineRule="auto"/>
        <w:tabs>
          <w:tab w:leader="none" w:pos="935"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"Comcast Plan" means any restricted stock, stock bonus, stock option </w:t>
      </w:r>
      <w:r>
        <w:rPr>
          <w:rFonts w:ascii="Courier New" w:cs="Courier New" w:eastAsia="Courier New" w:hAnsi="Courier New"/>
          <w:sz w:val="14"/>
          <w:szCs w:val="14"/>
          <w:color w:val="auto"/>
          <w:strike w:val="1"/>
        </w:rPr>
        <w:t>or other compensation plan, program or arrangement established or maintained by the Company or an Affiliate, including but not limited to this Plan, the Comcast Corporation 1997 Deferred Stock Option Plan, the Comcast Corporation 1996 Stock Option Plan and the Comcast Corporation 1987 Stock Option Plan.</w:t>
      </w:r>
    </w:p>
    <w:p>
      <w:pPr>
        <w:spacing w:after="0" w:line="161" w:lineRule="exact"/>
        <w:rPr>
          <w:rFonts w:ascii="Courier New" w:cs="Courier New" w:eastAsia="Courier New" w:hAnsi="Courier New"/>
          <w:sz w:val="14"/>
          <w:szCs w:val="14"/>
          <w:color w:val="auto"/>
        </w:rPr>
      </w:pPr>
    </w:p>
    <w:p>
      <w:pPr>
        <w:ind w:left="5" w:right="2959" w:firstLine="461"/>
        <w:spacing w:after="0" w:line="234" w:lineRule="auto"/>
        <w:tabs>
          <w:tab w:leader="none" w:pos="93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"Committee" means the Subcommittee on Performance Based Compensation </w:t>
      </w:r>
      <w:r>
        <w:rPr>
          <w:rFonts w:ascii="Courier New" w:cs="Courier New" w:eastAsia="Courier New" w:hAnsi="Courier New"/>
          <w:sz w:val="16"/>
          <w:szCs w:val="16"/>
          <w:color w:val="auto"/>
          <w:strike w:val="1"/>
        </w:rPr>
        <w:t>of the Compensation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-3580130</wp:posOffset>
            </wp:positionV>
            <wp:extent cx="443103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-3239135</wp:posOffset>
            </wp:positionV>
            <wp:extent cx="466725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-2216785</wp:posOffset>
            </wp:positionV>
            <wp:extent cx="449008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-1989455</wp:posOffset>
            </wp:positionV>
            <wp:extent cx="366268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626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-1762125</wp:posOffset>
            </wp:positionV>
            <wp:extent cx="472630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-1080770</wp:posOffset>
            </wp:positionV>
            <wp:extent cx="4076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76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-853440</wp:posOffset>
            </wp:positionV>
            <wp:extent cx="460819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-172085</wp:posOffset>
            </wp:positionV>
            <wp:extent cx="460819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08195" cy="7620"/>
                    </a:xfrm>
                    <a:prstGeom prst="rect">
                      <a:avLst/>
                    </a:prstGeom>
                    <a:noFill/>
                  </pic:spPr>
                </pic:pic>
              </a:graphicData>
            </a:graphic>
          </wp:anchor>
        </w:drawing>
      </w:r>
    </w:p>
    <w:p>
      <w:pPr>
        <w:spacing w:after="0" w:line="15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242252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22525" cy="7620"/>
                    </a:xfrm>
                    <a:prstGeom prst="rect">
                      <a:avLst/>
                    </a:prstGeom>
                    <a:noFill/>
                  </pic:spPr>
                </pic:pic>
              </a:graphicData>
            </a:graphic>
          </wp:anchor>
        </w:drawing>
      </w:r>
    </w:p>
    <w:p>
      <w:pPr>
        <w:sectPr>
          <w:pgSz w:w="11900" w:h="16838" w:orient="portrait"/>
          <w:cols w:equalWidth="0" w:num="1">
            <w:col w:w="10224"/>
          </w:cols>
          <w:pgMar w:left="235" w:top="493" w:right="1440" w:bottom="1440" w:gutter="0" w:footer="0" w:header="0"/>
        </w:sectPr>
      </w:pPr>
    </w:p>
    <w:bookmarkStart w:id="12" w:name="page13"/>
    <w:bookmarkEnd w:id="12"/>
    <w:p>
      <w:pPr>
        <w:ind w:left="-461" w:right="2879" w:firstLine="461"/>
        <w:spacing w:after="0" w:line="235" w:lineRule="auto"/>
        <w:tabs>
          <w:tab w:leader="none" w:pos="47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"Company" means Comcast Corporation, a Pennsylvania corporation, </w:t>
      </w:r>
      <w:r>
        <w:rPr>
          <w:rFonts w:ascii="Courier New" w:cs="Courier New" w:eastAsia="Courier New" w:hAnsi="Courier New"/>
          <w:sz w:val="16"/>
          <w:szCs w:val="16"/>
          <w:color w:val="auto"/>
          <w:strike w:val="1"/>
        </w:rPr>
        <w:t>including any successor thereto by merger, consolidation, acquisition of all or substantially all the assets thereof, or otherwise.</w:t>
      </w:r>
    </w:p>
    <w:p>
      <w:pPr>
        <w:spacing w:after="0" w:line="177" w:lineRule="exact"/>
        <w:rPr>
          <w:rFonts w:ascii="Courier New" w:cs="Courier New" w:eastAsia="Courier New" w:hAnsi="Courier New"/>
          <w:sz w:val="16"/>
          <w:szCs w:val="16"/>
          <w:color w:val="auto"/>
        </w:rPr>
      </w:pPr>
    </w:p>
    <w:p>
      <w:pPr>
        <w:ind w:left="459" w:hanging="459"/>
        <w:spacing w:after="0"/>
        <w:tabs>
          <w:tab w:leader="none" w:pos="45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on which an Award is granted.</w:t>
      </w:r>
    </w:p>
    <w:p>
      <w:pPr>
        <w:spacing w:after="0" w:line="176" w:lineRule="exact"/>
        <w:rPr>
          <w:rFonts w:ascii="Courier New" w:cs="Courier New" w:eastAsia="Courier New" w:hAnsi="Courier New"/>
          <w:sz w:val="16"/>
          <w:szCs w:val="16"/>
          <w:color w:val="auto"/>
        </w:rPr>
      </w:pPr>
    </w:p>
    <w:p>
      <w:pPr>
        <w:ind w:left="459" w:hanging="459"/>
        <w:spacing w:after="0"/>
        <w:tabs>
          <w:tab w:leader="none" w:pos="45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"Deceased Grantee" means:</w:t>
      </w:r>
    </w:p>
    <w:p>
      <w:pPr>
        <w:spacing w:after="0" w:line="182" w:lineRule="exact"/>
        <w:rPr>
          <w:rFonts w:ascii="Courier New" w:cs="Courier New" w:eastAsia="Courier New" w:hAnsi="Courier New"/>
          <w:sz w:val="16"/>
          <w:szCs w:val="16"/>
          <w:color w:val="auto"/>
        </w:rPr>
      </w:pPr>
    </w:p>
    <w:p>
      <w:pPr>
        <w:ind w:left="1019" w:right="3519" w:hanging="554"/>
        <w:spacing w:after="0" w:line="234" w:lineRule="auto"/>
        <w:tabs>
          <w:tab w:leader="none" w:pos="101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whose employment by a Participating Company is terminated by death; or</w:t>
      </w:r>
    </w:p>
    <w:p>
      <w:pPr>
        <w:spacing w:after="0" w:line="183" w:lineRule="exact"/>
        <w:rPr>
          <w:rFonts w:ascii="Courier New" w:cs="Courier New" w:eastAsia="Courier New" w:hAnsi="Courier New"/>
          <w:sz w:val="16"/>
          <w:szCs w:val="16"/>
          <w:color w:val="auto"/>
        </w:rPr>
      </w:pPr>
    </w:p>
    <w:p>
      <w:pPr>
        <w:ind w:left="1019" w:right="3239" w:hanging="554"/>
        <w:spacing w:after="0" w:line="234" w:lineRule="auto"/>
        <w:tabs>
          <w:tab w:leader="none" w:pos="101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 dies following termination of employment by a Participating Company.</w:t>
      </w:r>
    </w:p>
    <w:p>
      <w:pPr>
        <w:spacing w:after="0" w:line="177" w:lineRule="exact"/>
        <w:rPr>
          <w:rFonts w:ascii="Courier New" w:cs="Courier New" w:eastAsia="Courier New" w:hAnsi="Courier New"/>
          <w:sz w:val="16"/>
          <w:szCs w:val="16"/>
          <w:color w:val="auto"/>
        </w:rPr>
      </w:pPr>
    </w:p>
    <w:p>
      <w:pPr>
        <w:ind w:left="459" w:hanging="459"/>
        <w:spacing w:after="0"/>
        <w:tabs>
          <w:tab w:leader="none" w:pos="45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Grantee" means:</w:t>
      </w:r>
    </w:p>
    <w:p>
      <w:pPr>
        <w:spacing w:after="0" w:line="182" w:lineRule="exact"/>
        <w:rPr>
          <w:rFonts w:ascii="Courier New" w:cs="Courier New" w:eastAsia="Courier New" w:hAnsi="Courier New"/>
          <w:sz w:val="16"/>
          <w:szCs w:val="16"/>
          <w:color w:val="auto"/>
        </w:rPr>
      </w:pPr>
    </w:p>
    <w:p>
      <w:pPr>
        <w:ind w:left="1019" w:right="3519" w:hanging="554"/>
        <w:spacing w:after="0" w:line="234" w:lineRule="auto"/>
        <w:tabs>
          <w:tab w:leader="none" w:pos="101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whose employment by a Participating Company is terminated by reason of disability;</w:t>
      </w:r>
    </w:p>
    <w:p>
      <w:pPr>
        <w:spacing w:after="0" w:line="183" w:lineRule="exact"/>
        <w:rPr>
          <w:rFonts w:ascii="Courier New" w:cs="Courier New" w:eastAsia="Courier New" w:hAnsi="Courier New"/>
          <w:sz w:val="16"/>
          <w:szCs w:val="16"/>
          <w:color w:val="auto"/>
        </w:rPr>
      </w:pPr>
    </w:p>
    <w:p>
      <w:pPr>
        <w:jc w:val="both"/>
        <w:ind w:left="1019" w:right="2879" w:hanging="554"/>
        <w:spacing w:after="0" w:line="235" w:lineRule="auto"/>
        <w:tabs>
          <w:tab w:leader="none" w:pos="101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 becomes disabled (as determined by the Committee) following termination of employment by a Participating Company; or</w:t>
      </w:r>
    </w:p>
    <w:p>
      <w:pPr>
        <w:spacing w:after="0" w:line="183" w:lineRule="exact"/>
        <w:rPr>
          <w:rFonts w:ascii="Courier New" w:cs="Courier New" w:eastAsia="Courier New" w:hAnsi="Courier New"/>
          <w:sz w:val="16"/>
          <w:szCs w:val="16"/>
          <w:color w:val="auto"/>
        </w:rPr>
      </w:pPr>
    </w:p>
    <w:p>
      <w:pPr>
        <w:ind w:left="1019" w:right="2879" w:hanging="554"/>
        <w:spacing w:after="0" w:line="235" w:lineRule="auto"/>
        <w:tabs>
          <w:tab w:leader="none" w:pos="101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duly-appointed legal guardian of an individual described in Paragraph 2(l)(i) or 2(l)(ii) acting on behalf of such individual.</w:t>
      </w:r>
    </w:p>
    <w:p>
      <w:pPr>
        <w:spacing w:after="0" w:line="183" w:lineRule="exact"/>
        <w:rPr>
          <w:rFonts w:ascii="Courier New" w:cs="Courier New" w:eastAsia="Courier New" w:hAnsi="Courier New"/>
          <w:sz w:val="16"/>
          <w:szCs w:val="16"/>
          <w:color w:val="auto"/>
        </w:rPr>
      </w:pPr>
    </w:p>
    <w:p>
      <w:pPr>
        <w:ind w:left="-461" w:right="2879" w:firstLine="461"/>
        <w:spacing w:after="0" w:line="235" w:lineRule="auto"/>
        <w:tabs>
          <w:tab w:leader="none" w:pos="47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"Election" means a written election on a form provided by the </w:t>
      </w:r>
      <w:r>
        <w:rPr>
          <w:rFonts w:ascii="Courier New" w:cs="Courier New" w:eastAsia="Courier New" w:hAnsi="Courier New"/>
          <w:sz w:val="16"/>
          <w:szCs w:val="16"/>
          <w:color w:val="auto"/>
          <w:strike w:val="1"/>
        </w:rPr>
        <w:t>Committee, filed with the Committee in accordance with Paragraph 8, pursuant to which a Grantee:</w:t>
      </w:r>
    </w:p>
    <w:p>
      <w:pPr>
        <w:spacing w:after="0" w:line="183" w:lineRule="exact"/>
        <w:rPr>
          <w:rFonts w:ascii="Courier New" w:cs="Courier New" w:eastAsia="Courier New" w:hAnsi="Courier New"/>
          <w:sz w:val="16"/>
          <w:szCs w:val="16"/>
          <w:color w:val="auto"/>
        </w:rPr>
      </w:pPr>
    </w:p>
    <w:p>
      <w:pPr>
        <w:ind w:left="1019" w:right="3059" w:hanging="554"/>
        <w:spacing w:after="0" w:line="234" w:lineRule="auto"/>
        <w:tabs>
          <w:tab w:leader="none" w:pos="101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Elects, within the time or times specified in Paragraph 8, to defer the distribution date of Restricted Stock; and</w:t>
      </w:r>
    </w:p>
    <w:p>
      <w:pPr>
        <w:spacing w:after="0" w:line="177" w:lineRule="exact"/>
        <w:rPr>
          <w:rFonts w:ascii="Courier New" w:cs="Courier New" w:eastAsia="Courier New" w:hAnsi="Courier New"/>
          <w:sz w:val="16"/>
          <w:szCs w:val="16"/>
          <w:color w:val="auto"/>
        </w:rPr>
      </w:pPr>
    </w:p>
    <w:p>
      <w:pPr>
        <w:ind w:left="1019" w:hanging="554"/>
        <w:spacing w:after="0"/>
        <w:tabs>
          <w:tab w:leader="none" w:pos="101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Designates the distribution date of Restricted Stock.</w:t>
      </w:r>
    </w:p>
    <w:p>
      <w:pPr>
        <w:spacing w:after="0" w:line="182" w:lineRule="exact"/>
        <w:rPr>
          <w:rFonts w:ascii="Courier New" w:cs="Courier New" w:eastAsia="Courier New" w:hAnsi="Courier New"/>
          <w:sz w:val="16"/>
          <w:szCs w:val="16"/>
          <w:color w:val="auto"/>
        </w:rPr>
      </w:pPr>
    </w:p>
    <w:p>
      <w:pPr>
        <w:ind w:left="-461" w:right="3159" w:firstLine="461"/>
        <w:spacing w:after="0" w:line="234" w:lineRule="auto"/>
        <w:tabs>
          <w:tab w:leader="none" w:pos="47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"Eligible Employee" means a management employee of a Participating </w:t>
      </w:r>
      <w:r>
        <w:rPr>
          <w:rFonts w:ascii="Courier New" w:cs="Courier New" w:eastAsia="Courier New" w:hAnsi="Courier New"/>
          <w:sz w:val="16"/>
          <w:szCs w:val="16"/>
          <w:color w:val="auto"/>
          <w:strike w:val="1"/>
        </w:rPr>
        <w:t>Company, as determined by the Committee.</w:t>
      </w:r>
    </w:p>
    <w:p>
      <w:pPr>
        <w:spacing w:after="0" w:line="177" w:lineRule="exact"/>
        <w:rPr>
          <w:rFonts w:ascii="Courier New" w:cs="Courier New" w:eastAsia="Courier New" w:hAnsi="Courier New"/>
          <w:sz w:val="16"/>
          <w:szCs w:val="16"/>
          <w:color w:val="auto"/>
        </w:rPr>
      </w:pPr>
    </w:p>
    <w:p>
      <w:pPr>
        <w:ind w:left="459" w:hanging="459"/>
        <w:spacing w:after="0"/>
        <w:tabs>
          <w:tab w:leader="none" w:pos="45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means an Eligible Employee who is granted an Award.</w:t>
      </w:r>
    </w:p>
    <w:p>
      <w:pPr>
        <w:spacing w:after="0" w:line="182" w:lineRule="exact"/>
        <w:rPr>
          <w:rFonts w:ascii="Courier New" w:cs="Courier New" w:eastAsia="Courier New" w:hAnsi="Courier New"/>
          <w:sz w:val="16"/>
          <w:szCs w:val="16"/>
          <w:color w:val="auto"/>
        </w:rPr>
      </w:pPr>
    </w:p>
    <w:p>
      <w:pPr>
        <w:ind w:left="-461" w:right="2959" w:firstLine="461"/>
        <w:spacing w:after="0" w:line="235" w:lineRule="auto"/>
        <w:tabs>
          <w:tab w:leader="none" w:pos="47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"Normal Retirement" means a Grantee's termination of employment that </w:t>
      </w:r>
      <w:r>
        <w:rPr>
          <w:rFonts w:ascii="Courier New" w:cs="Courier New" w:eastAsia="Courier New" w:hAnsi="Courier New"/>
          <w:sz w:val="16"/>
          <w:szCs w:val="16"/>
          <w:color w:val="auto"/>
          <w:strike w:val="1"/>
        </w:rPr>
        <w:t>is treated by the Participating Company as a retirement under its employment policies and practices as in effect from time to time.</w:t>
      </w:r>
    </w:p>
    <w:p>
      <w:pPr>
        <w:spacing w:after="0" w:line="183" w:lineRule="exact"/>
        <w:rPr>
          <w:rFonts w:ascii="Courier New" w:cs="Courier New" w:eastAsia="Courier New" w:hAnsi="Courier New"/>
          <w:sz w:val="16"/>
          <w:szCs w:val="16"/>
          <w:color w:val="auto"/>
        </w:rPr>
      </w:pPr>
    </w:p>
    <w:p>
      <w:pPr>
        <w:ind w:left="459" w:hanging="459"/>
        <w:spacing w:after="0"/>
        <w:tabs>
          <w:tab w:leader="none" w:pos="45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Available Shares" means, as of any date, the excess, if any of:</w:t>
      </w:r>
    </w:p>
    <w:p>
      <w:pPr>
        <w:spacing w:after="0" w:line="193" w:lineRule="exact"/>
        <w:rPr>
          <w:rFonts w:ascii="Courier New" w:cs="Courier New" w:eastAsia="Courier New" w:hAnsi="Courier New"/>
          <w:sz w:val="14"/>
          <w:szCs w:val="14"/>
          <w:color w:val="auto"/>
        </w:rPr>
      </w:pPr>
    </w:p>
    <w:p>
      <w:pPr>
        <w:ind w:left="1019" w:hanging="554"/>
        <w:spacing w:after="0"/>
        <w:tabs>
          <w:tab w:leader="none" w:pos="101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 Grantee;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-5398135</wp:posOffset>
            </wp:positionV>
            <wp:extent cx="437197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7197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-4943475</wp:posOffset>
            </wp:positionV>
            <wp:extent cx="413575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3575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-4716145</wp:posOffset>
            </wp:positionV>
            <wp:extent cx="20675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6756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-4489450</wp:posOffset>
            </wp:positionV>
            <wp:extent cx="425386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5386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-4375785</wp:posOffset>
            </wp:positionV>
            <wp:extent cx="230378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0378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-4148455</wp:posOffset>
            </wp:positionV>
            <wp:extent cx="443103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-4034790</wp:posOffset>
            </wp:positionV>
            <wp:extent cx="224472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4472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-3807460</wp:posOffset>
            </wp:positionV>
            <wp:extent cx="20675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6756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-3580130</wp:posOffset>
            </wp:positionV>
            <wp:extent cx="425386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25386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-3466465</wp:posOffset>
            </wp:positionV>
            <wp:extent cx="301307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1307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-3239770</wp:posOffset>
            </wp:positionV>
            <wp:extent cx="466725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-3126105</wp:posOffset>
            </wp:positionV>
            <wp:extent cx="466725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-3012440</wp:posOffset>
            </wp:positionV>
            <wp:extent cx="106362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6362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-2785110</wp:posOffset>
            </wp:positionV>
            <wp:extent cx="466725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-2671445</wp:posOffset>
            </wp:positionV>
            <wp:extent cx="41357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3575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-2557780</wp:posOffset>
            </wp:positionV>
            <wp:extent cx="159512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9512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-2331085</wp:posOffset>
            </wp:positionV>
            <wp:extent cx="41948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9481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-1876425</wp:posOffset>
            </wp:positionV>
            <wp:extent cx="454914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-1762760</wp:posOffset>
            </wp:positionV>
            <wp:extent cx="401764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1764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-1535430</wp:posOffset>
            </wp:positionV>
            <wp:extent cx="4076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07670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-1308735</wp:posOffset>
            </wp:positionV>
            <wp:extent cx="449008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-967740</wp:posOffset>
            </wp:positionV>
            <wp:extent cx="419481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9481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-740410</wp:posOffset>
            </wp:positionV>
            <wp:extent cx="460819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-285750</wp:posOffset>
            </wp:positionV>
            <wp:extent cx="472630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-59055</wp:posOffset>
            </wp:positionV>
            <wp:extent cx="395795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57955" cy="7620"/>
                    </a:xfrm>
                    <a:prstGeom prst="rect">
                      <a:avLst/>
                    </a:prstGeom>
                    <a:noFill/>
                  </pic:spPr>
                </pic:pic>
              </a:graphicData>
            </a:graphic>
          </wp:anchor>
        </w:drawing>
      </w:r>
    </w:p>
    <w:p>
      <w:pPr>
        <w:spacing w:after="0" w:line="157" w:lineRule="exact"/>
        <w:rPr>
          <w:sz w:val="20"/>
          <w:szCs w:val="20"/>
          <w:color w:val="auto"/>
        </w:rPr>
      </w:pPr>
    </w:p>
    <w:p>
      <w:pPr>
        <w:ind w:left="3079"/>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-59055</wp:posOffset>
            </wp:positionV>
            <wp:extent cx="242252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22525" cy="7620"/>
                    </a:xfrm>
                    <a:prstGeom prst="rect">
                      <a:avLst/>
                    </a:prstGeom>
                    <a:noFill/>
                  </pic:spPr>
                </pic:pic>
              </a:graphicData>
            </a:graphic>
          </wp:anchor>
        </w:drawing>
      </w:r>
    </w:p>
    <w:p>
      <w:pPr>
        <w:sectPr>
          <w:pgSz w:w="11900" w:h="16838" w:orient="portrait"/>
          <w:cols w:equalWidth="0" w:num="1">
            <w:col w:w="9759"/>
          </w:cols>
          <w:pgMar w:left="701" w:top="654" w:right="1440" w:bottom="1440" w:gutter="0" w:footer="0" w:header="0"/>
        </w:sectPr>
      </w:pPr>
    </w:p>
    <w:bookmarkStart w:id="13" w:name="page14"/>
    <w:bookmarkEnd w:id="13"/>
    <w:p>
      <w:pPr>
        <w:ind w:left="1480" w:hanging="554"/>
        <w:spacing w:after="0"/>
        <w:tabs>
          <w:tab w:leader="none" w:pos="1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82" w:lineRule="exact"/>
        <w:rPr>
          <w:rFonts w:ascii="Courier New" w:cs="Courier New" w:eastAsia="Courier New" w:hAnsi="Courier New"/>
          <w:sz w:val="16"/>
          <w:szCs w:val="16"/>
          <w:color w:val="auto"/>
        </w:rPr>
      </w:pPr>
    </w:p>
    <w:p>
      <w:pPr>
        <w:ind w:left="1940" w:right="3059" w:hanging="456"/>
        <w:spacing w:after="0" w:line="234" w:lineRule="auto"/>
        <w:tabs>
          <w:tab w:leader="none" w:pos="194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for less than six months; plus</w:t>
      </w:r>
    </w:p>
    <w:p>
      <w:pPr>
        <w:spacing w:after="0" w:line="183" w:lineRule="exact"/>
        <w:rPr>
          <w:rFonts w:ascii="Courier New" w:cs="Courier New" w:eastAsia="Courier New" w:hAnsi="Courier New"/>
          <w:sz w:val="16"/>
          <w:szCs w:val="16"/>
          <w:color w:val="auto"/>
        </w:rPr>
      </w:pPr>
    </w:p>
    <w:p>
      <w:pPr>
        <w:ind w:left="1940" w:right="2779" w:hanging="456"/>
        <w:spacing w:after="0" w:line="235" w:lineRule="auto"/>
        <w:tabs>
          <w:tab w:leader="none" w:pos="194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that has, within the preceding six months, been the subject of a withholding certification pursuant to Paragraph 9(c)(ii) or any similar withholding certification under any other Comcast Plan; plus</w:t>
      </w:r>
    </w:p>
    <w:p>
      <w:pPr>
        <w:spacing w:after="0" w:line="185" w:lineRule="exact"/>
        <w:rPr>
          <w:rFonts w:ascii="Courier New" w:cs="Courier New" w:eastAsia="Courier New" w:hAnsi="Courier New"/>
          <w:sz w:val="16"/>
          <w:szCs w:val="16"/>
          <w:color w:val="auto"/>
        </w:rPr>
      </w:pPr>
    </w:p>
    <w:p>
      <w:pPr>
        <w:ind w:left="1940" w:right="2779" w:hanging="456"/>
        <w:spacing w:after="0" w:line="236" w:lineRule="auto"/>
        <w:tabs>
          <w:tab w:leader="none" w:pos="194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that has, within the preceding six months, been received in exchange for Shares surrendered as payment, in full or in part, of the exercise price for an option to purchase any securities of the Company or an Affiliate under any Comcast Plan, but only to the extent of the number of Shares surrendered; plus</w:t>
      </w:r>
    </w:p>
    <w:p>
      <w:pPr>
        <w:spacing w:after="0" w:line="183" w:lineRule="exact"/>
        <w:rPr>
          <w:rFonts w:ascii="Courier New" w:cs="Courier New" w:eastAsia="Courier New" w:hAnsi="Courier New"/>
          <w:sz w:val="16"/>
          <w:szCs w:val="16"/>
          <w:color w:val="auto"/>
        </w:rPr>
      </w:pPr>
    </w:p>
    <w:p>
      <w:pPr>
        <w:ind w:left="1940" w:right="2779" w:hanging="456"/>
        <w:spacing w:after="0" w:line="236" w:lineRule="auto"/>
        <w:tabs>
          <w:tab w:leader="none" w:pos="194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as to which evidence of ownership has, within the preceding six months, been provided to the Company in connection with the crediting of "Deferred Stock Units" to such Optionee's Account under the Comcast Corporation 1997 Deferred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-2785110</wp:posOffset>
            </wp:positionV>
            <wp:extent cx="159512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951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-2557780</wp:posOffset>
            </wp:positionV>
            <wp:extent cx="454914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-2444115</wp:posOffset>
            </wp:positionV>
            <wp:extent cx="218567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8567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-2216785</wp:posOffset>
            </wp:positionV>
            <wp:extent cx="472630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-2103755</wp:posOffset>
            </wp:positionV>
            <wp:extent cx="472630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-1990090</wp:posOffset>
            </wp:positionV>
            <wp:extent cx="472630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-1876425</wp:posOffset>
            </wp:positionV>
            <wp:extent cx="449008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-1762760</wp:posOffset>
            </wp:positionV>
            <wp:extent cx="147701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770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-1535430</wp:posOffset>
            </wp:positionV>
            <wp:extent cx="472630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-1421765</wp:posOffset>
            </wp:positionV>
            <wp:extent cx="449008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-1308100</wp:posOffset>
            </wp:positionV>
            <wp:extent cx="460819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-1194435</wp:posOffset>
            </wp:positionV>
            <wp:extent cx="466725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-1080770</wp:posOffset>
            </wp:positionV>
            <wp:extent cx="449008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-967740</wp:posOffset>
            </wp:positionV>
            <wp:extent cx="449008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-854075</wp:posOffset>
            </wp:positionV>
            <wp:extent cx="14770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770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-626745</wp:posOffset>
            </wp:positionV>
            <wp:extent cx="443103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-513080</wp:posOffset>
            </wp:positionV>
            <wp:extent cx="472630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-399415</wp:posOffset>
            </wp:positionV>
            <wp:extent cx="425386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538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-285750</wp:posOffset>
            </wp:positionV>
            <wp:extent cx="443103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-172085</wp:posOffset>
            </wp:positionV>
            <wp:extent cx="460819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-58420</wp:posOffset>
            </wp:positionV>
            <wp:extent cx="194945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49450" cy="7620"/>
                    </a:xfrm>
                    <a:prstGeom prst="rect">
                      <a:avLst/>
                    </a:prstGeom>
                    <a:noFill/>
                  </pic:spPr>
                </pic:pic>
              </a:graphicData>
            </a:graphic>
          </wp:anchor>
        </w:drawing>
      </w:r>
    </w:p>
    <w:p>
      <w:pPr>
        <w:spacing w:after="0" w:line="163"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strike w:val="1"/>
        </w:rPr>
        <w:t>For purposes of this Paragraph 2(q), a Share that is subject to a deferral election pursuant to Paragraph 8 or another Comcast Plan shall not be treated as owned by a Grantee until all conditions to the delivery of such Share have lapsed. For purposes of Paragraph 9(c), the number of Other Available Shares shall be determined separately for the Company's Class A Special Common Stock, par value, $1.00, and for the Company's Class A Common Stock, par value, $1.00.</w:t>
      </w:r>
    </w:p>
    <w:p>
      <w:pPr>
        <w:spacing w:after="0" w:line="162" w:lineRule="exact"/>
        <w:rPr>
          <w:sz w:val="20"/>
          <w:szCs w:val="20"/>
          <w:color w:val="auto"/>
        </w:rPr>
      </w:pPr>
    </w:p>
    <w:p>
      <w:pPr>
        <w:ind w:right="2779" w:firstLine="461"/>
        <w:spacing w:after="0" w:line="235" w:lineRule="auto"/>
        <w:tabs>
          <w:tab w:leader="none" w:pos="93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"Parent Company" means all corporations that, at the time in question, </w:t>
      </w:r>
      <w:r>
        <w:rPr>
          <w:rFonts w:ascii="Courier New" w:cs="Courier New" w:eastAsia="Courier New" w:hAnsi="Courier New"/>
          <w:sz w:val="16"/>
          <w:szCs w:val="16"/>
          <w:color w:val="auto"/>
          <w:strike w:val="1"/>
        </w:rPr>
        <w:t>are parent corporations of the Company within the meaning of section 424(e) of the Code.</w:t>
      </w:r>
    </w:p>
    <w:p>
      <w:pPr>
        <w:spacing w:after="0" w:line="183" w:lineRule="exact"/>
        <w:rPr>
          <w:rFonts w:ascii="Courier New" w:cs="Courier New" w:eastAsia="Courier New" w:hAnsi="Courier New"/>
          <w:sz w:val="16"/>
          <w:szCs w:val="16"/>
          <w:color w:val="auto"/>
        </w:rPr>
      </w:pPr>
    </w:p>
    <w:p>
      <w:pPr>
        <w:ind w:right="3339" w:firstLine="461"/>
        <w:spacing w:after="0" w:line="234" w:lineRule="auto"/>
        <w:tabs>
          <w:tab w:leader="none" w:pos="93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"Participating Company" means the Company and each of the Parent </w:t>
      </w:r>
      <w:r>
        <w:rPr>
          <w:rFonts w:ascii="Courier New" w:cs="Courier New" w:eastAsia="Courier New" w:hAnsi="Courier New"/>
          <w:sz w:val="16"/>
          <w:szCs w:val="16"/>
          <w:color w:val="auto"/>
          <w:strike w:val="1"/>
        </w:rPr>
        <w:t>Companies and Subsidiary Companies.</w:t>
      </w:r>
    </w:p>
    <w:p>
      <w:pPr>
        <w:spacing w:after="0" w:line="183" w:lineRule="exact"/>
        <w:rPr>
          <w:rFonts w:ascii="Courier New" w:cs="Courier New" w:eastAsia="Courier New" w:hAnsi="Courier New"/>
          <w:sz w:val="16"/>
          <w:szCs w:val="16"/>
          <w:color w:val="auto"/>
        </w:rPr>
      </w:pPr>
    </w:p>
    <w:p>
      <w:pPr>
        <w:ind w:right="3519" w:firstLine="461"/>
        <w:spacing w:after="0" w:line="234" w:lineRule="auto"/>
        <w:tabs>
          <w:tab w:leader="none" w:pos="93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"Person" means an individual, a corporation, a partnership, an </w:t>
      </w:r>
      <w:r>
        <w:rPr>
          <w:rFonts w:ascii="Courier New" w:cs="Courier New" w:eastAsia="Courier New" w:hAnsi="Courier New"/>
          <w:sz w:val="16"/>
          <w:szCs w:val="16"/>
          <w:color w:val="auto"/>
          <w:strike w:val="1"/>
        </w:rPr>
        <w:t>association, a trust or any other entity or organization.</w:t>
      </w:r>
    </w:p>
    <w:p>
      <w:pPr>
        <w:spacing w:after="0" w:line="183" w:lineRule="exact"/>
        <w:rPr>
          <w:rFonts w:ascii="Courier New" w:cs="Courier New" w:eastAsia="Courier New" w:hAnsi="Courier New"/>
          <w:sz w:val="16"/>
          <w:szCs w:val="16"/>
          <w:color w:val="auto"/>
        </w:rPr>
      </w:pPr>
    </w:p>
    <w:p>
      <w:pPr>
        <w:ind w:right="3059" w:firstLine="461"/>
        <w:spacing w:after="0" w:line="234" w:lineRule="auto"/>
        <w:tabs>
          <w:tab w:leader="none" w:pos="93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"Plan" means the Comcast Corporation 1990 Restricted Stock Plan, as </w:t>
      </w:r>
      <w:r>
        <w:rPr>
          <w:rFonts w:ascii="Courier New" w:cs="Courier New" w:eastAsia="Courier New" w:hAnsi="Courier New"/>
          <w:sz w:val="16"/>
          <w:szCs w:val="16"/>
          <w:color w:val="auto"/>
          <w:strike w:val="1"/>
        </w:rPr>
        <w:t>set forth herein, and as amended from time to time.</w:t>
      </w:r>
    </w:p>
    <w:p>
      <w:pPr>
        <w:spacing w:after="0" w:line="183" w:lineRule="exact"/>
        <w:rPr>
          <w:rFonts w:ascii="Courier New" w:cs="Courier New" w:eastAsia="Courier New" w:hAnsi="Courier New"/>
          <w:sz w:val="16"/>
          <w:szCs w:val="16"/>
          <w:color w:val="auto"/>
        </w:rPr>
      </w:pPr>
    </w:p>
    <w:p>
      <w:pPr>
        <w:ind w:right="2779" w:firstLine="461"/>
        <w:spacing w:after="0" w:line="234" w:lineRule="auto"/>
        <w:tabs>
          <w:tab w:leader="none" w:pos="93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"Plan Year" means the 365-day period (or the 366-day period) extending </w:t>
      </w:r>
      <w:r>
        <w:rPr>
          <w:rFonts w:ascii="Courier New" w:cs="Courier New" w:eastAsia="Courier New" w:hAnsi="Courier New"/>
          <w:sz w:val="16"/>
          <w:szCs w:val="16"/>
          <w:color w:val="auto"/>
          <w:strike w:val="1"/>
        </w:rPr>
        <w:t>from January 3 to the next following January 2.</w:t>
      </w:r>
    </w:p>
    <w:p>
      <w:pPr>
        <w:spacing w:after="0" w:line="183" w:lineRule="exact"/>
        <w:rPr>
          <w:rFonts w:ascii="Courier New" w:cs="Courier New" w:eastAsia="Courier New" w:hAnsi="Courier New"/>
          <w:sz w:val="16"/>
          <w:szCs w:val="16"/>
          <w:color w:val="auto"/>
        </w:rPr>
      </w:pPr>
    </w:p>
    <w:p>
      <w:pPr>
        <w:ind w:right="2959" w:firstLine="461"/>
        <w:spacing w:after="0" w:line="234" w:lineRule="auto"/>
        <w:tabs>
          <w:tab w:leader="none" w:pos="93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"Restricted Stock" means Shares subject to restrictions as set forth </w:t>
      </w:r>
      <w:r>
        <w:rPr>
          <w:rFonts w:ascii="Courier New" w:cs="Courier New" w:eastAsia="Courier New" w:hAnsi="Courier New"/>
          <w:sz w:val="16"/>
          <w:szCs w:val="16"/>
          <w:color w:val="auto"/>
          <w:strike w:val="1"/>
        </w:rPr>
        <w:t>in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-1989455</wp:posOffset>
            </wp:positionV>
            <wp:extent cx="472630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-1535430</wp:posOffset>
            </wp:positionV>
            <wp:extent cx="437197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719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-1194435</wp:posOffset>
            </wp:positionV>
            <wp:extent cx="425386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538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-853440</wp:posOffset>
            </wp:positionV>
            <wp:extent cx="454914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-513080</wp:posOffset>
            </wp:positionV>
            <wp:extent cx="472630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-172085</wp:posOffset>
            </wp:positionV>
            <wp:extent cx="460819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608195" cy="7620"/>
                    </a:xfrm>
                    <a:prstGeom prst="rect">
                      <a:avLst/>
                    </a:prstGeom>
                    <a:noFill/>
                  </pic:spPr>
                </pic:pic>
              </a:graphicData>
            </a:graphic>
          </wp:anchor>
        </w:drawing>
      </w:r>
    </w:p>
    <w:p>
      <w:pPr>
        <w:spacing w:after="0" w:line="15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242252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22525" cy="7620"/>
                    </a:xfrm>
                    <a:prstGeom prst="rect">
                      <a:avLst/>
                    </a:prstGeom>
                    <a:noFill/>
                  </pic:spPr>
                </pic:pic>
              </a:graphicData>
            </a:graphic>
          </wp:anchor>
        </w:drawing>
      </w:r>
    </w:p>
    <w:p>
      <w:pPr>
        <w:sectPr>
          <w:pgSz w:w="11900" w:h="16838" w:orient="portrait"/>
          <w:cols w:equalWidth="0" w:num="1">
            <w:col w:w="10219"/>
          </w:cols>
          <w:pgMar w:left="240" w:top="648" w:right="1440" w:bottom="1440" w:gutter="0" w:footer="0" w:header="0"/>
        </w:sectPr>
      </w:pPr>
    </w:p>
    <w:bookmarkStart w:id="14" w:name="page15"/>
    <w:bookmarkEnd w:id="14"/>
    <w:p>
      <w:pPr>
        <w:ind w:right="3439" w:firstLine="461"/>
        <w:spacing w:after="0" w:line="234" w:lineRule="auto"/>
        <w:tabs>
          <w:tab w:leader="none" w:pos="93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"Retired Grantee" means a Grantee who has terminated employment </w:t>
      </w:r>
      <w:r>
        <w:rPr>
          <w:rFonts w:ascii="Courier New" w:cs="Courier New" w:eastAsia="Courier New" w:hAnsi="Courier New"/>
          <w:sz w:val="16"/>
          <w:szCs w:val="16"/>
          <w:color w:val="auto"/>
          <w:strike w:val="1"/>
        </w:rPr>
        <w:t>pursuant to a Normal Retirement.</w:t>
      </w:r>
    </w:p>
    <w:p>
      <w:pPr>
        <w:spacing w:after="0" w:line="177" w:lineRule="exact"/>
        <w:rPr>
          <w:rFonts w:ascii="Courier New" w:cs="Courier New" w:eastAsia="Courier New" w:hAnsi="Courier New"/>
          <w:sz w:val="16"/>
          <w:szCs w:val="16"/>
          <w:color w:val="auto"/>
        </w:rPr>
      </w:pPr>
    </w:p>
    <w:p>
      <w:pPr>
        <w:ind w:left="920" w:hanging="459"/>
        <w:spacing w:after="0"/>
        <w:tabs>
          <w:tab w:leader="none" w:pos="9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 member of the Roberts</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strike w:val="1"/>
        </w:rPr>
        <w:t>Family:</w:t>
      </w:r>
    </w:p>
    <w:p>
      <w:pPr>
        <w:spacing w:after="0" w:line="177" w:lineRule="exact"/>
        <w:rPr>
          <w:rFonts w:ascii="Courier New" w:cs="Courier New" w:eastAsia="Courier New" w:hAnsi="Courier New"/>
          <w:sz w:val="16"/>
          <w:szCs w:val="16"/>
          <w:color w:val="auto"/>
        </w:rPr>
      </w:pPr>
    </w:p>
    <w:p>
      <w:pPr>
        <w:ind w:left="1480" w:hanging="554"/>
        <w:spacing w:after="0"/>
        <w:tabs>
          <w:tab w:leader="none" w:pos="14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w:t>
      </w:r>
    </w:p>
    <w:p>
      <w:pPr>
        <w:spacing w:after="0" w:line="176" w:lineRule="exact"/>
        <w:rPr>
          <w:rFonts w:ascii="Courier New" w:cs="Courier New" w:eastAsia="Courier New" w:hAnsi="Courier New"/>
          <w:sz w:val="16"/>
          <w:szCs w:val="16"/>
          <w:color w:val="auto"/>
        </w:rPr>
      </w:pPr>
    </w:p>
    <w:p>
      <w:pPr>
        <w:ind w:left="1480" w:hanging="554"/>
        <w:spacing w:after="0"/>
        <w:tabs>
          <w:tab w:leader="none" w:pos="14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lineal descendant of Brian L. Roberts; or</w:t>
      </w:r>
    </w:p>
    <w:p>
      <w:pPr>
        <w:spacing w:after="0" w:line="182" w:lineRule="exact"/>
        <w:rPr>
          <w:rFonts w:ascii="Courier New" w:cs="Courier New" w:eastAsia="Courier New" w:hAnsi="Courier New"/>
          <w:sz w:val="16"/>
          <w:szCs w:val="16"/>
          <w:color w:val="auto"/>
        </w:rPr>
      </w:pPr>
    </w:p>
    <w:p>
      <w:pPr>
        <w:jc w:val="both"/>
        <w:ind w:left="1480" w:right="2959" w:hanging="554"/>
        <w:spacing w:after="0" w:line="295" w:lineRule="auto"/>
        <w:tabs>
          <w:tab w:leader="none" w:pos="148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established for the benefit of any of Brian L. Roberts and/or a lineal descendant or descendants of Brian L. Roberts.</w:t>
      </w:r>
    </w:p>
    <w:p>
      <w:pPr>
        <w:spacing w:after="0" w:line="146" w:lineRule="exact"/>
        <w:rPr>
          <w:rFonts w:ascii="Courier New" w:cs="Courier New" w:eastAsia="Courier New" w:hAnsi="Courier New"/>
          <w:sz w:val="14"/>
          <w:szCs w:val="14"/>
          <w:color w:val="auto"/>
        </w:rPr>
      </w:pPr>
    </w:p>
    <w:p>
      <w:pPr>
        <w:ind w:right="3059" w:firstLine="461"/>
        <w:spacing w:after="0" w:line="234" w:lineRule="auto"/>
        <w:tabs>
          <w:tab w:leader="none" w:pos="93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"Rule 16b-3" means Rule 16b-3 promulgated under the 1934 Act, as in </w:t>
      </w:r>
      <w:r>
        <w:rPr>
          <w:rFonts w:ascii="Courier New" w:cs="Courier New" w:eastAsia="Courier New" w:hAnsi="Courier New"/>
          <w:sz w:val="16"/>
          <w:szCs w:val="16"/>
          <w:color w:val="auto"/>
          <w:strike w:val="1"/>
        </w:rPr>
        <w:t>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-1649095</wp:posOffset>
            </wp:positionV>
            <wp:extent cx="431292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29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-1308100</wp:posOffset>
            </wp:positionV>
            <wp:extent cx="449008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-967105</wp:posOffset>
            </wp:positionV>
            <wp:extent cx="194945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494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-739775</wp:posOffset>
            </wp:positionV>
            <wp:extent cx="348551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855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-513080</wp:posOffset>
            </wp:positionV>
            <wp:extent cx="460819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-399415</wp:posOffset>
            </wp:positionV>
            <wp:extent cx="460819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-172085</wp:posOffset>
            </wp:positionV>
            <wp:extent cx="454914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49140" cy="7620"/>
                    </a:xfrm>
                    <a:prstGeom prst="rect">
                      <a:avLst/>
                    </a:prstGeom>
                    <a:noFill/>
                  </pic:spPr>
                </pic:pic>
              </a:graphicData>
            </a:graphic>
          </wp:anchor>
        </w:drawing>
      </w:r>
    </w:p>
    <w:p>
      <w:pPr>
        <w:spacing w:after="0" w:line="157" w:lineRule="exact"/>
        <w:rPr>
          <w:sz w:val="20"/>
          <w:szCs w:val="20"/>
          <w:color w:val="auto"/>
        </w:rPr>
      </w:pPr>
    </w:p>
    <w:p>
      <w:pPr>
        <w:ind w:left="920" w:hanging="459"/>
        <w:spacing w:after="0"/>
        <w:tabs>
          <w:tab w:leader="none" w:pos="9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means:</w:t>
      </w:r>
    </w:p>
    <w:p>
      <w:pPr>
        <w:spacing w:after="0" w:line="182" w:lineRule="exact"/>
        <w:rPr>
          <w:rFonts w:ascii="Courier New" w:cs="Courier New" w:eastAsia="Courier New" w:hAnsi="Courier New"/>
          <w:sz w:val="16"/>
          <w:szCs w:val="16"/>
          <w:color w:val="auto"/>
        </w:rPr>
      </w:pPr>
    </w:p>
    <w:p>
      <w:pPr>
        <w:ind w:left="1480" w:right="3339" w:hanging="554"/>
        <w:spacing w:after="0" w:line="234" w:lineRule="auto"/>
        <w:tabs>
          <w:tab w:leader="none" w:pos="14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the Plan, a share or shares of Class A Special Common Stock, $1.00 par value, of the Company.</w:t>
      </w:r>
    </w:p>
    <w:p>
      <w:pPr>
        <w:spacing w:after="0" w:line="183" w:lineRule="exact"/>
        <w:rPr>
          <w:rFonts w:ascii="Courier New" w:cs="Courier New" w:eastAsia="Courier New" w:hAnsi="Courier New"/>
          <w:sz w:val="16"/>
          <w:szCs w:val="16"/>
          <w:color w:val="auto"/>
        </w:rPr>
      </w:pPr>
    </w:p>
    <w:p>
      <w:pPr>
        <w:ind w:left="1480" w:right="3439" w:hanging="554"/>
        <w:spacing w:after="0" w:line="283" w:lineRule="auto"/>
        <w:tabs>
          <w:tab w:leader="none" w:pos="14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for purposes of Paragraphs 2(q) and 9(c), the term "Share" or "Shares" also means a share or shares of the Company's Class A Common Stock, par value, $1.00.</w:t>
      </w:r>
    </w:p>
    <w:p>
      <w:pPr>
        <w:spacing w:after="0" w:line="148" w:lineRule="exact"/>
        <w:rPr>
          <w:rFonts w:ascii="Courier New" w:cs="Courier New" w:eastAsia="Courier New" w:hAnsi="Courier New"/>
          <w:sz w:val="14"/>
          <w:szCs w:val="14"/>
          <w:color w:val="auto"/>
        </w:rPr>
      </w:pPr>
    </w:p>
    <w:p>
      <w:pPr>
        <w:ind w:left="920" w:hanging="459"/>
        <w:spacing w:after="0"/>
        <w:tabs>
          <w:tab w:leader="none" w:pos="9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w:t>
      </w:r>
    </w:p>
    <w:p>
      <w:pPr>
        <w:spacing w:after="0" w:line="182" w:lineRule="exact"/>
        <w:rPr>
          <w:rFonts w:ascii="Courier New" w:cs="Courier New" w:eastAsia="Courier New" w:hAnsi="Courier New"/>
          <w:sz w:val="16"/>
          <w:szCs w:val="16"/>
          <w:color w:val="auto"/>
        </w:rPr>
      </w:pPr>
    </w:p>
    <w:p>
      <w:pPr>
        <w:ind w:left="1480" w:right="2779" w:hanging="554"/>
        <w:spacing w:after="0" w:line="235" w:lineRule="auto"/>
        <w:tabs>
          <w:tab w:leader="none" w:pos="14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corporations that, at the time in question, are subsidiary corporations of the Sponsor within the meaning of section 424(f) of the Code; and</w:t>
      </w:r>
    </w:p>
    <w:p>
      <w:pPr>
        <w:spacing w:after="0" w:line="183" w:lineRule="exact"/>
        <w:rPr>
          <w:rFonts w:ascii="Courier New" w:cs="Courier New" w:eastAsia="Courier New" w:hAnsi="Courier New"/>
          <w:sz w:val="16"/>
          <w:szCs w:val="16"/>
          <w:color w:val="auto"/>
        </w:rPr>
      </w:pPr>
    </w:p>
    <w:p>
      <w:pPr>
        <w:ind w:left="1480" w:right="2779" w:hanging="554"/>
        <w:spacing w:after="0" w:line="235" w:lineRule="auto"/>
        <w:tabs>
          <w:tab w:leader="none" w:pos="14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Jones Intercable, Inc. and all corporations that, at the time in question, are subsidiary corporations of Jones Intercable, Inc. within the meaning of section 424(f) of the Code.</w:t>
      </w:r>
    </w:p>
    <w:p>
      <w:pPr>
        <w:spacing w:after="0" w:line="177" w:lineRule="exact"/>
        <w:rPr>
          <w:rFonts w:ascii="Courier New" w:cs="Courier New" w:eastAsia="Courier New" w:hAnsi="Courier New"/>
          <w:sz w:val="16"/>
          <w:szCs w:val="16"/>
          <w:color w:val="auto"/>
        </w:rPr>
      </w:pPr>
    </w:p>
    <w:p>
      <w:pPr>
        <w:ind w:left="920" w:hanging="459"/>
        <w:spacing w:after="0"/>
        <w:tabs>
          <w:tab w:leader="none" w:pos="9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 events:</w:t>
      </w:r>
    </w:p>
    <w:p>
      <w:pPr>
        <w:spacing w:after="0" w:line="176" w:lineRule="exact"/>
        <w:rPr>
          <w:rFonts w:ascii="Courier New" w:cs="Courier New" w:eastAsia="Courier New" w:hAnsi="Courier New"/>
          <w:sz w:val="16"/>
          <w:szCs w:val="16"/>
          <w:color w:val="auto"/>
        </w:rPr>
      </w:pPr>
    </w:p>
    <w:p>
      <w:pPr>
        <w:ind w:left="1480" w:hanging="554"/>
        <w:spacing w:after="0"/>
        <w:tabs>
          <w:tab w:leader="none" w:pos="14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76" w:lineRule="exact"/>
        <w:rPr>
          <w:rFonts w:ascii="Courier New" w:cs="Courier New" w:eastAsia="Courier New" w:hAnsi="Courier New"/>
          <w:sz w:val="16"/>
          <w:szCs w:val="16"/>
          <w:color w:val="auto"/>
        </w:rPr>
      </w:pPr>
    </w:p>
    <w:p>
      <w:pPr>
        <w:ind w:left="1480" w:hanging="554"/>
        <w:spacing w:after="0"/>
        <w:tabs>
          <w:tab w:leader="none" w:pos="14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76" w:lineRule="exact"/>
        <w:rPr>
          <w:rFonts w:ascii="Courier New" w:cs="Courier New" w:eastAsia="Courier New" w:hAnsi="Courier New"/>
          <w:sz w:val="16"/>
          <w:szCs w:val="16"/>
          <w:color w:val="auto"/>
        </w:rPr>
      </w:pPr>
    </w:p>
    <w:p>
      <w:pPr>
        <w:ind w:left="920" w:hanging="459"/>
        <w:spacing w:after="0"/>
        <w:tabs>
          <w:tab w:leader="none" w:pos="9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together with such Person's</w:t>
      </w:r>
    </w:p>
    <w:p>
      <w:pPr>
        <w:spacing w:after="0" w:line="3" w:lineRule="exact"/>
        <w:rPr>
          <w:rFonts w:ascii="Courier New" w:cs="Courier New" w:eastAsia="Courier New" w:hAnsi="Courier New"/>
          <w:sz w:val="16"/>
          <w:szCs w:val="16"/>
          <w:color w:val="auto"/>
        </w:rPr>
      </w:pPr>
    </w:p>
    <w:p>
      <w:pPr>
        <w:ind w:right="287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strike w:val="1"/>
        </w:rPr>
        <w:t>Affiliates, provided that the term "Third Party" shall not include the Company, an Affiliate of the Company or any member or members of the Roberts Family.</w:t>
      </w:r>
    </w:p>
    <w:p>
      <w:pPr>
        <w:spacing w:after="0" w:line="140" w:lineRule="exact"/>
        <w:rPr>
          <w:rFonts w:ascii="Courier New" w:cs="Courier New" w:eastAsia="Courier New" w:hAnsi="Courier New"/>
          <w:sz w:val="16"/>
          <w:szCs w:val="16"/>
          <w:color w:val="auto"/>
        </w:rPr>
      </w:pPr>
    </w:p>
    <w:p>
      <w:pPr>
        <w:ind w:left="920" w:hanging="459"/>
        <w:spacing w:after="0"/>
        <w:tabs>
          <w:tab w:leader="none" w:pos="9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spacing w:after="0" w:line="176" w:lineRule="exact"/>
        <w:rPr>
          <w:rFonts w:ascii="Courier New" w:cs="Courier New" w:eastAsia="Courier New" w:hAnsi="Courier New"/>
          <w:sz w:val="16"/>
          <w:szCs w:val="16"/>
          <w:color w:val="auto"/>
        </w:rPr>
      </w:pPr>
    </w:p>
    <w:p>
      <w:pPr>
        <w:ind w:left="920" w:hanging="459"/>
        <w:spacing w:after="0"/>
        <w:tabs>
          <w:tab w:leader="none" w:pos="9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-3580130</wp:posOffset>
            </wp:positionV>
            <wp:extent cx="212661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266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-3353435</wp:posOffset>
            </wp:positionV>
            <wp:extent cx="437197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719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-3239770</wp:posOffset>
            </wp:positionV>
            <wp:extent cx="413575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357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-3012440</wp:posOffset>
            </wp:positionV>
            <wp:extent cx="431292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29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-2898775</wp:posOffset>
            </wp:positionV>
            <wp:extent cx="419481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948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-2785110</wp:posOffset>
            </wp:positionV>
            <wp:extent cx="383984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3984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-2557780</wp:posOffset>
            </wp:positionV>
            <wp:extent cx="230378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0378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-2331085</wp:posOffset>
            </wp:positionV>
            <wp:extent cx="460819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-2217420</wp:posOffset>
            </wp:positionV>
            <wp:extent cx="472630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-2103755</wp:posOffset>
            </wp:positionV>
            <wp:extent cx="189039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903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-1876425</wp:posOffset>
            </wp:positionV>
            <wp:extent cx="472630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-1762760</wp:posOffset>
            </wp:positionV>
            <wp:extent cx="466725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-1649095</wp:posOffset>
            </wp:positionV>
            <wp:extent cx="383984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3984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-1421765</wp:posOffset>
            </wp:positionV>
            <wp:extent cx="378142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7814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-1195070</wp:posOffset>
            </wp:positionV>
            <wp:extent cx="295402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540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-967740</wp:posOffset>
            </wp:positionV>
            <wp:extent cx="212661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2661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-740410</wp:posOffset>
            </wp:positionV>
            <wp:extent cx="407670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76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-285750</wp:posOffset>
            </wp:positionV>
            <wp:extent cx="389890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989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-59055</wp:posOffset>
            </wp:positionV>
            <wp:extent cx="443103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431030" cy="7620"/>
                    </a:xfrm>
                    <a:prstGeom prst="rect">
                      <a:avLst/>
                    </a:prstGeom>
                    <a:noFill/>
                  </pic:spPr>
                </pic:pic>
              </a:graphicData>
            </a:graphic>
          </wp:anchor>
        </w:drawing>
      </w:r>
    </w:p>
    <w:p>
      <w:pPr>
        <w:spacing w:after="0" w:line="15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242252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22525" cy="7620"/>
                    </a:xfrm>
                    <a:prstGeom prst="rect">
                      <a:avLst/>
                    </a:prstGeom>
                    <a:noFill/>
                  </pic:spPr>
                </pic:pic>
              </a:graphicData>
            </a:graphic>
          </wp:anchor>
        </w:drawing>
      </w:r>
    </w:p>
    <w:p>
      <w:pPr>
        <w:sectPr>
          <w:pgSz w:w="11900" w:h="16838" w:orient="portrait"/>
          <w:cols w:equalWidth="0" w:num="1">
            <w:col w:w="10219"/>
          </w:cols>
          <w:pgMar w:left="240" w:top="654" w:right="1440" w:bottom="1440" w:gutter="0" w:footer="0" w:header="0"/>
        </w:sectPr>
      </w:pPr>
    </w:p>
    <w:bookmarkStart w:id="15" w:name="page16"/>
    <w:bookmarkEnd w:id="15"/>
    <w:p>
      <w:pPr>
        <w:ind w:left="465" w:hanging="465"/>
        <w:spacing w:after="0"/>
        <w:tabs>
          <w:tab w:leader="none" w:pos="465" w:val="left"/>
        </w:tabs>
        <w:numPr>
          <w:ilvl w:val="0"/>
          <w:numId w:val="12"/>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RIGHTS TO BE GRANTED</w:t>
      </w:r>
    </w:p>
    <w:p>
      <w:pPr>
        <w:spacing w:after="0" w:line="183" w:lineRule="exact"/>
        <w:rPr>
          <w:sz w:val="20"/>
          <w:szCs w:val="20"/>
          <w:color w:val="auto"/>
        </w:rPr>
      </w:pPr>
    </w:p>
    <w:p>
      <w:pPr>
        <w:ind w:left="5" w:right="2779" w:firstLine="930"/>
        <w:spacing w:after="0" w:line="235" w:lineRule="auto"/>
        <w:rPr>
          <w:sz w:val="20"/>
          <w:szCs w:val="20"/>
          <w:color w:val="auto"/>
        </w:rPr>
      </w:pPr>
      <w:r>
        <w:rPr>
          <w:rFonts w:ascii="Courier New" w:cs="Courier New" w:eastAsia="Courier New" w:hAnsi="Courier New"/>
          <w:sz w:val="16"/>
          <w:szCs w:val="16"/>
          <w:color w:val="auto"/>
        </w:rPr>
        <w:t xml:space="preserve">Rights that may be granted under the Plan are rights to Restricted </w:t>
      </w:r>
      <w:r>
        <w:rPr>
          <w:rFonts w:ascii="Courier New" w:cs="Courier New" w:eastAsia="Courier New" w:hAnsi="Courier New"/>
          <w:sz w:val="16"/>
          <w:szCs w:val="16"/>
          <w:color w:val="auto"/>
          <w:strike w:val="1"/>
        </w:rPr>
        <w:t>Stock, which gives the Grantee ownership rights in the Shares subject to the Award, subject to a substantial risk of forfeiture, as set forth in Paragraph 7, and to deferred payment, as set forth in Paragraph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-398145</wp:posOffset>
            </wp:positionV>
            <wp:extent cx="449008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490085" cy="7620"/>
                    </a:xfrm>
                    <a:prstGeom prst="rect">
                      <a:avLst/>
                    </a:prstGeom>
                    <a:noFill/>
                  </pic:spPr>
                </pic:pic>
              </a:graphicData>
            </a:graphic>
          </wp:anchor>
        </w:drawing>
      </w:r>
    </w:p>
    <w:p>
      <w:pPr>
        <w:spacing w:after="0" w:line="158" w:lineRule="exact"/>
        <w:rPr>
          <w:sz w:val="20"/>
          <w:szCs w:val="20"/>
          <w:color w:val="auto"/>
        </w:rPr>
      </w:pPr>
    </w:p>
    <w:p>
      <w:pPr>
        <w:ind w:left="465" w:hanging="465"/>
        <w:spacing w:after="0"/>
        <w:tabs>
          <w:tab w:leader="none" w:pos="465" w:val="left"/>
        </w:tabs>
        <w:numPr>
          <w:ilvl w:val="0"/>
          <w:numId w:val="13"/>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SHARES SUBJECT TO THE PLAN</w:t>
      </w:r>
    </w:p>
    <w:p>
      <w:pPr>
        <w:spacing w:after="0" w:line="182" w:lineRule="exact"/>
        <w:rPr>
          <w:rFonts w:ascii="Courier New" w:cs="Courier New" w:eastAsia="Courier New" w:hAnsi="Courier New"/>
          <w:sz w:val="16"/>
          <w:szCs w:val="16"/>
          <w:color w:val="auto"/>
          <w:strike w:val="1"/>
        </w:rPr>
      </w:pPr>
    </w:p>
    <w:p>
      <w:pPr>
        <w:ind w:left="5" w:right="2959" w:firstLine="461"/>
        <w:spacing w:after="0" w:line="235" w:lineRule="auto"/>
        <w:tabs>
          <w:tab w:leader="none" w:pos="93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Not more than 9,750,000 Shares in the aggregate may be issued under </w:t>
      </w:r>
      <w:r>
        <w:rPr>
          <w:rFonts w:ascii="Courier New" w:cs="Courier New" w:eastAsia="Courier New" w:hAnsi="Courier New"/>
          <w:sz w:val="16"/>
          <w:szCs w:val="16"/>
          <w:color w:val="auto"/>
          <w:strike w:val="1"/>
        </w:rPr>
        <w:t>the Plan pursuant to the grant of Awards, subject to adjustment in accordance with Paragraph 10. The Shares issued under the Plan may, at the Company's option, be either Shares held in treasury or Shares originally issued for such purpose.</w:t>
      </w:r>
    </w:p>
    <w:p>
      <w:pPr>
        <w:spacing w:after="0" w:line="185" w:lineRule="exact"/>
        <w:rPr>
          <w:rFonts w:ascii="Courier New" w:cs="Courier New" w:eastAsia="Courier New" w:hAnsi="Courier New"/>
          <w:sz w:val="16"/>
          <w:szCs w:val="16"/>
          <w:color w:val="auto"/>
        </w:rPr>
      </w:pPr>
    </w:p>
    <w:p>
      <w:pPr>
        <w:ind w:left="5" w:right="3159" w:firstLine="461"/>
        <w:spacing w:after="0" w:line="234" w:lineRule="auto"/>
        <w:tabs>
          <w:tab w:leader="none" w:pos="93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If Restricted Stock is forfeited pursuant to the term of an Award, </w:t>
      </w:r>
      <w:r>
        <w:rPr>
          <w:rFonts w:ascii="Courier New" w:cs="Courier New" w:eastAsia="Courier New" w:hAnsi="Courier New"/>
          <w:sz w:val="16"/>
          <w:szCs w:val="16"/>
          <w:color w:val="auto"/>
          <w:strike w:val="1"/>
        </w:rPr>
        <w:t>other Awards with respect to such Shares may be granted.</w:t>
      </w:r>
    </w:p>
    <w:p>
      <w:pPr>
        <w:spacing w:after="0" w:line="177"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13"/>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ADMINISTRATION OF THE PLAN</w:t>
      </w:r>
    </w:p>
    <w:p>
      <w:pPr>
        <w:spacing w:after="0" w:line="176" w:lineRule="exact"/>
        <w:rPr>
          <w:rFonts w:ascii="Courier New" w:cs="Courier New" w:eastAsia="Courier New" w:hAnsi="Courier New"/>
          <w:sz w:val="16"/>
          <w:szCs w:val="16"/>
          <w:color w:val="auto"/>
          <w:strike w:val="1"/>
        </w:rPr>
      </w:pPr>
    </w:p>
    <w:p>
      <w:pPr>
        <w:ind w:left="925" w:hanging="459"/>
        <w:spacing w:after="0"/>
        <w:tabs>
          <w:tab w:leader="none" w:pos="92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Committee.</w:t>
      </w:r>
    </w:p>
    <w:p>
      <w:pPr>
        <w:spacing w:after="0" w:line="182" w:lineRule="exact"/>
        <w:rPr>
          <w:rFonts w:ascii="Courier New" w:cs="Courier New" w:eastAsia="Courier New" w:hAnsi="Courier New"/>
          <w:sz w:val="16"/>
          <w:szCs w:val="16"/>
          <w:color w:val="auto"/>
        </w:rPr>
      </w:pPr>
    </w:p>
    <w:p>
      <w:pPr>
        <w:ind w:left="5" w:right="2959" w:firstLine="461"/>
        <w:spacing w:after="0" w:line="234" w:lineRule="auto"/>
        <w:tabs>
          <w:tab w:leader="none" w:pos="93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Grants. Subject to the express terms and conditions set forth in the </w:t>
      </w:r>
      <w:r>
        <w:rPr>
          <w:rFonts w:ascii="Courier New" w:cs="Courier New" w:eastAsia="Courier New" w:hAnsi="Courier New"/>
          <w:sz w:val="16"/>
          <w:szCs w:val="16"/>
          <w:color w:val="auto"/>
          <w:strike w:val="1"/>
        </w:rPr>
        <w:t>Plan, the Committee shall have the power, from time to time, to:</w:t>
      </w:r>
    </w:p>
    <w:p>
      <w:pPr>
        <w:spacing w:after="0" w:line="183" w:lineRule="exact"/>
        <w:rPr>
          <w:rFonts w:ascii="Courier New" w:cs="Courier New" w:eastAsia="Courier New" w:hAnsi="Courier New"/>
          <w:sz w:val="16"/>
          <w:szCs w:val="16"/>
          <w:color w:val="auto"/>
        </w:rPr>
      </w:pPr>
    </w:p>
    <w:p>
      <w:pPr>
        <w:ind w:left="1485" w:right="2779" w:hanging="554"/>
        <w:spacing w:after="0" w:line="235" w:lineRule="auto"/>
        <w:tabs>
          <w:tab w:leader="none" w:pos="1485"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those Employees to whom Awards shall be granted under the Plan, to determine the number of Shares to be granted pursuant to each Award, and, pursuant to the provisions of the Plan, to determine the terms and conditions of each Award, including the restrictions applicable to such Shares; and</w:t>
      </w:r>
    </w:p>
    <w:p>
      <w:pPr>
        <w:spacing w:after="0" w:line="185" w:lineRule="exact"/>
        <w:rPr>
          <w:rFonts w:ascii="Courier New" w:cs="Courier New" w:eastAsia="Courier New" w:hAnsi="Courier New"/>
          <w:sz w:val="16"/>
          <w:szCs w:val="16"/>
          <w:color w:val="auto"/>
        </w:rPr>
      </w:pPr>
    </w:p>
    <w:p>
      <w:pPr>
        <w:ind w:left="1485" w:right="2879" w:hanging="554"/>
        <w:spacing w:after="0" w:line="235" w:lineRule="auto"/>
        <w:tabs>
          <w:tab w:leader="none" w:pos="1485"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 the Plan's provisions, prescribe, amend and rescind rules and regulations for the Plan, and make all other determinations necessary or advisable for the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-2897505</wp:posOffset>
            </wp:positionV>
            <wp:extent cx="454914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-2216150</wp:posOffset>
            </wp:positionV>
            <wp:extent cx="449008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-1647825</wp:posOffset>
            </wp:positionV>
            <wp:extent cx="437197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719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-1420495</wp:posOffset>
            </wp:positionV>
            <wp:extent cx="460819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-1080135</wp:posOffset>
            </wp:positionV>
            <wp:extent cx="472630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-966470</wp:posOffset>
            </wp:positionV>
            <wp:extent cx="460819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-852805</wp:posOffset>
            </wp:positionV>
            <wp:extent cx="460819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-739140</wp:posOffset>
            </wp:positionV>
            <wp:extent cx="466725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-625475</wp:posOffset>
            </wp:positionV>
            <wp:extent cx="348551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855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-398145</wp:posOffset>
            </wp:positionV>
            <wp:extent cx="454914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-285115</wp:posOffset>
            </wp:positionV>
            <wp:extent cx="413575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357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466725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-57785</wp:posOffset>
            </wp:positionV>
            <wp:extent cx="147701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77010" cy="7620"/>
                    </a:xfrm>
                    <a:prstGeom prst="rect">
                      <a:avLst/>
                    </a:prstGeom>
                    <a:noFill/>
                  </pic:spPr>
                </pic:pic>
              </a:graphicData>
            </a:graphic>
          </wp:anchor>
        </w:drawing>
      </w:r>
    </w:p>
    <w:p>
      <w:pPr>
        <w:spacing w:after="0" w:line="165" w:lineRule="exact"/>
        <w:rPr>
          <w:sz w:val="20"/>
          <w:szCs w:val="20"/>
          <w:color w:val="auto"/>
        </w:rPr>
      </w:pPr>
    </w:p>
    <w:p>
      <w:pPr>
        <w:ind w:left="5" w:right="3339"/>
        <w:spacing w:after="0" w:line="234" w:lineRule="auto"/>
        <w:rPr>
          <w:sz w:val="20"/>
          <w:szCs w:val="20"/>
          <w:color w:val="auto"/>
        </w:rPr>
      </w:pPr>
      <w:r>
        <w:rPr>
          <w:rFonts w:ascii="Courier New" w:cs="Courier New" w:eastAsia="Courier New" w:hAnsi="Courier New"/>
          <w:sz w:val="16"/>
          <w:szCs w:val="16"/>
          <w:color w:val="auto"/>
          <w:strike w:val="1"/>
        </w:rPr>
        <w:t>The determination of the Committee in all matters as stated above shall be conclusive.</w:t>
      </w:r>
    </w:p>
    <w:p>
      <w:pPr>
        <w:spacing w:after="0" w:line="183" w:lineRule="exact"/>
        <w:rPr>
          <w:sz w:val="20"/>
          <w:szCs w:val="20"/>
          <w:color w:val="auto"/>
        </w:rPr>
      </w:pPr>
    </w:p>
    <w:p>
      <w:pPr>
        <w:ind w:left="5" w:right="2879" w:firstLine="461"/>
        <w:spacing w:after="0" w:line="279" w:lineRule="auto"/>
        <w:tabs>
          <w:tab w:leader="none" w:pos="93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Meetings. The Committee shall hold meetings at such times and places </w:t>
      </w:r>
      <w:r>
        <w:rPr>
          <w:rFonts w:ascii="Courier New" w:cs="Courier New" w:eastAsia="Courier New" w:hAnsi="Courier New"/>
          <w:sz w:val="14"/>
          <w:szCs w:val="14"/>
          <w:color w:val="auto"/>
          <w:strike w:val="1"/>
        </w:rPr>
        <w:t>as it may determine. Acts approved at a meeting by a majority of the members of the Committee or acts approved in writing by the unanimous consent of the members of the Committee shall be the valid acts of the Committee.</w:t>
      </w:r>
    </w:p>
    <w:p>
      <w:pPr>
        <w:spacing w:after="0" w:line="156" w:lineRule="exact"/>
        <w:rPr>
          <w:rFonts w:ascii="Courier New" w:cs="Courier New" w:eastAsia="Courier New" w:hAnsi="Courier New"/>
          <w:sz w:val="14"/>
          <w:szCs w:val="14"/>
          <w:color w:val="auto"/>
        </w:rPr>
      </w:pPr>
    </w:p>
    <w:p>
      <w:pPr>
        <w:ind w:left="5" w:right="2779" w:firstLine="461"/>
        <w:spacing w:after="0" w:line="274" w:lineRule="auto"/>
        <w:tabs>
          <w:tab w:leader="none" w:pos="93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Exculpation. No member of the Committee shall be personally liable for </w:t>
      </w:r>
      <w:r>
        <w:rPr>
          <w:rFonts w:ascii="Courier New" w:cs="Courier New" w:eastAsia="Courier New" w:hAnsi="Courier New"/>
          <w:sz w:val="14"/>
          <w:szCs w:val="14"/>
          <w:color w:val="auto"/>
          <w:strike w:val="1"/>
        </w:rPr>
        <w:t>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-1435735</wp:posOffset>
            </wp:positionV>
            <wp:extent cx="460819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-867410</wp:posOffset>
            </wp:positionV>
            <wp:extent cx="472630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26305" cy="7620"/>
                    </a:xfrm>
                    <a:prstGeom prst="rect">
                      <a:avLst/>
                    </a:prstGeom>
                    <a:noFill/>
                  </pic:spPr>
                </pic:pic>
              </a:graphicData>
            </a:graphic>
          </wp:anchor>
        </w:drawing>
      </w:r>
    </w:p>
    <w:p>
      <w:pPr>
        <w:spacing w:after="0" w:line="13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242252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22525" cy="7620"/>
                    </a:xfrm>
                    <a:prstGeom prst="rect">
                      <a:avLst/>
                    </a:prstGeom>
                    <a:noFill/>
                  </pic:spPr>
                </pic:pic>
              </a:graphicData>
            </a:graphic>
          </wp:anchor>
        </w:drawing>
      </w:r>
    </w:p>
    <w:p>
      <w:pPr>
        <w:sectPr>
          <w:pgSz w:w="11900" w:h="16838" w:orient="portrait"/>
          <w:cols w:equalWidth="0" w:num="1">
            <w:col w:w="10224"/>
          </w:cols>
          <w:pgMar w:left="235" w:top="648" w:right="1440" w:bottom="1440" w:gutter="0" w:footer="0" w:header="0"/>
        </w:sectPr>
      </w:pPr>
    </w:p>
    <w:bookmarkStart w:id="16" w:name="page17"/>
    <w:bookmarkEnd w:id="16"/>
    <w:p>
      <w:pPr>
        <w:ind w:left="5" w:right="2779" w:firstLine="461"/>
        <w:spacing w:after="0" w:line="274" w:lineRule="auto"/>
        <w:tabs>
          <w:tab w:leader="none" w:pos="935"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Indemnification. Service on the Committee shall constitute service as </w:t>
      </w:r>
      <w:r>
        <w:rPr>
          <w:rFonts w:ascii="Courier New" w:cs="Courier New" w:eastAsia="Courier New" w:hAnsi="Courier New"/>
          <w:sz w:val="14"/>
          <w:szCs w:val="14"/>
          <w:color w:val="auto"/>
          <w:strike w:val="1"/>
        </w:rPr>
        <w:t>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334" w:lineRule="exact"/>
        <w:rPr>
          <w:rFonts w:ascii="Courier New" w:cs="Courier New" w:eastAsia="Courier New" w:hAnsi="Courier New"/>
          <w:sz w:val="14"/>
          <w:szCs w:val="14"/>
          <w:color w:val="auto"/>
        </w:rPr>
      </w:pPr>
    </w:p>
    <w:p>
      <w:pPr>
        <w:ind w:left="465" w:hanging="465"/>
        <w:spacing w:after="0"/>
        <w:tabs>
          <w:tab w:leader="none" w:pos="465" w:val="left"/>
        </w:tabs>
        <w:numPr>
          <w:ilvl w:val="0"/>
          <w:numId w:val="16"/>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-1195070</wp:posOffset>
            </wp:positionV>
            <wp:extent cx="466725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667250" cy="7620"/>
                    </a:xfrm>
                    <a:prstGeom prst="rect">
                      <a:avLst/>
                    </a:prstGeom>
                    <a:noFill/>
                  </pic:spPr>
                </pic:pic>
              </a:graphicData>
            </a:graphic>
          </wp:anchor>
        </w:drawing>
      </w:r>
    </w:p>
    <w:p>
      <w:pPr>
        <w:spacing w:after="0" w:line="163" w:lineRule="exact"/>
        <w:rPr>
          <w:sz w:val="20"/>
          <w:szCs w:val="20"/>
          <w:color w:val="auto"/>
        </w:rPr>
      </w:pPr>
    </w:p>
    <w:p>
      <w:pPr>
        <w:jc w:val="both"/>
        <w:ind w:left="5" w:right="2779" w:firstLine="930"/>
        <w:spacing w:after="0" w:line="235" w:lineRule="auto"/>
        <w:rPr>
          <w:sz w:val="20"/>
          <w:szCs w:val="20"/>
          <w:color w:val="auto"/>
        </w:rPr>
      </w:pPr>
      <w:r>
        <w:rPr>
          <w:rFonts w:ascii="Courier New" w:cs="Courier New" w:eastAsia="Courier New" w:hAnsi="Courier New"/>
          <w:sz w:val="16"/>
          <w:szCs w:val="16"/>
          <w:color w:val="auto"/>
        </w:rPr>
        <w:t xml:space="preserve">Awards may be granted only to Eligible Employees, as determined by the </w:t>
      </w:r>
      <w:r>
        <w:rPr>
          <w:rFonts w:ascii="Courier New" w:cs="Courier New" w:eastAsia="Courier New" w:hAnsi="Courier New"/>
          <w:sz w:val="16"/>
          <w:szCs w:val="16"/>
          <w:color w:val="auto"/>
          <w:strike w:val="1"/>
        </w:rPr>
        <w:t>Committee. No Awards shall be granted to an individual who is not an employee of a Participating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472630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26305" cy="7620"/>
                    </a:xfrm>
                    <a:prstGeom prst="rect">
                      <a:avLst/>
                    </a:prstGeom>
                    <a:noFill/>
                  </pic:spPr>
                </pic:pic>
              </a:graphicData>
            </a:graphic>
          </wp:anchor>
        </w:drawing>
      </w:r>
    </w:p>
    <w:p>
      <w:pPr>
        <w:spacing w:after="0" w:line="157" w:lineRule="exact"/>
        <w:rPr>
          <w:sz w:val="20"/>
          <w:szCs w:val="20"/>
          <w:color w:val="auto"/>
        </w:rPr>
      </w:pPr>
    </w:p>
    <w:p>
      <w:pPr>
        <w:ind w:left="465" w:hanging="465"/>
        <w:spacing w:after="0"/>
        <w:tabs>
          <w:tab w:leader="none" w:pos="465" w:val="left"/>
        </w:tabs>
        <w:numPr>
          <w:ilvl w:val="0"/>
          <w:numId w:val="17"/>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RESTRICTED STOCK AWARDS</w:t>
      </w:r>
    </w:p>
    <w:p>
      <w:pPr>
        <w:spacing w:after="0" w:line="183" w:lineRule="exact"/>
        <w:rPr>
          <w:sz w:val="20"/>
          <w:szCs w:val="20"/>
          <w:color w:val="auto"/>
        </w:rPr>
      </w:pPr>
    </w:p>
    <w:p>
      <w:pPr>
        <w:ind w:left="5" w:right="2879" w:firstLine="930"/>
        <w:spacing w:after="0" w:line="235" w:lineRule="auto"/>
        <w:rPr>
          <w:sz w:val="20"/>
          <w:szCs w:val="20"/>
          <w:color w:val="auto"/>
        </w:rPr>
      </w:pPr>
      <w:r>
        <w:rPr>
          <w:rFonts w:ascii="Courier New" w:cs="Courier New" w:eastAsia="Courier New" w:hAnsi="Courier New"/>
          <w:sz w:val="16"/>
          <w:szCs w:val="16"/>
          <w:color w:val="auto"/>
        </w:rPr>
        <w:t xml:space="preserve">The Committee may grant Awards in accordance with the Plan. The terms </w:t>
      </w:r>
      <w:r>
        <w:rPr>
          <w:rFonts w:ascii="Courier New" w:cs="Courier New" w:eastAsia="Courier New" w:hAnsi="Courier New"/>
          <w:sz w:val="16"/>
          <w:szCs w:val="16"/>
          <w:color w:val="auto"/>
          <w:strike w:val="1"/>
        </w:rPr>
        <w:t>and conditions of Awards shall be set forth in writing as determined from time to time by the Committee, consistent, however,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466725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667250" cy="7620"/>
                    </a:xfrm>
                    <a:prstGeom prst="rect">
                      <a:avLst/>
                    </a:prstGeom>
                    <a:noFill/>
                  </pic:spPr>
                </pic:pic>
              </a:graphicData>
            </a:graphic>
          </wp:anchor>
        </w:drawing>
      </w:r>
    </w:p>
    <w:p>
      <w:pPr>
        <w:spacing w:after="0" w:line="163" w:lineRule="exact"/>
        <w:rPr>
          <w:sz w:val="20"/>
          <w:szCs w:val="20"/>
          <w:color w:val="auto"/>
        </w:rPr>
      </w:pPr>
    </w:p>
    <w:p>
      <w:pPr>
        <w:ind w:left="5" w:right="2879" w:firstLine="461"/>
        <w:spacing w:after="0" w:line="234" w:lineRule="auto"/>
        <w:tabs>
          <w:tab w:leader="none" w:pos="93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Time of Grant. All Awards shall be granted within ten (10) years from </w:t>
      </w:r>
      <w:r>
        <w:rPr>
          <w:rFonts w:ascii="Courier New" w:cs="Courier New" w:eastAsia="Courier New" w:hAnsi="Courier New"/>
          <w:sz w:val="16"/>
          <w:szCs w:val="16"/>
          <w:color w:val="auto"/>
          <w:strike w:val="1"/>
        </w:rPr>
        <w:t>the date of adoption of the Plan by the Board.</w:t>
      </w:r>
    </w:p>
    <w:p>
      <w:pPr>
        <w:spacing w:after="0" w:line="183" w:lineRule="exact"/>
        <w:rPr>
          <w:rFonts w:ascii="Courier New" w:cs="Courier New" w:eastAsia="Courier New" w:hAnsi="Courier New"/>
          <w:sz w:val="16"/>
          <w:szCs w:val="16"/>
          <w:color w:val="auto"/>
        </w:rPr>
      </w:pPr>
    </w:p>
    <w:p>
      <w:pPr>
        <w:ind w:left="5" w:right="2879" w:firstLine="461"/>
        <w:spacing w:after="0" w:line="235" w:lineRule="auto"/>
        <w:tabs>
          <w:tab w:leader="none" w:pos="93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Shares Awarded. The provisions of Awards need not be the same with </w:t>
      </w:r>
      <w:r>
        <w:rPr>
          <w:rFonts w:ascii="Courier New" w:cs="Courier New" w:eastAsia="Courier New" w:hAnsi="Courier New"/>
          <w:sz w:val="16"/>
          <w:szCs w:val="16"/>
          <w:color w:val="auto"/>
          <w:strike w:val="1"/>
        </w:rPr>
        <w:t>respect to each Grantee. No cash or other consideration shall be required to be paid by the Grantee in exchange for an Award.</w:t>
      </w:r>
    </w:p>
    <w:p>
      <w:pPr>
        <w:spacing w:after="0" w:line="183" w:lineRule="exact"/>
        <w:rPr>
          <w:rFonts w:ascii="Courier New" w:cs="Courier New" w:eastAsia="Courier New" w:hAnsi="Courier New"/>
          <w:sz w:val="16"/>
          <w:szCs w:val="16"/>
          <w:color w:val="auto"/>
        </w:rPr>
      </w:pPr>
    </w:p>
    <w:p>
      <w:pPr>
        <w:ind w:left="5" w:right="2779" w:firstLine="461"/>
        <w:spacing w:after="0" w:line="275" w:lineRule="auto"/>
        <w:tabs>
          <w:tab w:leader="none" w:pos="93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Awards and Agreements. A certificate shall be issued to each Grantee </w:t>
      </w:r>
      <w:r>
        <w:rPr>
          <w:rFonts w:ascii="Courier New" w:cs="Courier New" w:eastAsia="Courier New" w:hAnsi="Courier New"/>
          <w:sz w:val="14"/>
          <w:szCs w:val="14"/>
          <w:color w:val="auto"/>
          <w:strike w:val="1"/>
        </w:rPr>
        <w:t>in respect of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61" w:lineRule="exact"/>
        <w:rPr>
          <w:rFonts w:ascii="Courier New" w:cs="Courier New" w:eastAsia="Courier New" w:hAnsi="Courier New"/>
          <w:sz w:val="14"/>
          <w:szCs w:val="14"/>
          <w:color w:val="auto"/>
        </w:rPr>
      </w:pPr>
    </w:p>
    <w:p>
      <w:pPr>
        <w:ind w:left="5" w:right="2879" w:firstLine="461"/>
        <w:spacing w:after="0" w:line="236" w:lineRule="auto"/>
        <w:tabs>
          <w:tab w:leader="none" w:pos="93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Restrictions. Subject to the provisions of the Plan and the Award, </w:t>
      </w:r>
      <w:r>
        <w:rPr>
          <w:rFonts w:ascii="Courier New" w:cs="Courier New" w:eastAsia="Courier New" w:hAnsi="Courier New"/>
          <w:sz w:val="16"/>
          <w:szCs w:val="16"/>
          <w:color w:val="auto"/>
          <w:strike w:val="1"/>
        </w:rPr>
        <w:t>during a period set by the Committee commencing with the Date of Grant, which, for Grantees who are subject to the short-swing profit recapture rules of section 16(b) of the 1934 Act by virtue of their position as either a director, officer or holder of more than 10 percent of any class of equity securities of the Company, shall extend for at least six (6) months from the Date of Grant, the Grantee shall not be permitted to sell, transfer, pledge or assign Restricted Stock awarded under the Plan.</w:t>
      </w:r>
    </w:p>
    <w:p>
      <w:pPr>
        <w:spacing w:after="0" w:line="184" w:lineRule="exact"/>
        <w:rPr>
          <w:rFonts w:ascii="Courier New" w:cs="Courier New" w:eastAsia="Courier New" w:hAnsi="Courier New"/>
          <w:sz w:val="16"/>
          <w:szCs w:val="16"/>
          <w:color w:val="auto"/>
        </w:rPr>
      </w:pPr>
    </w:p>
    <w:p>
      <w:pPr>
        <w:ind w:left="5" w:right="2779" w:firstLine="461"/>
        <w:spacing w:after="0" w:line="236" w:lineRule="auto"/>
        <w:tabs>
          <w:tab w:leader="none" w:pos="93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Lapse of Restrictions. Subject to the provisions of the Plan and the </w:t>
      </w:r>
      <w:r>
        <w:rPr>
          <w:rFonts w:ascii="Courier New" w:cs="Courier New" w:eastAsia="Courier New" w:hAnsi="Courier New"/>
          <w:sz w:val="16"/>
          <w:szCs w:val="16"/>
          <w:color w:val="auto"/>
          <w:strike w:val="1"/>
        </w:rPr>
        <w:t>Award, restrictions upon Shares subject to an Award shall lapse at such time or times and on such terms and conditions as the Committee may determine and as are set forth in the Award; provided, however, that the restrictions upon such Shares shall lapse only if the Grantee on the date of such lapse is, and has been an employee of a Participating Company continuously from the Date of Grant. The Award may provide for the lapse of restrictions in installments, as determined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-3465830</wp:posOffset>
            </wp:positionV>
            <wp:extent cx="466725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-3124835</wp:posOffset>
            </wp:positionV>
            <wp:extent cx="449008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-2670810</wp:posOffset>
            </wp:positionV>
            <wp:extent cx="460819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-1875155</wp:posOffset>
            </wp:positionV>
            <wp:extent cx="449008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-852805</wp:posOffset>
            </wp:positionV>
            <wp:extent cx="460819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608195" cy="7620"/>
                    </a:xfrm>
                    <a:prstGeom prst="rect">
                      <a:avLst/>
                    </a:prstGeom>
                    <a:noFill/>
                  </pic:spPr>
                </pic:pic>
              </a:graphicData>
            </a:graphic>
          </wp:anchor>
        </w:drawing>
      </w:r>
    </w:p>
    <w:p>
      <w:pPr>
        <w:spacing w:after="0" w:line="15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242252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22525" cy="7620"/>
                    </a:xfrm>
                    <a:prstGeom prst="rect">
                      <a:avLst/>
                    </a:prstGeom>
                    <a:noFill/>
                  </pic:spPr>
                </pic:pic>
              </a:graphicData>
            </a:graphic>
          </wp:anchor>
        </w:drawing>
      </w:r>
    </w:p>
    <w:p>
      <w:pPr>
        <w:sectPr>
          <w:pgSz w:w="11900" w:h="16838" w:orient="portrait"/>
          <w:cols w:equalWidth="0" w:num="1">
            <w:col w:w="10224"/>
          </w:cols>
          <w:pgMar w:left="235" w:top="654" w:right="1440" w:bottom="1440" w:gutter="0" w:footer="0" w:header="0"/>
        </w:sectPr>
      </w:pPr>
    </w:p>
    <w:bookmarkStart w:id="17" w:name="page18"/>
    <w:bookmarkEnd w:id="17"/>
    <w:p>
      <w:pPr>
        <w:jc w:val="both"/>
        <w:ind w:left="5" w:right="3239"/>
        <w:spacing w:after="0" w:line="235" w:lineRule="auto"/>
        <w:rPr>
          <w:sz w:val="20"/>
          <w:szCs w:val="20"/>
          <w:color w:val="auto"/>
        </w:rPr>
      </w:pPr>
      <w:r>
        <w:rPr>
          <w:rFonts w:ascii="Courier New" w:cs="Courier New" w:eastAsia="Courier New" w:hAnsi="Courier New"/>
          <w:sz w:val="16"/>
          <w:szCs w:val="16"/>
          <w:color w:val="auto"/>
          <w:strike w:val="1"/>
        </w:rPr>
        <w:t>Committee. The Committee may, in its sole discretion, waive, in whole or in part, any remaining restrictions with respect to such Grantee's Restricted Stock.</w:t>
      </w:r>
    </w:p>
    <w:p>
      <w:pPr>
        <w:spacing w:after="0" w:line="183" w:lineRule="exact"/>
        <w:rPr>
          <w:sz w:val="20"/>
          <w:szCs w:val="20"/>
          <w:color w:val="auto"/>
        </w:rPr>
      </w:pPr>
    </w:p>
    <w:p>
      <w:pPr>
        <w:jc w:val="both"/>
        <w:ind w:left="5" w:right="2879" w:firstLine="461"/>
        <w:spacing w:after="0" w:line="235" w:lineRule="auto"/>
        <w:tabs>
          <w:tab w:leader="none" w:pos="935"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Rights of the Grantee. Grantees may have such rights with respect to </w:t>
      </w:r>
      <w:r>
        <w:rPr>
          <w:rFonts w:ascii="Courier New" w:cs="Courier New" w:eastAsia="Courier New" w:hAnsi="Courier New"/>
          <w:sz w:val="16"/>
          <w:szCs w:val="16"/>
          <w:color w:val="auto"/>
          <w:strike w:val="1"/>
        </w:rPr>
        <w:t>Shares subject to an Award as may be determined by the Committee and set forth in the Award, including the right to vote such Shares, and the right to receive dividends paid with respect to such Shares.</w:t>
      </w:r>
    </w:p>
    <w:p>
      <w:pPr>
        <w:spacing w:after="0" w:line="184" w:lineRule="exact"/>
        <w:rPr>
          <w:rFonts w:ascii="Courier New" w:cs="Courier New" w:eastAsia="Courier New" w:hAnsi="Courier New"/>
          <w:sz w:val="16"/>
          <w:szCs w:val="16"/>
          <w:color w:val="auto"/>
        </w:rPr>
      </w:pPr>
    </w:p>
    <w:p>
      <w:pPr>
        <w:ind w:left="5" w:right="2779" w:firstLine="461"/>
        <w:spacing w:after="0" w:line="236" w:lineRule="auto"/>
        <w:tabs>
          <w:tab w:leader="none" w:pos="935"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Termination of Grantee's Employment. A transfer of an Eligible </w:t>
      </w:r>
      <w:r>
        <w:rPr>
          <w:rFonts w:ascii="Courier New" w:cs="Courier New" w:eastAsia="Courier New" w:hAnsi="Courier New"/>
          <w:sz w:val="16"/>
          <w:szCs w:val="16"/>
          <w:color w:val="auto"/>
          <w:strike w:val="1"/>
        </w:rPr>
        <w:t>Employee between two employers, each of which is a Participating Company, shall not be deemed a termination of employment. In the event that a Grantee terminates employment with all Participating Companies, all Shares remaining subject to restrictions shall be forfeited by the Grantee and deemed canceled by the Company.</w:t>
      </w:r>
    </w:p>
    <w:p>
      <w:pPr>
        <w:spacing w:after="0" w:line="182" w:lineRule="exact"/>
        <w:rPr>
          <w:rFonts w:ascii="Courier New" w:cs="Courier New" w:eastAsia="Courier New" w:hAnsi="Courier New"/>
          <w:sz w:val="16"/>
          <w:szCs w:val="16"/>
          <w:color w:val="auto"/>
        </w:rPr>
      </w:pPr>
    </w:p>
    <w:p>
      <w:pPr>
        <w:ind w:left="5" w:right="2779" w:firstLine="461"/>
        <w:spacing w:after="0" w:line="273" w:lineRule="auto"/>
        <w:tabs>
          <w:tab w:leader="none" w:pos="935"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Delivery of Shares. Except as otherwise provided by Paragraph 8, when </w:t>
      </w:r>
      <w:r>
        <w:rPr>
          <w:rFonts w:ascii="Courier New" w:cs="Courier New" w:eastAsia="Courier New" w:hAnsi="Courier New"/>
          <w:sz w:val="14"/>
          <w:szCs w:val="14"/>
          <w:color w:val="auto"/>
          <w:strike w:val="1"/>
        </w:rPr>
        <w:t>the restrictions imposed on Restricted Stock lapse with respect to one or more Shares, the Company shall notify the Grantee that such restrictions no longer apply, and shall deliver to the Grantee (or the person to whom ownership rights may have passed by will or the laws of descent and distribution) a certificate for the number of Shares for which restrictions have lapsed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time the applicable restrictions lapse, as determined by the Committee.</w:t>
      </w:r>
    </w:p>
    <w:p>
      <w:pPr>
        <w:spacing w:after="0" w:line="336" w:lineRule="exact"/>
        <w:rPr>
          <w:rFonts w:ascii="Courier New" w:cs="Courier New" w:eastAsia="Courier New" w:hAnsi="Courier New"/>
          <w:sz w:val="14"/>
          <w:szCs w:val="14"/>
          <w:color w:val="auto"/>
        </w:rPr>
      </w:pPr>
    </w:p>
    <w:p>
      <w:pPr>
        <w:ind w:left="465" w:hanging="465"/>
        <w:spacing w:after="0"/>
        <w:tabs>
          <w:tab w:leader="none" w:pos="465" w:val="left"/>
        </w:tabs>
        <w:numPr>
          <w:ilvl w:val="0"/>
          <w:numId w:val="20"/>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DEFERRAL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-2785110</wp:posOffset>
            </wp:positionV>
            <wp:extent cx="460819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-2217420</wp:posOffset>
            </wp:positionV>
            <wp:extent cx="425386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538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-1421765</wp:posOffset>
            </wp:positionV>
            <wp:extent cx="466725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67250" cy="7620"/>
                    </a:xfrm>
                    <a:prstGeom prst="rect">
                      <a:avLst/>
                    </a:prstGeom>
                    <a:noFill/>
                  </pic:spPr>
                </pic:pic>
              </a:graphicData>
            </a:graphic>
          </wp:anchor>
        </w:drawing>
      </w:r>
    </w:p>
    <w:p>
      <w:pPr>
        <w:spacing w:after="0" w:line="163" w:lineRule="exact"/>
        <w:rPr>
          <w:sz w:val="20"/>
          <w:szCs w:val="20"/>
          <w:color w:val="auto"/>
        </w:rPr>
      </w:pPr>
    </w:p>
    <w:p>
      <w:pPr>
        <w:ind w:left="5" w:right="2879" w:firstLine="930"/>
        <w:spacing w:after="0" w:line="235" w:lineRule="auto"/>
        <w:rPr>
          <w:sz w:val="20"/>
          <w:szCs w:val="20"/>
          <w:color w:val="auto"/>
        </w:rPr>
      </w:pPr>
      <w:r>
        <w:rPr>
          <w:rFonts w:ascii="Courier New" w:cs="Courier New" w:eastAsia="Courier New" w:hAnsi="Courier New"/>
          <w:sz w:val="16"/>
          <w:szCs w:val="16"/>
          <w:color w:val="auto"/>
        </w:rPr>
        <w:t xml:space="preserve">Effective for Awards granted after September 16, 1997, a Grantee may </w:t>
      </w:r>
      <w:r>
        <w:rPr>
          <w:rFonts w:ascii="Courier New" w:cs="Courier New" w:eastAsia="Courier New" w:hAnsi="Courier New"/>
          <w:sz w:val="16"/>
          <w:szCs w:val="16"/>
          <w:color w:val="auto"/>
          <w:strike w:val="1"/>
        </w:rPr>
        <w:t>elect to defer the receipt of Restricted Stock as to which restrictions have lapsed as provided by the Committee in the Award, consistent, however,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-398145</wp:posOffset>
            </wp:positionV>
            <wp:extent cx="460819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608195" cy="7620"/>
                    </a:xfrm>
                    <a:prstGeom prst="rect">
                      <a:avLst/>
                    </a:prstGeom>
                    <a:noFill/>
                  </pic:spPr>
                </pic:pic>
              </a:graphicData>
            </a:graphic>
          </wp:anchor>
        </w:drawing>
      </w:r>
    </w:p>
    <w:p>
      <w:pPr>
        <w:spacing w:after="0" w:line="158" w:lineRule="exact"/>
        <w:rPr>
          <w:sz w:val="20"/>
          <w:szCs w:val="20"/>
          <w:color w:val="auto"/>
        </w:rPr>
      </w:pPr>
    </w:p>
    <w:p>
      <w:pPr>
        <w:ind w:left="925" w:hanging="459"/>
        <w:spacing w:after="0"/>
        <w:tabs>
          <w:tab w:leader="none" w:pos="92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Election.</w:t>
      </w:r>
    </w:p>
    <w:p>
      <w:pPr>
        <w:spacing w:after="0" w:line="182" w:lineRule="exact"/>
        <w:rPr>
          <w:rFonts w:ascii="Courier New" w:cs="Courier New" w:eastAsia="Courier New" w:hAnsi="Courier New"/>
          <w:sz w:val="16"/>
          <w:szCs w:val="16"/>
          <w:color w:val="auto"/>
        </w:rPr>
      </w:pPr>
    </w:p>
    <w:p>
      <w:pPr>
        <w:ind w:left="1485" w:right="2779" w:hanging="554"/>
        <w:spacing w:after="0" w:line="236" w:lineRule="auto"/>
        <w:tabs>
          <w:tab w:leader="none" w:pos="148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Each Grantee shall have the right to defer the receipt of all or any portion of the Restricted Stock as to which the Award provides for the potential lapse of applicable restrictions by filing an Election to defer the receipt of such Restricted Stock on a form provided by the Committee for this purpose.</w:t>
      </w:r>
    </w:p>
    <w:p>
      <w:pPr>
        <w:spacing w:after="0" w:line="182" w:lineRule="exact"/>
        <w:rPr>
          <w:rFonts w:ascii="Courier New" w:cs="Courier New" w:eastAsia="Courier New" w:hAnsi="Courier New"/>
          <w:sz w:val="16"/>
          <w:szCs w:val="16"/>
          <w:color w:val="auto"/>
        </w:rPr>
      </w:pPr>
    </w:p>
    <w:p>
      <w:pPr>
        <w:ind w:left="1485" w:right="2779" w:hanging="554"/>
        <w:spacing w:after="0" w:line="273" w:lineRule="auto"/>
        <w:tabs>
          <w:tab w:leader="none" w:pos="1485"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Deadline for Deferral Election. No Election to defer the receipt of Restricted Stock as to which the Award provides for the potential lapse of applicable restrictions shall be effective unless it is filed with the Committee on or before the last day of the calendar year ending before the first day of the Plan Year in which the applicable restrictions may lapse; provided that an Election to defer the receipt of Restricted Stock as to which the Award provides for the potential lapse of applicable restrictions within the same Plan Year as the Plan Year in which the Award is granted shall be effective if it is filed with the Committee on or before the earlier of (A) the 30th day following the Date of Grant or (B) the last day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-2230120</wp:posOffset>
            </wp:positionV>
            <wp:extent cx="165417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541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-2002790</wp:posOffset>
            </wp:positionV>
            <wp:extent cx="472630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-1889125</wp:posOffset>
            </wp:positionV>
            <wp:extent cx="454914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-1775460</wp:posOffset>
            </wp:positionV>
            <wp:extent cx="401764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0176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-1662430</wp:posOffset>
            </wp:positionV>
            <wp:extent cx="466725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-1548765</wp:posOffset>
            </wp:positionV>
            <wp:extent cx="454914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-1435100</wp:posOffset>
            </wp:positionV>
            <wp:extent cx="141795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17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-1207770</wp:posOffset>
            </wp:positionV>
            <wp:extent cx="472630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-1094105</wp:posOffset>
            </wp:positionV>
            <wp:extent cx="437197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719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-980440</wp:posOffset>
            </wp:positionV>
            <wp:extent cx="454914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-866775</wp:posOffset>
            </wp:positionV>
            <wp:extent cx="466725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-753110</wp:posOffset>
            </wp:positionV>
            <wp:extent cx="449008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-640080</wp:posOffset>
            </wp:positionV>
            <wp:extent cx="454914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-526415</wp:posOffset>
            </wp:positionV>
            <wp:extent cx="466725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-412750</wp:posOffset>
            </wp:positionV>
            <wp:extent cx="460819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472630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466725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-71755</wp:posOffset>
            </wp:positionV>
            <wp:extent cx="472630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41275</wp:posOffset>
            </wp:positionV>
            <wp:extent cx="354457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544570" cy="7620"/>
                    </a:xfrm>
                    <a:prstGeom prst="rect">
                      <a:avLst/>
                    </a:prstGeom>
                    <a:noFill/>
                  </pic:spPr>
                </pic:pic>
              </a:graphicData>
            </a:graphic>
          </wp:anchor>
        </w:drawing>
      </w:r>
    </w:p>
    <w:p>
      <w:pPr>
        <w:spacing w:after="0" w:line="31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242252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22525" cy="7620"/>
                    </a:xfrm>
                    <a:prstGeom prst="rect">
                      <a:avLst/>
                    </a:prstGeom>
                    <a:noFill/>
                  </pic:spPr>
                </pic:pic>
              </a:graphicData>
            </a:graphic>
          </wp:anchor>
        </w:drawing>
      </w:r>
    </w:p>
    <w:p>
      <w:pPr>
        <w:sectPr>
          <w:pgSz w:w="11900" w:h="16838" w:orient="portrait"/>
          <w:cols w:equalWidth="0" w:num="1">
            <w:col w:w="10224"/>
          </w:cols>
          <w:pgMar w:left="235" w:top="654" w:right="1440" w:bottom="1440" w:gutter="0" w:footer="0" w:header="0"/>
        </w:sectPr>
      </w:pPr>
    </w:p>
    <w:bookmarkStart w:id="18" w:name="page19"/>
    <w:bookmarkEnd w:id="18"/>
    <w:p>
      <w:pPr>
        <w:ind w:left="1019"/>
        <w:spacing w:after="0"/>
        <w:rPr>
          <w:sz w:val="20"/>
          <w:szCs w:val="20"/>
          <w:color w:val="auto"/>
        </w:rPr>
      </w:pPr>
      <w:r>
        <w:rPr>
          <w:rFonts w:ascii="Courier New" w:cs="Courier New" w:eastAsia="Courier New" w:hAnsi="Courier New"/>
          <w:sz w:val="16"/>
          <w:szCs w:val="16"/>
          <w:color w:val="auto"/>
        </w:rPr>
        <w:t>month that precedes the month in which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-59055</wp:posOffset>
            </wp:positionV>
            <wp:extent cx="40767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076700" cy="7620"/>
                    </a:xfrm>
                    <a:prstGeom prst="rect">
                      <a:avLst/>
                    </a:prstGeom>
                    <a:noFill/>
                  </pic:spPr>
                </pic:pic>
              </a:graphicData>
            </a:graphic>
          </wp:anchor>
        </w:drawing>
      </w:r>
    </w:p>
    <w:p>
      <w:pPr>
        <w:ind w:left="1019"/>
        <w:spacing w:after="0" w:line="236" w:lineRule="auto"/>
        <w:rPr>
          <w:sz w:val="20"/>
          <w:szCs w:val="20"/>
          <w:color w:val="auto"/>
        </w:rPr>
      </w:pPr>
      <w:r>
        <w:rPr>
          <w:rFonts w:ascii="Courier New" w:cs="Courier New" w:eastAsia="Courier New" w:hAnsi="Courier New"/>
          <w:sz w:val="16"/>
          <w:szCs w:val="16"/>
          <w:color w:val="auto"/>
        </w:rPr>
        <w:t>restrictions may lapse.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-58420</wp:posOffset>
            </wp:positionV>
            <wp:extent cx="230378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303780" cy="7620"/>
                    </a:xfrm>
                    <a:prstGeom prst="rect">
                      <a:avLst/>
                    </a:prstGeom>
                    <a:noFill/>
                  </pic:spPr>
                </pic:pic>
              </a:graphicData>
            </a:graphic>
          </wp:anchor>
        </w:drawing>
      </w:r>
    </w:p>
    <w:p>
      <w:pPr>
        <w:spacing w:after="0" w:line="163" w:lineRule="exact"/>
        <w:rPr>
          <w:sz w:val="20"/>
          <w:szCs w:val="20"/>
          <w:color w:val="auto"/>
        </w:rPr>
      </w:pPr>
    </w:p>
    <w:p>
      <w:pPr>
        <w:ind w:left="-461" w:right="3239" w:firstLine="461"/>
        <w:spacing w:after="0" w:line="235" w:lineRule="auto"/>
        <w:tabs>
          <w:tab w:leader="none" w:pos="47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Effect of Failure of Restrictions on Shares to Lapse. An Election </w:t>
      </w:r>
      <w:r>
        <w:rPr>
          <w:rFonts w:ascii="Courier New" w:cs="Courier New" w:eastAsia="Courier New" w:hAnsi="Courier New"/>
          <w:sz w:val="16"/>
          <w:szCs w:val="16"/>
          <w:color w:val="auto"/>
          <w:strike w:val="1"/>
        </w:rPr>
        <w:t>shall be null and void if the restrictions on Restricted Stock do not lapse before the distribution date for such Restricted Stock identified in such Election by reason of the failure to satisfy any condition precedent to the lapse of the restrictions.</w:t>
      </w:r>
    </w:p>
    <w:p>
      <w:pPr>
        <w:spacing w:after="0" w:line="185" w:lineRule="exact"/>
        <w:rPr>
          <w:rFonts w:ascii="Courier New" w:cs="Courier New" w:eastAsia="Courier New" w:hAnsi="Courier New"/>
          <w:sz w:val="16"/>
          <w:szCs w:val="16"/>
          <w:color w:val="auto"/>
        </w:rPr>
      </w:pPr>
    </w:p>
    <w:p>
      <w:pPr>
        <w:ind w:left="-461" w:right="2779" w:firstLine="461"/>
        <w:spacing w:after="0" w:line="236" w:lineRule="auto"/>
        <w:tabs>
          <w:tab w:leader="none" w:pos="47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Deferral Period. Except as otherwise provided in Paragraph 8(d), all </w:t>
      </w:r>
      <w:r>
        <w:rPr>
          <w:rFonts w:ascii="Courier New" w:cs="Courier New" w:eastAsia="Courier New" w:hAnsi="Courier New"/>
          <w:sz w:val="16"/>
          <w:szCs w:val="16"/>
          <w:color w:val="auto"/>
          <w:strike w:val="1"/>
        </w:rPr>
        <w:t>Restricted Stock that is subject to an Election shall be delivered to the Grantee (or the person to whom ownership rights may have passed by will or the laws of descent and distribution) without any legend or restrictions (except those that may be imposed by the Committee, in its sole judgment, under Paragraph 9(a)), on the distribution date for such Restricted Stock designated by the Grantee on the most recently filed Election. Subject to acceleration or deferral pursuant to Paragraph 8(d) or Paragraph 11, no distribution may be made earlier than January 2nd of the second calendar year beginning after the date on which the applicable restrictions may lapse, nor later than January 2nd of the tenth calendar year beginning after the date on which the applicable restrictions may lapse. The distribution date may vary with each separate Election.</w:t>
      </w:r>
    </w:p>
    <w:p>
      <w:pPr>
        <w:spacing w:after="0" w:line="181" w:lineRule="exact"/>
        <w:rPr>
          <w:rFonts w:ascii="Courier New" w:cs="Courier New" w:eastAsia="Courier New" w:hAnsi="Courier New"/>
          <w:sz w:val="16"/>
          <w:szCs w:val="16"/>
          <w:color w:val="auto"/>
        </w:rPr>
      </w:pPr>
    </w:p>
    <w:p>
      <w:pPr>
        <w:ind w:left="459" w:hanging="459"/>
        <w:spacing w:after="0"/>
        <w:tabs>
          <w:tab w:leader="none" w:pos="45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Deferral Election.</w:t>
      </w:r>
    </w:p>
    <w:p>
      <w:pPr>
        <w:spacing w:after="0" w:line="182" w:lineRule="exact"/>
        <w:rPr>
          <w:rFonts w:ascii="Courier New" w:cs="Courier New" w:eastAsia="Courier New" w:hAnsi="Courier New"/>
          <w:sz w:val="16"/>
          <w:szCs w:val="16"/>
          <w:color w:val="auto"/>
        </w:rPr>
      </w:pPr>
    </w:p>
    <w:p>
      <w:pPr>
        <w:ind w:left="1019" w:right="2779" w:hanging="554"/>
        <w:spacing w:after="0" w:line="236" w:lineRule="auto"/>
        <w:tabs>
          <w:tab w:leader="none" w:pos="101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Active Grantee who has previously made an Election to receive a distribution of part or all of his or her Account, or who, pursuant to this Paragraph 8(d)(i) has made an Election to defer the distribution date for Restricted Stock for an additional period from the originally-elected distribution date, may elect to defer the distribution date for a minimum of two and a maximum of ten additional years from the previously-elected distribution date, by filing an Election with the Committee on or before the close of business on June 30 of the calendar year preceding the calendar year in which the distribution would otherwise be made.</w:t>
      </w:r>
    </w:p>
    <w:p>
      <w:pPr>
        <w:spacing w:after="0" w:line="186" w:lineRule="exact"/>
        <w:rPr>
          <w:rFonts w:ascii="Courier New" w:cs="Courier New" w:eastAsia="Courier New" w:hAnsi="Courier New"/>
          <w:sz w:val="16"/>
          <w:szCs w:val="16"/>
          <w:color w:val="auto"/>
        </w:rPr>
      </w:pPr>
    </w:p>
    <w:p>
      <w:pPr>
        <w:ind w:left="1019" w:right="2779" w:hanging="554"/>
        <w:spacing w:after="0" w:line="272" w:lineRule="auto"/>
        <w:tabs>
          <w:tab w:leader="none" w:pos="1019"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Deceased Grantee's estate or beneficiary to whom the right to payment under the Plan shall have passed may elect to (A) defer the distribution date for the Deceased Grantee's Restricted Stock for a minimum of two additional years from the date payment would otherwise be made (provided that if an Election is made pursuant to this Paragraph 8(d)(ii)(A), the Deceased Grantee's deferred Restricted Stock shall be distributed in full on or before the fifth anniversary of the Deceased Grantee's death); or (B) accelerate the distribution date for the Deceased Grantee's Restricted Stock from the date payment would otherwise be made to January 2nd of the calendar year beginning after the Deceased Grantee's death. An Election pursuant to this Paragraph 8(d)(ii) must be filed with the Committee on or before the close of business on (x) the June 30 following the Grantee's death on or before May 1 of a calendar year, (y) the 60th day following the Grantee's death after May 1 and before November 2 of a calendar year or (z) the December 31 following the Grantee's death after November 1 of a calendar year. One and only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-5750560</wp:posOffset>
            </wp:positionV>
            <wp:extent cx="443103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-5068570</wp:posOffset>
            </wp:positionV>
            <wp:extent cx="460819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-3478530</wp:posOffset>
            </wp:positionV>
            <wp:extent cx="230378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0378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-3251200</wp:posOffset>
            </wp:positionV>
            <wp:extent cx="437197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7197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-3137535</wp:posOffset>
            </wp:positionV>
            <wp:extent cx="466725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-3023870</wp:posOffset>
            </wp:positionV>
            <wp:extent cx="466725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-2910205</wp:posOffset>
            </wp:positionV>
            <wp:extent cx="419481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19481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-2796540</wp:posOffset>
            </wp:positionV>
            <wp:extent cx="472630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-2682875</wp:posOffset>
            </wp:positionV>
            <wp:extent cx="454914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-2569845</wp:posOffset>
            </wp:positionV>
            <wp:extent cx="366268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66268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-2456180</wp:posOffset>
            </wp:positionV>
            <wp:extent cx="472630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-2342515</wp:posOffset>
            </wp:positionV>
            <wp:extent cx="460819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-2228850</wp:posOffset>
            </wp:positionV>
            <wp:extent cx="437197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7197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-2115185</wp:posOffset>
            </wp:positionV>
            <wp:extent cx="313118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3118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-1887855</wp:posOffset>
            </wp:positionV>
            <wp:extent cx="466725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-1774190</wp:posOffset>
            </wp:positionV>
            <wp:extent cx="466725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-1660525</wp:posOffset>
            </wp:positionV>
            <wp:extent cx="443103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-1547495</wp:posOffset>
            </wp:positionV>
            <wp:extent cx="431292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292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-1433830</wp:posOffset>
            </wp:positionV>
            <wp:extent cx="472630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-1320165</wp:posOffset>
            </wp:positionV>
            <wp:extent cx="431292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292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-1206500</wp:posOffset>
            </wp:positionV>
            <wp:extent cx="472630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-1092835</wp:posOffset>
            </wp:positionV>
            <wp:extent cx="449008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-979170</wp:posOffset>
            </wp:positionV>
            <wp:extent cx="472630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-865505</wp:posOffset>
            </wp:positionV>
            <wp:extent cx="472630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-751840</wp:posOffset>
            </wp:positionV>
            <wp:extent cx="466725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-638175</wp:posOffset>
            </wp:positionV>
            <wp:extent cx="472630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-524510</wp:posOffset>
            </wp:positionV>
            <wp:extent cx="472630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-411480</wp:posOffset>
            </wp:positionV>
            <wp:extent cx="466725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-297815</wp:posOffset>
            </wp:positionV>
            <wp:extent cx="460819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-184150</wp:posOffset>
            </wp:positionV>
            <wp:extent cx="437197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7197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-70485</wp:posOffset>
            </wp:positionV>
            <wp:extent cx="449008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42545</wp:posOffset>
            </wp:positionV>
            <wp:extent cx="443103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431030" cy="7620"/>
                    </a:xfrm>
                    <a:prstGeom prst="rect">
                      <a:avLst/>
                    </a:prstGeom>
                    <a:noFill/>
                  </pic:spPr>
                </pic:pic>
              </a:graphicData>
            </a:graphic>
          </wp:anchor>
        </w:drawing>
      </w:r>
    </w:p>
    <w:p>
      <w:pPr>
        <w:spacing w:after="0" w:line="317" w:lineRule="exact"/>
        <w:rPr>
          <w:sz w:val="20"/>
          <w:szCs w:val="20"/>
          <w:color w:val="auto"/>
        </w:rPr>
      </w:pPr>
    </w:p>
    <w:p>
      <w:pPr>
        <w:ind w:left="3079"/>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-59055</wp:posOffset>
            </wp:positionV>
            <wp:extent cx="242252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22525" cy="7620"/>
                    </a:xfrm>
                    <a:prstGeom prst="rect">
                      <a:avLst/>
                    </a:prstGeom>
                    <a:noFill/>
                  </pic:spPr>
                </pic:pic>
              </a:graphicData>
            </a:graphic>
          </wp:anchor>
        </w:drawing>
      </w:r>
    </w:p>
    <w:p>
      <w:pPr>
        <w:sectPr>
          <w:pgSz w:w="11900" w:h="16838" w:orient="portrait"/>
          <w:cols w:equalWidth="0" w:num="1">
            <w:col w:w="9759"/>
          </w:cols>
          <w:pgMar w:left="701" w:top="648" w:right="1440" w:bottom="1440" w:gutter="0" w:footer="0" w:header="0"/>
        </w:sectPr>
      </w:pPr>
    </w:p>
    <w:bookmarkStart w:id="19" w:name="page20"/>
    <w:bookmarkEnd w:id="19"/>
    <w:p>
      <w:pPr>
        <w:ind w:left="1485"/>
        <w:spacing w:after="0"/>
        <w:rPr>
          <w:sz w:val="20"/>
          <w:szCs w:val="20"/>
          <w:color w:val="auto"/>
        </w:rPr>
      </w:pPr>
      <w:r>
        <w:rPr>
          <w:rFonts w:ascii="Courier New" w:cs="Courier New" w:eastAsia="Courier New" w:hAnsi="Courier New"/>
          <w:sz w:val="14"/>
          <w:szCs w:val="14"/>
          <w:color w:val="auto"/>
        </w:rPr>
        <w:t>Election shall be permitted pursuant to this Paragraph 8(d)(ii)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466725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667250" cy="7620"/>
                    </a:xfrm>
                    <a:prstGeom prst="rect">
                      <a:avLst/>
                    </a:prstGeom>
                    <a:noFill/>
                  </pic:spPr>
                </pic:pic>
              </a:graphicData>
            </a:graphic>
          </wp:anchor>
        </w:drawing>
      </w:r>
    </w:p>
    <w:p>
      <w:pPr>
        <w:ind w:left="1485"/>
        <w:spacing w:after="0"/>
        <w:rPr>
          <w:sz w:val="20"/>
          <w:szCs w:val="20"/>
          <w:color w:val="auto"/>
        </w:rPr>
      </w:pPr>
      <w:r>
        <w:rPr>
          <w:rFonts w:ascii="Courier New" w:cs="Courier New" w:eastAsia="Courier New" w:hAnsi="Courier New"/>
          <w:sz w:val="16"/>
          <w:szCs w:val="16"/>
          <w:color w:val="auto"/>
        </w:rPr>
        <w:t>with respect to a Deceased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301307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013075" cy="7620"/>
                    </a:xfrm>
                    <a:prstGeom prst="rect">
                      <a:avLst/>
                    </a:prstGeom>
                    <a:noFill/>
                  </pic:spPr>
                </pic:pic>
              </a:graphicData>
            </a:graphic>
          </wp:anchor>
        </w:drawing>
      </w:r>
    </w:p>
    <w:p>
      <w:pPr>
        <w:spacing w:after="0" w:line="163" w:lineRule="exact"/>
        <w:rPr>
          <w:sz w:val="20"/>
          <w:szCs w:val="20"/>
          <w:color w:val="auto"/>
        </w:rPr>
      </w:pPr>
    </w:p>
    <w:p>
      <w:pPr>
        <w:ind w:left="1485" w:right="2779" w:hanging="554"/>
        <w:spacing w:after="0" w:line="270" w:lineRule="auto"/>
        <w:tabs>
          <w:tab w:leader="none" w:pos="1485"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Disabled Grantee may elect to accelerate the distribution date of the Disabled Grantee's Restricted Stock from the date payment would otherwise be made to January 2nd of the calendar year beginning after the Grantee became disabled. An Election pursuant to this Paragraph 8(d)(iii) must be filed with the Committee on or before the close of business on the (x) the June 30 following the date the Grantee becomes a Disabled Grantee if the Grantee becomes a Disabled Grantee on or before May 1 of a calendar year, (y) the 60th day following the date the Grantee becomes a Disabled Grantee if the Grantee becomes a Disabled Grantee after May 1 and before November 2 of a calendar year or</w:t>
      </w:r>
    </w:p>
    <w:p>
      <w:pPr>
        <w:spacing w:after="0" w:line="1" w:lineRule="exact"/>
        <w:rPr>
          <w:rFonts w:ascii="Courier New" w:cs="Courier New" w:eastAsia="Courier New" w:hAnsi="Courier New"/>
          <w:sz w:val="14"/>
          <w:szCs w:val="14"/>
          <w:color w:val="auto"/>
        </w:rPr>
      </w:pPr>
    </w:p>
    <w:p>
      <w:pPr>
        <w:ind w:left="1865" w:hanging="376"/>
        <w:spacing w:after="0" w:line="236" w:lineRule="auto"/>
        <w:tabs>
          <w:tab w:leader="none" w:pos="186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December 31 following the date the Grantee becomes a</w:t>
      </w:r>
    </w:p>
    <w:p>
      <w:pPr>
        <w:spacing w:after="0" w:line="4" w:lineRule="exact"/>
        <w:rPr>
          <w:rFonts w:ascii="Courier New" w:cs="Courier New" w:eastAsia="Courier New" w:hAnsi="Courier New"/>
          <w:sz w:val="16"/>
          <w:szCs w:val="16"/>
          <w:color w:val="auto"/>
        </w:rPr>
      </w:pPr>
    </w:p>
    <w:p>
      <w:pPr>
        <w:ind w:left="1485" w:right="27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Grantee if the Grantee becomes a Disabled Grantee after November 2 of a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-1535430</wp:posOffset>
            </wp:positionV>
            <wp:extent cx="472630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-1421765</wp:posOffset>
            </wp:positionV>
            <wp:extent cx="472630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-1308100</wp:posOffset>
            </wp:positionV>
            <wp:extent cx="443103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425386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2538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-1080770</wp:posOffset>
            </wp:positionV>
            <wp:extent cx="443103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-967105</wp:posOffset>
            </wp:positionV>
            <wp:extent cx="472630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-853440</wp:posOffset>
            </wp:positionV>
            <wp:extent cx="466725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-739775</wp:posOffset>
            </wp:positionV>
            <wp:extent cx="460819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-626745</wp:posOffset>
            </wp:positionV>
            <wp:extent cx="460819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-513080</wp:posOffset>
            </wp:positionV>
            <wp:extent cx="449008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-399415</wp:posOffset>
            </wp:positionV>
            <wp:extent cx="466725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-285750</wp:posOffset>
            </wp:positionV>
            <wp:extent cx="449008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-172085</wp:posOffset>
            </wp:positionV>
            <wp:extent cx="472630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-58420</wp:posOffset>
            </wp:positionV>
            <wp:extent cx="271780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17800" cy="7620"/>
                    </a:xfrm>
                    <a:prstGeom prst="rect">
                      <a:avLst/>
                    </a:prstGeom>
                    <a:noFill/>
                  </pic:spPr>
                </pic:pic>
              </a:graphicData>
            </a:graphic>
          </wp:anchor>
        </w:drawing>
      </w:r>
    </w:p>
    <w:p>
      <w:pPr>
        <w:spacing w:after="0" w:line="163" w:lineRule="exact"/>
        <w:rPr>
          <w:sz w:val="20"/>
          <w:szCs w:val="20"/>
          <w:color w:val="auto"/>
        </w:rPr>
      </w:pPr>
    </w:p>
    <w:p>
      <w:pPr>
        <w:ind w:left="1485" w:right="2779" w:hanging="554"/>
        <w:spacing w:after="0" w:line="270" w:lineRule="auto"/>
        <w:tabs>
          <w:tab w:leader="none" w:pos="1485" w:val="left"/>
        </w:tabs>
        <w:numPr>
          <w:ilvl w:val="2"/>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Retired Grantee may elect to defer the distribution date of the Retired Grantee's Restricted Stock for a minimum of two additional years from the date payment would otherwise be made (provided that if an Election is made pursuant to this Paragraph 8(d)(iv), the Retired Grantee's Account shall be distributed in full on or before the fifth anniversary of the Retired Grantee's Normal Retirement). An Election pursuant to this Paragraph</w:t>
      </w:r>
    </w:p>
    <w:p>
      <w:pPr>
        <w:spacing w:after="0" w:line="3" w:lineRule="exact"/>
        <w:rPr>
          <w:rFonts w:ascii="Courier New" w:cs="Courier New" w:eastAsia="Courier New" w:hAnsi="Courier New"/>
          <w:sz w:val="14"/>
          <w:szCs w:val="14"/>
          <w:color w:val="auto"/>
        </w:rPr>
      </w:pPr>
    </w:p>
    <w:p>
      <w:pPr>
        <w:ind w:left="1485"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8(d)(iv) must be filed with the Committee on or before the close of business on the later of (x) the June 30 following the Grantee's Normal Retirement on or before May 1 of a calendar year, (y) the 60th day following the Grantee's Normal Retirement after May 1 and before November 2 of a calendar year or (z) the December 31 following the Grantee's Normal Retirement after November 1 of a calendar year.</w:t>
      </w:r>
    </w:p>
    <w:p>
      <w:pPr>
        <w:spacing w:after="0" w:line="183" w:lineRule="exact"/>
        <w:rPr>
          <w:rFonts w:ascii="Courier New" w:cs="Courier New" w:eastAsia="Courier New" w:hAnsi="Courier New"/>
          <w:sz w:val="14"/>
          <w:szCs w:val="14"/>
          <w:color w:val="auto"/>
        </w:rPr>
      </w:pPr>
    </w:p>
    <w:p>
      <w:pPr>
        <w:ind w:left="5" w:right="2779" w:firstLine="461"/>
        <w:spacing w:after="0" w:line="274" w:lineRule="auto"/>
        <w:tabs>
          <w:tab w:leader="none" w:pos="935"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xml:space="preserve">Status of Deferred Shares. A Grantee's right to delivery of Shares </w:t>
      </w:r>
      <w:r>
        <w:rPr>
          <w:rFonts w:ascii="Courier New" w:cs="Courier New" w:eastAsia="Courier New" w:hAnsi="Courier New"/>
          <w:sz w:val="14"/>
          <w:szCs w:val="14"/>
          <w:color w:val="auto"/>
          <w:strike w:val="1"/>
        </w:rPr>
        <w:t>subject to an Election under this Paragraph 8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340" w:lineRule="exact"/>
        <w:rPr>
          <w:rFonts w:ascii="Courier New" w:cs="Courier New" w:eastAsia="Courier New" w:hAnsi="Courier New"/>
          <w:sz w:val="14"/>
          <w:szCs w:val="14"/>
          <w:color w:val="auto"/>
        </w:rPr>
      </w:pPr>
    </w:p>
    <w:p>
      <w:pPr>
        <w:ind w:left="5" w:right="2779" w:firstLine="461"/>
        <w:spacing w:after="0" w:line="235" w:lineRule="auto"/>
        <w:tabs>
          <w:tab w:leader="none" w:pos="93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Non-Assignability, Etc. The right of a Grantee to receive Shares </w:t>
      </w:r>
      <w:r>
        <w:rPr>
          <w:rFonts w:ascii="Courier New" w:cs="Courier New" w:eastAsia="Courier New" w:hAnsi="Courier New"/>
          <w:sz w:val="16"/>
          <w:szCs w:val="16"/>
          <w:color w:val="auto"/>
          <w:strike w:val="1"/>
        </w:rPr>
        <w:t>subject to an Election under this Paragraph 8 shall not be subject in any manner to attachment or other legal process for the debts of such Grantee; and no right to receive Shares hereunder shall be subject to anticipation, alienation, sale, transfer, assignment or encumbrance.</w:t>
      </w:r>
    </w:p>
    <w:p>
      <w:pPr>
        <w:spacing w:after="0" w:line="179"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26"/>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SECURITIES LAWS; TAXES</w:t>
      </w:r>
    </w:p>
    <w:p>
      <w:pPr>
        <w:spacing w:after="0" w:line="182" w:lineRule="exact"/>
        <w:rPr>
          <w:rFonts w:ascii="Courier New" w:cs="Courier New" w:eastAsia="Courier New" w:hAnsi="Courier New"/>
          <w:sz w:val="16"/>
          <w:szCs w:val="16"/>
          <w:color w:val="auto"/>
          <w:strike w:val="1"/>
        </w:rPr>
      </w:pPr>
    </w:p>
    <w:p>
      <w:pPr>
        <w:ind w:left="5" w:right="2779" w:firstLine="461"/>
        <w:spacing w:after="0" w:line="235" w:lineRule="auto"/>
        <w:tabs>
          <w:tab w:leader="none" w:pos="93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Securities Laws. The Committee shall have the power to make each grant </w:t>
      </w:r>
      <w:r>
        <w:rPr>
          <w:rFonts w:ascii="Courier New" w:cs="Courier New" w:eastAsia="Courier New" w:hAnsi="Courier New"/>
          <w:sz w:val="16"/>
          <w:szCs w:val="16"/>
          <w:color w:val="auto"/>
          <w:strike w:val="1"/>
        </w:rPr>
        <w:t>of Awards under the Plan subject to such conditions as it deems necessary or appropriate to comply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-4034155</wp:posOffset>
            </wp:positionV>
            <wp:extent cx="454914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-3921125</wp:posOffset>
            </wp:positionV>
            <wp:extent cx="443103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-3807460</wp:posOffset>
            </wp:positionV>
            <wp:extent cx="460819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-3693795</wp:posOffset>
            </wp:positionV>
            <wp:extent cx="472630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-3580130</wp:posOffset>
            </wp:positionV>
            <wp:extent cx="466725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-3466465</wp:posOffset>
            </wp:positionV>
            <wp:extent cx="472630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-3352800</wp:posOffset>
            </wp:positionV>
            <wp:extent cx="437197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719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-3239135</wp:posOffset>
            </wp:positionV>
            <wp:extent cx="472630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-3125470</wp:posOffset>
            </wp:positionV>
            <wp:extent cx="431292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29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-3011805</wp:posOffset>
            </wp:positionV>
            <wp:extent cx="449008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-2898775</wp:posOffset>
            </wp:positionV>
            <wp:extent cx="472630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-2785110</wp:posOffset>
            </wp:positionV>
            <wp:extent cx="466725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-2671445</wp:posOffset>
            </wp:positionV>
            <wp:extent cx="443103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-2557780</wp:posOffset>
            </wp:positionV>
            <wp:extent cx="271780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7178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-2330450</wp:posOffset>
            </wp:positionV>
            <wp:extent cx="449008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437197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719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-285750</wp:posOffset>
            </wp:positionV>
            <wp:extent cx="472630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726305" cy="7620"/>
                    </a:xfrm>
                    <a:prstGeom prst="rect">
                      <a:avLst/>
                    </a:prstGeom>
                    <a:noFill/>
                  </pic:spPr>
                </pic:pic>
              </a:graphicData>
            </a:graphic>
          </wp:anchor>
        </w:drawing>
      </w:r>
    </w:p>
    <w:p>
      <w:pPr>
        <w:spacing w:after="0" w:line="15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242252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422525" cy="7620"/>
                    </a:xfrm>
                    <a:prstGeom prst="rect">
                      <a:avLst/>
                    </a:prstGeom>
                    <a:noFill/>
                  </pic:spPr>
                </pic:pic>
              </a:graphicData>
            </a:graphic>
          </wp:anchor>
        </w:drawing>
      </w:r>
    </w:p>
    <w:p>
      <w:pPr>
        <w:sectPr>
          <w:pgSz w:w="11900" w:h="16838" w:orient="portrait"/>
          <w:cols w:equalWidth="0" w:num="1">
            <w:col w:w="10224"/>
          </w:cols>
          <w:pgMar w:left="235" w:top="654" w:right="1440" w:bottom="1440" w:gutter="0" w:footer="0" w:header="0"/>
        </w:sectPr>
      </w:pPr>
    </w:p>
    <w:bookmarkStart w:id="20" w:name="page21"/>
    <w:bookmarkEnd w:id="20"/>
    <w:p>
      <w:pPr>
        <w:ind w:right="2879"/>
        <w:spacing w:after="0" w:line="236" w:lineRule="auto"/>
        <w:rPr>
          <w:sz w:val="20"/>
          <w:szCs w:val="20"/>
          <w:color w:val="auto"/>
        </w:rPr>
      </w:pPr>
      <w:r>
        <w:rPr>
          <w:rFonts w:ascii="Courier New" w:cs="Courier New" w:eastAsia="Courier New" w:hAnsi="Courier New"/>
          <w:sz w:val="16"/>
          <w:szCs w:val="16"/>
          <w:color w:val="auto"/>
          <w:strike w:val="1"/>
        </w:rPr>
        <w:t>with the then-existing requirements of the 1933 Act and the 1934 Act, including Rule 16b-3. Such conditions may include the delivery by the Grantee of an investment representation to the Company in connection with the lapse of restrictions on Shares subject to an Award, or the execution of an agreement by the Grantee to refrain from selling or otherwise disposing of the Shares acquired for a specified period of time or on specified terms.</w:t>
      </w:r>
    </w:p>
    <w:p>
      <w:pPr>
        <w:spacing w:after="0" w:line="183" w:lineRule="exact"/>
        <w:rPr>
          <w:sz w:val="20"/>
          <w:szCs w:val="20"/>
          <w:color w:val="auto"/>
        </w:rPr>
      </w:pPr>
    </w:p>
    <w:p>
      <w:pPr>
        <w:ind w:right="2779" w:firstLine="461"/>
        <w:spacing w:after="0" w:line="236" w:lineRule="auto"/>
        <w:tabs>
          <w:tab w:leader="none" w:pos="93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Taxes. Subject to the rules of Paragraph 9(c), the Company shall be </w:t>
      </w:r>
      <w:r>
        <w:rPr>
          <w:rFonts w:ascii="Courier New" w:cs="Courier New" w:eastAsia="Courier New" w:hAnsi="Courier New"/>
          <w:sz w:val="16"/>
          <w:szCs w:val="16"/>
          <w:color w:val="auto"/>
          <w:strike w:val="1"/>
        </w:rPr>
        <w:t>entitled, if necessary or desirable, to withhold the amount of any tax, charge or assessment attributable to the grant of any Award or lapse of restrictions under any Award. The Company shall not be required to deliver Shares pursuant to any Award until it has been indemnified to its satisfaction for any such tax, charge or assessment.</w:t>
      </w:r>
    </w:p>
    <w:p>
      <w:pPr>
        <w:spacing w:after="0" w:line="182" w:lineRule="exact"/>
        <w:rPr>
          <w:rFonts w:ascii="Courier New" w:cs="Courier New" w:eastAsia="Courier New" w:hAnsi="Courier New"/>
          <w:sz w:val="16"/>
          <w:szCs w:val="16"/>
          <w:color w:val="auto"/>
        </w:rPr>
      </w:pPr>
    </w:p>
    <w:p>
      <w:pPr>
        <w:ind w:right="2779" w:firstLine="461"/>
        <w:spacing w:after="0" w:line="234" w:lineRule="auto"/>
        <w:tabs>
          <w:tab w:leader="none" w:pos="93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Payment of Tax Liabilities; Election to Withhold Shares or Pay Cash to </w:t>
      </w:r>
      <w:r>
        <w:rPr>
          <w:rFonts w:ascii="Courier New" w:cs="Courier New" w:eastAsia="Courier New" w:hAnsi="Courier New"/>
          <w:sz w:val="16"/>
          <w:szCs w:val="16"/>
          <w:color w:val="auto"/>
          <w:strike w:val="1"/>
        </w:rPr>
        <w:t>Satisfy Tax Liability.</w:t>
      </w:r>
    </w:p>
    <w:p>
      <w:pPr>
        <w:spacing w:after="0" w:line="183" w:lineRule="exact"/>
        <w:rPr>
          <w:rFonts w:ascii="Courier New" w:cs="Courier New" w:eastAsia="Courier New" w:hAnsi="Courier New"/>
          <w:sz w:val="16"/>
          <w:szCs w:val="16"/>
          <w:color w:val="auto"/>
        </w:rPr>
      </w:pPr>
    </w:p>
    <w:p>
      <w:pPr>
        <w:ind w:left="1480" w:right="2879" w:hanging="554"/>
        <w:spacing w:after="0" w:line="273" w:lineRule="auto"/>
        <w:tabs>
          <w:tab w:leader="none" w:pos="148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grant of any Award or the lapse of restrictions under any Award,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342" w:lineRule="exact"/>
        <w:rPr>
          <w:rFonts w:ascii="Courier New" w:cs="Courier New" w:eastAsia="Courier New" w:hAnsi="Courier New"/>
          <w:sz w:val="14"/>
          <w:szCs w:val="14"/>
          <w:color w:val="auto"/>
        </w:rPr>
      </w:pPr>
    </w:p>
    <w:p>
      <w:pPr>
        <w:ind w:left="1480" w:right="2779" w:hanging="554"/>
        <w:spacing w:after="0" w:line="236" w:lineRule="auto"/>
        <w:tabs>
          <w:tab w:leader="none" w:pos="14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 9(c)(ii), any tax liabilities incurred in connection with grant of any Award or the lapse of restrictions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lapse of restrictions. In all cases, the Shares so withheld by the Company shall have a fair market value that does not exceed the amount of taxes to be withheld minus the cash payment, if any, made by the Grantee. The fair market value of such Shares shall be determined based on the last reported sale price of a Share on the principal exchange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-5276215</wp:posOffset>
            </wp:positionV>
            <wp:extent cx="454914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-4481195</wp:posOffset>
            </wp:positionV>
            <wp:extent cx="472630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-4140200</wp:posOffset>
            </wp:positionV>
            <wp:extent cx="431292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3129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-4026535</wp:posOffset>
            </wp:positionV>
            <wp:extent cx="460819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-3912870</wp:posOffset>
            </wp:positionV>
            <wp:extent cx="449008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-3799205</wp:posOffset>
            </wp:positionV>
            <wp:extent cx="407670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076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-3685540</wp:posOffset>
            </wp:positionV>
            <wp:extent cx="460819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-3572510</wp:posOffset>
            </wp:positionV>
            <wp:extent cx="454914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-3458845</wp:posOffset>
            </wp:positionV>
            <wp:extent cx="460819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-3345180</wp:posOffset>
            </wp:positionV>
            <wp:extent cx="454914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-3231515</wp:posOffset>
            </wp:positionV>
            <wp:extent cx="466725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-3117850</wp:posOffset>
            </wp:positionV>
            <wp:extent cx="425386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2538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-3004185</wp:posOffset>
            </wp:positionV>
            <wp:extent cx="431292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29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-2776855</wp:posOffset>
            </wp:positionV>
            <wp:extent cx="472630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-2663190</wp:posOffset>
            </wp:positionV>
            <wp:extent cx="454914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-2550160</wp:posOffset>
            </wp:positionV>
            <wp:extent cx="460819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-2436495</wp:posOffset>
            </wp:positionV>
            <wp:extent cx="437197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719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-2322830</wp:posOffset>
            </wp:positionV>
            <wp:extent cx="419481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1948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-2209165</wp:posOffset>
            </wp:positionV>
            <wp:extent cx="460819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-2095500</wp:posOffset>
            </wp:positionV>
            <wp:extent cx="419481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1948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-1981835</wp:posOffset>
            </wp:positionV>
            <wp:extent cx="431292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3129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-1868170</wp:posOffset>
            </wp:positionV>
            <wp:extent cx="4726305"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-1754505</wp:posOffset>
            </wp:positionV>
            <wp:extent cx="4490085"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-1640840</wp:posOffset>
            </wp:positionV>
            <wp:extent cx="454914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-1527175</wp:posOffset>
            </wp:positionV>
            <wp:extent cx="466725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-1414145</wp:posOffset>
            </wp:positionV>
            <wp:extent cx="466725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-1300480</wp:posOffset>
            </wp:positionV>
            <wp:extent cx="4608195"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-1186815</wp:posOffset>
            </wp:positionV>
            <wp:extent cx="443103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-1073150</wp:posOffset>
            </wp:positionV>
            <wp:extent cx="454914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-959485</wp:posOffset>
            </wp:positionV>
            <wp:extent cx="454914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-845820</wp:posOffset>
            </wp:positionV>
            <wp:extent cx="466725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66725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-732155</wp:posOffset>
            </wp:positionV>
            <wp:extent cx="443103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-618490</wp:posOffset>
            </wp:positionV>
            <wp:extent cx="460819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-504825</wp:posOffset>
            </wp:positionV>
            <wp:extent cx="443103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-391795</wp:posOffset>
            </wp:positionV>
            <wp:extent cx="454914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-278130</wp:posOffset>
            </wp:positionV>
            <wp:extent cx="4608195"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-164465</wp:posOffset>
            </wp:positionV>
            <wp:extent cx="443103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wp:posOffset>
            </wp:positionV>
            <wp:extent cx="159512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95120" cy="7620"/>
                    </a:xfrm>
                    <a:prstGeom prst="rect">
                      <a:avLst/>
                    </a:prstGeom>
                    <a:noFill/>
                  </pic:spPr>
                </pic:pic>
              </a:graphicData>
            </a:graphic>
          </wp:anchor>
        </w:drawing>
      </w:r>
    </w:p>
    <w:p>
      <w:pPr>
        <w:spacing w:after="0" w:line="16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248094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80945" cy="7620"/>
                    </a:xfrm>
                    <a:prstGeom prst="rect">
                      <a:avLst/>
                    </a:prstGeom>
                    <a:noFill/>
                  </pic:spPr>
                </pic:pic>
              </a:graphicData>
            </a:graphic>
          </wp:anchor>
        </w:drawing>
      </w:r>
    </w:p>
    <w:p>
      <w:pPr>
        <w:sectPr>
          <w:pgSz w:w="11900" w:h="16838" w:orient="portrait"/>
          <w:cols w:equalWidth="0" w:num="1">
            <w:col w:w="10219"/>
          </w:cols>
          <w:pgMar w:left="240" w:top="654" w:right="1440" w:bottom="1440" w:gutter="0" w:footer="0" w:header="0"/>
        </w:sectPr>
      </w:pPr>
    </w:p>
    <w:bookmarkStart w:id="21" w:name="page22"/>
    <w:bookmarkEnd w:id="21"/>
    <w:p>
      <w:pPr>
        <w:ind w:left="1485" w:right="2779"/>
        <w:spacing w:after="0" w:line="236" w:lineRule="auto"/>
        <w:rPr>
          <w:sz w:val="20"/>
          <w:szCs w:val="20"/>
          <w:color w:val="auto"/>
        </w:rPr>
      </w:pPr>
      <w:r>
        <w:rPr>
          <w:rFonts w:ascii="Courier New" w:cs="Courier New" w:eastAsia="Courier New" w:hAnsi="Courier New"/>
          <w:sz w:val="16"/>
          <w:szCs w:val="16"/>
          <w:color w:val="auto"/>
        </w:rPr>
        <w:t>which Shares are listed or, if not so listed, on the NASDAQ Stock Market on the last trading day prior to the date of such grant or lapse of restriction.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-1419225</wp:posOffset>
            </wp:positionV>
            <wp:extent cx="443103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4310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-1305560</wp:posOffset>
            </wp:positionV>
            <wp:extent cx="4608195"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-1191895</wp:posOffset>
            </wp:positionV>
            <wp:extent cx="449008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-1078230</wp:posOffset>
            </wp:positionV>
            <wp:extent cx="449008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4900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-964565</wp:posOffset>
            </wp:positionV>
            <wp:extent cx="460819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-850900</wp:posOffset>
            </wp:positionV>
            <wp:extent cx="437197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719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-737235</wp:posOffset>
            </wp:positionV>
            <wp:extent cx="4726305"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-623570</wp:posOffset>
            </wp:positionV>
            <wp:extent cx="431292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3129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-509905</wp:posOffset>
            </wp:positionV>
            <wp:extent cx="460819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-396875</wp:posOffset>
            </wp:positionV>
            <wp:extent cx="4726305"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72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-283210</wp:posOffset>
            </wp:positionV>
            <wp:extent cx="454914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54914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-169545</wp:posOffset>
            </wp:positionV>
            <wp:extent cx="460819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60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-55880</wp:posOffset>
            </wp:positionV>
            <wp:extent cx="289496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894965" cy="7620"/>
                    </a:xfrm>
                    <a:prstGeom prst="rect">
                      <a:avLst/>
                    </a:prstGeom>
                    <a:noFill/>
                  </pic:spPr>
                </pic:pic>
              </a:graphicData>
            </a:graphic>
          </wp:anchor>
        </w:drawing>
      </w:r>
    </w:p>
    <w:p>
      <w:pPr>
        <w:spacing w:after="0" w:line="161" w:lineRule="exact"/>
        <w:rPr>
          <w:sz w:val="20"/>
          <w:szCs w:val="20"/>
          <w:color w:val="auto"/>
        </w:rPr>
      </w:pPr>
    </w:p>
    <w:p>
      <w:pPr>
        <w:ind w:left="465" w:hanging="465"/>
        <w:spacing w:after="0"/>
        <w:tabs>
          <w:tab w:leader="none" w:pos="465" w:val="left"/>
        </w:tabs>
        <w:numPr>
          <w:ilvl w:val="0"/>
          <w:numId w:val="28"/>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CHANGES IN CAPITALIZATION</w:t>
      </w:r>
    </w:p>
    <w:p>
      <w:pPr>
        <w:spacing w:after="0" w:line="183" w:lineRule="exact"/>
        <w:rPr>
          <w:sz w:val="20"/>
          <w:szCs w:val="20"/>
          <w:color w:val="auto"/>
        </w:rPr>
      </w:pPr>
    </w:p>
    <w:p>
      <w:pPr>
        <w:ind w:left="5" w:right="2879" w:firstLine="930"/>
        <w:spacing w:after="0" w:line="273" w:lineRule="auto"/>
        <w:rPr>
          <w:sz w:val="20"/>
          <w:szCs w:val="20"/>
          <w:color w:val="auto"/>
        </w:rPr>
      </w:pPr>
      <w:r>
        <w:rPr>
          <w:rFonts w:ascii="Courier New" w:cs="Courier New" w:eastAsia="Courier New" w:hAnsi="Courier New"/>
          <w:sz w:val="14"/>
          <w:szCs w:val="14"/>
          <w:color w:val="auto"/>
        </w:rPr>
        <w:t xml:space="preserve">The aggregate number of Shares and class of Shares as to which Awards </w:t>
      </w:r>
      <w:r>
        <w:rPr>
          <w:rFonts w:ascii="Courier New" w:cs="Courier New" w:eastAsia="Courier New" w:hAnsi="Courier New"/>
          <w:sz w:val="14"/>
          <w:szCs w:val="14"/>
          <w:color w:val="auto"/>
          <w:strike w:val="1"/>
        </w:rPr>
        <w:t>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-1322070</wp:posOffset>
            </wp:positionV>
            <wp:extent cx="466725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667250" cy="7620"/>
                    </a:xfrm>
                    <a:prstGeom prst="rect">
                      <a:avLst/>
                    </a:prstGeom>
                    <a:noFill/>
                  </pic:spPr>
                </pic:pic>
              </a:graphicData>
            </a:graphic>
          </wp:anchor>
        </w:drawing>
      </w:r>
    </w:p>
    <w:p>
      <w:pPr>
        <w:spacing w:after="0" w:line="314" w:lineRule="exact"/>
        <w:rPr>
          <w:sz w:val="20"/>
          <w:szCs w:val="20"/>
          <w:color w:val="auto"/>
        </w:rPr>
      </w:pPr>
    </w:p>
    <w:p>
      <w:pPr>
        <w:ind w:left="465" w:hanging="465"/>
        <w:spacing w:after="0"/>
        <w:tabs>
          <w:tab w:leader="none" w:pos="465" w:val="left"/>
        </w:tabs>
        <w:numPr>
          <w:ilvl w:val="0"/>
          <w:numId w:val="29"/>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TERMINATING EVENTS</w:t>
      </w:r>
    </w:p>
    <w:p>
      <w:pPr>
        <w:spacing w:after="0" w:line="183" w:lineRule="exact"/>
        <w:rPr>
          <w:sz w:val="20"/>
          <w:szCs w:val="20"/>
          <w:color w:val="auto"/>
        </w:rPr>
      </w:pPr>
    </w:p>
    <w:p>
      <w:pPr>
        <w:ind w:left="5" w:right="2779" w:firstLine="930"/>
        <w:spacing w:after="0" w:line="273" w:lineRule="auto"/>
        <w:rPr>
          <w:sz w:val="20"/>
          <w:szCs w:val="20"/>
          <w:color w:val="auto"/>
        </w:rPr>
      </w:pPr>
      <w:r>
        <w:rPr>
          <w:rFonts w:ascii="Courier New" w:cs="Courier New" w:eastAsia="Courier New" w:hAnsi="Courier New"/>
          <w:sz w:val="14"/>
          <w:szCs w:val="14"/>
          <w:color w:val="auto"/>
        </w:rPr>
        <w:t xml:space="preserve">The Committee shall give Grantees at least thirty (30) days' notice </w:t>
      </w:r>
      <w:r>
        <w:rPr>
          <w:rFonts w:ascii="Courier New" w:cs="Courier New" w:eastAsia="Courier New" w:hAnsi="Courier New"/>
          <w:sz w:val="14"/>
          <w:szCs w:val="14"/>
          <w:color w:val="auto"/>
          <w:strike w:val="1"/>
        </w:rPr>
        <w:t>(or, if not practicable, such shorter notice as may be reasonably practicable) prior to the anticipated date of the consummation of a Terminating Event. The Committee may, in its discretion, provide in such notice that upon the consummation of such Terminating Event, any restrictions on Restricted Stock (other than Restricted Stock that has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all Restricted Stock subject to an Election made pursuant to Paragraph 8 shall be transferred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-1093470</wp:posOffset>
            </wp:positionV>
            <wp:extent cx="454914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549140" cy="7620"/>
                    </a:xfrm>
                    <a:prstGeom prst="rect">
                      <a:avLst/>
                    </a:prstGeom>
                    <a:noFill/>
                  </pic:spPr>
                </pic:pic>
              </a:graphicData>
            </a:graphic>
          </wp:anchor>
        </w:drawing>
      </w:r>
    </w:p>
    <w:p>
      <w:pPr>
        <w:spacing w:after="0" w:line="317" w:lineRule="exact"/>
        <w:rPr>
          <w:sz w:val="20"/>
          <w:szCs w:val="20"/>
          <w:color w:val="auto"/>
        </w:rPr>
      </w:pPr>
    </w:p>
    <w:p>
      <w:pPr>
        <w:ind w:left="465" w:hanging="465"/>
        <w:spacing w:after="0"/>
        <w:tabs>
          <w:tab w:leader="none" w:pos="465" w:val="left"/>
        </w:tabs>
        <w:numPr>
          <w:ilvl w:val="0"/>
          <w:numId w:val="30"/>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AMENDMENT AND TERMINATION</w:t>
      </w:r>
    </w:p>
    <w:p>
      <w:pPr>
        <w:spacing w:after="0" w:line="183" w:lineRule="exact"/>
        <w:rPr>
          <w:sz w:val="20"/>
          <w:szCs w:val="20"/>
          <w:color w:val="auto"/>
        </w:rPr>
      </w:pPr>
    </w:p>
    <w:p>
      <w:pPr>
        <w:ind w:left="5" w:right="2779" w:firstLine="930"/>
        <w:spacing w:after="0" w:line="283" w:lineRule="auto"/>
        <w:rPr>
          <w:sz w:val="20"/>
          <w:szCs w:val="20"/>
          <w:color w:val="auto"/>
        </w:rPr>
      </w:pPr>
      <w:r>
        <w:rPr>
          <w:rFonts w:ascii="Courier New" w:cs="Courier New" w:eastAsia="Courier New" w:hAnsi="Courier New"/>
          <w:sz w:val="14"/>
          <w:szCs w:val="14"/>
          <w:color w:val="auto"/>
        </w:rPr>
        <w:t xml:space="preserve">The Plan may be terminated by the Board at any time. The Plan may be </w:t>
      </w:r>
      <w:r>
        <w:rPr>
          <w:rFonts w:ascii="Courier New" w:cs="Courier New" w:eastAsia="Courier New" w:hAnsi="Courier New"/>
          <w:sz w:val="14"/>
          <w:szCs w:val="14"/>
          <w:color w:val="auto"/>
          <w:strike w:val="1"/>
        </w:rPr>
        <w:t>amended by the Board or the Committee at any time. No Award shall be affected by any such termination or amendment without the written consent of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460819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608195" cy="7620"/>
                    </a:xfrm>
                    <a:prstGeom prst="rect">
                      <a:avLst/>
                    </a:prstGeom>
                    <a:noFill/>
                  </pic:spPr>
                </pic:pic>
              </a:graphicData>
            </a:graphic>
          </wp:anchor>
        </w:drawing>
      </w:r>
    </w:p>
    <w:p>
      <w:pPr>
        <w:spacing w:after="0" w:line="128" w:lineRule="exact"/>
        <w:rPr>
          <w:sz w:val="20"/>
          <w:szCs w:val="20"/>
          <w:color w:val="auto"/>
        </w:rPr>
      </w:pPr>
    </w:p>
    <w:p>
      <w:pPr>
        <w:ind w:left="465" w:hanging="465"/>
        <w:spacing w:after="0"/>
        <w:tabs>
          <w:tab w:leader="none" w:pos="465" w:val="left"/>
        </w:tabs>
        <w:numPr>
          <w:ilvl w:val="0"/>
          <w:numId w:val="31"/>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EFFECTIVE DATE</w:t>
      </w:r>
    </w:p>
    <w:p>
      <w:pPr>
        <w:spacing w:after="0" w:line="183" w:lineRule="exact"/>
        <w:rPr>
          <w:sz w:val="20"/>
          <w:szCs w:val="20"/>
          <w:color w:val="auto"/>
        </w:rPr>
      </w:pPr>
    </w:p>
    <w:p>
      <w:pPr>
        <w:ind w:left="5" w:right="2779" w:firstLine="930"/>
        <w:spacing w:after="0" w:line="235" w:lineRule="auto"/>
        <w:rPr>
          <w:sz w:val="20"/>
          <w:szCs w:val="20"/>
          <w:color w:val="auto"/>
        </w:rPr>
      </w:pPr>
      <w:r>
        <w:rPr>
          <w:rFonts w:ascii="Courier New" w:cs="Courier New" w:eastAsia="Courier New" w:hAnsi="Courier New"/>
          <w:sz w:val="16"/>
          <w:szCs w:val="16"/>
          <w:color w:val="auto"/>
        </w:rPr>
        <w:t xml:space="preserve">The effective date of this amendment and restatement of the Plan is </w:t>
      </w:r>
      <w:r>
        <w:rPr>
          <w:rFonts w:ascii="Courier New" w:cs="Courier New" w:eastAsia="Courier New" w:hAnsi="Courier New"/>
          <w:sz w:val="16"/>
          <w:szCs w:val="16"/>
          <w:color w:val="auto"/>
          <w:strike w:val="1"/>
        </w:rPr>
        <w:t>the date on which it is adopted by the Board. The adoption of this amendment and restatement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454914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549140" cy="7620"/>
                    </a:xfrm>
                    <a:prstGeom prst="rect">
                      <a:avLst/>
                    </a:prstGeom>
                    <a:noFill/>
                  </pic:spPr>
                </pic:pic>
              </a:graphicData>
            </a:graphic>
          </wp:anchor>
        </w:drawing>
      </w:r>
    </w:p>
    <w:p>
      <w:pPr>
        <w:spacing w:after="0" w:line="15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248094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480945" cy="7620"/>
                    </a:xfrm>
                    <a:prstGeom prst="rect">
                      <a:avLst/>
                    </a:prstGeom>
                    <a:noFill/>
                  </pic:spPr>
                </pic:pic>
              </a:graphicData>
            </a:graphic>
          </wp:anchor>
        </w:drawing>
      </w:r>
    </w:p>
    <w:p>
      <w:pPr>
        <w:sectPr>
          <w:pgSz w:w="11900" w:h="16838" w:orient="portrait"/>
          <w:cols w:equalWidth="0" w:num="1">
            <w:col w:w="10224"/>
          </w:cols>
          <w:pgMar w:left="235" w:top="654" w:right="1440" w:bottom="1440" w:gutter="0" w:footer="0" w:header="0"/>
        </w:sectPr>
      </w:pPr>
    </w:p>
    <w:bookmarkStart w:id="22" w:name="page23"/>
    <w:bookmarkEnd w:id="22"/>
    <w:p>
      <w:pPr>
        <w:ind w:left="5" w:right="2779"/>
        <w:spacing w:after="0" w:line="273" w:lineRule="auto"/>
        <w:rPr>
          <w:sz w:val="20"/>
          <w:szCs w:val="20"/>
          <w:color w:val="auto"/>
        </w:rPr>
      </w:pPr>
      <w:r>
        <w:rPr>
          <w:rFonts w:ascii="Courier New" w:cs="Courier New" w:eastAsia="Courier New" w:hAnsi="Courier New"/>
          <w:sz w:val="14"/>
          <w:szCs w:val="14"/>
          <w:color w:val="auto"/>
          <w:strike w:val="1"/>
        </w:rPr>
        <w:t>and the grant of Awards pursuant to this amendment and restatement of the Plan is subject to the approval of the shareholders of the Company to the extent that the Committee determines that such approval (a) is required pursuant to the By-laws of the National Association of Securities Dealers, Inc., and the schedules thereto, in connection with issuers whose securities are included in the NASDAQ National Market System, or (b) is required to satisfy the conditions on Rule 16b-3. If the Committee determines that shareholder approval is required to satisfy the foregoing conditions, the Board shall submit the Plan to the shareholders the Company for their approval at the first annual meeting of shareholders held after the adoption of the Plan by the Board.</w:t>
      </w:r>
    </w:p>
    <w:p>
      <w:pPr>
        <w:spacing w:after="0" w:line="158" w:lineRule="exact"/>
        <w:rPr>
          <w:sz w:val="20"/>
          <w:szCs w:val="20"/>
          <w:color w:val="auto"/>
        </w:rPr>
      </w:pPr>
    </w:p>
    <w:p>
      <w:pPr>
        <w:ind w:left="465" w:hanging="465"/>
        <w:spacing w:after="0"/>
        <w:tabs>
          <w:tab w:leader="none" w:pos="465" w:val="left"/>
        </w:tabs>
        <w:numPr>
          <w:ilvl w:val="0"/>
          <w:numId w:val="32"/>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GOVERNING LAW</w:t>
      </w:r>
    </w:p>
    <w:p>
      <w:pPr>
        <w:spacing w:after="0" w:line="183" w:lineRule="exact"/>
        <w:rPr>
          <w:sz w:val="20"/>
          <w:szCs w:val="20"/>
          <w:color w:val="auto"/>
        </w:rPr>
      </w:pPr>
    </w:p>
    <w:p>
      <w:pPr>
        <w:ind w:left="5" w:right="2779" w:firstLine="930"/>
        <w:spacing w:after="0" w:line="234" w:lineRule="auto"/>
        <w:rPr>
          <w:sz w:val="20"/>
          <w:szCs w:val="20"/>
          <w:color w:val="auto"/>
        </w:rPr>
      </w:pPr>
      <w:r>
        <w:rPr>
          <w:rFonts w:ascii="Courier New" w:cs="Courier New" w:eastAsia="Courier New" w:hAnsi="Courier New"/>
          <w:sz w:val="16"/>
          <w:szCs w:val="16"/>
          <w:color w:val="auto"/>
        </w:rPr>
        <w:t xml:space="preserve">The Plan and all determinations made and actions taken pursuant to the </w:t>
      </w:r>
      <w:r>
        <w:rPr>
          <w:rFonts w:ascii="Courier New" w:cs="Courier New" w:eastAsia="Courier New" w:hAnsi="Courier New"/>
          <w:sz w:val="16"/>
          <w:szCs w:val="16"/>
          <w:color w:val="auto"/>
          <w:strike w:val="1"/>
        </w:rPr>
        <w:t>Plan shall be governed in accordance with Pennsylvania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4726305"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726305" cy="7620"/>
                    </a:xfrm>
                    <a:prstGeom prst="rect">
                      <a:avLst/>
                    </a:prstGeom>
                    <a:noFill/>
                  </pic:spPr>
                </pic:pic>
              </a:graphicData>
            </a:graphic>
          </wp:anchor>
        </w:drawing>
      </w:r>
    </w:p>
    <w:p>
      <w:pPr>
        <w:spacing w:after="0" w:line="157" w:lineRule="exact"/>
        <w:rPr>
          <w:sz w:val="20"/>
          <w:szCs w:val="20"/>
          <w:color w:val="auto"/>
        </w:rPr>
      </w:pPr>
    </w:p>
    <w:p>
      <w:pPr>
        <w:ind w:left="925"/>
        <w:spacing w:after="0"/>
        <w:rPr>
          <w:sz w:val="20"/>
          <w:szCs w:val="20"/>
          <w:color w:val="auto"/>
        </w:rPr>
      </w:pPr>
      <w:r>
        <w:rPr>
          <w:rFonts w:ascii="Courier New" w:cs="Courier New" w:eastAsia="Courier New" w:hAnsi="Courier New"/>
          <w:sz w:val="16"/>
          <w:szCs w:val="16"/>
          <w:color w:val="auto"/>
        </w:rPr>
        <w:t>Executed as of the 21st day of June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301307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013075" cy="7620"/>
                    </a:xfrm>
                    <a:prstGeom prst="rect">
                      <a:avLst/>
                    </a:prstGeom>
                    <a:noFill/>
                  </pic:spPr>
                </pic:pic>
              </a:graphicData>
            </a:graphic>
          </wp:anchor>
        </w:drawing>
      </w:r>
    </w:p>
    <w:p>
      <w:pPr>
        <w:spacing w:after="0" w:line="15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3249295"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249295" cy="762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BY: /s/ Stanley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330835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08350" cy="7620"/>
                    </a:xfrm>
                    <a:prstGeom prst="rect">
                      <a:avLst/>
                    </a:prstGeom>
                    <a:noFill/>
                  </pic:spPr>
                </pic:pic>
              </a:graphicData>
            </a:graphic>
          </wp:anchor>
        </w:drawing>
      </w:r>
    </w:p>
    <w:p>
      <w:pPr>
        <w:ind w:left="362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472630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26305" cy="7620"/>
                    </a:xfrm>
                    <a:prstGeom prst="rect">
                      <a:avLst/>
                    </a:prstGeom>
                    <a:noFill/>
                  </pic:spPr>
                </pic:pic>
              </a:graphicData>
            </a:graphic>
          </wp:anchor>
        </w:drawing>
      </w:r>
    </w:p>
    <w:p>
      <w:pPr>
        <w:spacing w:after="0" w:line="173"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ATTEST: /s/ Arthur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354457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544570" cy="7620"/>
                    </a:xfrm>
                    <a:prstGeom prst="rect">
                      <a:avLst/>
                    </a:prstGeom>
                    <a:noFill/>
                  </pic:spPr>
                </pic:pic>
              </a:graphicData>
            </a:graphic>
          </wp:anchor>
        </w:drawing>
      </w:r>
    </w:p>
    <w:p>
      <w:pPr>
        <w:ind w:left="400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4726305"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726305" cy="7620"/>
                    </a:xfrm>
                    <a:prstGeom prst="rect">
                      <a:avLst/>
                    </a:prstGeom>
                    <a:noFill/>
                  </pic:spPr>
                </pic:pic>
              </a:graphicData>
            </a:graphic>
          </wp:anchor>
        </w:drawing>
      </w:r>
    </w:p>
    <w:p>
      <w:pPr>
        <w:spacing w:after="0" w:line="17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248094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480945" cy="7620"/>
                    </a:xfrm>
                    <a:prstGeom prst="rect">
                      <a:avLst/>
                    </a:prstGeom>
                    <a:noFill/>
                  </pic:spPr>
                </pic:pic>
              </a:graphicData>
            </a:graphic>
          </wp:anchor>
        </w:drawing>
      </w:r>
    </w:p>
    <w:p>
      <w:pPr>
        <w:sectPr>
          <w:pgSz w:w="11900" w:h="16838" w:orient="portrait"/>
          <w:cols w:equalWidth="0" w:num="1">
            <w:col w:w="10224"/>
          </w:cols>
          <w:pgMar w:left="235" w:top="654" w:right="1440" w:bottom="1440" w:gutter="0" w:footer="0" w:header="0"/>
        </w:sectPr>
      </w:pPr>
    </w:p>
    <w:bookmarkStart w:id="23" w:name="page24"/>
    <w:bookmarkEnd w:id="23"/>
    <w:p>
      <w:pPr>
        <w:jc w:val="right"/>
        <w:ind w:right="2779"/>
        <w:spacing w:after="0"/>
        <w:rPr>
          <w:sz w:val="20"/>
          <w:szCs w:val="20"/>
          <w:color w:val="auto"/>
        </w:rPr>
      </w:pPr>
      <w:r>
        <w:rPr>
          <w:rFonts w:ascii="Courier New" w:cs="Courier New" w:eastAsia="Courier New" w:hAnsi="Courier New"/>
          <w:sz w:val="16"/>
          <w:szCs w:val="16"/>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4726305"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26305" cy="762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Pepper Hamilton LLP</w:t>
      </w:r>
    </w:p>
    <w:p>
      <w:pPr>
        <w:spacing w:after="0" w:line="236" w:lineRule="auto"/>
        <w:rPr>
          <w:sz w:val="20"/>
          <w:szCs w:val="20"/>
          <w:color w:val="auto"/>
        </w:rPr>
      </w:pPr>
      <w:r>
        <w:rPr>
          <w:rFonts w:ascii="Courier New" w:cs="Courier New" w:eastAsia="Courier New" w:hAnsi="Courier New"/>
          <w:sz w:val="16"/>
          <w:szCs w:val="16"/>
          <w:color w:val="auto"/>
          <w:strike w:val="1"/>
        </w:rPr>
        <w:t>Attorneys at Law</w:t>
      </w:r>
    </w:p>
    <w:p>
      <w:pPr>
        <w:spacing w:after="0" w:line="237" w:lineRule="auto"/>
        <w:rPr>
          <w:sz w:val="20"/>
          <w:szCs w:val="20"/>
          <w:color w:val="auto"/>
        </w:rPr>
      </w:pPr>
      <w:r>
        <w:rPr>
          <w:rFonts w:ascii="Courier New" w:cs="Courier New" w:eastAsia="Courier New" w:hAnsi="Courier New"/>
          <w:sz w:val="16"/>
          <w:szCs w:val="16"/>
          <w:color w:val="auto"/>
          <w:strike w:val="1"/>
        </w:rPr>
        <w:t>3000 Two Logan Square</w:t>
      </w:r>
    </w:p>
    <w:p>
      <w:pPr>
        <w:spacing w:after="0" w:line="237" w:lineRule="auto"/>
        <w:rPr>
          <w:sz w:val="20"/>
          <w:szCs w:val="20"/>
          <w:color w:val="auto"/>
        </w:rPr>
      </w:pPr>
      <w:r>
        <w:rPr>
          <w:rFonts w:ascii="Courier New" w:cs="Courier New" w:eastAsia="Courier New" w:hAnsi="Courier New"/>
          <w:sz w:val="16"/>
          <w:szCs w:val="16"/>
          <w:color w:val="auto"/>
          <w:strike w:val="1"/>
        </w:rPr>
        <w:t>Eighteenth and Arch Streets</w:t>
      </w:r>
    </w:p>
    <w:p>
      <w:pPr>
        <w:spacing w:after="0" w:line="237" w:lineRule="auto"/>
        <w:rPr>
          <w:sz w:val="20"/>
          <w:szCs w:val="20"/>
          <w:color w:val="auto"/>
        </w:rPr>
      </w:pPr>
      <w:r>
        <w:rPr>
          <w:rFonts w:ascii="Courier New" w:cs="Courier New" w:eastAsia="Courier New" w:hAnsi="Courier New"/>
          <w:sz w:val="16"/>
          <w:szCs w:val="16"/>
          <w:color w:val="auto"/>
          <w:strike w:val="1"/>
        </w:rPr>
        <w:t>Philadelphia, PA 19103-2799</w:t>
      </w:r>
    </w:p>
    <w:p>
      <w:pPr>
        <w:spacing w:after="0" w:line="237" w:lineRule="auto"/>
        <w:rPr>
          <w:sz w:val="20"/>
          <w:szCs w:val="20"/>
          <w:color w:val="auto"/>
        </w:rPr>
      </w:pPr>
      <w:r>
        <w:rPr>
          <w:rFonts w:ascii="Courier New" w:cs="Courier New" w:eastAsia="Courier New" w:hAnsi="Courier New"/>
          <w:sz w:val="16"/>
          <w:szCs w:val="16"/>
          <w:color w:val="auto"/>
          <w:strike w:val="1"/>
        </w:rPr>
        <w:t>215.981.4000</w:t>
      </w:r>
    </w:p>
    <w:p>
      <w:pPr>
        <w:spacing w:after="0" w:line="237" w:lineRule="auto"/>
        <w:rPr>
          <w:sz w:val="20"/>
          <w:szCs w:val="20"/>
          <w:color w:val="auto"/>
        </w:rPr>
      </w:pPr>
      <w:r>
        <w:rPr>
          <w:rFonts w:ascii="Courier New" w:cs="Courier New" w:eastAsia="Courier New" w:hAnsi="Courier New"/>
          <w:sz w:val="16"/>
          <w:szCs w:val="16"/>
          <w:color w:val="auto"/>
          <w:strike w:val="1"/>
        </w:rPr>
        <w:t>Fax 215.981.4750</w:t>
      </w:r>
    </w:p>
    <w:p>
      <w:pPr>
        <w:spacing w:after="0" w:line="177"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September 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389890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98900" cy="762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Comcast Corporation</w:t>
      </w:r>
    </w:p>
    <w:p>
      <w:pPr>
        <w:spacing w:after="0" w:line="236" w:lineRule="auto"/>
        <w:rPr>
          <w:sz w:val="20"/>
          <w:szCs w:val="20"/>
          <w:color w:val="auto"/>
        </w:rPr>
      </w:pPr>
      <w:r>
        <w:rPr>
          <w:rFonts w:ascii="Courier New" w:cs="Courier New" w:eastAsia="Courier New" w:hAnsi="Courier New"/>
          <w:sz w:val="16"/>
          <w:szCs w:val="16"/>
          <w:color w:val="auto"/>
          <w:strike w:val="1"/>
        </w:rPr>
        <w:t>1500 Market Street</w:t>
      </w:r>
    </w:p>
    <w:p>
      <w:pPr>
        <w:spacing w:after="0" w:line="237" w:lineRule="auto"/>
        <w:rPr>
          <w:sz w:val="20"/>
          <w:szCs w:val="20"/>
          <w:color w:val="auto"/>
        </w:rPr>
      </w:pPr>
      <w:r>
        <w:rPr>
          <w:rFonts w:ascii="Courier New" w:cs="Courier New" w:eastAsia="Courier New" w:hAnsi="Courier New"/>
          <w:sz w:val="16"/>
          <w:szCs w:val="16"/>
          <w:color w:val="auto"/>
          <w:strike w:val="1"/>
        </w:rPr>
        <w:t>Philadelphia, PA 19102-2148</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Re: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194945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949450" cy="7620"/>
                    </a:xfrm>
                    <a:prstGeom prst="rect">
                      <a:avLst/>
                    </a:prstGeom>
                    <a:noFill/>
                  </pic:spPr>
                </pic:pic>
              </a:graphicData>
            </a:graphic>
          </wp:anchor>
        </w:drawing>
      </w:r>
    </w:p>
    <w:p>
      <w:pPr>
        <w:ind w:left="1300"/>
        <w:spacing w:after="0" w:line="236" w:lineRule="auto"/>
        <w:rPr>
          <w:sz w:val="20"/>
          <w:szCs w:val="20"/>
          <w:color w:val="auto"/>
        </w:rPr>
      </w:pPr>
      <w:r>
        <w:rPr>
          <w:rFonts w:ascii="Courier New" w:cs="Courier New" w:eastAsia="Courier New" w:hAnsi="Courier New"/>
          <w:sz w:val="16"/>
          <w:szCs w:val="16"/>
          <w:color w:val="auto"/>
        </w:rPr>
        <w:t>Registration Statement on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283591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835910" cy="762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Ladies and Gentlemen:</w:t>
      </w: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 xml:space="preserve">Reference is made to a Registration Statement on Form S-8 of Comcast </w:t>
      </w:r>
      <w:r>
        <w:rPr>
          <w:rFonts w:ascii="Courier New" w:cs="Courier New" w:eastAsia="Courier New" w:hAnsi="Courier New"/>
          <w:sz w:val="16"/>
          <w:szCs w:val="16"/>
          <w:color w:val="auto"/>
          <w:strike w:val="1"/>
        </w:rPr>
        <w:t>Corporation (the "Company") which is being filed with the Securities and Exchange Commission on the date hereof (the "Registration Statement"). Capitalized terms not otherwise defined herein shall have the meanings ascribed to them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-511175</wp:posOffset>
            </wp:positionV>
            <wp:extent cx="460819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608195" cy="7620"/>
                    </a:xfrm>
                    <a:prstGeom prst="rect">
                      <a:avLst/>
                    </a:prstGeom>
                    <a:noFill/>
                  </pic:spPr>
                </pic:pic>
              </a:graphicData>
            </a:graphic>
          </wp:anchor>
        </w:drawing>
      </w:r>
    </w:p>
    <w:p>
      <w:pPr>
        <w:spacing w:after="0" w:line="166" w:lineRule="exact"/>
        <w:rPr>
          <w:sz w:val="20"/>
          <w:szCs w:val="20"/>
          <w:color w:val="auto"/>
        </w:rPr>
      </w:pPr>
    </w:p>
    <w:p>
      <w:pPr>
        <w:ind w:right="2879" w:firstLine="930"/>
        <w:spacing w:after="0" w:line="279" w:lineRule="auto"/>
        <w:rPr>
          <w:sz w:val="20"/>
          <w:szCs w:val="20"/>
          <w:color w:val="auto"/>
        </w:rPr>
      </w:pPr>
      <w:r>
        <w:rPr>
          <w:rFonts w:ascii="Courier New" w:cs="Courier New" w:eastAsia="Courier New" w:hAnsi="Courier New"/>
          <w:sz w:val="14"/>
          <w:szCs w:val="14"/>
          <w:color w:val="auto"/>
        </w:rPr>
        <w:t xml:space="preserve">The Registration Statement covers 9,750,000 shares of Class A Special </w:t>
      </w:r>
      <w:r>
        <w:rPr>
          <w:rFonts w:ascii="Courier New" w:cs="Courier New" w:eastAsia="Courier New" w:hAnsi="Courier New"/>
          <w:sz w:val="14"/>
          <w:szCs w:val="14"/>
          <w:color w:val="auto"/>
          <w:strike w:val="1"/>
        </w:rPr>
        <w:t>Common Stock, par value $1.00, of the Company (the "Shares"), which may be issued by the Company pursuant to the Comcast Corporation 1990 Restricted Stock Plan, as amended and restated effective June 21, 1999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-415925</wp:posOffset>
            </wp:positionV>
            <wp:extent cx="466725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667250" cy="7620"/>
                    </a:xfrm>
                    <a:prstGeom prst="rect">
                      <a:avLst/>
                    </a:prstGeom>
                    <a:noFill/>
                  </pic:spPr>
                </pic:pic>
              </a:graphicData>
            </a:graphic>
          </wp:anchor>
        </w:drawing>
      </w:r>
    </w:p>
    <w:p>
      <w:pPr>
        <w:spacing w:after="0" w:line="137" w:lineRule="exact"/>
        <w:rPr>
          <w:sz w:val="20"/>
          <w:szCs w:val="20"/>
          <w:color w:val="auto"/>
        </w:rPr>
      </w:pPr>
    </w:p>
    <w:p>
      <w:pPr>
        <w:ind w:right="2879" w:firstLine="930"/>
        <w:spacing w:after="0" w:line="275" w:lineRule="auto"/>
        <w:rPr>
          <w:sz w:val="20"/>
          <w:szCs w:val="20"/>
          <w:color w:val="auto"/>
        </w:rPr>
      </w:pPr>
      <w:r>
        <w:rPr>
          <w:rFonts w:ascii="Courier New" w:cs="Courier New" w:eastAsia="Courier New" w:hAnsi="Courier New"/>
          <w:sz w:val="14"/>
          <w:szCs w:val="14"/>
          <w:color w:val="auto"/>
        </w:rPr>
        <w:t xml:space="preserve">We have examined the Registration Statement, including the exhibits </w:t>
      </w:r>
      <w:r>
        <w:rPr>
          <w:rFonts w:ascii="Courier New" w:cs="Courier New" w:eastAsia="Courier New" w:hAnsi="Courier New"/>
          <w:sz w:val="14"/>
          <w:szCs w:val="14"/>
          <w:color w:val="auto"/>
          <w:strike w:val="1"/>
        </w:rPr>
        <w:t>thereto, the Company's Articles of Incorporation, as amended, the Company's By-Laws, the Plan and such documents as we have deemed appropriate in rendering this opinion. In our examination, we have assumed the genuineness of all signatures, the authenticity of all documents submitted to us as originals and the authenticity of all documents submitted to us as copies of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-640080</wp:posOffset>
            </wp:positionV>
            <wp:extent cx="454914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549140" cy="7620"/>
                    </a:xfrm>
                    <a:prstGeom prst="rect">
                      <a:avLst/>
                    </a:prstGeom>
                    <a:noFill/>
                  </pic:spPr>
                </pic:pic>
              </a:graphicData>
            </a:graphic>
          </wp:anchor>
        </w:drawing>
      </w:r>
    </w:p>
    <w:p>
      <w:pPr>
        <w:spacing w:after="0" w:line="142"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 xml:space="preserve">Based on the foregoing, we are of the opinion that the Shares, when </w:t>
      </w:r>
      <w:r>
        <w:rPr>
          <w:rFonts w:ascii="Courier New" w:cs="Courier New" w:eastAsia="Courier New" w:hAnsi="Courier New"/>
          <w:sz w:val="16"/>
          <w:szCs w:val="16"/>
          <w:color w:val="auto"/>
          <w:strike w:val="1"/>
        </w:rPr>
        <w:t>issued in accordance with the terms of the Plan, will be validly issued, fully paid and non-assessable.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-739775</wp:posOffset>
            </wp:positionV>
            <wp:extent cx="454914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549140" cy="7620"/>
                    </a:xfrm>
                    <a:prstGeom prst="rect">
                      <a:avLst/>
                    </a:prstGeom>
                    <a:noFill/>
                  </pic:spPr>
                </pic:pic>
              </a:graphicData>
            </a:graphic>
          </wp:anchor>
        </w:drawing>
      </w:r>
    </w:p>
    <w:p>
      <w:pPr>
        <w:sectPr>
          <w:pgSz w:w="11900" w:h="16838" w:orient="portrait"/>
          <w:cols w:equalWidth="0" w:num="1">
            <w:col w:w="10219"/>
          </w:cols>
          <w:pgMar w:left="240" w:top="493" w:right="1440" w:bottom="1440" w:gutter="0" w:footer="0" w:header="0"/>
        </w:sectPr>
      </w:pPr>
    </w:p>
    <w:bookmarkStart w:id="24" w:name="page25"/>
    <w:bookmarkEnd w:id="24"/>
    <w:p>
      <w:pPr>
        <w:jc w:val="both"/>
        <w:ind w:right="2959" w:firstLine="930"/>
        <w:spacing w:after="0" w:line="235" w:lineRule="auto"/>
        <w:rPr>
          <w:sz w:val="20"/>
          <w:szCs w:val="20"/>
          <w:color w:val="auto"/>
        </w:rPr>
      </w:pPr>
      <w:r>
        <w:rPr>
          <w:rFonts w:ascii="Courier New" w:cs="Courier New" w:eastAsia="Courier New" w:hAnsi="Courier New"/>
          <w:sz w:val="16"/>
          <w:szCs w:val="16"/>
          <w:color w:val="auto"/>
        </w:rPr>
        <w:t xml:space="preserve">We assume no obligation to supplement this opinion if any applicable </w:t>
      </w:r>
      <w:r>
        <w:rPr>
          <w:rFonts w:ascii="Courier New" w:cs="Courier New" w:eastAsia="Courier New" w:hAnsi="Courier New"/>
          <w:sz w:val="16"/>
          <w:szCs w:val="16"/>
          <w:color w:val="auto"/>
          <w:strike w:val="1"/>
        </w:rPr>
        <w:t>law changes after the date hereof or if we become aware of any fact that might change the opinion expressed herein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-285750</wp:posOffset>
            </wp:positionV>
            <wp:extent cx="460819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608195" cy="7620"/>
                    </a:xfrm>
                    <a:prstGeom prst="rect">
                      <a:avLst/>
                    </a:prstGeom>
                    <a:noFill/>
                  </pic:spPr>
                </pic:pic>
              </a:graphicData>
            </a:graphic>
          </wp:anchor>
        </w:drawing>
      </w:r>
    </w:p>
    <w:p>
      <w:pPr>
        <w:spacing w:after="0" w:line="163"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 xml:space="preserve">Our opinion is limited to the Business Corporation Law of the </w:t>
      </w:r>
      <w:r>
        <w:rPr>
          <w:rFonts w:ascii="Courier New" w:cs="Courier New" w:eastAsia="Courier New" w:hAnsi="Courier New"/>
          <w:sz w:val="16"/>
          <w:szCs w:val="16"/>
          <w:color w:val="auto"/>
          <w:strike w:val="1"/>
        </w:rPr>
        <w:t>Commonwealth of Pennsylvania, as amended, including the statutory provisions and all applicable provisions of the Constitution of the Commonwealth of Pennsylvania, and the federal securities laws, each as in effect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-511175</wp:posOffset>
            </wp:positionV>
            <wp:extent cx="419481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194810" cy="7620"/>
                    </a:xfrm>
                    <a:prstGeom prst="rect">
                      <a:avLst/>
                    </a:prstGeom>
                    <a:noFill/>
                  </pic:spPr>
                </pic:pic>
              </a:graphicData>
            </a:graphic>
          </wp:anchor>
        </w:drawing>
      </w:r>
    </w:p>
    <w:p>
      <w:pPr>
        <w:spacing w:after="0" w:line="166" w:lineRule="exact"/>
        <w:rPr>
          <w:sz w:val="20"/>
          <w:szCs w:val="20"/>
          <w:color w:val="auto"/>
        </w:rPr>
      </w:pPr>
    </w:p>
    <w:p>
      <w:pPr>
        <w:ind w:right="2779" w:firstLine="930"/>
        <w:spacing w:after="0" w:line="235" w:lineRule="auto"/>
        <w:rPr>
          <w:sz w:val="20"/>
          <w:szCs w:val="20"/>
          <w:color w:val="auto"/>
        </w:rPr>
      </w:pPr>
      <w:r>
        <w:rPr>
          <w:rFonts w:ascii="Courier New" w:cs="Courier New" w:eastAsia="Courier New" w:hAnsi="Courier New"/>
          <w:sz w:val="16"/>
          <w:szCs w:val="16"/>
          <w:color w:val="auto"/>
        </w:rPr>
        <w:t xml:space="preserve">We hereby consent to the filing of this opinion as an exhibit to the </w:t>
      </w:r>
      <w:r>
        <w:rPr>
          <w:rFonts w:ascii="Courier New" w:cs="Courier New" w:eastAsia="Courier New" w:hAnsi="Courier New"/>
          <w:sz w:val="16"/>
          <w:szCs w:val="16"/>
          <w:color w:val="auto"/>
          <w:strike w:val="1"/>
        </w:rPr>
        <w:t>Registration Statement. In giving this consent, we do not thereby admit that we come within the category of persons whose consent is required under Section 7 of the Securities Act of 1933, as amended, or the rules and regulations of the Securities and Exchange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-511175</wp:posOffset>
            </wp:positionV>
            <wp:extent cx="4608195"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608195" cy="7620"/>
                    </a:xfrm>
                    <a:prstGeom prst="rect">
                      <a:avLst/>
                    </a:prstGeom>
                    <a:noFill/>
                  </pic:spPr>
                </pic:pic>
              </a:graphicData>
            </a:graphic>
          </wp:anchor>
        </w:drawing>
      </w:r>
    </w:p>
    <w:p>
      <w:pPr>
        <w:spacing w:after="0" w:line="160"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383984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39845" cy="7620"/>
                    </a:xfrm>
                    <a:prstGeom prst="rect">
                      <a:avLst/>
                    </a:prstGeom>
                    <a:noFill/>
                  </pic:spPr>
                </pic:pic>
              </a:graphicData>
            </a:graphic>
          </wp:anchor>
        </w:drawing>
      </w:r>
    </w:p>
    <w:p>
      <w:pPr>
        <w:spacing w:after="0" w:line="335"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/s/ PEPPER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4608195"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608195" cy="7620"/>
                    </a:xfrm>
                    <a:prstGeom prst="rect">
                      <a:avLst/>
                    </a:prstGeom>
                    <a:noFill/>
                  </pic:spPr>
                </pic:pic>
              </a:graphicData>
            </a:graphic>
          </wp:anchor>
        </w:drawing>
      </w:r>
    </w:p>
    <w:p>
      <w:pPr>
        <w:ind w:left="5120"/>
        <w:spacing w:after="0" w:line="236" w:lineRule="auto"/>
        <w:rPr>
          <w:sz w:val="20"/>
          <w:szCs w:val="20"/>
          <w:color w:val="auto"/>
        </w:rPr>
      </w:pPr>
      <w:r>
        <w:rPr>
          <w:rFonts w:ascii="Courier New" w:cs="Courier New" w:eastAsia="Courier New" w:hAnsi="Courier New"/>
          <w:sz w:val="16"/>
          <w:szCs w:val="16"/>
          <w:color w:val="auto"/>
        </w:rPr>
        <w:t>PEPPER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4371975"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371975" cy="7620"/>
                    </a:xfrm>
                    <a:prstGeom prst="rect">
                      <a:avLst/>
                    </a:prstGeom>
                    <a:noFill/>
                  </pic:spPr>
                </pic:pic>
              </a:graphicData>
            </a:graphic>
          </wp:anchor>
        </w:drawing>
      </w:r>
    </w:p>
    <w:p>
      <w:pPr>
        <w:sectPr>
          <w:pgSz w:w="11900" w:h="16838" w:orient="portrait"/>
          <w:cols w:equalWidth="0" w:num="1">
            <w:col w:w="10219"/>
          </w:cols>
          <w:pgMar w:left="240" w:top="654" w:right="1440" w:bottom="1440" w:gutter="0" w:footer="0" w:header="0"/>
        </w:sectPr>
      </w:pPr>
    </w:p>
    <w:bookmarkStart w:id="25" w:name="page26"/>
    <w:bookmarkEnd w:id="25"/>
    <w:p>
      <w:pPr>
        <w:jc w:val="right"/>
        <w:ind w:right="2779"/>
        <w:spacing w:after="0"/>
        <w:rPr>
          <w:sz w:val="20"/>
          <w:szCs w:val="20"/>
          <w:color w:val="auto"/>
        </w:rPr>
      </w:pPr>
      <w:r>
        <w:rPr>
          <w:rFonts w:ascii="Courier New" w:cs="Courier New" w:eastAsia="Courier New" w:hAnsi="Courier New"/>
          <w:sz w:val="16"/>
          <w:szCs w:val="16"/>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4726305"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726305" cy="762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Pepper Hamilton LLP</w:t>
      </w:r>
    </w:p>
    <w:p>
      <w:pPr>
        <w:spacing w:after="0" w:line="236" w:lineRule="auto"/>
        <w:rPr>
          <w:sz w:val="20"/>
          <w:szCs w:val="20"/>
          <w:color w:val="auto"/>
        </w:rPr>
      </w:pPr>
      <w:r>
        <w:rPr>
          <w:rFonts w:ascii="Courier New" w:cs="Courier New" w:eastAsia="Courier New" w:hAnsi="Courier New"/>
          <w:sz w:val="16"/>
          <w:szCs w:val="16"/>
          <w:color w:val="auto"/>
          <w:strike w:val="1"/>
        </w:rPr>
        <w:t>Attorneys at Law</w:t>
      </w:r>
    </w:p>
    <w:p>
      <w:pPr>
        <w:spacing w:after="0" w:line="237" w:lineRule="auto"/>
        <w:rPr>
          <w:sz w:val="20"/>
          <w:szCs w:val="20"/>
          <w:color w:val="auto"/>
        </w:rPr>
      </w:pPr>
      <w:r>
        <w:rPr>
          <w:rFonts w:ascii="Courier New" w:cs="Courier New" w:eastAsia="Courier New" w:hAnsi="Courier New"/>
          <w:sz w:val="16"/>
          <w:szCs w:val="16"/>
          <w:color w:val="auto"/>
          <w:strike w:val="1"/>
        </w:rPr>
        <w:t>3000 Two Logan Square</w:t>
      </w:r>
    </w:p>
    <w:p>
      <w:pPr>
        <w:spacing w:after="0" w:line="237" w:lineRule="auto"/>
        <w:rPr>
          <w:sz w:val="20"/>
          <w:szCs w:val="20"/>
          <w:color w:val="auto"/>
        </w:rPr>
      </w:pPr>
      <w:r>
        <w:rPr>
          <w:rFonts w:ascii="Courier New" w:cs="Courier New" w:eastAsia="Courier New" w:hAnsi="Courier New"/>
          <w:sz w:val="16"/>
          <w:szCs w:val="16"/>
          <w:color w:val="auto"/>
          <w:strike w:val="1"/>
        </w:rPr>
        <w:t>Eighteenth and Arch Streets</w:t>
      </w:r>
    </w:p>
    <w:p>
      <w:pPr>
        <w:spacing w:after="0" w:line="237" w:lineRule="auto"/>
        <w:rPr>
          <w:sz w:val="20"/>
          <w:szCs w:val="20"/>
          <w:color w:val="auto"/>
        </w:rPr>
      </w:pPr>
      <w:r>
        <w:rPr>
          <w:rFonts w:ascii="Courier New" w:cs="Courier New" w:eastAsia="Courier New" w:hAnsi="Courier New"/>
          <w:sz w:val="16"/>
          <w:szCs w:val="16"/>
          <w:color w:val="auto"/>
          <w:strike w:val="1"/>
        </w:rPr>
        <w:t>Philadelphia, PA 19103-2799</w:t>
      </w:r>
    </w:p>
    <w:p>
      <w:pPr>
        <w:spacing w:after="0" w:line="237" w:lineRule="auto"/>
        <w:rPr>
          <w:sz w:val="20"/>
          <w:szCs w:val="20"/>
          <w:color w:val="auto"/>
        </w:rPr>
      </w:pPr>
      <w:r>
        <w:rPr>
          <w:rFonts w:ascii="Courier New" w:cs="Courier New" w:eastAsia="Courier New" w:hAnsi="Courier New"/>
          <w:sz w:val="16"/>
          <w:szCs w:val="16"/>
          <w:color w:val="auto"/>
          <w:strike w:val="1"/>
        </w:rPr>
        <w:t>215.981.4000</w:t>
      </w:r>
    </w:p>
    <w:p>
      <w:pPr>
        <w:spacing w:after="0" w:line="237" w:lineRule="auto"/>
        <w:rPr>
          <w:sz w:val="20"/>
          <w:szCs w:val="20"/>
          <w:color w:val="auto"/>
        </w:rPr>
      </w:pPr>
      <w:r>
        <w:rPr>
          <w:rFonts w:ascii="Courier New" w:cs="Courier New" w:eastAsia="Courier New" w:hAnsi="Courier New"/>
          <w:sz w:val="16"/>
          <w:szCs w:val="16"/>
          <w:color w:val="auto"/>
          <w:strike w:val="1"/>
        </w:rPr>
        <w:t>Fax 215.981.4750</w:t>
      </w:r>
    </w:p>
    <w:p>
      <w:pPr>
        <w:spacing w:after="0" w:line="177"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September 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3839845"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39845" cy="762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Comcast Corporation</w:t>
      </w:r>
    </w:p>
    <w:p>
      <w:pPr>
        <w:spacing w:after="0" w:line="236" w:lineRule="auto"/>
        <w:rPr>
          <w:sz w:val="20"/>
          <w:szCs w:val="20"/>
          <w:color w:val="auto"/>
        </w:rPr>
      </w:pPr>
      <w:r>
        <w:rPr>
          <w:rFonts w:ascii="Courier New" w:cs="Courier New" w:eastAsia="Courier New" w:hAnsi="Courier New"/>
          <w:sz w:val="16"/>
          <w:szCs w:val="16"/>
          <w:color w:val="auto"/>
          <w:strike w:val="1"/>
        </w:rPr>
        <w:t>1500 Market Street</w:t>
      </w:r>
    </w:p>
    <w:p>
      <w:pPr>
        <w:spacing w:after="0" w:line="237" w:lineRule="auto"/>
        <w:rPr>
          <w:sz w:val="20"/>
          <w:szCs w:val="20"/>
          <w:color w:val="auto"/>
        </w:rPr>
      </w:pPr>
      <w:r>
        <w:rPr>
          <w:rFonts w:ascii="Courier New" w:cs="Courier New" w:eastAsia="Courier New" w:hAnsi="Courier New"/>
          <w:sz w:val="16"/>
          <w:szCs w:val="16"/>
          <w:color w:val="auto"/>
          <w:strike w:val="1"/>
        </w:rPr>
        <w:t>Philadelphia, PA 19102-2148</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Re: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194945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949450" cy="7620"/>
                    </a:xfrm>
                    <a:prstGeom prst="rect">
                      <a:avLst/>
                    </a:prstGeom>
                    <a:noFill/>
                  </pic:spPr>
                </pic:pic>
              </a:graphicData>
            </a:graphic>
          </wp:anchor>
        </w:drawing>
      </w:r>
    </w:p>
    <w:p>
      <w:pPr>
        <w:ind w:left="1300"/>
        <w:spacing w:after="0" w:line="236" w:lineRule="auto"/>
        <w:rPr>
          <w:sz w:val="20"/>
          <w:szCs w:val="20"/>
          <w:color w:val="auto"/>
        </w:rPr>
      </w:pPr>
      <w:r>
        <w:rPr>
          <w:rFonts w:ascii="Courier New" w:cs="Courier New" w:eastAsia="Courier New" w:hAnsi="Courier New"/>
          <w:sz w:val="16"/>
          <w:szCs w:val="16"/>
          <w:color w:val="auto"/>
        </w:rPr>
        <w:t>1990 Restricted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236347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363470" cy="762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Dear Ladies and Gentlemen:</w:t>
      </w:r>
    </w:p>
    <w:p>
      <w:pPr>
        <w:spacing w:after="0" w:line="183"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 xml:space="preserve">We have served as special counsel to Comcast Corporation, a </w:t>
      </w:r>
      <w:r>
        <w:rPr>
          <w:rFonts w:ascii="Courier New" w:cs="Courier New" w:eastAsia="Courier New" w:hAnsi="Courier New"/>
          <w:sz w:val="16"/>
          <w:szCs w:val="16"/>
          <w:color w:val="auto"/>
          <w:strike w:val="1"/>
        </w:rPr>
        <w:t>Pennsylvania Corporation (the "Company"), in connection with the registration by the Company of shares of Class A Special Common Stock, par value $1.00 (the "Shares") which may be issued by the Company pursuant to the Company's 1990 Restricted Stock Plan (the "Plan") and the filing of a registration statement on Form S-8 relating to the Shares (the "Registration Statement"). Unless otherwise defined herein, capitalized terms used herein shall have the meanings assigned to them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-852805</wp:posOffset>
            </wp:positionV>
            <wp:extent cx="407670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076700" cy="7620"/>
                    </a:xfrm>
                    <a:prstGeom prst="rect">
                      <a:avLst/>
                    </a:prstGeom>
                    <a:noFill/>
                  </pic:spPr>
                </pic:pic>
              </a:graphicData>
            </a:graphic>
          </wp:anchor>
        </w:drawing>
      </w:r>
    </w:p>
    <w:p>
      <w:pPr>
        <w:spacing w:after="0" w:line="164" w:lineRule="exact"/>
        <w:rPr>
          <w:sz w:val="20"/>
          <w:szCs w:val="20"/>
          <w:color w:val="auto"/>
        </w:rPr>
      </w:pPr>
    </w:p>
    <w:p>
      <w:pPr>
        <w:ind w:right="3059" w:firstLine="930"/>
        <w:spacing w:after="0" w:line="235" w:lineRule="auto"/>
        <w:rPr>
          <w:sz w:val="20"/>
          <w:szCs w:val="20"/>
          <w:color w:val="auto"/>
        </w:rPr>
      </w:pPr>
      <w:r>
        <w:rPr>
          <w:rFonts w:ascii="Courier New" w:cs="Courier New" w:eastAsia="Courier New" w:hAnsi="Courier New"/>
          <w:sz w:val="16"/>
          <w:szCs w:val="16"/>
          <w:color w:val="auto"/>
        </w:rPr>
        <w:t xml:space="preserve">As such special counsel, we have made such legal and factual </w:t>
      </w:r>
      <w:r>
        <w:rPr>
          <w:rFonts w:ascii="Courier New" w:cs="Courier New" w:eastAsia="Courier New" w:hAnsi="Courier New"/>
          <w:sz w:val="16"/>
          <w:szCs w:val="16"/>
          <w:color w:val="auto"/>
          <w:strike w:val="1"/>
        </w:rPr>
        <w:t>examination and inquiries as we have deemed necessary or appropriate for purposes of this opinion and have made such additional assumptions as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-398145</wp:posOffset>
            </wp:positionV>
            <wp:extent cx="4135755"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135755" cy="7620"/>
                    </a:xfrm>
                    <a:prstGeom prst="rect">
                      <a:avLst/>
                    </a:prstGeom>
                    <a:noFill/>
                  </pic:spPr>
                </pic:pic>
              </a:graphicData>
            </a:graphic>
          </wp:anchor>
        </w:drawing>
      </w:r>
    </w:p>
    <w:p>
      <w:pPr>
        <w:spacing w:after="0" w:line="165" w:lineRule="exact"/>
        <w:rPr>
          <w:sz w:val="20"/>
          <w:szCs w:val="20"/>
          <w:color w:val="auto"/>
        </w:rPr>
      </w:pPr>
    </w:p>
    <w:p>
      <w:pPr>
        <w:ind w:right="2879" w:firstLine="930"/>
        <w:spacing w:after="0" w:line="273" w:lineRule="auto"/>
        <w:rPr>
          <w:sz w:val="20"/>
          <w:szCs w:val="20"/>
          <w:color w:val="auto"/>
        </w:rPr>
      </w:pPr>
      <w:r>
        <w:rPr>
          <w:rFonts w:ascii="Courier New" w:cs="Courier New" w:eastAsia="Courier New" w:hAnsi="Courier New"/>
          <w:sz w:val="14"/>
          <w:szCs w:val="14"/>
          <w:color w:val="auto"/>
        </w:rPr>
        <w:t xml:space="preserve">The Plan document states that the Plan permits eligible employees to </w:t>
      </w:r>
      <w:r>
        <w:rPr>
          <w:rFonts w:ascii="Courier New" w:cs="Courier New" w:eastAsia="Courier New" w:hAnsi="Courier New"/>
          <w:sz w:val="14"/>
          <w:szCs w:val="14"/>
          <w:color w:val="auto"/>
          <w:strike w:val="1"/>
        </w:rPr>
        <w:t>defer the receipt of compensation otherwise payable to such eligible employees in accordance with the terms of the Plan. The Plan is unfunded and the provisions relating to the deferral of receipt of Shares are maintained primarily for the purpose of providing deferred compensation to a select group of management or highly compensated employees. For the purpose of this opinion, we have assumed that (1) the Plan was duly adopted by the Company on December 19, 1990 and amended and restated, effective June 21, 1999, in its current form on June 21, 1999, and (2) the Plan provisions relating to deferral of the receipt of Shares are maintained primarily for the purpose of providing the opportunity to defer the receipt of shares upon the vesting of restricted stock to a select group of management or highly compensated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-1207770</wp:posOffset>
            </wp:positionV>
            <wp:extent cx="4608195"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608195" cy="7620"/>
                    </a:xfrm>
                    <a:prstGeom prst="rect">
                      <a:avLst/>
                    </a:prstGeom>
                    <a:noFill/>
                  </pic:spPr>
                </pic:pic>
              </a:graphicData>
            </a:graphic>
          </wp:anchor>
        </w:drawing>
      </w:r>
    </w:p>
    <w:p>
      <w:pPr>
        <w:spacing w:after="0" w:line="321" w:lineRule="exact"/>
        <w:rPr>
          <w:sz w:val="20"/>
          <w:szCs w:val="20"/>
          <w:color w:val="auto"/>
        </w:rPr>
      </w:pPr>
    </w:p>
    <w:p>
      <w:pPr>
        <w:ind w:right="3059" w:firstLine="930"/>
        <w:spacing w:after="0" w:line="235" w:lineRule="auto"/>
        <w:rPr>
          <w:sz w:val="20"/>
          <w:szCs w:val="20"/>
          <w:color w:val="auto"/>
        </w:rPr>
      </w:pPr>
      <w:r>
        <w:rPr>
          <w:rFonts w:ascii="Courier New" w:cs="Courier New" w:eastAsia="Courier New" w:hAnsi="Courier New"/>
          <w:sz w:val="16"/>
          <w:szCs w:val="16"/>
          <w:color w:val="auto"/>
        </w:rPr>
        <w:t xml:space="preserve">By its express terms, the Plan potentially results in a deferral of </w:t>
      </w:r>
      <w:r>
        <w:rPr>
          <w:rFonts w:ascii="Courier New" w:cs="Courier New" w:eastAsia="Courier New" w:hAnsi="Courier New"/>
          <w:sz w:val="16"/>
          <w:szCs w:val="16"/>
          <w:color w:val="auto"/>
          <w:strike w:val="1"/>
        </w:rPr>
        <w:t>income by employees for periods extending to the termination of covered employment or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-285750</wp:posOffset>
            </wp:positionV>
            <wp:extent cx="454914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549140" cy="7620"/>
                    </a:xfrm>
                    <a:prstGeom prst="rect">
                      <a:avLst/>
                    </a:prstGeom>
                    <a:noFill/>
                  </pic:spPr>
                </pic:pic>
              </a:graphicData>
            </a:graphic>
          </wp:anchor>
        </w:drawing>
      </w:r>
    </w:p>
    <w:p>
      <w:pPr>
        <w:sectPr>
          <w:pgSz w:w="11900" w:h="16838" w:orient="portrait"/>
          <w:cols w:equalWidth="0" w:num="1">
            <w:col w:w="10219"/>
          </w:cols>
          <w:pgMar w:left="240" w:top="493" w:right="1440" w:bottom="1440" w:gutter="0" w:footer="0" w:header="0"/>
        </w:sectPr>
      </w:pPr>
    </w:p>
    <w:bookmarkStart w:id="26" w:name="page27"/>
    <w:bookmarkEnd w:id="26"/>
    <w:p>
      <w:pPr>
        <w:ind w:right="2779"/>
        <w:spacing w:after="0" w:line="236" w:lineRule="auto"/>
        <w:rPr>
          <w:sz w:val="20"/>
          <w:szCs w:val="20"/>
          <w:color w:val="auto"/>
        </w:rPr>
      </w:pPr>
      <w:r>
        <w:rPr>
          <w:rFonts w:ascii="Courier New" w:cs="Courier New" w:eastAsia="Courier New" w:hAnsi="Courier New"/>
          <w:sz w:val="16"/>
          <w:szCs w:val="16"/>
          <w:color w:val="auto"/>
          <w:strike w:val="1"/>
        </w:rPr>
        <w:t>Accordingly, the Plan is an "employee pension benefit plan" described in section 3(3) of the Employee Retirement Income Security Act of 1974, as amended ("ERISA"). However, as a Plan that is unfunded and maintained primarily for the purpose of providing deferred compensation to a select group of management or highly compensated employees, the Plan is subject to parts 1 and 5 of Title I of ERISA, but not to any other provisions of ERISA.</w:t>
      </w:r>
    </w:p>
    <w:p>
      <w:pPr>
        <w:spacing w:after="0" w:line="18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 xml:space="preserve">The Plan is not designed or operated with the purpose of satisfying </w:t>
      </w:r>
      <w:r>
        <w:rPr>
          <w:rFonts w:ascii="Courier New" w:cs="Courier New" w:eastAsia="Courier New" w:hAnsi="Courier New"/>
          <w:sz w:val="16"/>
          <w:szCs w:val="16"/>
          <w:color w:val="auto"/>
          <w:strike w:val="1"/>
        </w:rPr>
        <w:t>the requirements for qualification under section 401(a) of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-285750</wp:posOffset>
            </wp:positionV>
            <wp:extent cx="454914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549140" cy="7620"/>
                    </a:xfrm>
                    <a:prstGeom prst="rect">
                      <a:avLst/>
                    </a:prstGeom>
                    <a:noFill/>
                  </pic:spPr>
                </pic:pic>
              </a:graphicData>
            </a:graphic>
          </wp:anchor>
        </w:drawing>
      </w:r>
    </w:p>
    <w:p>
      <w:pPr>
        <w:spacing w:after="0" w:line="163" w:lineRule="exact"/>
        <w:rPr>
          <w:sz w:val="20"/>
          <w:szCs w:val="20"/>
          <w:color w:val="auto"/>
        </w:rPr>
      </w:pPr>
    </w:p>
    <w:p>
      <w:pPr>
        <w:ind w:right="2959" w:firstLine="930"/>
        <w:spacing w:after="0" w:line="236" w:lineRule="auto"/>
        <w:rPr>
          <w:sz w:val="20"/>
          <w:szCs w:val="20"/>
          <w:color w:val="auto"/>
        </w:rPr>
      </w:pPr>
      <w:r>
        <w:rPr>
          <w:rFonts w:ascii="Courier New" w:cs="Courier New" w:eastAsia="Courier New" w:hAnsi="Courier New"/>
          <w:sz w:val="16"/>
          <w:szCs w:val="16"/>
          <w:color w:val="auto"/>
        </w:rPr>
        <w:t xml:space="preserve">Parts 1 and 5 of Title 1 of ERISA do not impose any specific written </w:t>
      </w:r>
      <w:r>
        <w:rPr>
          <w:rFonts w:ascii="Courier New" w:cs="Courier New" w:eastAsia="Courier New" w:hAnsi="Courier New"/>
          <w:sz w:val="16"/>
          <w:szCs w:val="16"/>
          <w:color w:val="auto"/>
          <w:strike w:val="1"/>
        </w:rPr>
        <w:t>requirements on non-qualified deferred compensation arrangements such as the Plan as a condition to compliance with the applicable provisions of ERISA. Further, the operation of the Plan pursuant to the written provisions of the Plan will not cause the Plan to fail to comply with parts 1 or 5 of Title 5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-626745</wp:posOffset>
            </wp:positionV>
            <wp:extent cx="4608195"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608195" cy="7620"/>
                    </a:xfrm>
                    <a:prstGeom prst="rect">
                      <a:avLst/>
                    </a:prstGeom>
                    <a:noFill/>
                  </pic:spPr>
                </pic:pic>
              </a:graphicData>
            </a:graphic>
          </wp:anchor>
        </w:drawing>
      </w:r>
    </w:p>
    <w:p>
      <w:pPr>
        <w:spacing w:after="0" w:line="163" w:lineRule="exact"/>
        <w:rPr>
          <w:sz w:val="20"/>
          <w:szCs w:val="20"/>
          <w:color w:val="auto"/>
        </w:rPr>
      </w:pPr>
    </w:p>
    <w:p>
      <w:pPr>
        <w:jc w:val="both"/>
        <w:ind w:right="3519" w:firstLine="930"/>
        <w:spacing w:after="0" w:line="235" w:lineRule="auto"/>
        <w:rPr>
          <w:sz w:val="20"/>
          <w:szCs w:val="20"/>
          <w:color w:val="auto"/>
        </w:rPr>
      </w:pPr>
      <w:r>
        <w:rPr>
          <w:rFonts w:ascii="Courier New" w:cs="Courier New" w:eastAsia="Courier New" w:hAnsi="Courier New"/>
          <w:sz w:val="16"/>
          <w:szCs w:val="16"/>
          <w:color w:val="auto"/>
        </w:rPr>
        <w:t xml:space="preserve">On the basis of the foregoing, we are of the opinion that the </w:t>
      </w:r>
      <w:r>
        <w:rPr>
          <w:rFonts w:ascii="Courier New" w:cs="Courier New" w:eastAsia="Courier New" w:hAnsi="Courier New"/>
          <w:sz w:val="16"/>
          <w:szCs w:val="16"/>
          <w:color w:val="auto"/>
          <w:strike w:val="1"/>
        </w:rPr>
        <w:t>provisions of the written document constituting the Plan comply with the requirements of ERISA pertaining to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-285750</wp:posOffset>
            </wp:positionV>
            <wp:extent cx="419481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194810" cy="7620"/>
                    </a:xfrm>
                    <a:prstGeom prst="rect">
                      <a:avLst/>
                    </a:prstGeom>
                    <a:noFill/>
                  </pic:spPr>
                </pic:pic>
              </a:graphicData>
            </a:graphic>
          </wp:anchor>
        </w:drawing>
      </w:r>
    </w:p>
    <w:p>
      <w:pPr>
        <w:spacing w:after="0" w:line="163" w:lineRule="exact"/>
        <w:rPr>
          <w:sz w:val="20"/>
          <w:szCs w:val="20"/>
          <w:color w:val="auto"/>
        </w:rPr>
      </w:pPr>
    </w:p>
    <w:p>
      <w:pPr>
        <w:ind w:right="2879" w:firstLine="930"/>
        <w:spacing w:after="0" w:line="236" w:lineRule="auto"/>
        <w:rPr>
          <w:sz w:val="20"/>
          <w:szCs w:val="20"/>
          <w:color w:val="auto"/>
        </w:rPr>
      </w:pPr>
      <w:r>
        <w:rPr>
          <w:rFonts w:ascii="Courier New" w:cs="Courier New" w:eastAsia="Courier New" w:hAnsi="Courier New"/>
          <w:sz w:val="16"/>
          <w:szCs w:val="16"/>
          <w:color w:val="auto"/>
        </w:rPr>
        <w:t xml:space="preserve">This opinion letter is issued as of the date hereof and is limited to </w:t>
      </w:r>
      <w:r>
        <w:rPr>
          <w:rFonts w:ascii="Courier New" w:cs="Courier New" w:eastAsia="Courier New" w:hAnsi="Courier New"/>
          <w:sz w:val="16"/>
          <w:szCs w:val="16"/>
          <w:color w:val="auto"/>
          <w:strike w:val="1"/>
        </w:rPr>
        <w:t>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-626745</wp:posOffset>
            </wp:positionV>
            <wp:extent cx="466725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667250" cy="7620"/>
                    </a:xfrm>
                    <a:prstGeom prst="rect">
                      <a:avLst/>
                    </a:prstGeom>
                    <a:noFill/>
                  </pic:spPr>
                </pic:pic>
              </a:graphicData>
            </a:graphic>
          </wp:anchor>
        </w:drawing>
      </w:r>
    </w:p>
    <w:p>
      <w:pPr>
        <w:spacing w:after="0" w:line="163" w:lineRule="exact"/>
        <w:rPr>
          <w:sz w:val="20"/>
          <w:szCs w:val="20"/>
          <w:color w:val="auto"/>
        </w:rPr>
      </w:pPr>
    </w:p>
    <w:p>
      <w:pPr>
        <w:ind w:right="2879" w:firstLine="930"/>
        <w:spacing w:after="0" w:line="235" w:lineRule="auto"/>
        <w:rPr>
          <w:sz w:val="20"/>
          <w:szCs w:val="20"/>
          <w:color w:val="auto"/>
        </w:rPr>
      </w:pPr>
      <w:r>
        <w:rPr>
          <w:rFonts w:ascii="Courier New" w:cs="Courier New" w:eastAsia="Courier New" w:hAnsi="Courier New"/>
          <w:sz w:val="16"/>
          <w:szCs w:val="16"/>
          <w:color w:val="auto"/>
        </w:rPr>
        <w:t xml:space="preserve">We hereby expressly consent to the filing of this opinion with the </w:t>
      </w:r>
      <w:r>
        <w:rPr>
          <w:rFonts w:ascii="Courier New" w:cs="Courier New" w:eastAsia="Courier New" w:hAnsi="Courier New"/>
          <w:sz w:val="16"/>
          <w:szCs w:val="16"/>
          <w:color w:val="auto"/>
          <w:strike w:val="1"/>
        </w:rPr>
        <w:t>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-511175</wp:posOffset>
            </wp:positionV>
            <wp:extent cx="4490085"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490085" cy="7620"/>
                    </a:xfrm>
                    <a:prstGeom prst="rect">
                      <a:avLst/>
                    </a:prstGeom>
                    <a:noFill/>
                  </pic:spPr>
                </pic:pic>
              </a:graphicData>
            </a:graphic>
          </wp:anchor>
        </w:drawing>
      </w:r>
    </w:p>
    <w:p>
      <w:pPr>
        <w:spacing w:after="0" w:line="160"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3721735"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721735" cy="7620"/>
                    </a:xfrm>
                    <a:prstGeom prst="rect">
                      <a:avLst/>
                    </a:prstGeom>
                    <a:noFill/>
                  </pic:spPr>
                </pic:pic>
              </a:graphicData>
            </a:graphic>
          </wp:anchor>
        </w:drawing>
      </w:r>
    </w:p>
    <w:p>
      <w:pPr>
        <w:spacing w:after="0" w:line="335"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/s/ PEPPER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4490085"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490085" cy="7620"/>
                    </a:xfrm>
                    <a:prstGeom prst="rect">
                      <a:avLst/>
                    </a:prstGeom>
                    <a:noFill/>
                  </pic:spPr>
                </pic:pic>
              </a:graphicData>
            </a:graphic>
          </wp:anchor>
        </w:drawing>
      </w:r>
    </w:p>
    <w:p>
      <w:pPr>
        <w:ind w:left="4920"/>
        <w:spacing w:after="0" w:line="236" w:lineRule="auto"/>
        <w:rPr>
          <w:sz w:val="20"/>
          <w:szCs w:val="20"/>
          <w:color w:val="auto"/>
        </w:rPr>
      </w:pPr>
      <w:r>
        <w:rPr>
          <w:rFonts w:ascii="Courier New" w:cs="Courier New" w:eastAsia="Courier New" w:hAnsi="Courier New"/>
          <w:sz w:val="16"/>
          <w:szCs w:val="16"/>
          <w:color w:val="auto"/>
        </w:rPr>
        <w:t>PEPPER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4253865"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253865" cy="7620"/>
                    </a:xfrm>
                    <a:prstGeom prst="rect">
                      <a:avLst/>
                    </a:prstGeom>
                    <a:noFill/>
                  </pic:spPr>
                </pic:pic>
              </a:graphicData>
            </a:graphic>
          </wp:anchor>
        </w:drawing>
      </w:r>
    </w:p>
    <w:p>
      <w:pPr>
        <w:sectPr>
          <w:pgSz w:w="11900" w:h="16838" w:orient="portrait"/>
          <w:cols w:equalWidth="0" w:num="1">
            <w:col w:w="10219"/>
          </w:cols>
          <w:pgMar w:left="240" w:top="654" w:right="1440" w:bottom="1440" w:gutter="0" w:footer="0" w:header="0"/>
        </w:sectPr>
      </w:pPr>
    </w:p>
    <w:bookmarkStart w:id="27" w:name="page28"/>
    <w:bookmarkEnd w:id="27"/>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4726305"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726305" cy="762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INDEPENDENT AUDITORS' CONSENT</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strike w:val="1"/>
        </w:rPr>
        <w:t>We consent to the incorporation by reference in this Registration Statement of Comcast Corporation on Form S-8 of our report dated February 5, 2002 (July 30, 2002 as to Note 14)(which report expresses an unqualified opinion and includes an explanatory paragraph related to the adoption of Statement of Financial Accounting Standards No. 133, "Accounting for Derivative Instruments and Hedging Activities," as amended, effective January 1, 2001), appearing in Exhibit 99.1 to the Registration Statement on Form S-8 of Comcast Corporation related to the registration of 25,000,000 shares of Class A Special Common Stock available for issuance pursuant to the Comcast Corporation 1996 Stock Option Plan. We also consent to the incorporation by reference in this Registration Statement of our report dated February 5, 2002 on the financial statement schedule appearing in the Annual Report on Form 10-K of Comcast Corporation for the year ended December 31, 2001.</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/s/ Deloitte &amp; Touche LLP</w:t>
      </w:r>
    </w:p>
    <w:p>
      <w:pPr>
        <w:spacing w:after="0" w:line="236" w:lineRule="auto"/>
        <w:rPr>
          <w:sz w:val="20"/>
          <w:szCs w:val="20"/>
          <w:color w:val="auto"/>
        </w:rPr>
      </w:pPr>
      <w:r>
        <w:rPr>
          <w:rFonts w:ascii="Courier New" w:cs="Courier New" w:eastAsia="Courier New" w:hAnsi="Courier New"/>
          <w:sz w:val="16"/>
          <w:szCs w:val="16"/>
          <w:color w:val="auto"/>
          <w:strike w:val="1"/>
        </w:rPr>
        <w:t>Philadelphia, Pennsylvania</w:t>
      </w:r>
    </w:p>
    <w:p>
      <w:pPr>
        <w:spacing w:after="0" w:line="237" w:lineRule="auto"/>
        <w:rPr>
          <w:sz w:val="20"/>
          <w:szCs w:val="20"/>
          <w:color w:val="auto"/>
        </w:rPr>
      </w:pPr>
      <w:r>
        <w:rPr>
          <w:rFonts w:ascii="Courier New" w:cs="Courier New" w:eastAsia="Courier New" w:hAnsi="Courier New"/>
          <w:sz w:val="16"/>
          <w:szCs w:val="16"/>
          <w:color w:val="auto"/>
          <w:strike w:val="1"/>
        </w:rPr>
        <w:t>September 6, 2002</w:t>
      </w:r>
    </w:p>
    <w:sectPr>
      <w:pgSz w:w="11900" w:h="16838" w:orient="portrait"/>
      <w:cols w:equalWidth="0" w:num="1">
        <w:col w:w="10219"/>
      </w:cols>
      <w:pgMar w:left="240" w:top="3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lowerLetter"/>
      <w:start w:val="1"/>
    </w:lvl>
  </w:abstractNum>
  <w:abstractNum w:abstractNumId="2">
    <w:nsid w:val="519B500D"/>
    <w:multiLevelType w:val="hybridMultilevel"/>
    <w:lvl w:ilvl="0">
      <w:lvlJc w:val="left"/>
      <w:lvlText w:val="(%1)"/>
      <w:numFmt w:val="decimal"/>
      <w:start w:val="1"/>
    </w:lvl>
    <w:lvl w:ilvl="1">
      <w:lvlJc w:val="left"/>
      <w:lvlText w:val="(%2)"/>
      <w:numFmt w:val="lowerRoman"/>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lvl w:ilvl="1">
      <w:lvlJc w:val="left"/>
      <w:lvlText w:val="(%2)"/>
      <w:numFmt w:val="lowerLetter"/>
      <w:start w:val="1"/>
    </w:lvl>
  </w:abstractNum>
  <w:abstractNum w:abstractNumId="6">
    <w:nsid w:val="257130A3"/>
    <w:multiLevelType w:val="hybridMultilevel"/>
    <w:lvl w:ilvl="0">
      <w:lvlJc w:val="left"/>
      <w:lvlText w:val="(%1)"/>
      <w:numFmt w:val="lowerLetter"/>
      <w:start w:val="9"/>
    </w:lvl>
    <w:lvl w:ilvl="1">
      <w:lvlJc w:val="left"/>
      <w:lvlText w:val="(%2)"/>
      <w:numFmt w:val="lowerRoman"/>
      <w:start w:val="1"/>
    </w:lvl>
  </w:abstractNum>
  <w:abstractNum w:abstractNumId="7">
    <w:nsid w:val="62BBD95A"/>
    <w:multiLevelType w:val="hybridMultilevel"/>
    <w:lvl w:ilvl="0">
      <w:lvlJc w:val="left"/>
      <w:lvlText w:val="(%1)"/>
      <w:numFmt w:val="lowerRoman"/>
      <w:start w:val="2"/>
    </w:lvl>
    <w:lvl w:ilvl="1">
      <w:lvlJc w:val="left"/>
      <w:lvlText w:val="(%2)"/>
      <w:numFmt w:val="decimal"/>
      <w:start w:val="1"/>
    </w:lvl>
  </w:abstractNum>
  <w:abstractNum w:abstractNumId="8">
    <w:nsid w:val="436C6125"/>
    <w:multiLevelType w:val="hybridMultilevel"/>
    <w:lvl w:ilvl="0">
      <w:lvlJc w:val="left"/>
      <w:lvlText w:val="(%1)"/>
      <w:numFmt w:val="lowerLetter"/>
      <w:start w:val="18"/>
    </w:lvl>
  </w:abstractNum>
  <w:abstractNum w:abstractNumId="9">
    <w:nsid w:val="628C895D"/>
    <w:multiLevelType w:val="hybridMultilevel"/>
    <w:lvl w:ilvl="0">
      <w:lvlJc w:val="left"/>
      <w:lvlText w:val="(%1)"/>
      <w:numFmt w:val="lowerLetter"/>
      <w:start w:val="24"/>
    </w:lvl>
    <w:lvl w:ilvl="1">
      <w:lvlJc w:val="left"/>
      <w:lvlText w:val="(%2)"/>
      <w:numFmt w:val="lowerRoman"/>
      <w:start w:val="1"/>
    </w:lvl>
  </w:abstractNum>
  <w:abstractNum w:abstractNumId="10">
    <w:nsid w:val="333AB105"/>
    <w:multiLevelType w:val="hybridMultilevel"/>
    <w:lvl w:ilvl="0">
      <w:lvlJc w:val="left"/>
      <w:lvlText w:val="(%1)"/>
      <w:numFmt w:val="lowerLetter"/>
      <w:start w:val="27"/>
    </w:lvl>
    <w:lvl w:ilvl="1">
      <w:lvlJc w:val="left"/>
      <w:lvlText w:val="(%2)"/>
      <w:numFmt w:val="lowerRoman"/>
      <w:start w:val="1"/>
    </w:lvl>
  </w:abstractNum>
  <w:abstractNum w:abstractNumId="11">
    <w:nsid w:val="721DA317"/>
    <w:multiLevelType w:val="hybridMultilevel"/>
    <w:lvl w:ilvl="0">
      <w:lvlJc w:val="left"/>
      <w:lvlText w:val="%1."/>
      <w:numFmt w:val="decimal"/>
      <w:start w:val="3"/>
    </w:lvl>
  </w:abstractNum>
  <w:abstractNum w:abstractNumId="12">
    <w:nsid w:val="2443A85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2D1D5AE9"/>
    <w:multiLevelType w:val="hybridMultilevel"/>
    <w:lvl w:ilvl="0">
      <w:lvlJc w:val="left"/>
      <w:lvlText w:val="(%1)"/>
      <w:numFmt w:val="lowerLetter"/>
      <w:start w:val="3"/>
    </w:lvl>
  </w:abstractNum>
  <w:abstractNum w:abstractNumId="14">
    <w:nsid w:val="6763845E"/>
    <w:multiLevelType w:val="hybridMultilevel"/>
    <w:lvl w:ilvl="0">
      <w:lvlJc w:val="left"/>
      <w:lvlText w:val="%1"/>
      <w:numFmt w:val="decimal"/>
      <w:start w:val="1"/>
    </w:lvl>
    <w:lvl w:ilvl="1">
      <w:lvlJc w:val="left"/>
      <w:lvlText w:val="(%2)"/>
      <w:numFmt w:val="lowerLetter"/>
      <w:start w:val="5"/>
    </w:lvl>
  </w:abstractNum>
  <w:abstractNum w:abstractNumId="15">
    <w:nsid w:val="75A2A8D4"/>
    <w:multiLevelType w:val="hybridMultilevel"/>
    <w:lvl w:ilvl="0">
      <w:lvlJc w:val="left"/>
      <w:lvlText w:val="%1."/>
      <w:numFmt w:val="decimal"/>
      <w:start w:val="6"/>
    </w:lvl>
    <w:lvl w:ilvl="1">
      <w:lvlJc w:val="left"/>
      <w:lvlText w:val="%2"/>
      <w:numFmt w:val="lowerLetter"/>
      <w:start w:val="1"/>
    </w:lvl>
  </w:abstractNum>
  <w:abstractNum w:abstractNumId="16">
    <w:nsid w:val="8EDBDAB"/>
    <w:multiLevelType w:val="hybridMultilevel"/>
    <w:lvl w:ilvl="0">
      <w:lvlJc w:val="left"/>
      <w:lvlText w:val="%1."/>
      <w:numFmt w:val="decimal"/>
      <w:start w:val="7"/>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decimal"/>
      <w:start w:val="1"/>
    </w:lvl>
    <w:lvl w:ilvl="1">
      <w:lvlJc w:val="left"/>
      <w:lvlText w:val="(%2)"/>
      <w:numFmt w:val="lowerLetter"/>
      <w:start w:val="6"/>
    </w:lvl>
  </w:abstractNum>
  <w:abstractNum w:abstractNumId="19">
    <w:nsid w:val="B03E0C6"/>
    <w:multiLevelType w:val="hybridMultilevel"/>
    <w:lvl w:ilvl="0">
      <w:lvlJc w:val="left"/>
      <w:lvlText w:val="%1."/>
      <w:numFmt w:val="decimal"/>
      <w:start w:val="8"/>
    </w:lvl>
    <w:lvl w:ilvl="1">
      <w:lvlJc w:val="left"/>
      <w:lvlText w:val="%2"/>
      <w:numFmt w:val="lowerLetter"/>
      <w:start w:val="1"/>
    </w:lvl>
  </w:abstractNum>
  <w:abstractNum w:abstractNumId="20">
    <w:nsid w:val="189A769B"/>
    <w:multiLevelType w:val="hybridMultilevel"/>
    <w:lvl w:ilvl="0">
      <w:lvlJc w:val="left"/>
      <w:lvlText w:val="(%1)"/>
      <w:numFmt w:val="lowerLetter"/>
      <w:start w:val="1"/>
    </w:lvl>
    <w:lvl w:ilvl="1">
      <w:lvlJc w:val="left"/>
      <w:lvlText w:val="(%2)"/>
      <w:numFmt w:val="lowerRoman"/>
      <w:start w:val="1"/>
    </w:lvl>
  </w:abstractNum>
  <w:abstractNum w:abstractNumId="21">
    <w:nsid w:val="54E49EB4"/>
    <w:multiLevelType w:val="hybridMultilevel"/>
    <w:lvl w:ilvl="0">
      <w:lvlJc w:val="left"/>
      <w:lvlText w:val="(%1)"/>
      <w:numFmt w:val="lowerLetter"/>
      <w:start w:val="2"/>
    </w:lvl>
    <w:lvl w:ilvl="1">
      <w:lvlJc w:val="left"/>
      <w:lvlText w:val="(%2)"/>
      <w:numFmt w:val="lowerRoman"/>
      <w:start w:val="1"/>
    </w:lvl>
  </w:abstractNum>
  <w:abstractNum w:abstractNumId="22">
    <w:nsid w:val="71F32454"/>
    <w:multiLevelType w:val="hybridMultilevel"/>
    <w:lvl w:ilvl="0">
      <w:lvlJc w:val="left"/>
      <w:lvlText w:val="(%1)"/>
      <w:numFmt w:val="lowerLetter"/>
      <w:start w:val="61"/>
    </w:lvl>
    <w:lvl w:ilvl="1">
      <w:lvlJc w:val="left"/>
      <w:lvlText w:val="(%2)"/>
      <w:numFmt w:val="lowerLetter"/>
      <w:start w:val="26"/>
    </w:lvl>
  </w:abstractNum>
  <w:abstractNum w:abstractNumId="23">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4">
    <w:nsid w:val="836C40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5">
    <w:nsid w:val="2901D8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6">
    <w:nsid w:val="3A95F874"/>
    <w:multiLevelType w:val="hybridMultilevel"/>
    <w:lvl w:ilvl="0">
      <w:lvlJc w:val="left"/>
      <w:lvlText w:val="(%1)"/>
      <w:numFmt w:val="lowerLetter"/>
      <w:start w:val="2"/>
    </w:lvl>
    <w:lvl w:ilvl="1">
      <w:lvlJc w:val="left"/>
      <w:lvlText w:val="(%2)"/>
      <w:numFmt w:val="lowerRoman"/>
      <w:start w:val="1"/>
    </w:lvl>
  </w:abstractNum>
  <w:abstractNum w:abstractNumId="27">
    <w:nsid w:val="8138641"/>
    <w:multiLevelType w:val="hybridMultilevel"/>
    <w:lvl w:ilvl="0">
      <w:lvlJc w:val="left"/>
      <w:lvlText w:val="%1."/>
      <w:numFmt w:val="decimal"/>
      <w:start w:val="10"/>
    </w:lvl>
  </w:abstractNum>
  <w:abstractNum w:abstractNumId="28">
    <w:nsid w:val="1E7FF521"/>
    <w:multiLevelType w:val="hybridMultilevel"/>
    <w:lvl w:ilvl="0">
      <w:lvlJc w:val="left"/>
      <w:lvlText w:val="%1."/>
      <w:numFmt w:val="decimal"/>
      <w:start w:val="11"/>
    </w:lvl>
  </w:abstractNum>
  <w:abstractNum w:abstractNumId="29">
    <w:nsid w:val="7C3DBD3D"/>
    <w:multiLevelType w:val="hybridMultilevel"/>
    <w:lvl w:ilvl="0">
      <w:lvlJc w:val="left"/>
      <w:lvlText w:val="%1."/>
      <w:numFmt w:val="decimal"/>
      <w:start w:val="12"/>
    </w:lvl>
  </w:abstractNum>
  <w:abstractNum w:abstractNumId="30">
    <w:nsid w:val="737B8DDC"/>
    <w:multiLevelType w:val="hybridMultilevel"/>
    <w:lvl w:ilvl="0">
      <w:lvlJc w:val="left"/>
      <w:lvlText w:val="%1."/>
      <w:numFmt w:val="decimal"/>
      <w:start w:val="13"/>
    </w:lvl>
  </w:abstractNum>
  <w:abstractNum w:abstractNumId="31">
    <w:nsid w:val="6CEAF087"/>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2019-12-12T23:11:37Z</dcterms:created>
  <dcterms:modified xsi:type="dcterms:W3CDTF">2019-12-12T23:11:37Z</dcterms:modified>
</cp:coreProperties>
</file>