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ind w:left="1580"/>
        <w:spacing w:after="0" w:line="238" w:lineRule="auto"/>
        <w:rPr>
          <w:sz w:val="20"/>
          <w:szCs w:val="20"/>
          <w:color w:val="auto"/>
        </w:rPr>
      </w:pPr>
      <w:r>
        <w:rPr>
          <w:rFonts w:ascii="Courier New" w:cs="Courier New" w:eastAsia="Courier New" w:hAnsi="Courier New"/>
          <w:sz w:val="18"/>
          <w:szCs w:val="18"/>
          <w:color w:val="auto"/>
        </w:rPr>
        <w:t>RULES 13d-1(b), (c) AND (d) AND AMENDMENTS THERETO</w:t>
      </w:r>
    </w:p>
    <w:p>
      <w:pPr>
        <w:ind w:left="2540"/>
        <w:spacing w:after="0"/>
        <w:rPr>
          <w:sz w:val="20"/>
          <w:szCs w:val="20"/>
          <w:color w:val="auto"/>
        </w:rPr>
      </w:pPr>
      <w:r>
        <w:rPr>
          <w:rFonts w:ascii="Courier New" w:cs="Courier New" w:eastAsia="Courier New" w:hAnsi="Courier New"/>
          <w:sz w:val="18"/>
          <w:szCs w:val="18"/>
          <w:color w:val="auto"/>
        </w:rPr>
        <w:t>FILED PURSUANT TO RULE 13d-2(b)</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Two Way TV (US),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90211N105</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November 18, 2002</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540" w:right="7779" w:hanging="5"/>
        <w:spacing w:after="0" w:line="558" w:lineRule="auto"/>
        <w:tabs>
          <w:tab w:leader="none" w:pos="106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6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535"/>
        <w:spacing w:after="0" w:line="237" w:lineRule="auto"/>
        <w:tabs>
          <w:tab w:leader="none" w:pos="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12</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90211N105</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Corporation (formerly named AT&amp;T Comcast Corporation)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27-0000798</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ind w:left="64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52" w:right="1440" w:bottom="0" w:gutter="0" w:footer="0" w:header="0"/>
        </w:sectPr>
      </w:pPr>
    </w:p>
    <w:bookmarkStart w:id="1" w:name="page2"/>
    <w:bookmarkEnd w:id="1"/>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52" w:hanging="641"/>
        <w:spacing w:after="0" w:line="238" w:lineRule="auto"/>
        <w:tabs>
          <w:tab w:leader="none" w:pos="8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5579" w:hanging="641"/>
        <w:spacing w:after="0" w:line="357" w:lineRule="auto"/>
        <w:tabs>
          <w:tab w:leader="none" w:pos="85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12"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-7,773,815*-</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12" w:hanging="841"/>
        <w:spacing w:after="0" w:line="238" w:lineRule="auto"/>
        <w:tabs>
          <w:tab w:leader="none" w:pos="4212"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-7,773,815*-</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3039" w:hanging="641"/>
        <w:spacing w:after="0" w:line="357" w:lineRule="auto"/>
        <w:tabs>
          <w:tab w:leader="none" w:pos="8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-7,773,815*-</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3779" w:hanging="641"/>
        <w:spacing w:after="0" w:line="235" w:lineRule="auto"/>
        <w:tabs>
          <w:tab w:leader="none" w:pos="8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892"/>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52" w:hanging="641"/>
        <w:spacing w:after="0" w:line="238" w:lineRule="auto"/>
        <w:tabs>
          <w:tab w:leader="none" w:pos="85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8.1%</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6839" w:hanging="641"/>
        <w:spacing w:after="0" w:line="357" w:lineRule="auto"/>
        <w:tabs>
          <w:tab w:leader="none" w:pos="85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32" w:right="1879" w:hanging="532"/>
        <w:spacing w:after="0" w:line="237"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7,773,815 shares of Common Stock, par value $.001 per share of Two Way TV (US), Inc. ("Common Stock"), that are reported as beneficially owned by the Reporting Person, TCI Technology Management, LLC owns 380,850 shares of Common Stock, TCI Programming Holding Company III owns 7,041,506 shares of Common Stock, and TCI Development, LLC owns 351,459 shares of Common Stock.</w:t>
      </w:r>
    </w:p>
    <w:p>
      <w:pPr>
        <w:spacing w:after="0" w:line="200" w:lineRule="exact"/>
        <w:rPr>
          <w:sz w:val="20"/>
          <w:szCs w:val="20"/>
          <w:color w:val="auto"/>
        </w:rPr>
      </w:pPr>
    </w:p>
    <w:p>
      <w:pPr>
        <w:spacing w:after="0" w:line="207" w:lineRule="exact"/>
        <w:rPr>
          <w:sz w:val="20"/>
          <w:szCs w:val="20"/>
          <w:color w:val="auto"/>
        </w:rPr>
      </w:pPr>
    </w:p>
    <w:p>
      <w:pPr>
        <w:ind w:left="3472"/>
        <w:spacing w:after="0"/>
        <w:rPr>
          <w:sz w:val="20"/>
          <w:szCs w:val="20"/>
          <w:color w:val="auto"/>
        </w:rPr>
      </w:pPr>
      <w:r>
        <w:rPr>
          <w:rFonts w:ascii="Courier New" w:cs="Courier New" w:eastAsia="Courier New" w:hAnsi="Courier New"/>
          <w:sz w:val="18"/>
          <w:szCs w:val="18"/>
          <w:color w:val="auto"/>
        </w:rPr>
        <w:t>Page 2 of 12</w:t>
      </w:r>
    </w:p>
    <w:p>
      <w:pPr>
        <w:sectPr>
          <w:pgSz w:w="11900" w:h="16838" w:orient="portrait"/>
          <w:cols w:equalWidth="0" w:num="1">
            <w:col w:w="10211"/>
          </w:cols>
          <w:pgMar w:left="248" w:top="34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90211N105</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7" w:lineRule="exact"/>
        <w:rPr>
          <w:rFonts w:ascii="Courier New" w:cs="Courier New" w:eastAsia="Courier New" w:hAnsi="Courier New"/>
          <w:sz w:val="18"/>
          <w:szCs w:val="18"/>
          <w:color w:val="auto"/>
        </w:rPr>
      </w:pPr>
    </w:p>
    <w:p>
      <w:pPr>
        <w:ind w:left="8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Cable Communications Holdings, Inc. (formerly named AT&amp;T Broadband Corp.)</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ind w:left="64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579" w:hanging="641"/>
        <w:spacing w:after="0" w:line="357" w:lineRule="auto"/>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-7,773,815*-</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20" w:hanging="841"/>
        <w:spacing w:after="0" w:line="238" w:lineRule="auto"/>
        <w:tabs>
          <w:tab w:leader="none" w:pos="422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-7,773,815*-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039" w:hanging="641"/>
        <w:spacing w:after="0" w:line="357"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-7,773,815*-</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779" w:hanging="641"/>
        <w:spacing w:after="0" w:line="235" w:lineRule="auto"/>
        <w:tabs>
          <w:tab w:leader="none" w:pos="8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8.1%</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641"/>
        <w:spacing w:after="0" w:line="357" w:lineRule="auto"/>
        <w:tabs>
          <w:tab w:leader="none" w:pos="8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40" w:right="1879" w:hanging="532"/>
        <w:spacing w:after="0" w:line="237"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7,773,815 shares of Common Stock, par value $.001 per share of Two Way TV (US), Inc. ("Common Stock"), that are reported as beneficially owned by the Reporting Person, TCI Technology Management, LLC owns 380,850 shares of Common Stock, TCI Programming Holding Company III owns 7,041,506 shares of Common Stock, and TCI Development, LLC owns 351,459 shares of Common Stock.</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3 of 12</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90211N105</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261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 OF ABOVE PERSONS (ENTITIES ONLY) Comcast Cable Holdings, LLC (formerly named AT&amp;T Broadband, LLC)</w:t>
      </w: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ind w:left="64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579" w:hanging="641"/>
        <w:spacing w:after="0" w:line="357" w:lineRule="auto"/>
        <w:tabs>
          <w:tab w:leader="none" w:pos="8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-7,773,815*-</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20" w:hanging="841"/>
        <w:spacing w:after="0" w:line="238" w:lineRule="auto"/>
        <w:tabs>
          <w:tab w:leader="none" w:pos="422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-7,773,815*-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039" w:hanging="641"/>
        <w:spacing w:after="0" w:line="357" w:lineRule="auto"/>
        <w:tabs>
          <w:tab w:leader="none" w:pos="8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-7,773,815*-</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779" w:hanging="641"/>
        <w:spacing w:after="0" w:line="235" w:lineRule="auto"/>
        <w:tabs>
          <w:tab w:leader="none" w:pos="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8.1%</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641"/>
        <w:spacing w:after="0" w:line="357" w:lineRule="auto"/>
        <w:tabs>
          <w:tab w:leader="none" w:pos="8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40" w:right="1879" w:hanging="532"/>
        <w:spacing w:after="0" w:line="237"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7,773,815 shares of Common Stock, par value $.001 per share of Two Way TV (US), Inc. ("Common Stock"), that are reported as beneficially owned by the Reporting Person, TCI Technology Management, LLC owns 380,850 shares of Common Stock, TCI Programming Holding Company III owns 7,041,506 shares of Common Stock, and TCI Development, LLC owns 351,459 shares of Common Stock.</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12</w:t>
      </w:r>
    </w:p>
    <w:p>
      <w:pPr>
        <w:sectPr>
          <w:pgSz w:w="11900" w:h="16838" w:orient="portrait"/>
          <w:cols w:equalWidth="0" w:num="1">
            <w:col w:w="10219"/>
          </w:cols>
          <w:pgMar w:left="240" w:top="9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90211N105</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32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TCI Technology Management, LLC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ind w:left="64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579" w:hanging="641"/>
        <w:spacing w:after="0" w:line="357" w:lineRule="auto"/>
        <w:tabs>
          <w:tab w:leader="none" w:pos="86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-7,422,356*-</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20" w:hanging="841"/>
        <w:spacing w:after="0" w:line="238" w:lineRule="auto"/>
        <w:tabs>
          <w:tab w:leader="none" w:pos="4220"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-7,422,356*-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039" w:hanging="641"/>
        <w:spacing w:after="0" w:line="357" w:lineRule="auto"/>
        <w:tabs>
          <w:tab w:leader="none" w:pos="8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-7,422,356*-</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779" w:hanging="641"/>
        <w:spacing w:after="0" w:line="235" w:lineRule="auto"/>
        <w:tabs>
          <w:tab w:leader="none" w:pos="8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7.8%</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641"/>
        <w:spacing w:after="0" w:line="357" w:lineRule="auto"/>
        <w:tabs>
          <w:tab w:leader="none" w:pos="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7,422,356 shares of Common Stock, par value $.001 per share of</w:t>
      </w:r>
    </w:p>
    <w:p>
      <w:pPr>
        <w:spacing w:after="0" w:line="4"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Two Way TV (US), Inc. ("Common Stock"), that are reported as beneficially owned by the Reporting Person, 380,850 shares of Common Stock are owned by the Reporting Person and 7,041,506 shares of Common Stock are owned by TCI Programming Holding Company III, a wholly owned subsidiary of the Reporting Person.</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12</w:t>
      </w:r>
    </w:p>
    <w:p>
      <w:pPr>
        <w:sectPr>
          <w:pgSz w:w="11900" w:h="16838" w:orient="portrait"/>
          <w:cols w:equalWidth="0" w:num="1">
            <w:col w:w="10219"/>
          </w:cols>
          <w:pgMar w:left="240" w:top="9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90211N105</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32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TCI Programming Holding Company III</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ind w:left="64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579" w:hanging="641"/>
        <w:spacing w:after="0" w:line="357" w:lineRule="auto"/>
        <w:tabs>
          <w:tab w:leader="none" w:pos="86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-7,041,506-</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20" w:hanging="841"/>
        <w:spacing w:after="0" w:line="238" w:lineRule="auto"/>
        <w:tabs>
          <w:tab w:leader="none" w:pos="4220" w:val="left"/>
        </w:tabs>
        <w:numPr>
          <w:ilvl w:val="2"/>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-7,041,506-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039" w:hanging="641"/>
        <w:spacing w:after="0" w:line="357" w:lineRule="auto"/>
        <w:tabs>
          <w:tab w:leader="none" w:pos="8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-7,041,506-</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779" w:hanging="641"/>
        <w:spacing w:after="0" w:line="235" w:lineRule="auto"/>
        <w:tabs>
          <w:tab w:leader="none" w:pos="86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7.1%</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641"/>
        <w:spacing w:after="0" w:line="357" w:lineRule="auto"/>
        <w:tabs>
          <w:tab w:leader="none" w:pos="86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6 of 12</w:t>
      </w:r>
    </w:p>
    <w:p>
      <w:pPr>
        <w:sectPr>
          <w:pgSz w:w="11900" w:h="16838" w:orient="portrait"/>
          <w:cols w:equalWidth="0" w:num="1">
            <w:col w:w="10219"/>
          </w:cols>
          <w:pgMar w:left="240" w:top="91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Two Way TV (US)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6300 Wilshire Blvd., Suite 1750, Los Angeles, California 90048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Names of Persons Filing:</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This statement is filed on behalf of the persons identified below (the "Reporting Persons").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Communications Holdings,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Holdings, LLC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TCI Technology Management, LLC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TCI Programming Holding Company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address of the principal business office of each of Comcast Corporation, Comcast Cable Communications Holdings, Inc., Comcast Cable Holdings, LLC and TCI Technology Management, LLC is 1500 Market Street, Philadelphia, PA 19102-2148, c/o Comcast Corporation.</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address of the principal business office of TCI Programming Holding Company III is 1201 North Market Street, Suite 1405, Wilmington, Delaware 19801, c/o Comcast Capital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 - Pennsylvania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Communications Holdings, Inc. -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Holdings, LLC -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TCI Technology Management, LLC -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TCI Programming Holding Company III -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 par value $.001 per share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90211N105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960" w:hanging="425"/>
        <w:spacing w:after="0"/>
        <w:tabs>
          <w:tab w:leader="none" w:pos="9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Exchange Act;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left="1480" w:right="1999" w:hanging="945"/>
        <w:spacing w:after="0" w:line="235" w:lineRule="auto"/>
        <w:tabs>
          <w:tab w:leader="none" w:pos="9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7 of 12</w:t>
      </w:r>
    </w:p>
    <w:p>
      <w:pPr>
        <w:sectPr>
          <w:pgSz w:w="11900" w:h="16838" w:orient="portrait"/>
          <w:cols w:equalWidth="0" w:num="1">
            <w:col w:w="10219"/>
          </w:cols>
          <w:pgMar w:left="240" w:top="919" w:right="1440" w:bottom="1440" w:gutter="0" w:footer="0" w:header="0"/>
        </w:sectPr>
      </w:pPr>
    </w:p>
    <w:bookmarkStart w:id="7" w:name="page8"/>
    <w:bookmarkEnd w:id="7"/>
    <w:p>
      <w:pPr>
        <w:ind w:left="1480" w:right="2099" w:hanging="945"/>
        <w:spacing w:after="0" w:line="235" w:lineRule="auto"/>
        <w:tabs>
          <w:tab w:leader="none" w:pos="95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945"/>
        <w:spacing w:after="0" w:line="235" w:lineRule="auto"/>
        <w:tabs>
          <w:tab w:leader="none" w:pos="95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2319" w:hanging="1045"/>
        <w:spacing w:after="0" w:line="235"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2099" w:hanging="945"/>
        <w:spacing w:after="0" w:line="235" w:lineRule="auto"/>
        <w:tabs>
          <w:tab w:leader="none" w:pos="95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945"/>
        <w:spacing w:after="0" w:line="236" w:lineRule="auto"/>
        <w:tabs>
          <w:tab w:leader="none" w:pos="95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960" w:hanging="425"/>
        <w:spacing w:after="0"/>
        <w:tabs>
          <w:tab w:leader="none" w:pos="96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7,773,815*</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8.4%</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7,773,815*</w:t>
      </w:r>
    </w:p>
    <w:p>
      <w:pPr>
        <w:spacing w:after="0" w:line="201" w:lineRule="exact"/>
        <w:rPr>
          <w:rFonts w:ascii="Courier New" w:cs="Courier New" w:eastAsia="Courier New" w:hAnsi="Courier New"/>
          <w:sz w:val="18"/>
          <w:szCs w:val="18"/>
          <w:color w:val="auto"/>
        </w:rPr>
      </w:pPr>
    </w:p>
    <w:p>
      <w:pPr>
        <w:ind w:left="1580" w:hanging="729"/>
        <w:spacing w:after="0"/>
        <w:tabs>
          <w:tab w:leader="none" w:pos="1580"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1580" w:right="2739" w:hanging="624"/>
        <w:spacing w:after="0" w:line="235" w:lineRule="auto"/>
        <w:tabs>
          <w:tab w:leader="none" w:pos="1580"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7,773,815*</w:t>
      </w:r>
    </w:p>
    <w:p>
      <w:pPr>
        <w:spacing w:after="0" w:line="208" w:lineRule="exact"/>
        <w:rPr>
          <w:rFonts w:ascii="Courier New" w:cs="Courier New" w:eastAsia="Courier New" w:hAnsi="Courier New"/>
          <w:sz w:val="18"/>
          <w:szCs w:val="18"/>
          <w:color w:val="auto"/>
        </w:rPr>
      </w:pPr>
    </w:p>
    <w:p>
      <w:pPr>
        <w:ind w:left="540" w:right="19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shares of Common Stock that are reported as beneficially owned by the Reporting Persons, 2,942,907 shares of Common Stock have not yet been surrendered for exchange in the merger between the Issuer and Interactive Network, Inc. pursuant to which each share of Interactive Network, Inc. stock was converted into the right to receive one share of Common Stock. Of such 2,942,907 shares of Common Stock, 300,000 shares of Common Stock are subject to litigation and may be delivered to a third party upon settlement of such litigation.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219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Subsidiaries Which Acquired the Security Being Reported on by the Parent Holding Company.</w:t>
      </w:r>
    </w:p>
    <w:p>
      <w:pPr>
        <w:spacing w:after="0" w:line="170"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Comcast Cable Communications Holdings, Inc. is a direct, wholly owned subsidiary of Comcast Corporation.</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Comcast Cable Holdings, LLC is a direct, wholly owned subsidiary of Comcast Cable Communications Holding, Inc.</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TCI Development LLC, a direct, wholly owned subsidiary of Comcast Cable Holdings, LLC, owns 351,459 shares of Common Stock.</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TCI Technology Management, LLC, a direct, wholly owned subsidiary of Comcast Cable Holdings, LLC, owns 380,850 shares of Common Stock.</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8 of 12</w:t>
      </w:r>
    </w:p>
    <w:p>
      <w:pPr>
        <w:sectPr>
          <w:pgSz w:w="11900" w:h="16838" w:orient="portrait"/>
          <w:cols w:equalWidth="0" w:num="1">
            <w:col w:w="10219"/>
          </w:cols>
          <w:pgMar w:left="240" w:top="925" w:right="1440" w:bottom="564" w:gutter="0" w:footer="0" w:header="0"/>
        </w:sectPr>
      </w:pPr>
    </w:p>
    <w:bookmarkStart w:id="8" w:name="page9"/>
    <w:bookmarkEnd w:id="8"/>
    <w:p>
      <w:pPr>
        <w:ind w:right="1999" w:firstLine="527"/>
        <w:spacing w:after="0" w:line="235" w:lineRule="auto"/>
        <w:rPr>
          <w:sz w:val="20"/>
          <w:szCs w:val="20"/>
          <w:color w:val="auto"/>
        </w:rPr>
      </w:pPr>
      <w:r>
        <w:rPr>
          <w:rFonts w:ascii="Courier New" w:cs="Courier New" w:eastAsia="Courier New" w:hAnsi="Courier New"/>
          <w:sz w:val="18"/>
          <w:szCs w:val="18"/>
          <w:color w:val="auto"/>
        </w:rPr>
        <w:t>TCI Programming Holding Company III, a direct, wholly owned subsidiary of TCI Technology Management, LLC, owns 7,041,506 shares of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9 of 12</w:t>
      </w:r>
    </w:p>
    <w:p>
      <w:pPr>
        <w:sectPr>
          <w:pgSz w:w="11900" w:h="16838" w:orient="portrait"/>
          <w:cols w:equalWidth="0" w:num="1">
            <w:col w:w="10219"/>
          </w:cols>
          <w:pgMar w:left="240" w:top="925" w:right="1440" w:bottom="1440" w:gutter="0" w:footer="0" w:header="0"/>
        </w:sectPr>
      </w:pPr>
    </w:p>
    <w:bookmarkStart w:id="9" w:name="page10"/>
    <w:bookmarkEnd w:id="9"/>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Date: January 27, 2003</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CABLE COMMUNICATIONS</w:t>
      </w:r>
    </w:p>
    <w:p>
      <w:pPr>
        <w:ind w:left="4640"/>
        <w:spacing w:after="0" w:line="238" w:lineRule="auto"/>
        <w:rPr>
          <w:sz w:val="20"/>
          <w:szCs w:val="20"/>
          <w:color w:val="auto"/>
        </w:rPr>
      </w:pPr>
      <w:r>
        <w:rPr>
          <w:rFonts w:ascii="Courier New" w:cs="Courier New" w:eastAsia="Courier New" w:hAnsi="Courier New"/>
          <w:sz w:val="18"/>
          <w:szCs w:val="18"/>
          <w:color w:val="auto"/>
        </w:rPr>
        <w:t>HOLDINGS, INC.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CABLE HOLDINGS, LLC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TCI TECHNOLOGY MANAGEMENT, LLC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TCI PROGRAMMING HOLDING COMPANY III</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Judie M. Dionglay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Judie M. Dionglay</w:t>
      </w:r>
    </w:p>
    <w:p>
      <w:pPr>
        <w:ind w:left="49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12</w:t>
      </w:r>
    </w:p>
    <w:p>
      <w:pPr>
        <w:sectPr>
          <w:pgSz w:w="11900" w:h="16838" w:orient="portrait"/>
          <w:cols w:equalWidth="0" w:num="1">
            <w:col w:w="10219"/>
          </w:cols>
          <w:pgMar w:left="240" w:top="919" w:right="1440" w:bottom="1440" w:gutter="0" w:footer="0" w:header="0"/>
        </w:sectPr>
      </w:pPr>
    </w:p>
    <w:bookmarkStart w:id="10" w:name="page11"/>
    <w:bookmarkEnd w:id="10"/>
    <w:p>
      <w:pPr>
        <w:ind w:left="2540"/>
        <w:spacing w:after="0"/>
        <w:rPr>
          <w:sz w:val="20"/>
          <w:szCs w:val="20"/>
          <w:color w:val="auto"/>
        </w:rPr>
      </w:pPr>
      <w:r>
        <w:rPr>
          <w:rFonts w:ascii="Courier New" w:cs="Courier New" w:eastAsia="Courier New" w:hAnsi="Courier New"/>
          <w:sz w:val="18"/>
          <w:szCs w:val="18"/>
          <w:color w:val="auto"/>
        </w:rPr>
        <w:t>SCHEDULES</w:t>
      </w:r>
    </w:p>
    <w:p>
      <w:pPr>
        <w:spacing w:after="0" w:line="200" w:lineRule="exact"/>
        <w:rPr>
          <w:sz w:val="20"/>
          <w:szCs w:val="20"/>
          <w:color w:val="auto"/>
        </w:rPr>
      </w:pPr>
    </w:p>
    <w:p>
      <w:pPr>
        <w:spacing w:after="0" w:line="209" w:lineRule="exact"/>
        <w:rPr>
          <w:sz w:val="20"/>
          <w:szCs w:val="20"/>
          <w:color w:val="auto"/>
        </w:rPr>
      </w:pPr>
    </w:p>
    <w:p>
      <w:pPr>
        <w:ind w:right="2199" w:hanging="1158"/>
        <w:spacing w:after="0" w:line="237" w:lineRule="auto"/>
        <w:rPr>
          <w:sz w:val="20"/>
          <w:szCs w:val="20"/>
          <w:color w:val="auto"/>
        </w:rPr>
      </w:pPr>
      <w:r>
        <w:rPr>
          <w:rFonts w:ascii="Courier New" w:cs="Courier New" w:eastAsia="Courier New" w:hAnsi="Courier New"/>
          <w:sz w:val="18"/>
          <w:szCs w:val="18"/>
          <w:color w:val="auto"/>
        </w:rPr>
        <w:t>Schedule I Joint Filing Agreement dated January 27, 2003 among Comcast Corporation, Comcast Cable Communications Holdings, Inc., Comcast Cable Holdings, LLC, TCI Technology Management, LLC and TCI Programming Holding Company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Page 11 of 12</w:t>
      </w:r>
    </w:p>
    <w:p>
      <w:pPr>
        <w:sectPr>
          <w:pgSz w:w="11900" w:h="16838" w:orient="portrait"/>
          <w:cols w:equalWidth="0" w:num="1">
            <w:col w:w="9059"/>
          </w:cols>
          <w:pgMar w:left="1400" w:top="919" w:right="1440" w:bottom="1440" w:gutter="0" w:footer="0" w:header="0"/>
        </w:sectPr>
      </w:pPr>
    </w:p>
    <w:bookmarkStart w:id="11" w:name="page12"/>
    <w:bookmarkEnd w:id="11"/>
    <w:p>
      <w:pPr>
        <w:ind w:left="7280"/>
        <w:spacing w:after="0"/>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accordance with Rule 13d-1(k)(1) under the Securities Exchange Act of 1934, as amended, each of the undersigned acknowledges and agrees that Schedule 13G with respect to the Common Stock, par value $.001 per share, of Two Way TV (US), Inc. shall be filed on behalf of each of the undersigned and acknowledges that as contemplated by Section 13d-1(k)(1)(ii), no person shall be responsible for the completeness or accuracy of the information concerning the other persons making the filing, unless such person knows or has reason to believe that such information is inaccurate. This Agreement may be executed in any number of counterparts and all such counterparts taken together shall constitute one and the same instrument.</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 January 27, 2003</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CABLE COMMUNICATIONS</w:t>
      </w:r>
    </w:p>
    <w:p>
      <w:pPr>
        <w:ind w:left="4640"/>
        <w:spacing w:after="0" w:line="238" w:lineRule="auto"/>
        <w:rPr>
          <w:sz w:val="20"/>
          <w:szCs w:val="20"/>
          <w:color w:val="auto"/>
        </w:rPr>
      </w:pPr>
      <w:r>
        <w:rPr>
          <w:rFonts w:ascii="Courier New" w:cs="Courier New" w:eastAsia="Courier New" w:hAnsi="Courier New"/>
          <w:sz w:val="18"/>
          <w:szCs w:val="18"/>
          <w:color w:val="auto"/>
        </w:rPr>
        <w:t>HOLDINGS, INC.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CABLE HOLDINGS, LLC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TCI TECHNOLOGY MANAGEMENT, LLC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TCI PROGRAMMING HOLDING COMPANY III</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Judie M. Dionglay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Judie M. Dionglay</w:t>
      </w:r>
    </w:p>
    <w:p>
      <w:pPr>
        <w:ind w:left="49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12</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lvl w:ilvl="1">
      <w:lvlJc w:val="left"/>
      <w:lvlText w:val="[%2]"/>
      <w:numFmt w:val="upperLetter"/>
      <w:start w:val="24"/>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lvl w:ilvl="1">
      <w:lvlJc w:val="left"/>
      <w:lvlText w:val="%2."/>
      <w:numFmt w:val="decimal"/>
      <w:start w:val="1"/>
    </w:lvl>
  </w:abstractNum>
  <w:abstractNum w:abstractNumId="7">
    <w:nsid w:val="1E7FF521"/>
    <w:multiLevelType w:val="hybridMultilevel"/>
    <w:lvl w:ilvl="0">
      <w:lvlJc w:val="left"/>
      <w:lvlText w:val="-"/>
      <w:numFmt w:val="bullet"/>
      <w:start w:val="1"/>
    </w:lvl>
    <w:lvl w:ilvl="1">
      <w:lvlJc w:val="left"/>
      <w:lvlText w:val="%2."/>
      <w:numFmt w:val="decimal"/>
      <w:start w:val="3"/>
    </w:lvl>
  </w:abstractNum>
  <w:abstractNum w:abstractNumId="8">
    <w:nsid w:val="7C3DBD3D"/>
    <w:multiLevelType w:val="hybridMultilevel"/>
    <w:lvl w:ilvl="0">
      <w:lvlJc w:val="left"/>
      <w:lvlText w:val="-"/>
      <w:numFmt w:val="bullet"/>
      <w:start w:val="1"/>
    </w:lvl>
    <w:lvl w:ilvl="1">
      <w:lvlJc w:val="left"/>
      <w:lvlText w:val="%2."/>
      <w:numFmt w:val="decimal"/>
      <w:start w:val="4"/>
    </w:lvl>
  </w:abstractNum>
  <w:abstractNum w:abstractNumId="9">
    <w:nsid w:val="737B8DDC"/>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0">
    <w:nsid w:val="6CEAF087"/>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1">
    <w:nsid w:val="22221A70"/>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2">
    <w:nsid w:val="4516DDE9"/>
    <w:multiLevelType w:val="hybridMultilevel"/>
    <w:lvl w:ilvl="0">
      <w:lvlJc w:val="left"/>
      <w:lvlText w:val="-"/>
      <w:numFmt w:val="bullet"/>
      <w:start w:val="1"/>
    </w:lvl>
    <w:lvl w:ilvl="1">
      <w:lvlJc w:val="left"/>
      <w:lvlText w:val="%2."/>
      <w:numFmt w:val="decimal"/>
      <w:start w:val="11"/>
    </w:lvl>
  </w:abstractNum>
  <w:abstractNum w:abstractNumId="13">
    <w:nsid w:val="3006C83E"/>
    <w:multiLevelType w:val="hybridMultilevel"/>
    <w:lvl w:ilvl="0">
      <w:lvlJc w:val="left"/>
      <w:lvlText w:val="-"/>
      <w:numFmt w:val="bullet"/>
      <w:start w:val="1"/>
    </w:lvl>
    <w:lvl w:ilvl="1">
      <w:lvlJc w:val="left"/>
      <w:lvlText w:val="%2."/>
      <w:numFmt w:val="decimal"/>
      <w:start w:val="12"/>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lvl w:ilvl="1">
      <w:lvlJc w:val="left"/>
      <w:lvlText w:val="%2."/>
      <w:numFmt w:val="decimal"/>
      <w:start w:val="1"/>
    </w:lvl>
  </w:abstractNum>
  <w:abstractNum w:abstractNumId="16">
    <w:nsid w:val="5577F8E1"/>
    <w:multiLevelType w:val="hybridMultilevel"/>
    <w:lvl w:ilvl="0">
      <w:lvlJc w:val="left"/>
      <w:lvlText w:val="-"/>
      <w:numFmt w:val="bullet"/>
      <w:start w:val="1"/>
    </w:lvl>
    <w:lvl w:ilvl="1">
      <w:lvlJc w:val="left"/>
      <w:lvlText w:val="%2."/>
      <w:numFmt w:val="decimal"/>
      <w:start w:val="3"/>
    </w:lvl>
  </w:abstractNum>
  <w:abstractNum w:abstractNumId="17">
    <w:nsid w:val="440BADFC"/>
    <w:multiLevelType w:val="hybridMultilevel"/>
    <w:lvl w:ilvl="0">
      <w:lvlJc w:val="left"/>
      <w:lvlText w:val="-"/>
      <w:numFmt w:val="bullet"/>
      <w:start w:val="1"/>
    </w:lvl>
    <w:lvl w:ilvl="1">
      <w:lvlJc w:val="left"/>
      <w:lvlText w:val="%2."/>
      <w:numFmt w:val="decimal"/>
      <w:start w:val="4"/>
    </w:lvl>
  </w:abstractNum>
  <w:abstractNum w:abstractNumId="18">
    <w:nsid w:val="5072367"/>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9">
    <w:nsid w:val="3804823E"/>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0">
    <w:nsid w:val="77465F01"/>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21">
    <w:nsid w:val="7724C67E"/>
    <w:multiLevelType w:val="hybridMultilevel"/>
    <w:lvl w:ilvl="0">
      <w:lvlJc w:val="left"/>
      <w:lvlText w:val="-"/>
      <w:numFmt w:val="bullet"/>
      <w:start w:val="1"/>
    </w:lvl>
    <w:lvl w:ilvl="1">
      <w:lvlJc w:val="left"/>
      <w:lvlText w:val="%2."/>
      <w:numFmt w:val="decimal"/>
      <w:start w:val="11"/>
    </w:lvl>
  </w:abstractNum>
  <w:abstractNum w:abstractNumId="22">
    <w:nsid w:val="5C482A97"/>
    <w:multiLevelType w:val="hybridMultilevel"/>
    <w:lvl w:ilvl="0">
      <w:lvlJc w:val="left"/>
      <w:lvlText w:val="-"/>
      <w:numFmt w:val="bullet"/>
      <w:start w:val="1"/>
    </w:lvl>
    <w:lvl w:ilvl="1">
      <w:lvlJc w:val="left"/>
      <w:lvlText w:val="%2."/>
      <w:numFmt w:val="decimal"/>
      <w:start w:val="12"/>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lvl w:ilvl="1">
      <w:lvlJc w:val="left"/>
      <w:lvlText w:val="%2."/>
      <w:numFmt w:val="decimal"/>
      <w:start w:val="1"/>
    </w:lvl>
  </w:abstractNum>
  <w:abstractNum w:abstractNumId="25">
    <w:nsid w:val="51EAD36B"/>
    <w:multiLevelType w:val="hybridMultilevel"/>
    <w:lvl w:ilvl="0">
      <w:lvlJc w:val="left"/>
      <w:lvlText w:val="-"/>
      <w:numFmt w:val="bullet"/>
      <w:start w:val="1"/>
    </w:lvl>
    <w:lvl w:ilvl="1">
      <w:lvlJc w:val="left"/>
      <w:lvlText w:val="%2."/>
      <w:numFmt w:val="decimal"/>
      <w:start w:val="3"/>
    </w:lvl>
  </w:abstractNum>
  <w:abstractNum w:abstractNumId="26">
    <w:nsid w:val="2D517796"/>
    <w:multiLevelType w:val="hybridMultilevel"/>
    <w:lvl w:ilvl="0">
      <w:lvlJc w:val="left"/>
      <w:lvlText w:val="-"/>
      <w:numFmt w:val="bullet"/>
      <w:start w:val="1"/>
    </w:lvl>
    <w:lvl w:ilvl="1">
      <w:lvlJc w:val="left"/>
      <w:lvlText w:val="%2."/>
      <w:numFmt w:val="decimal"/>
      <w:start w:val="4"/>
    </w:lvl>
  </w:abstractNum>
  <w:abstractNum w:abstractNumId="27">
    <w:nsid w:val="580BD78F"/>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28">
    <w:nsid w:val="153EA438"/>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9">
    <w:nsid w:val="3855585C"/>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30">
    <w:nsid w:val="70A64E2A"/>
    <w:multiLevelType w:val="hybridMultilevel"/>
    <w:lvl w:ilvl="0">
      <w:lvlJc w:val="left"/>
      <w:lvlText w:val="-"/>
      <w:numFmt w:val="bullet"/>
      <w:start w:val="1"/>
    </w:lvl>
    <w:lvl w:ilvl="1">
      <w:lvlJc w:val="left"/>
      <w:lvlText w:val="%2."/>
      <w:numFmt w:val="decimal"/>
      <w:start w:val="11"/>
    </w:lvl>
  </w:abstractNum>
  <w:abstractNum w:abstractNumId="31">
    <w:nsid w:val="6A2342EC"/>
    <w:multiLevelType w:val="hybridMultilevel"/>
    <w:lvl w:ilvl="0">
      <w:lvlJc w:val="left"/>
      <w:lvlText w:val="-"/>
      <w:numFmt w:val="bullet"/>
      <w:start w:val="1"/>
    </w:lvl>
    <w:lvl w:ilvl="1">
      <w:lvlJc w:val="left"/>
      <w:lvlText w:val="%2."/>
      <w:numFmt w:val="decimal"/>
      <w:start w:val="12"/>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lvl w:ilvl="1">
      <w:lvlJc w:val="left"/>
      <w:lvlText w:val="%2."/>
      <w:numFmt w:val="decimal"/>
      <w:start w:val="1"/>
    </w:lvl>
  </w:abstractNum>
  <w:abstractNum w:abstractNumId="34">
    <w:nsid w:val="725A06FB"/>
    <w:multiLevelType w:val="hybridMultilevel"/>
    <w:lvl w:ilvl="0">
      <w:lvlJc w:val="left"/>
      <w:lvlText w:val="-"/>
      <w:numFmt w:val="bullet"/>
      <w:start w:val="1"/>
    </w:lvl>
    <w:lvl w:ilvl="1">
      <w:lvlJc w:val="left"/>
      <w:lvlText w:val="%2."/>
      <w:numFmt w:val="decimal"/>
      <w:start w:val="3"/>
    </w:lvl>
  </w:abstractNum>
  <w:abstractNum w:abstractNumId="35">
    <w:nsid w:val="2CD89A32"/>
    <w:multiLevelType w:val="hybridMultilevel"/>
    <w:lvl w:ilvl="0">
      <w:lvlJc w:val="left"/>
      <w:lvlText w:val="-"/>
      <w:numFmt w:val="bullet"/>
      <w:start w:val="1"/>
    </w:lvl>
    <w:lvl w:ilvl="1">
      <w:lvlJc w:val="left"/>
      <w:lvlText w:val="%2."/>
      <w:numFmt w:val="decimal"/>
      <w:start w:val="4"/>
    </w:lvl>
  </w:abstractNum>
  <w:abstractNum w:abstractNumId="36">
    <w:nsid w:val="57E4CCAF"/>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37">
    <w:nsid w:val="7A6D8D3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38">
    <w:nsid w:val="4B588F54"/>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39">
    <w:nsid w:val="542289EC"/>
    <w:multiLevelType w:val="hybridMultilevel"/>
    <w:lvl w:ilvl="0">
      <w:lvlJc w:val="left"/>
      <w:lvlText w:val="-"/>
      <w:numFmt w:val="bullet"/>
      <w:start w:val="1"/>
    </w:lvl>
    <w:lvl w:ilvl="1">
      <w:lvlJc w:val="left"/>
      <w:lvlText w:val="%2."/>
      <w:numFmt w:val="decimal"/>
      <w:start w:val="11"/>
    </w:lvl>
  </w:abstractNum>
  <w:abstractNum w:abstractNumId="40">
    <w:nsid w:val="6DE91B18"/>
    <w:multiLevelType w:val="hybridMultilevel"/>
    <w:lvl w:ilvl="0">
      <w:lvlJc w:val="left"/>
      <w:lvlText w:val="-"/>
      <w:numFmt w:val="bullet"/>
      <w:start w:val="1"/>
    </w:lvl>
    <w:lvl w:ilvl="1">
      <w:lvlJc w:val="left"/>
      <w:lvlText w:val="%2."/>
      <w:numFmt w:val="decimal"/>
      <w:start w:val="12"/>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lvl w:ilvl="1">
      <w:lvlJc w:val="left"/>
      <w:lvlText w:val="%2."/>
      <w:numFmt w:val="decimal"/>
      <w:start w:val="1"/>
    </w:lvl>
  </w:abstractNum>
  <w:abstractNum w:abstractNumId="43">
    <w:nsid w:val="32FFF902"/>
    <w:multiLevelType w:val="hybridMultilevel"/>
    <w:lvl w:ilvl="0">
      <w:lvlJc w:val="left"/>
      <w:lvlText w:val="-"/>
      <w:numFmt w:val="bullet"/>
      <w:start w:val="1"/>
    </w:lvl>
    <w:lvl w:ilvl="1">
      <w:lvlJc w:val="left"/>
      <w:lvlText w:val="%2."/>
      <w:numFmt w:val="decimal"/>
      <w:start w:val="3"/>
    </w:lvl>
  </w:abstractNum>
  <w:abstractNum w:abstractNumId="44">
    <w:nsid w:val="684A481A"/>
    <w:multiLevelType w:val="hybridMultilevel"/>
    <w:lvl w:ilvl="0">
      <w:lvlJc w:val="left"/>
      <w:lvlText w:val="-"/>
      <w:numFmt w:val="bullet"/>
      <w:start w:val="1"/>
    </w:lvl>
    <w:lvl w:ilvl="1">
      <w:lvlJc w:val="left"/>
      <w:lvlText w:val="%2."/>
      <w:numFmt w:val="decimal"/>
      <w:start w:val="4"/>
    </w:lvl>
  </w:abstractNum>
  <w:abstractNum w:abstractNumId="45">
    <w:nsid w:val="579478FE"/>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46">
    <w:nsid w:val="749ABB4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47">
    <w:nsid w:val="3DC240FB"/>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48">
    <w:nsid w:val="1BA026FA"/>
    <w:multiLevelType w:val="hybridMultilevel"/>
    <w:lvl w:ilvl="0">
      <w:lvlJc w:val="left"/>
      <w:lvlText w:val="-"/>
      <w:numFmt w:val="bullet"/>
      <w:start w:val="1"/>
    </w:lvl>
    <w:lvl w:ilvl="1">
      <w:lvlJc w:val="left"/>
      <w:lvlText w:val="%2."/>
      <w:numFmt w:val="decimal"/>
      <w:start w:val="11"/>
    </w:lvl>
  </w:abstractNum>
  <w:abstractNum w:abstractNumId="49">
    <w:nsid w:val="79A1DEAA"/>
    <w:multiLevelType w:val="hybridMultilevel"/>
    <w:lvl w:ilvl="0">
      <w:lvlJc w:val="left"/>
      <w:lvlText w:val="-"/>
      <w:numFmt w:val="bullet"/>
      <w:start w:val="1"/>
    </w:lvl>
    <w:lvl w:ilvl="1">
      <w:lvlJc w:val="left"/>
      <w:lvlText w:val="%2."/>
      <w:numFmt w:val="decimal"/>
      <w:start w:val="12"/>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lowerLetter"/>
      <w:start w:val="4"/>
    </w:lvl>
  </w:abstractNum>
  <w:abstractNum w:abstractNumId="52">
    <w:nsid w:val="70C6A52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2019-12-16T10:18:32Z</dcterms:created>
  <dcterms:modified xsi:type="dcterms:W3CDTF">2019-12-16T10:18:32Z</dcterms:modified>
</cp:coreProperties>
</file>